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2ADC" w14:textId="1825FDE2" w:rsidR="00A26C2E" w:rsidRPr="00A26C2E" w:rsidRDefault="00584826" w:rsidP="00A26C2E">
      <w:pPr>
        <w:overflowPunct/>
        <w:spacing w:after="160" w:line="276" w:lineRule="auto"/>
        <w:textAlignment w:val="auto"/>
        <w:rPr>
          <w:rFonts w:cs="Arial"/>
          <w:sz w:val="20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66BBBF" wp14:editId="0489782F">
                <wp:simplePos x="0" y="0"/>
                <wp:positionH relativeFrom="margin">
                  <wp:align>right</wp:align>
                </wp:positionH>
                <wp:positionV relativeFrom="paragraph">
                  <wp:posOffset>674972</wp:posOffset>
                </wp:positionV>
                <wp:extent cx="6583045" cy="94361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943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866C2" w14:textId="58B98818" w:rsidR="009376B0" w:rsidRPr="00C220E1" w:rsidRDefault="009376B0" w:rsidP="009376B0">
                            <w:pPr>
                              <w:spacing w:before="100" w:beforeAutospacing="1" w:after="100" w:afterAutospacing="1" w:line="276" w:lineRule="auto"/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</w:pPr>
                            <w:r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Praha, </w:t>
                            </w:r>
                            <w:r w:rsidR="00E27D57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>1</w:t>
                            </w:r>
                            <w:r w:rsidR="00A26C2E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>7</w:t>
                            </w:r>
                            <w:r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. </w:t>
                            </w:r>
                            <w:r w:rsidR="00A26C2E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>března</w:t>
                            </w:r>
                            <w:r w:rsidR="00E27D57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 2020</w:t>
                            </w:r>
                            <w:r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 - </w:t>
                            </w:r>
                            <w:r w:rsidR="00EC025B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Prezidium ČBA již minulý týden ve čtvrtek doporučilo bankám </w:t>
                            </w:r>
                            <w:r w:rsidR="00EC711A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zvážit možnost </w:t>
                            </w:r>
                            <w:r w:rsidR="00EC025B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postupovat v odůvodněných případech vůči klientům z řad spotřebitelů i živnostníků vstřícně a umožnit odklady splátek </w:t>
                            </w:r>
                            <w:r w:rsidR="00024CDE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>v odůvodněných případech</w:t>
                            </w:r>
                            <w:r w:rsidR="00EC025B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 po dobu tří měsíců. </w:t>
                            </w:r>
                            <w:r w:rsidR="000E5F40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>Dnes, n</w:t>
                            </w:r>
                            <w:r w:rsidR="00A26C2E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>a první z avizovaných konzultací</w:t>
                            </w:r>
                            <w:r w:rsidR="000E5F40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>,</w:t>
                            </w:r>
                            <w:r w:rsidR="00A26C2E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 </w:t>
                            </w:r>
                            <w:r w:rsidR="00EC711A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>diskutova</w:t>
                            </w:r>
                            <w:r w:rsidR="00A26C2E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li bankéři </w:t>
                            </w:r>
                            <w:r w:rsidR="00EC711A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se </w:t>
                            </w:r>
                            <w:r w:rsidR="00A26C2E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>zástupc</w:t>
                            </w:r>
                            <w:r w:rsidR="00EC711A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>i</w:t>
                            </w:r>
                            <w:r w:rsidR="00A26C2E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 ČNB svou vizi na rozšíření nastíněného opatření i na </w:t>
                            </w:r>
                            <w:r w:rsidR="00BB2C93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malé a střední </w:t>
                            </w:r>
                            <w:r w:rsidR="00A26C2E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podnikatele. </w:t>
                            </w:r>
                            <w:r w:rsidR="009137EA" w:rsidRPr="00C220E1">
                              <w:rPr>
                                <w:rFonts w:cs="Arial"/>
                                <w:b/>
                                <w:color w:val="007E79"/>
                                <w:sz w:val="20"/>
                              </w:rPr>
                              <w:t xml:space="preserve"> </w:t>
                            </w:r>
                          </w:p>
                          <w:p w14:paraId="1B4B06FB" w14:textId="77777777" w:rsidR="009376B0" w:rsidRDefault="009376B0" w:rsidP="00937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6BBB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7.15pt;margin-top:53.15pt;width:518.35pt;height:74.3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EWEwIAAPcDAAAOAAAAZHJzL2Uyb0RvYy54bWysU1tu2zAQ/C/QOxD8ryU7tpsIloM0aYoC&#10;6QNIeoA1RVlESS5L0pbSG+UcvViXlOMY7V9RfRCkdne4MztcXQ5Gs730QaGt+XRSciatwEbZbc2/&#10;Pdy+OecsRLANaLSy5o8y8Mv161er3lVyhh3qRnpGIDZUvat5F6OriiKIThoIE3TSUrBFbyDS0W+L&#10;xkNP6EYXs7JcFj36xnkUMgT6ezMG+Trjt60U8UvbBhmZrjn1FvPq87pJa7FeQbX14DolDm3AP3Rh&#10;QFm69Ah1AxHYzqu/oIwSHgO2cSLQFNi2SsjMgdhMyz/Y3HfgZOZC4gR3lCn8P1jxef/VM9XUnAZl&#10;wdCIHuQQcf/riTnUks2SRL0LFWXeO8qNwzscaNSZbnB3KL4HZvG6A7uVV95j30loqMVpqixOSkec&#10;kEA2/Sds6C7YRcxAQ+tN0o8UYYROo3o8jof6YYJ+LhfnZ+V8wZmg2MX8bDnN8yugeq52PsQPEg1L&#10;m5p7Gn9Gh/1diKkbqJ5T0mUWb5XW2QLasp5AF7NFLjiJGBXJoVoZkqhM3+iZRPK9bXJxBKXHPV2g&#10;7YF1IjpSjsNmoMQkxQabR+LvcXQivRzadOh/ctaTC2sefuzAS870R0saXkzn82TbfJgv3s7o4E8j&#10;m9MIWEFQNY+cjdvrmK0+cr0irVuVZXjp5NAruSurc3gJyb6n55z18l7XvwEAAP//AwBQSwMEFAAG&#10;AAgAAAAhAH2J+ePdAAAACQEAAA8AAABkcnMvZG93bnJldi54bWxMj0tPwzAQhO9I/AdrkbhRmz4C&#10;DdlUCMQVRHlI3Nx4m0TE6yh2m/Dv2Z7gODurmW+KzeQ7daQhtoERrmcGFHEVXMs1wvvb09UtqJgs&#10;O9sFJoQfirApz88Km7sw8isdt6lWEsIxtwhNSn2udawa8jbOQk8s3j4M3iaRQ63dYEcJ952eG5Np&#10;b1uWhsb29NBQ9b09eISP5/3X59K81I9+1Y9hMpr9WiNeXkz3d6ASTenvGU74gg6lMO3CgV1UHYIM&#10;SXI12QLUyTaL7AbUDmG+Wq5Bl4X+v6D8BQAA//8DAFBLAQItABQABgAIAAAAIQC2gziS/gAAAOEB&#10;AAATAAAAAAAAAAAAAAAAAAAAAABbQ29udGVudF9UeXBlc10ueG1sUEsBAi0AFAAGAAgAAAAhADj9&#10;If/WAAAAlAEAAAsAAAAAAAAAAAAAAAAALwEAAF9yZWxzLy5yZWxzUEsBAi0AFAAGAAgAAAAhAL8e&#10;URYTAgAA9wMAAA4AAAAAAAAAAAAAAAAALgIAAGRycy9lMm9Eb2MueG1sUEsBAi0AFAAGAAgAAAAh&#10;AH2J+ePdAAAACQEAAA8AAAAAAAAAAAAAAAAAbQQAAGRycy9kb3ducmV2LnhtbFBLBQYAAAAABAAE&#10;APMAAAB3BQAAAAA=&#10;" filled="f" stroked="f">
                <v:textbox>
                  <w:txbxContent>
                    <w:p w14:paraId="76B866C2" w14:textId="58B98818" w:rsidR="009376B0" w:rsidRPr="00C220E1" w:rsidRDefault="009376B0" w:rsidP="009376B0">
                      <w:pPr>
                        <w:spacing w:before="100" w:beforeAutospacing="1" w:after="100" w:afterAutospacing="1" w:line="276" w:lineRule="auto"/>
                        <w:rPr>
                          <w:rFonts w:cs="Arial"/>
                          <w:b/>
                          <w:color w:val="007E79"/>
                          <w:sz w:val="20"/>
                        </w:rPr>
                      </w:pPr>
                      <w:r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Praha, </w:t>
                      </w:r>
                      <w:r w:rsidR="00E27D57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>1</w:t>
                      </w:r>
                      <w:r w:rsidR="00A26C2E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>7</w:t>
                      </w:r>
                      <w:r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. </w:t>
                      </w:r>
                      <w:r w:rsidR="00A26C2E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>března</w:t>
                      </w:r>
                      <w:r w:rsidR="00E27D57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 2020</w:t>
                      </w:r>
                      <w:r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 - </w:t>
                      </w:r>
                      <w:r w:rsidR="00EC025B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Prezidium ČBA již minulý týden ve čtvrtek doporučilo bankám </w:t>
                      </w:r>
                      <w:r w:rsidR="00EC711A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zvážit možnost </w:t>
                      </w:r>
                      <w:r w:rsidR="00EC025B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postupovat v odůvodněných případech vůči klientům z řad spotřebitelů i živnostníků vstřícně a umožnit odklady splátek </w:t>
                      </w:r>
                      <w:r w:rsidR="00024CDE">
                        <w:rPr>
                          <w:rFonts w:cs="Arial"/>
                          <w:b/>
                          <w:color w:val="007E79"/>
                          <w:sz w:val="20"/>
                        </w:rPr>
                        <w:t>v odůvodněných případech</w:t>
                      </w:r>
                      <w:r w:rsidR="00EC025B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 po dobu tří měsíců. </w:t>
                      </w:r>
                      <w:r w:rsidR="000E5F40">
                        <w:rPr>
                          <w:rFonts w:cs="Arial"/>
                          <w:b/>
                          <w:color w:val="007E79"/>
                          <w:sz w:val="20"/>
                        </w:rPr>
                        <w:t>Dnes, n</w:t>
                      </w:r>
                      <w:r w:rsidR="00A26C2E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>a první z avizovaných konzultací</w:t>
                      </w:r>
                      <w:r w:rsidR="000E5F40">
                        <w:rPr>
                          <w:rFonts w:cs="Arial"/>
                          <w:b/>
                          <w:color w:val="007E79"/>
                          <w:sz w:val="20"/>
                        </w:rPr>
                        <w:t>,</w:t>
                      </w:r>
                      <w:r w:rsidR="00A26C2E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 </w:t>
                      </w:r>
                      <w:r w:rsidR="00EC711A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>diskutova</w:t>
                      </w:r>
                      <w:r w:rsidR="00A26C2E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li bankéři </w:t>
                      </w:r>
                      <w:r w:rsidR="00EC711A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se </w:t>
                      </w:r>
                      <w:r w:rsidR="00A26C2E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>zástupc</w:t>
                      </w:r>
                      <w:r w:rsidR="00EC711A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>i</w:t>
                      </w:r>
                      <w:r w:rsidR="00A26C2E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 ČNB svou vizi na rozšíření nastíněného opatření i na </w:t>
                      </w:r>
                      <w:r w:rsidR="00BB2C93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malé a střední </w:t>
                      </w:r>
                      <w:r w:rsidR="00A26C2E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podnikatele. </w:t>
                      </w:r>
                      <w:r w:rsidR="009137EA" w:rsidRPr="00C220E1">
                        <w:rPr>
                          <w:rFonts w:cs="Arial"/>
                          <w:b/>
                          <w:color w:val="007E79"/>
                          <w:sz w:val="20"/>
                        </w:rPr>
                        <w:t xml:space="preserve"> </w:t>
                      </w:r>
                    </w:p>
                    <w:p w14:paraId="1B4B06FB" w14:textId="77777777" w:rsidR="009376B0" w:rsidRDefault="009376B0" w:rsidP="009376B0"/>
                  </w:txbxContent>
                </v:textbox>
                <w10:wrap type="square" anchorx="margin"/>
              </v:shape>
            </w:pict>
          </mc:Fallback>
        </mc:AlternateContent>
      </w: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52C50C" wp14:editId="1168095F">
                <wp:simplePos x="0" y="0"/>
                <wp:positionH relativeFrom="margin">
                  <wp:posOffset>-101600</wp:posOffset>
                </wp:positionH>
                <wp:positionV relativeFrom="paragraph">
                  <wp:posOffset>0</wp:posOffset>
                </wp:positionV>
                <wp:extent cx="6687820" cy="65278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BCAFE" w14:textId="48E7EEC5" w:rsidR="009376B0" w:rsidRPr="00C220E1" w:rsidRDefault="00A26C2E" w:rsidP="009376B0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2"/>
                                <w:szCs w:val="22"/>
                              </w:rPr>
                            </w:pPr>
                            <w:r w:rsidRPr="00C220E1"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2"/>
                                <w:szCs w:val="22"/>
                              </w:rPr>
                              <w:t xml:space="preserve">Výsledek prvního jednání </w:t>
                            </w:r>
                            <w:r w:rsidR="00577FCF" w:rsidRPr="00C220E1"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2"/>
                                <w:szCs w:val="22"/>
                              </w:rPr>
                              <w:t xml:space="preserve">bank </w:t>
                            </w:r>
                            <w:r w:rsidRPr="00C220E1"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2"/>
                                <w:szCs w:val="22"/>
                              </w:rPr>
                              <w:t xml:space="preserve">s ČNB o úlevách klientům v důsledku pandemie: </w:t>
                            </w:r>
                            <w:r w:rsidRPr="00C220E1">
                              <w:rPr>
                                <w:rFonts w:cs="Arial"/>
                                <w:color w:val="007E79"/>
                                <w:sz w:val="32"/>
                                <w:szCs w:val="22"/>
                              </w:rPr>
                              <w:t xml:space="preserve">v jednání je rozšíření </w:t>
                            </w:r>
                            <w:r w:rsidR="009137EA" w:rsidRPr="00C220E1">
                              <w:rPr>
                                <w:rFonts w:cs="Arial"/>
                                <w:color w:val="007E79"/>
                                <w:sz w:val="32"/>
                                <w:szCs w:val="22"/>
                              </w:rPr>
                              <w:t xml:space="preserve">opatření </w:t>
                            </w:r>
                            <w:r w:rsidRPr="00C220E1">
                              <w:rPr>
                                <w:rFonts w:cs="Arial"/>
                                <w:color w:val="007E79"/>
                                <w:sz w:val="32"/>
                                <w:szCs w:val="22"/>
                              </w:rPr>
                              <w:t>na podnikatele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C50C" id="_x0000_s1027" type="#_x0000_t202" style="position:absolute;left:0;text-align:left;margin-left:-8pt;margin-top:0;width:526.6pt;height:51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zOFQIAAP4DAAAOAAAAZHJzL2Uyb0RvYy54bWysU9uO2yAQfa/Uf0C8N3as3NYKWW13u1Wl&#10;7UXa7QcQjGNUYCiQ2Okf9Tv6Yx1wNhu1b1X9gMDDnJlz5rC+HowmB+mDAsvodFJSIq2ARtkdo1+f&#10;7t+sKAmR24ZrsJLRowz0evP61bp3taygA91ITxDEhrp3jHYxurooguik4WECTloMtuANj3j0u6Lx&#10;vEd0o4uqLBdFD75xHoQMAf/ejUG6yfhtK0X83LZBRqIZxd5iXn1et2ktNmte7zx3nRKnNvg/dGG4&#10;slj0DHXHIyd7r/6CMkp4CNDGiQBTQNsqITMHZDMt/2Dz2HEnMxcUJ7izTOH/wYpPhy+eqIbRBSWW&#10;GxzRkxwiHH79JA60JFWSqHehxpuPDu/G4S0MOOpMN7gHEN8CsXDbcbuTN95D30neYIvTlFlcpI44&#10;IYFs+4/QYC2+j5CBhtabpB8qQhAdR3U8jwf7IQJ/Lhar5arCkMDYYl4tV3l+Ba+fs50P8b0EQ9KG&#10;UY/jz+j88BBi6obXz1dSMQv3SutsAW1Jz+jVvJrnhIuIUREdqpVhdFWmb/RMIvnONjk5cqXHPRbQ&#10;9sQ6ER0px2E7ZI2zJEmRLTRHlMHDaEh8QLjpwP+gpEczMhq+77mXlOgPFqW8ms5myb35MJsvkwj+&#10;MrK9jHArEIrRSMm4vY3Z8SPlG5S8VVmNl05OLaPJskinB5FcfHnOt16e7eY3AAAA//8DAFBLAwQU&#10;AAYACAAAACEA0d0GYt4AAAAJAQAADwAAAGRycy9kb3ducmV2LnhtbEyPQU/DMAyF70j8h8iTuG3J&#10;CozRNZ0QiOvQBpvELWu8tqJxqiZby7+fe4KLZes9PX8vWw+uERfsQu1Jw3ymQCAV3tZUavj6fJ8u&#10;QYRoyJrGE2r4xQDr/PYmM6n1PW3xsoul4BAKqdFQxdimUoaiQmfCzLdIrJ1850zksyul7UzP4a6R&#10;iVIL6UxN/KEyLb5WWPzszk7DfnP6Pjyoj/LNPba9H5Qk9yy1vpsMLysQEYf4Z4YRn9EhZ6ajP5MN&#10;otEwnS+4S9TAc5TV/VMC4jhuyRJknsn/DfIrAAAA//8DAFBLAQItABQABgAIAAAAIQC2gziS/gAA&#10;AOEBAAATAAAAAAAAAAAAAAAAAAAAAABbQ29udGVudF9UeXBlc10ueG1sUEsBAi0AFAAGAAgAAAAh&#10;ADj9If/WAAAAlAEAAAsAAAAAAAAAAAAAAAAALwEAAF9yZWxzLy5yZWxzUEsBAi0AFAAGAAgAAAAh&#10;AHE13M4VAgAA/gMAAA4AAAAAAAAAAAAAAAAALgIAAGRycy9lMm9Eb2MueG1sUEsBAi0AFAAGAAgA&#10;AAAhANHdBmLeAAAACQEAAA8AAAAAAAAAAAAAAAAAbwQAAGRycy9kb3ducmV2LnhtbFBLBQYAAAAA&#10;BAAEAPMAAAB6BQAAAAA=&#10;" filled="f" stroked="f">
                <v:textbox>
                  <w:txbxContent>
                    <w:p w14:paraId="426BCAFE" w14:textId="48E7EEC5" w:rsidR="009376B0" w:rsidRPr="00C220E1" w:rsidRDefault="00A26C2E" w:rsidP="009376B0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bCs/>
                          <w:color w:val="007E79"/>
                          <w:sz w:val="32"/>
                          <w:szCs w:val="22"/>
                        </w:rPr>
                      </w:pPr>
                      <w:r w:rsidRPr="00C220E1">
                        <w:rPr>
                          <w:rFonts w:cs="Arial"/>
                          <w:b/>
                          <w:bCs/>
                          <w:color w:val="007E79"/>
                          <w:sz w:val="32"/>
                          <w:szCs w:val="22"/>
                        </w:rPr>
                        <w:t xml:space="preserve">Výsledek prvního jednání </w:t>
                      </w:r>
                      <w:r w:rsidR="00577FCF" w:rsidRPr="00C220E1">
                        <w:rPr>
                          <w:rFonts w:cs="Arial"/>
                          <w:b/>
                          <w:bCs/>
                          <w:color w:val="007E79"/>
                          <w:sz w:val="32"/>
                          <w:szCs w:val="22"/>
                        </w:rPr>
                        <w:t xml:space="preserve">bank </w:t>
                      </w:r>
                      <w:r w:rsidRPr="00C220E1">
                        <w:rPr>
                          <w:rFonts w:cs="Arial"/>
                          <w:b/>
                          <w:bCs/>
                          <w:color w:val="007E79"/>
                          <w:sz w:val="32"/>
                          <w:szCs w:val="22"/>
                        </w:rPr>
                        <w:t>s ČNB o úlevách klientům</w:t>
                      </w:r>
                      <w:r w:rsidRPr="00C220E1">
                        <w:rPr>
                          <w:rFonts w:cs="Arial"/>
                          <w:b/>
                          <w:bCs/>
                          <w:color w:val="007E79"/>
                          <w:sz w:val="32"/>
                          <w:szCs w:val="22"/>
                        </w:rPr>
                        <w:t xml:space="preserve"> v důsledku pandemie: </w:t>
                      </w:r>
                      <w:r w:rsidRPr="00C220E1">
                        <w:rPr>
                          <w:rFonts w:cs="Arial"/>
                          <w:color w:val="007E79"/>
                          <w:sz w:val="32"/>
                          <w:szCs w:val="22"/>
                        </w:rPr>
                        <w:t xml:space="preserve">v jednání je rozšíření </w:t>
                      </w:r>
                      <w:r w:rsidR="009137EA" w:rsidRPr="00C220E1">
                        <w:rPr>
                          <w:rFonts w:cs="Arial"/>
                          <w:color w:val="007E79"/>
                          <w:sz w:val="32"/>
                          <w:szCs w:val="22"/>
                        </w:rPr>
                        <w:t xml:space="preserve">opatření </w:t>
                      </w:r>
                      <w:r w:rsidRPr="00C220E1">
                        <w:rPr>
                          <w:rFonts w:cs="Arial"/>
                          <w:color w:val="007E79"/>
                          <w:sz w:val="32"/>
                          <w:szCs w:val="22"/>
                        </w:rPr>
                        <w:t>na podnikatele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11"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B95DBC" wp14:editId="1B4DA029">
                <wp:simplePos x="0" y="0"/>
                <wp:positionH relativeFrom="margin">
                  <wp:posOffset>5295900</wp:posOffset>
                </wp:positionH>
                <wp:positionV relativeFrom="paragraph">
                  <wp:posOffset>-1050925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F6F2F" w14:textId="77777777" w:rsidR="00517111" w:rsidRDefault="00517111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3129592F" w14:textId="5A8E9216" w:rsidR="00517111" w:rsidRPr="00517111" w:rsidRDefault="00E27D57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A26C2E"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A26C2E"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95DBC" id="_x0000_s1028" type="#_x0000_t202" style="position:absolute;left:0;text-align:left;margin-left:417pt;margin-top:-82.7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3nFgIAAAEEAAAOAAAAZHJzL2Uyb0RvYy54bWysU11u2zAMfh+wOwh6X+xkSdcacYquXYYB&#10;3Q/Q7gCMLMfCJFGTlNjdjXqOXWyUnGTB9jbMD4Jokh/5faSW14PRbC99UGhrPp2UnEkrsFF2W/Ov&#10;j+tXl5yFCLYBjVbW/EkGfr16+WLZu0rOsEPdSM8IxIaqdzXvYnRVUQTRSQNhgk5acrboDUQy/bZo&#10;PPSEbnQxK8uLokffOI9ChkB/70YnX2X8tpUifm7bICPTNafeYj59PjfpLFZLqLYeXKfEoQ34hy4M&#10;KEtFT1B3EIHtvPoLyijhMWAbJwJNgW2rhMwciM20/IPNQwdOZi4kTnAnmcL/gxWf9l88U03NqT5n&#10;FgwN6VEOEfc/n5lDLdksidS7UFHsg6PoOLzFgYadCQd3j+JbYBZvO7BbeeM99p2EhpqcpsziLHXE&#10;CQlk03/EhmrBLmIGGlpvkoKkCSN0GtbTaUDUDxOp5Oz11WJGLkG+6bycX5CRakB1THc+xPcSDUuX&#10;mnvagAwP+/sQx9BjSKpmca20pv9Qacv6mhP+IieceYyKtKRamZpflukb1yaxfGebnBxB6fFOvWh7&#10;oJ2YjpzjsBlGmY9qbrB5Ih08jjtJb4guHfofnPW0jzUP33fgJWf6gyUtr6bzeVrgbMwXb5IK/tyz&#10;OfeAFQRV88jZeL2NeekTz+BuSPO1ymqk4YydHFqmPct6Ht5EWuRzO0f9frmrXwAAAP//AwBQSwME&#10;FAAGAAgAAAAhAK25D0rhAAAADAEAAA8AAABkcnMvZG93bnJldi54bWxMj81OwzAQhO9IvIO1SNxa&#10;u4H0J2RTVagtx0KJenZjk0TEayt20/D2uCc4jmY0802+Hk3HBt371hLCbCqAaaqsaqlGKD93kyUw&#10;HyQp2VnSCD/aw7q4v8tlpuyVPvRwDDWLJeQzidCE4DLOfdVoI/3UOk3R+7K9kSHKvuaql9dYbjqe&#10;CDHnRrYUFxrp9Gujq+/jxSC44PaLt/7wvtnuBlGe9mXS1lvEx4dx8wIs6DH8heGGH9GhiExneyHl&#10;WYewfHqOXwLCZDZPU2C3iEhWCbAzQpougBc5/3+i+AUAAP//AwBQSwECLQAUAAYACAAAACEAtoM4&#10;kv4AAADhAQAAEwAAAAAAAAAAAAAAAAAAAAAAW0NvbnRlbnRfVHlwZXNdLnhtbFBLAQItABQABgAI&#10;AAAAIQA4/SH/1gAAAJQBAAALAAAAAAAAAAAAAAAAAC8BAABfcmVscy8ucmVsc1BLAQItABQABgAI&#10;AAAAIQDfmp3nFgIAAAEEAAAOAAAAAAAAAAAAAAAAAC4CAABkcnMvZTJvRG9jLnhtbFBLAQItABQA&#10;BgAIAAAAIQCtuQ9K4QAAAAwBAAAPAAAAAAAAAAAAAAAAAHAEAABkcnMvZG93bnJldi54bWxQSwUG&#10;AAAAAAQABADzAAAAfgUAAAAA&#10;" filled="f" stroked="f">
                <v:textbox style="mso-fit-shape-to-text:t">
                  <w:txbxContent>
                    <w:p w14:paraId="7E0F6F2F" w14:textId="77777777" w:rsidR="00517111" w:rsidRDefault="00517111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3129592F" w14:textId="5A8E9216" w:rsidR="00517111" w:rsidRPr="00517111" w:rsidRDefault="00E27D57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</w:t>
                      </w:r>
                      <w:r w:rsidR="00A26C2E">
                        <w:rPr>
                          <w:color w:val="BFBFBF" w:themeColor="background1" w:themeShade="BF"/>
                        </w:rPr>
                        <w:t>7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 w:rsidR="00A26C2E">
                        <w:rPr>
                          <w:color w:val="BFBFBF" w:themeColor="background1" w:themeShade="BF"/>
                        </w:rPr>
                        <w:t>3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C2E" w:rsidRPr="00A26C2E">
        <w:rPr>
          <w:rFonts w:cs="Arial"/>
          <w:sz w:val="20"/>
        </w:rPr>
        <w:t xml:space="preserve">Dne 12. března 2020 </w:t>
      </w:r>
      <w:r w:rsidR="00A26C2E">
        <w:rPr>
          <w:rFonts w:cs="Arial"/>
          <w:sz w:val="20"/>
        </w:rPr>
        <w:t>konstatovalo</w:t>
      </w:r>
      <w:r w:rsidR="00A26C2E" w:rsidRPr="00A26C2E">
        <w:rPr>
          <w:rFonts w:cs="Arial"/>
          <w:sz w:val="20"/>
        </w:rPr>
        <w:t xml:space="preserve"> Prezidium, nejvyšší orgán ČBA, která sdružuje většinu bank na českém trhu, že banky jsou připraveny pomoci klientům, na které dopadly </w:t>
      </w:r>
      <w:r w:rsidR="00A26C2E">
        <w:rPr>
          <w:rFonts w:cs="Arial"/>
          <w:sz w:val="20"/>
        </w:rPr>
        <w:t xml:space="preserve">či dopadnou </w:t>
      </w:r>
      <w:r w:rsidR="00A26C2E" w:rsidRPr="00A26C2E">
        <w:rPr>
          <w:rFonts w:cs="Arial"/>
          <w:sz w:val="20"/>
        </w:rPr>
        <w:t>ekonomické důsledky</w:t>
      </w:r>
      <w:r w:rsidR="00A26C2E">
        <w:rPr>
          <w:rFonts w:cs="Arial"/>
          <w:sz w:val="20"/>
        </w:rPr>
        <w:t xml:space="preserve"> současné pandemie</w:t>
      </w:r>
      <w:r w:rsidR="009137EA">
        <w:rPr>
          <w:rFonts w:cs="Arial"/>
          <w:sz w:val="20"/>
        </w:rPr>
        <w:t xml:space="preserve"> </w:t>
      </w:r>
      <w:proofErr w:type="spellStart"/>
      <w:r w:rsidR="009137EA" w:rsidRPr="00A26C2E">
        <w:rPr>
          <w:rFonts w:cs="Arial"/>
          <w:sz w:val="20"/>
        </w:rPr>
        <w:t>koronaviru</w:t>
      </w:r>
      <w:proofErr w:type="spellEnd"/>
      <w:r w:rsidR="009137EA" w:rsidRPr="00A26C2E">
        <w:rPr>
          <w:rFonts w:cs="Arial"/>
          <w:sz w:val="20"/>
        </w:rPr>
        <w:t xml:space="preserve"> SARS-CoV-2</w:t>
      </w:r>
      <w:r w:rsidR="00A26C2E" w:rsidRPr="00A26C2E">
        <w:rPr>
          <w:rFonts w:cs="Arial"/>
          <w:sz w:val="20"/>
        </w:rPr>
        <w:t xml:space="preserve">. Vycházejíc z předpokladu, že nejtíživěji dopadne </w:t>
      </w:r>
      <w:r w:rsidR="009137EA">
        <w:rPr>
          <w:rFonts w:cs="Arial"/>
          <w:sz w:val="20"/>
        </w:rPr>
        <w:t>pandemie</w:t>
      </w:r>
      <w:r w:rsidR="00A26C2E" w:rsidRPr="00A26C2E">
        <w:rPr>
          <w:rFonts w:cs="Arial"/>
          <w:sz w:val="20"/>
        </w:rPr>
        <w:t xml:space="preserve"> a související opatření na klienty z řad zaměstnanců a OSVČ, shodlo se Prezidium ČBA na tom, že vhodným nástrojem v této situaci bude v doložených případech poskytnout těmto klientům možnost tříměsíčního odkladu splátek hypotéčních a </w:t>
      </w:r>
      <w:r w:rsidR="000E5F40">
        <w:rPr>
          <w:rFonts w:cs="Arial"/>
          <w:sz w:val="20"/>
        </w:rPr>
        <w:t xml:space="preserve">jiných </w:t>
      </w:r>
      <w:r w:rsidR="00A26C2E" w:rsidRPr="00A26C2E">
        <w:rPr>
          <w:rFonts w:cs="Arial"/>
          <w:sz w:val="20"/>
        </w:rPr>
        <w:t xml:space="preserve">spotřebitelských úvěrů. </w:t>
      </w:r>
    </w:p>
    <w:p w14:paraId="07B94793" w14:textId="5996B676" w:rsidR="009137EA" w:rsidRDefault="00A26C2E" w:rsidP="00A26C2E">
      <w:pPr>
        <w:overflowPunct/>
        <w:spacing w:after="160" w:line="276" w:lineRule="auto"/>
        <w:textAlignment w:val="auto"/>
        <w:rPr>
          <w:rFonts w:cs="Arial"/>
          <w:sz w:val="20"/>
        </w:rPr>
      </w:pPr>
      <w:r w:rsidRPr="00A26C2E">
        <w:rPr>
          <w:rFonts w:cs="Arial"/>
          <w:sz w:val="20"/>
        </w:rPr>
        <w:t xml:space="preserve">Přestože bylo opatření Prezidia ČBA dobrovolné povahy, </w:t>
      </w:r>
      <w:r w:rsidR="00024CDE">
        <w:rPr>
          <w:rFonts w:cs="Arial"/>
          <w:sz w:val="20"/>
        </w:rPr>
        <w:t>má podle</w:t>
      </w:r>
      <w:r w:rsidRPr="00A26C2E">
        <w:rPr>
          <w:rFonts w:cs="Arial"/>
          <w:sz w:val="20"/>
        </w:rPr>
        <w:t xml:space="preserve"> informací</w:t>
      </w:r>
      <w:r w:rsidR="00024CDE">
        <w:rPr>
          <w:rFonts w:cs="Arial"/>
          <w:sz w:val="20"/>
        </w:rPr>
        <w:t>,</w:t>
      </w:r>
      <w:r w:rsidRPr="00A26C2E">
        <w:rPr>
          <w:rFonts w:cs="Arial"/>
          <w:sz w:val="20"/>
        </w:rPr>
        <w:t xml:space="preserve"> dostupných ČBA</w:t>
      </w:r>
      <w:r w:rsidR="00BB2C93">
        <w:rPr>
          <w:rFonts w:cs="Arial"/>
          <w:sz w:val="20"/>
        </w:rPr>
        <w:t>,</w:t>
      </w:r>
      <w:r w:rsidRPr="00A26C2E">
        <w:rPr>
          <w:rFonts w:cs="Arial"/>
          <w:sz w:val="20"/>
        </w:rPr>
        <w:t xml:space="preserve"> </w:t>
      </w:r>
      <w:r w:rsidR="00024CDE">
        <w:rPr>
          <w:rFonts w:cs="Arial"/>
          <w:sz w:val="20"/>
        </w:rPr>
        <w:t>širokou podporu mnoha členských bank asociace</w:t>
      </w:r>
      <w:r w:rsidRPr="00A26C2E">
        <w:rPr>
          <w:rFonts w:cs="Arial"/>
          <w:sz w:val="20"/>
        </w:rPr>
        <w:t xml:space="preserve">. </w:t>
      </w:r>
    </w:p>
    <w:p w14:paraId="66B7264E" w14:textId="518D0C68" w:rsidR="00EC025B" w:rsidRPr="00577FCF" w:rsidRDefault="00EC025B" w:rsidP="004A34F2">
      <w:pPr>
        <w:overflowPunct/>
        <w:spacing w:after="160" w:line="276" w:lineRule="auto"/>
        <w:textAlignment w:val="auto"/>
        <w:rPr>
          <w:rFonts w:cs="Arial"/>
          <w:sz w:val="20"/>
        </w:rPr>
      </w:pPr>
      <w:r w:rsidRPr="00EC025B">
        <w:rPr>
          <w:rFonts w:cs="Arial"/>
          <w:sz w:val="20"/>
        </w:rPr>
        <w:t>Stanovení konkrétních podmínek je čistě věcí jednotlivých bank, nikoli ČBA, celá věc však má i regulatorní rozměr, přičemž bankovní dohled je v kompetenci ČNB</w:t>
      </w:r>
      <w:r>
        <w:rPr>
          <w:rFonts w:cs="Arial"/>
          <w:sz w:val="20"/>
        </w:rPr>
        <w:t xml:space="preserve">. </w:t>
      </w:r>
      <w:r w:rsidR="004A34F2">
        <w:rPr>
          <w:rFonts w:cs="Arial"/>
          <w:sz w:val="20"/>
        </w:rPr>
        <w:t>Ta nastíněné kroky bank v souvislosti s </w:t>
      </w:r>
      <w:proofErr w:type="spellStart"/>
      <w:r w:rsidR="004A34F2">
        <w:rPr>
          <w:rFonts w:cs="Arial"/>
          <w:sz w:val="20"/>
        </w:rPr>
        <w:t>koronavirem</w:t>
      </w:r>
      <w:proofErr w:type="spellEnd"/>
      <w:r w:rsidR="004A34F2">
        <w:rPr>
          <w:rFonts w:cs="Arial"/>
          <w:sz w:val="20"/>
        </w:rPr>
        <w:t xml:space="preserve"> kvitovala (</w:t>
      </w:r>
      <w:r w:rsidRPr="00577FCF">
        <w:rPr>
          <w:rFonts w:cs="Arial"/>
          <w:sz w:val="20"/>
        </w:rPr>
        <w:t xml:space="preserve">Bankovní rada ČNB v pondělí 16.3. </w:t>
      </w:r>
      <w:r w:rsidR="004A34F2" w:rsidRPr="00577FCF">
        <w:rPr>
          <w:rFonts w:cs="Arial"/>
          <w:sz w:val="20"/>
        </w:rPr>
        <w:t xml:space="preserve">na své TK </w:t>
      </w:r>
      <w:r w:rsidRPr="00577FCF">
        <w:rPr>
          <w:rFonts w:cs="Arial"/>
          <w:sz w:val="20"/>
        </w:rPr>
        <w:t xml:space="preserve">konstatovala, že </w:t>
      </w:r>
      <w:r w:rsidRPr="00577FCF">
        <w:rPr>
          <w:rFonts w:cs="Arial"/>
          <w:i/>
          <w:iCs/>
          <w:sz w:val="20"/>
        </w:rPr>
        <w:t xml:space="preserve">„pokud u klienta došlo pouze k dočasnému výpadku příjmů v důsledku výskytu </w:t>
      </w:r>
      <w:proofErr w:type="spellStart"/>
      <w:r w:rsidRPr="00577FCF">
        <w:rPr>
          <w:rFonts w:cs="Arial"/>
          <w:i/>
          <w:iCs/>
          <w:sz w:val="20"/>
        </w:rPr>
        <w:t>koronavirové</w:t>
      </w:r>
      <w:proofErr w:type="spellEnd"/>
      <w:r w:rsidRPr="00577FCF">
        <w:rPr>
          <w:rFonts w:cs="Arial"/>
          <w:i/>
          <w:iCs/>
          <w:sz w:val="20"/>
        </w:rPr>
        <w:t xml:space="preserve"> nákazy nebo souvisejících preventivních opatření, pak je odklad splátek vhodným způsobem, jak si zajistit splacení celé pohledávky v budoucnu. Takovýto odklad splátek nemusí dle platných pravidel vést k přeřazení pohledávky banky mezi tzv. klasifikované, resp. nevýkonné pohledávky. Bankovní rada považuje využití této flexibility dohledu za žádoucí</w:t>
      </w:r>
      <w:r w:rsidR="000E5F40">
        <w:rPr>
          <w:rFonts w:cs="Arial"/>
          <w:i/>
          <w:iCs/>
          <w:sz w:val="20"/>
        </w:rPr>
        <w:t>…</w:t>
      </w:r>
      <w:r w:rsidRPr="00577FCF">
        <w:rPr>
          <w:rFonts w:cs="Arial"/>
          <w:i/>
          <w:iCs/>
          <w:sz w:val="20"/>
        </w:rPr>
        <w:t>”</w:t>
      </w:r>
      <w:r w:rsidR="004A34F2" w:rsidRPr="00577FCF">
        <w:rPr>
          <w:rFonts w:cs="Arial"/>
          <w:sz w:val="20"/>
        </w:rPr>
        <w:t>).</w:t>
      </w:r>
      <w:r w:rsidRPr="00577FCF">
        <w:rPr>
          <w:rFonts w:cs="Arial"/>
          <w:sz w:val="20"/>
        </w:rPr>
        <w:t xml:space="preserve"> </w:t>
      </w:r>
    </w:p>
    <w:p w14:paraId="1D31F27E" w14:textId="566B09BC" w:rsidR="00EC025B" w:rsidRPr="00577FCF" w:rsidRDefault="004A34F2" w:rsidP="00EC025B">
      <w:pPr>
        <w:rPr>
          <w:rFonts w:cs="Arial"/>
          <w:sz w:val="20"/>
        </w:rPr>
      </w:pPr>
      <w:r w:rsidRPr="00577FCF">
        <w:rPr>
          <w:rFonts w:cs="Arial"/>
          <w:sz w:val="20"/>
        </w:rPr>
        <w:t xml:space="preserve">Zástupci ČBA a </w:t>
      </w:r>
      <w:r w:rsidR="00024CDE">
        <w:rPr>
          <w:rFonts w:cs="Arial"/>
          <w:sz w:val="20"/>
        </w:rPr>
        <w:t>některých</w:t>
      </w:r>
      <w:r w:rsidRPr="00577FCF">
        <w:rPr>
          <w:rFonts w:cs="Arial"/>
          <w:sz w:val="20"/>
        </w:rPr>
        <w:t xml:space="preserve"> členských bank dnes s</w:t>
      </w:r>
      <w:r w:rsidR="00EC025B" w:rsidRPr="00577FCF">
        <w:rPr>
          <w:rFonts w:cs="Arial"/>
          <w:sz w:val="20"/>
        </w:rPr>
        <w:t xml:space="preserve"> ČNB </w:t>
      </w:r>
      <w:r w:rsidRPr="00577FCF">
        <w:rPr>
          <w:rFonts w:cs="Arial"/>
          <w:sz w:val="20"/>
        </w:rPr>
        <w:t xml:space="preserve">zahájili jednání </w:t>
      </w:r>
      <w:r w:rsidR="00EC025B" w:rsidRPr="00577FCF">
        <w:rPr>
          <w:rFonts w:cs="Arial"/>
          <w:sz w:val="20"/>
        </w:rPr>
        <w:t>o konkrétním řešení</w:t>
      </w:r>
      <w:r w:rsidRPr="00577FCF">
        <w:rPr>
          <w:rFonts w:cs="Arial"/>
          <w:sz w:val="20"/>
        </w:rPr>
        <w:t>. Shodli se na následujícím:</w:t>
      </w:r>
    </w:p>
    <w:p w14:paraId="203098F4" w14:textId="77777777" w:rsidR="00EC025B" w:rsidRPr="00577FCF" w:rsidRDefault="00EC025B" w:rsidP="00EC025B">
      <w:pPr>
        <w:rPr>
          <w:rFonts w:cs="Arial"/>
          <w:sz w:val="20"/>
        </w:rPr>
      </w:pPr>
    </w:p>
    <w:p w14:paraId="0253A4AE" w14:textId="77777777" w:rsidR="00233094" w:rsidRPr="00024CDE" w:rsidRDefault="00233094" w:rsidP="00233094">
      <w:pPr>
        <w:pStyle w:val="Odstavecseseznamem"/>
        <w:numPr>
          <w:ilvl w:val="0"/>
          <w:numId w:val="4"/>
        </w:numPr>
        <w:rPr>
          <w:rFonts w:cs="Arial"/>
          <w:sz w:val="20"/>
        </w:rPr>
      </w:pPr>
      <w:r w:rsidRPr="00024CDE">
        <w:rPr>
          <w:rFonts w:cs="Arial"/>
          <w:sz w:val="20"/>
        </w:rPr>
        <w:t xml:space="preserve">možnost pro banky postupovat, jak uvedeno výše, platí pro všechny typy spotřebitelských úvěrů </w:t>
      </w:r>
      <w:r>
        <w:rPr>
          <w:rFonts w:cs="Arial"/>
          <w:sz w:val="20"/>
        </w:rPr>
        <w:t>a také například pro leasingové půjčky</w:t>
      </w:r>
    </w:p>
    <w:p w14:paraId="16C30975" w14:textId="0220B6AC" w:rsidR="000E5F40" w:rsidRPr="00024CDE" w:rsidRDefault="000E5F40" w:rsidP="004A34F2">
      <w:pPr>
        <w:pStyle w:val="Odstavecseseznamem"/>
        <w:numPr>
          <w:ilvl w:val="0"/>
          <w:numId w:val="4"/>
        </w:numPr>
        <w:rPr>
          <w:rFonts w:cs="Arial"/>
          <w:sz w:val="20"/>
        </w:rPr>
      </w:pPr>
      <w:r w:rsidRPr="00024CDE">
        <w:rPr>
          <w:rFonts w:cs="Arial"/>
          <w:sz w:val="20"/>
        </w:rPr>
        <w:t xml:space="preserve">vzhledem k tomu, že </w:t>
      </w:r>
      <w:r w:rsidR="00024CDE">
        <w:rPr>
          <w:rFonts w:cs="Arial"/>
          <w:sz w:val="20"/>
        </w:rPr>
        <w:t>nepominutelnou</w:t>
      </w:r>
      <w:r w:rsidRPr="00024CDE">
        <w:rPr>
          <w:rFonts w:cs="Arial"/>
          <w:sz w:val="20"/>
        </w:rPr>
        <w:t xml:space="preserve"> část postižených klientů </w:t>
      </w:r>
      <w:r w:rsidR="002938B4" w:rsidRPr="00024CDE">
        <w:rPr>
          <w:rFonts w:cs="Arial"/>
          <w:sz w:val="20"/>
        </w:rPr>
        <w:t xml:space="preserve">budou tvořit právnické </w:t>
      </w:r>
      <w:bookmarkStart w:id="0" w:name="_GoBack"/>
      <w:bookmarkEnd w:id="0"/>
      <w:r w:rsidR="00475302" w:rsidRPr="00024CDE">
        <w:rPr>
          <w:rFonts w:cs="Arial"/>
          <w:sz w:val="20"/>
        </w:rPr>
        <w:t>osoby</w:t>
      </w:r>
      <w:r w:rsidR="00475302">
        <w:rPr>
          <w:rFonts w:cs="Arial"/>
          <w:sz w:val="20"/>
        </w:rPr>
        <w:t xml:space="preserve"> – malé</w:t>
      </w:r>
      <w:r w:rsidR="00233094">
        <w:rPr>
          <w:rFonts w:cs="Arial"/>
          <w:sz w:val="20"/>
        </w:rPr>
        <w:t xml:space="preserve"> a střední firmy, bude opatření k přechodné úlevě od splátek úvěrů cíleno i na ně</w:t>
      </w:r>
    </w:p>
    <w:p w14:paraId="77BE462A" w14:textId="77777777" w:rsidR="00BB2C93" w:rsidRDefault="00BB2C93" w:rsidP="00BB2C93">
      <w:pPr>
        <w:rPr>
          <w:rFonts w:cs="Arial"/>
          <w:sz w:val="20"/>
        </w:rPr>
      </w:pPr>
    </w:p>
    <w:p w14:paraId="7D0FE07C" w14:textId="291F5B34" w:rsidR="00233094" w:rsidRDefault="00F83781" w:rsidP="00BB2C93">
      <w:pPr>
        <w:rPr>
          <w:rFonts w:cs="Arial"/>
          <w:sz w:val="20"/>
        </w:rPr>
      </w:pPr>
      <w:r>
        <w:rPr>
          <w:rFonts w:cs="Arial"/>
          <w:sz w:val="20"/>
        </w:rPr>
        <w:t>Na systému přístupů k jednotlivým žádostem nyní jednotlivé banky pracují, očekáváme, že podrobnosti budou klientům sdělovány bankami během krátké doby.</w:t>
      </w:r>
    </w:p>
    <w:p w14:paraId="45C25918" w14:textId="4BE0BF9D" w:rsidR="00F83781" w:rsidRDefault="00F83781" w:rsidP="00BB2C93">
      <w:pPr>
        <w:rPr>
          <w:rFonts w:cs="Arial"/>
          <w:sz w:val="20"/>
        </w:rPr>
      </w:pPr>
    </w:p>
    <w:p w14:paraId="0823D855" w14:textId="77777777" w:rsidR="00F83781" w:rsidRPr="00BB2C93" w:rsidRDefault="00F83781" w:rsidP="00BB2C93">
      <w:pPr>
        <w:rPr>
          <w:rFonts w:cs="Arial"/>
          <w:sz w:val="20"/>
        </w:rPr>
      </w:pPr>
    </w:p>
    <w:p w14:paraId="5AF2969F" w14:textId="77777777" w:rsidR="00EC025B" w:rsidRPr="00577FCF" w:rsidRDefault="00EC025B" w:rsidP="00EC025B">
      <w:pPr>
        <w:rPr>
          <w:rFonts w:cs="Arial"/>
          <w:sz w:val="20"/>
        </w:rPr>
      </w:pPr>
    </w:p>
    <w:p w14:paraId="78D988EC" w14:textId="537FC7F8" w:rsidR="005C1943" w:rsidRPr="007C30FC" w:rsidRDefault="00E27D57" w:rsidP="00517111">
      <w:pPr>
        <w:spacing w:before="100" w:beforeAutospacing="1" w:after="100" w:afterAutospacing="1" w:line="276" w:lineRule="auto"/>
        <w:rPr>
          <w:rFonts w:eastAsiaTheme="minorEastAsia" w:cs="Arial"/>
        </w:rPr>
      </w:pPr>
      <w:r w:rsidRPr="007C30FC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63025" wp14:editId="6DB7F598">
                <wp:simplePos x="0" y="0"/>
                <wp:positionH relativeFrom="margin">
                  <wp:posOffset>4288155</wp:posOffset>
                </wp:positionH>
                <wp:positionV relativeFrom="paragraph">
                  <wp:posOffset>635</wp:posOffset>
                </wp:positionV>
                <wp:extent cx="2257425" cy="1802765"/>
                <wp:effectExtent l="0" t="0" r="9525" b="698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802765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7A39D" w14:textId="77777777" w:rsidR="009376B0" w:rsidRPr="005A44FF" w:rsidRDefault="009376B0" w:rsidP="009376B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72AC99BF" w14:textId="77777777" w:rsidR="009376B0" w:rsidRPr="005A44FF" w:rsidRDefault="009376B0" w:rsidP="009376B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2931AD0" w14:textId="77777777" w:rsidR="009376B0" w:rsidRPr="003D3951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40788317" w14:textId="77777777" w:rsidR="009376B0" w:rsidRPr="005A44FF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6A49E7EA" w14:textId="77777777" w:rsidR="009376B0" w:rsidRPr="005A44FF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3052DEB1" w14:textId="24C14F14" w:rsidR="009376B0" w:rsidRPr="005A44FF" w:rsidRDefault="002C187F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monika.</w:t>
                            </w:r>
                            <w:r w:rsidR="009376B0" w:rsidRPr="005A44FF">
                              <w:rPr>
                                <w:rFonts w:cs="Arial"/>
                                <w:szCs w:val="18"/>
                              </w:rPr>
                              <w:t>petraskova@c</w:t>
                            </w:r>
                            <w:r w:rsidR="008B7A05">
                              <w:rPr>
                                <w:rFonts w:cs="Arial"/>
                                <w:szCs w:val="18"/>
                              </w:rPr>
                              <w:t>baonline</w:t>
                            </w:r>
                            <w:r w:rsidR="009376B0" w:rsidRPr="005A44FF">
                              <w:rPr>
                                <w:rFonts w:cs="Arial"/>
                                <w:szCs w:val="18"/>
                              </w:rPr>
                              <w:t>.cz</w:t>
                            </w:r>
                          </w:p>
                          <w:p w14:paraId="7635E83E" w14:textId="77777777" w:rsidR="009376B0" w:rsidRPr="005A44FF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D1B785B" w14:textId="77777777" w:rsidR="009376B0" w:rsidRDefault="009376B0" w:rsidP="009376B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63025" id="Obdélník 200" o:spid="_x0000_s1029" style="position:absolute;left:0;text-align:left;margin-left:337.65pt;margin-top:.05pt;width:177.75pt;height:141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COrwIAAMAFAAAOAAAAZHJzL2Uyb0RvYy54bWysVM1u2zAMvg/YOwi6r3bSpS2COkXWosOA&#10;og3WDj0rshQbkyVNUmJnb7TDnqIvNlKy3aUrdhjmg0xS5McfkTy/6BpFdsL52uiCTo5ySoTmpqz1&#10;pqBfHq7fnVHiA9MlU0aLgu6FpxeLt2/OWzsXU1MZVQpHAET7eWsLWoVg51nmeSUa5o+MFRoupXEN&#10;C8C6TVY61gJ6o7Jpnp9krXGldYYL70F6lS7pIuJLKXi4k9KLQFRBIbYQTxfPNZ7Z4pzNN47ZquZ9&#10;GOwfomhYrcHpCHXFAiNbV/8B1dTcGW9kOOKmyYyUNRcxB8hmkr/I5r5iVsRcoDjejmXy/w+W3+5W&#10;jtRlQaGalGjWwCPdrcunH0o//fxKUAo1aq2fg+q9Xbme80Biwp10Df4hFdLFuu7HuoouEA7C6XR2&#10;+n46o4TD3eQsn56ezBA1eza3zoePwjQEiYI6eLhYT7a78SGpDirozRtVl9e1UpFxm/WlcmTH4JEn&#10;x7PTkw/JVtmKJeksh6936ZN6dH+AozSiaYO4ySVKMsw9ZRupsFcC9ZT+LCRUDvOL7mLPijEQxrnQ&#10;YZKuKlaKVyLBLkeLGEsERGQJ/kfsHmDQTCADdoqy10dTEVt+NM7/FlgyHi2iZ6PDaNzU2rjXABRk&#10;1XtO+kORUmmwSqFbd7GrjlETJWtT7qHTnEkj6C2/ruGpb5gPK+Zg5qD7YI+EOzikMm1BTU9RUhn3&#10;/TU56sMowC0lLcxwQf23LXOCEvVJw5BM8jN8dhIOOHfArQ84vW0uDXYRbC3LIwn2LqiBlM40j7By&#10;lugZrpjm4L+gYSAvQ9ousLK4WC6jEoy6ZeFG31uO0FhpbOaH7pE523d8gGG5NcPEs/mLxk+6aKnN&#10;chuMrONUPFe2fwNYE7GZ+pWGe+h3Pmo9L97FLwAAAP//AwBQSwMEFAAGAAgAAAAhAB5xP7LfAAAA&#10;CQEAAA8AAABkcnMvZG93bnJldi54bWxMj1FLwzAUhd8F/0O4gi/iEre5ldp0qCD4IMLqHD7eNdem&#10;2CQlybru35s+6ePlO5z7nWIzmo4N5EPrrIS7mQBGtnaqtY2E3cfLbQYsRLQKO2dJwpkCbMrLiwJz&#10;5U52S0MVG5ZKbMhRgo6xzzkPtSaDYeZ6sol9O28wptM3XHk8pXLT8bkQK26wtemDxp6eNdU/1dFI&#10;aLPz+Pk2bPf6aaeX/ub9tcPqS8rrq/HxAVikMf6FYdJP6lAmp4M7WhVYJ2G1vl+k6ATYhMVCpCkH&#10;CfNsKYCXBf+/oPwFAAD//wMAUEsBAi0AFAAGAAgAAAAhALaDOJL+AAAA4QEAABMAAAAAAAAAAAAA&#10;AAAAAAAAAFtDb250ZW50X1R5cGVzXS54bWxQSwECLQAUAAYACAAAACEAOP0h/9YAAACUAQAACwAA&#10;AAAAAAAAAAAAAAAvAQAAX3JlbHMvLnJlbHNQSwECLQAUAAYACAAAACEArolgjq8CAADABQAADgAA&#10;AAAAAAAAAAAAAAAuAgAAZHJzL2Uyb0RvYy54bWxQSwECLQAUAAYACAAAACEAHnE/st8AAAAJAQAA&#10;DwAAAAAAAAAAAAAAAAAJBQAAZHJzL2Rvd25yZXYueG1sUEsFBgAAAAAEAAQA8wAAABUGAAAAAA==&#10;" fillcolor="#13576b" stroked="f" strokeweight="1pt">
                <v:fill opacity="32896f"/>
                <v:textbox inset="3mm,3mm,3mm,3mm">
                  <w:txbxContent>
                    <w:p w14:paraId="33D7A39D" w14:textId="77777777" w:rsidR="009376B0" w:rsidRPr="005A44FF" w:rsidRDefault="009376B0" w:rsidP="009376B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72AC99BF" w14:textId="77777777" w:rsidR="009376B0" w:rsidRPr="005A44FF" w:rsidRDefault="009376B0" w:rsidP="009376B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62931AD0" w14:textId="77777777" w:rsidR="009376B0" w:rsidRPr="003D3951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40788317" w14:textId="77777777" w:rsidR="009376B0" w:rsidRPr="005A44FF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6A49E7EA" w14:textId="77777777" w:rsidR="009376B0" w:rsidRPr="005A44FF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14:paraId="3052DEB1" w14:textId="24C14F14" w:rsidR="009376B0" w:rsidRPr="005A44FF" w:rsidRDefault="002C187F" w:rsidP="009376B0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monika.</w:t>
                      </w:r>
                      <w:r w:rsidR="009376B0" w:rsidRPr="005A44FF">
                        <w:rPr>
                          <w:rFonts w:cs="Arial"/>
                          <w:szCs w:val="18"/>
                        </w:rPr>
                        <w:t>petraskova@c</w:t>
                      </w:r>
                      <w:r w:rsidR="008B7A05">
                        <w:rPr>
                          <w:rFonts w:cs="Arial"/>
                          <w:szCs w:val="18"/>
                        </w:rPr>
                        <w:t>baonline</w:t>
                      </w:r>
                      <w:r w:rsidR="009376B0" w:rsidRPr="005A44FF">
                        <w:rPr>
                          <w:rFonts w:cs="Arial"/>
                          <w:szCs w:val="18"/>
                        </w:rPr>
                        <w:t>.cz</w:t>
                      </w:r>
                    </w:p>
                    <w:p w14:paraId="7635E83E" w14:textId="77777777" w:rsidR="009376B0" w:rsidRPr="005A44FF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D1B785B" w14:textId="77777777" w:rsidR="009376B0" w:rsidRDefault="009376B0" w:rsidP="009376B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5D4D" w:rsidRPr="007C30FC">
        <w:rPr>
          <w:rFonts w:eastAsiaTheme="minorEastAsia" w:cs="Arial"/>
        </w:rPr>
        <w:t xml:space="preserve"> </w:t>
      </w:r>
      <w:r w:rsidR="009376B0" w:rsidRPr="007C30FC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D68E12" wp14:editId="1C1511D2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4216400" cy="1803400"/>
                <wp:effectExtent l="0" t="0" r="0" b="635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80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55944" w14:textId="77777777" w:rsidR="009376B0" w:rsidRPr="005A44FF" w:rsidRDefault="009376B0" w:rsidP="009376B0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14:paraId="2EFE8BE7" w14:textId="77777777" w:rsidR="009376B0" w:rsidRPr="003D3951" w:rsidRDefault="009376B0" w:rsidP="009376B0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7649DCAE" w14:textId="48B09834" w:rsidR="009376B0" w:rsidRPr="003D3951" w:rsidRDefault="009376B0" w:rsidP="009376B0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2C187F">
                              <w:rPr>
                                <w:rFonts w:cs="Arial"/>
                                <w:szCs w:val="18"/>
                              </w:rPr>
                              <w:t>í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  <w:p w14:paraId="0AA3EF28" w14:textId="77777777" w:rsidR="009376B0" w:rsidRDefault="009376B0" w:rsidP="009376B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8E12" id="Obdélník 199" o:spid="_x0000_s1030" style="position:absolute;left:0;text-align:left;margin-left:0;margin-top:.05pt;width:332pt;height:14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QzrgIAAMIFAAAOAAAAZHJzL2Uyb0RvYy54bWysVMFu2zAMvQ/YPwi6r7azrmuDOkXQosOA&#10;ri3WDj0rshQbk0VNUmJnf7TDvqI/Nkqy3aUrdhh2sUWKfCSfSJ6e9a0iW2FdA7qkxUFOidAcqkav&#10;S/rl/vLNMSXOM10xBVqUdCccPVu8fnXambmYQQ2qEpYgiHbzzpS09t7Ms8zxWrTMHYARGi8l2JZ5&#10;FO06qyzrEL1V2SzPj7IObGUscOEcai/SJV1EfCkF9zdSOuGJKinm5uPXxu8qfLPFKZuvLTN1w4c0&#10;2D9k0bJGY9AJ6oJ5Rja2+QOqbbgFB9IfcGgzkLLhItaA1RT5s2ruamZErAXJcWaiyf0/WH69vbWk&#10;qfDtTk4o0azFR7pZVY8/lH78+ZUELXLUGTdH0ztzawfJ4TEU3Evbhj+WQvrI627iVfSecFQezoqj&#10;wxzp53hXHOdvg4A42ZO7sc5/ENCScCipxYeLfLLtlfPJdDQJ0RyoprpslIpCaBZxrizZMnzm1bqI&#10;rmrTfoIq6d6/y6eQsbeCeUxgD0npgKchIKegQZOF6lO98eR3SgQ7pT8LidxhhbMYcUJOQRnnQvuU&#10;jKtZJZI6pDKWP3nEXCJgQJYYf8IeAPaLHLFTloN9cBWx6Sfn/G+JJefJI0YG7SfnttFgXwJQWNUQ&#10;OdmPJCVqAku+X/Wxrw7H/llBtcNes5CG0Bl+2eBjXzHnb5nFqcMGwU3ib/AjFXQlheFESQ32+0v6&#10;YI/DgLeUdDjFJXXfNswKStRHjWNS5MeBbOL3JLsnrfYkvWnPAbuowL1leDyiv/VqPEoL7QMunWWI&#10;jFdMc4xfUj8ez33aL7i0uFguoxEOu2H+St8ZHqAD06Gd7/sHZs3Q8x7H5RrGmWfzZ62fbIOnhuXG&#10;g2ziXASuE7PDG+CiiM00LLWwiX6Xo9XT6l38AgAA//8DAFBLAwQUAAYACAAAACEAiTtfLtkAAAAF&#10;AQAADwAAAGRycy9kb3ducmV2LnhtbEyPwU7DMBBE70j8g7VI3KjT0EZRiFMhJC6coFQVx228JBHx&#10;OsRumv59tyc4zs5q5k25mV2vJhpD59nAcpGAIq697bgxsPt8fchBhYhssfdMBs4UYFPd3pRYWH/i&#10;D5q2sVESwqFAA22MQ6F1qFtyGBZ+IBbv248Oo8ix0XbEk4S7XqdJkmmHHUtDiwO9tFT/bI9OevPw&#10;/pvy9Pi23+H6C/Wgk7g25v5ufn4CFWmOf89wxRd0qITp4I9sg+oNyJB4vSrxsmwl8mAgzVdL0FWp&#10;/9NXFwAAAP//AwBQSwECLQAUAAYACAAAACEAtoM4kv4AAADhAQAAEwAAAAAAAAAAAAAAAAAAAAAA&#10;W0NvbnRlbnRfVHlwZXNdLnhtbFBLAQItABQABgAIAAAAIQA4/SH/1gAAAJQBAAALAAAAAAAAAAAA&#10;AAAAAC8BAABfcmVscy8ucmVsc1BLAQItABQABgAIAAAAIQCa4SQzrgIAAMIFAAAOAAAAAAAAAAAA&#10;AAAAAC4CAABkcnMvZTJvRG9jLnhtbFBLAQItABQABgAIAAAAIQCJO18u2QAAAAUBAAAPAAAAAAAA&#10;AAAAAAAAAAgFAABkcnMvZG93bnJldi54bWxQSwUGAAAAAAQABADzAAAADgYAAAAA&#10;" fillcolor="#bfbfbf [2412]" stroked="f" strokeweight="1pt">
                <v:textbox inset="3mm,3mm,3mm,3mm">
                  <w:txbxContent>
                    <w:p w14:paraId="75C55944" w14:textId="77777777" w:rsidR="009376B0" w:rsidRPr="005A44FF" w:rsidRDefault="009376B0" w:rsidP="009376B0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14:paraId="2EFE8BE7" w14:textId="77777777" w:rsidR="009376B0" w:rsidRPr="003D3951" w:rsidRDefault="009376B0" w:rsidP="009376B0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7649DCAE" w14:textId="48B09834" w:rsidR="009376B0" w:rsidRPr="003D3951" w:rsidRDefault="009376B0" w:rsidP="009376B0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3D3951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2C187F">
                        <w:rPr>
                          <w:rFonts w:cs="Arial"/>
                          <w:szCs w:val="18"/>
                        </w:rPr>
                        <w:t>í</w:t>
                      </w:r>
                      <w:r w:rsidRPr="003D3951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  <w:p w14:paraId="0AA3EF28" w14:textId="77777777" w:rsidR="009376B0" w:rsidRDefault="009376B0" w:rsidP="009376B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C1943" w:rsidRPr="007C30FC" w:rsidSect="00FB4A1C">
      <w:headerReference w:type="default" r:id="rId8"/>
      <w:footerReference w:type="default" r:id="rId9"/>
      <w:pgSz w:w="11906" w:h="16838"/>
      <w:pgMar w:top="2835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08C1" w14:textId="77777777" w:rsidR="00512F17" w:rsidRDefault="00512F17" w:rsidP="00F573F1">
      <w:r>
        <w:separator/>
      </w:r>
    </w:p>
  </w:endnote>
  <w:endnote w:type="continuationSeparator" w:id="0">
    <w:p w14:paraId="213D7E90" w14:textId="77777777" w:rsidR="00512F17" w:rsidRDefault="00512F17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-915778797"/>
      <w:docPartObj>
        <w:docPartGallery w:val="Page Numbers (Bottom of Page)"/>
        <w:docPartUnique/>
      </w:docPartObj>
    </w:sdtPr>
    <w:sdtEndPr/>
    <w:sdtContent>
      <w:p w14:paraId="4960C7CC" w14:textId="77777777" w:rsidR="00FB4A1C" w:rsidRPr="00FB4A1C" w:rsidRDefault="00FB4A1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Pr="00FB4A1C">
          <w:rPr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20DDA7D1" w14:textId="77777777" w:rsidR="00FB4A1C" w:rsidRPr="00FB4A1C" w:rsidRDefault="00FB4A1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D198" w14:textId="77777777" w:rsidR="00512F17" w:rsidRDefault="00512F17" w:rsidP="00F573F1">
      <w:r>
        <w:separator/>
      </w:r>
    </w:p>
  </w:footnote>
  <w:footnote w:type="continuationSeparator" w:id="0">
    <w:p w14:paraId="3B1447C5" w14:textId="77777777" w:rsidR="00512F17" w:rsidRDefault="00512F17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BFA8" w14:textId="77777777" w:rsidR="00F573F1" w:rsidRDefault="00F573F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815D76" wp14:editId="0EEB5F6C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07" name="Obrázek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A70D6" w14:textId="77777777" w:rsidR="00F573F1" w:rsidRDefault="00F573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69A"/>
    <w:multiLevelType w:val="hybridMultilevel"/>
    <w:tmpl w:val="F26A73D0"/>
    <w:lvl w:ilvl="0" w:tplc="5454A30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5BB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24CDE"/>
    <w:rsid w:val="000E5F40"/>
    <w:rsid w:val="00140537"/>
    <w:rsid w:val="001B325F"/>
    <w:rsid w:val="0020319E"/>
    <w:rsid w:val="00233094"/>
    <w:rsid w:val="0023329C"/>
    <w:rsid w:val="002938B4"/>
    <w:rsid w:val="002C187F"/>
    <w:rsid w:val="00327407"/>
    <w:rsid w:val="00391FA6"/>
    <w:rsid w:val="003952ED"/>
    <w:rsid w:val="003C2350"/>
    <w:rsid w:val="003D0662"/>
    <w:rsid w:val="004402E9"/>
    <w:rsid w:val="00475302"/>
    <w:rsid w:val="004A34F2"/>
    <w:rsid w:val="00512F17"/>
    <w:rsid w:val="00517111"/>
    <w:rsid w:val="00577FCF"/>
    <w:rsid w:val="005837CD"/>
    <w:rsid w:val="00584826"/>
    <w:rsid w:val="005A2501"/>
    <w:rsid w:val="005A44FF"/>
    <w:rsid w:val="005C1943"/>
    <w:rsid w:val="006331F8"/>
    <w:rsid w:val="006B2F86"/>
    <w:rsid w:val="00747A7F"/>
    <w:rsid w:val="007C30FC"/>
    <w:rsid w:val="007D4025"/>
    <w:rsid w:val="008B7A05"/>
    <w:rsid w:val="008D7AB8"/>
    <w:rsid w:val="009137EA"/>
    <w:rsid w:val="009376B0"/>
    <w:rsid w:val="00944B07"/>
    <w:rsid w:val="00944D10"/>
    <w:rsid w:val="009567BB"/>
    <w:rsid w:val="00977317"/>
    <w:rsid w:val="00A05AF4"/>
    <w:rsid w:val="00A26C2E"/>
    <w:rsid w:val="00A8750A"/>
    <w:rsid w:val="00A933FA"/>
    <w:rsid w:val="00B62A41"/>
    <w:rsid w:val="00B95673"/>
    <w:rsid w:val="00BB2C93"/>
    <w:rsid w:val="00BE5D4D"/>
    <w:rsid w:val="00C220E1"/>
    <w:rsid w:val="00C85FDD"/>
    <w:rsid w:val="00CA4B78"/>
    <w:rsid w:val="00D244A9"/>
    <w:rsid w:val="00D50107"/>
    <w:rsid w:val="00D97C19"/>
    <w:rsid w:val="00E27D57"/>
    <w:rsid w:val="00E3386F"/>
    <w:rsid w:val="00EC025B"/>
    <w:rsid w:val="00EC711A"/>
    <w:rsid w:val="00F573F1"/>
    <w:rsid w:val="00F83781"/>
    <w:rsid w:val="00F83DB8"/>
    <w:rsid w:val="00FA08F7"/>
    <w:rsid w:val="00FB4A1C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8BA5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27D57"/>
    <w:rPr>
      <w:color w:val="605E5C"/>
      <w:shd w:val="clear" w:color="auto" w:fill="E1DFDD"/>
    </w:rPr>
  </w:style>
  <w:style w:type="paragraph" w:customStyle="1" w:styleId="p1">
    <w:name w:val="p1"/>
    <w:basedOn w:val="Normln"/>
    <w:rsid w:val="005837C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2">
    <w:name w:val="p2"/>
    <w:basedOn w:val="Normln"/>
    <w:rsid w:val="005837C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Standardnpsmoodstavce"/>
    <w:rsid w:val="0058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AF25-8D53-46F9-8A18-986E221D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4</cp:revision>
  <dcterms:created xsi:type="dcterms:W3CDTF">2020-03-17T15:18:00Z</dcterms:created>
  <dcterms:modified xsi:type="dcterms:W3CDTF">2020-03-18T07:41:00Z</dcterms:modified>
</cp:coreProperties>
</file>