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E0" w:rsidRPr="00511FF2" w:rsidRDefault="004246E0" w:rsidP="00511FF2">
      <w:pPr>
        <w:spacing w:after="240"/>
        <w:rPr>
          <w:b/>
          <w:bCs/>
        </w:rPr>
      </w:pPr>
      <w:r w:rsidRPr="00511FF2">
        <w:rPr>
          <w:rFonts w:cs="Arial"/>
          <w:b/>
          <w:color w:val="007E79"/>
          <w:sz w:val="32"/>
          <w:szCs w:val="28"/>
        </w:rPr>
        <w:t>Vyjádření ČBA k mediální diskuzi o dostupnosti hypoték</w:t>
      </w:r>
      <w:r w:rsidR="00511FF2" w:rsidRPr="00511FF2">
        <w:rPr>
          <w:rFonts w:cs="Arial"/>
          <w:b/>
          <w:color w:val="007E79"/>
          <w:sz w:val="32"/>
          <w:szCs w:val="28"/>
        </w:rPr>
        <w:t xml:space="preserve"> </w:t>
      </w:r>
    </w:p>
    <w:p w:rsidR="00D332B1" w:rsidRDefault="00511FF2" w:rsidP="00050516">
      <w:pPr>
        <w:rPr>
          <w:rFonts w:cs="Arial"/>
          <w:b/>
          <w:color w:val="007E79"/>
          <w:szCs w:val="22"/>
        </w:rPr>
      </w:pPr>
      <w:r>
        <w:rPr>
          <w:rFonts w:cs="Arial"/>
          <w:b/>
          <w:color w:val="007E79"/>
          <w:szCs w:val="22"/>
        </w:rPr>
        <w:t xml:space="preserve">Autor: Pavel Štěpánek, výkonný ředitel České bankovní asociace </w:t>
      </w:r>
    </w:p>
    <w:p w:rsidR="00511FF2" w:rsidRDefault="00511FF2" w:rsidP="00050516"/>
    <w:p w:rsidR="00511FF2" w:rsidRDefault="00511FF2" w:rsidP="00511FF2">
      <w:pPr>
        <w:pStyle w:val="Nadpis3"/>
        <w:spacing w:before="0" w:after="120" w:line="300" w:lineRule="atLeast"/>
        <w:jc w:val="both"/>
        <w:rPr>
          <w:rFonts w:ascii="Arial" w:eastAsia="Times New Roman" w:hAnsi="Arial" w:cs="Times New Roman"/>
          <w:color w:val="auto"/>
          <w:sz w:val="20"/>
          <w:szCs w:val="16"/>
        </w:rPr>
      </w:pP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 xml:space="preserve">Banky jsou ve své obchodní politice vázány obezřetnostními přístupy, péčí řádného hospodáře a platnou regulací. V uplynulém období pokračoval rychlý růst poskytnutých hypotéčních úvěrů českým domácnostem a úrokové sazby se ocitly na rekordně nízkých úrovních, poblíž kterých se nadále drží. </w:t>
      </w:r>
    </w:p>
    <w:p w:rsidR="00511FF2" w:rsidRPr="00511FF2" w:rsidRDefault="00511FF2" w:rsidP="00511FF2">
      <w:pPr>
        <w:pStyle w:val="Nadpis3"/>
        <w:spacing w:before="0" w:after="120" w:line="300" w:lineRule="atLeast"/>
        <w:jc w:val="both"/>
        <w:rPr>
          <w:rFonts w:ascii="Arial" w:eastAsia="Times New Roman" w:hAnsi="Arial" w:cs="Times New Roman"/>
          <w:color w:val="auto"/>
          <w:sz w:val="20"/>
          <w:szCs w:val="16"/>
        </w:rPr>
      </w:pP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>Statistika úvěrů dokazuje, že banky dlouhodobě působí na podporu ekonomiky. Bylo to v době krize, kdy prokazatelně pomáhaly zmírňovat její průběh, a je tomu tak i od doby, kdy se ekonomika vrátila k růstu, kdy například objem úvěrů roste rychleji než HDP. Banky ale určitě chtějí udělat pro ekonomiku a své klienty více. Mají na to prostředky i vůli. Jen potřebujeme společně hledat způsoby, jak to udělat, aby se tady mohlo investovat více a peníze jen neležely na účtech u ČNB. Národní rozvojový fond je krásným příkladem</w:t>
      </w:r>
      <w:bookmarkStart w:id="0" w:name="_GoBack"/>
      <w:bookmarkEnd w:id="0"/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>, že to jde, přitom</w:t>
      </w:r>
      <w:r w:rsidR="00670355">
        <w:rPr>
          <w:rFonts w:ascii="Arial" w:eastAsia="Times New Roman" w:hAnsi="Arial" w:cs="Times New Roman"/>
          <w:color w:val="auto"/>
          <w:sz w:val="20"/>
          <w:szCs w:val="16"/>
        </w:rPr>
        <w:t xml:space="preserve"> je to</w:t>
      </w: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 xml:space="preserve"> jen začátek, na který lze dále navázat a spolupráci veřejného a soukromého sektoru ještě více rozvinout. Máme jasné </w:t>
      </w: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>představy,</w:t>
      </w: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 xml:space="preserve"> jak najít vhodné struktury projektů, jak financovat zdravotnictví, péči o seniory, dostupné bydlení a infrastrukturu. A již o nich diskutujeme na pracovní úrovni s vládními úředníky.</w:t>
      </w:r>
    </w:p>
    <w:p w:rsidR="00511FF2" w:rsidRPr="00511FF2" w:rsidRDefault="00511FF2" w:rsidP="00511FF2">
      <w:pPr>
        <w:pStyle w:val="Nadpis3"/>
        <w:spacing w:before="0" w:after="120" w:line="300" w:lineRule="atLeast"/>
        <w:jc w:val="both"/>
        <w:rPr>
          <w:rFonts w:ascii="Arial" w:eastAsia="Times New Roman" w:hAnsi="Arial" w:cs="Times New Roman"/>
          <w:color w:val="auto"/>
          <w:sz w:val="20"/>
          <w:szCs w:val="16"/>
        </w:rPr>
      </w:pPr>
      <w:r w:rsidRPr="00511FF2">
        <w:rPr>
          <w:rFonts w:ascii="Arial" w:eastAsia="Times New Roman" w:hAnsi="Arial" w:cs="Times New Roman"/>
          <w:color w:val="auto"/>
          <w:sz w:val="20"/>
          <w:szCs w:val="16"/>
        </w:rPr>
        <w:t>Příjmy z poplatků a provizí dlouhodobě klesají, většina bank nabízí účty zdarma a mnohým poplatkům se dá předejít prostřednictvím využívání digitálních služeb, jejichž rozvoj je absolutní prioritou bank, o čemž svědčí například nedávno podepsaná legislativa k projektu SONIA/BankID.</w:t>
      </w:r>
    </w:p>
    <w:p w:rsidR="00511FF2" w:rsidRDefault="00511FF2" w:rsidP="00050516"/>
    <w:p w:rsidR="00511FF2" w:rsidRDefault="00511FF2" w:rsidP="00050516"/>
    <w:sectPr w:rsidR="00511FF2" w:rsidSect="000A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7" w:bottom="2127" w:left="1417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C6" w:rsidRDefault="00A20FC6" w:rsidP="0037005C">
      <w:r>
        <w:separator/>
      </w:r>
    </w:p>
  </w:endnote>
  <w:endnote w:type="continuationSeparator" w:id="0">
    <w:p w:rsidR="00A20FC6" w:rsidRDefault="00A20FC6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C6" w:rsidRDefault="00A20FC6" w:rsidP="0037005C">
      <w:r>
        <w:separator/>
      </w:r>
    </w:p>
  </w:footnote>
  <w:footnote w:type="continuationSeparator" w:id="0">
    <w:p w:rsidR="00A20FC6" w:rsidRDefault="00A20FC6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7FBD" wp14:editId="02AD6EF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5496" cy="10715661"/>
          <wp:effectExtent l="0" t="0" r="698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10715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92127"/>
    <w:rsid w:val="00254BBB"/>
    <w:rsid w:val="0027715C"/>
    <w:rsid w:val="0027770E"/>
    <w:rsid w:val="0037005C"/>
    <w:rsid w:val="003758B3"/>
    <w:rsid w:val="003850E3"/>
    <w:rsid w:val="00391FA6"/>
    <w:rsid w:val="003952ED"/>
    <w:rsid w:val="0040407D"/>
    <w:rsid w:val="004246E0"/>
    <w:rsid w:val="00427D72"/>
    <w:rsid w:val="004B56E5"/>
    <w:rsid w:val="00511FF2"/>
    <w:rsid w:val="00517359"/>
    <w:rsid w:val="00523EAC"/>
    <w:rsid w:val="00524F3F"/>
    <w:rsid w:val="005C0A27"/>
    <w:rsid w:val="00621E4F"/>
    <w:rsid w:val="006242BB"/>
    <w:rsid w:val="006321EC"/>
    <w:rsid w:val="00642ADF"/>
    <w:rsid w:val="00670355"/>
    <w:rsid w:val="006B5D09"/>
    <w:rsid w:val="00767DB9"/>
    <w:rsid w:val="007B4C3C"/>
    <w:rsid w:val="008E202B"/>
    <w:rsid w:val="008E4183"/>
    <w:rsid w:val="008F77FE"/>
    <w:rsid w:val="0096372E"/>
    <w:rsid w:val="00981844"/>
    <w:rsid w:val="0098482C"/>
    <w:rsid w:val="00985239"/>
    <w:rsid w:val="009A7664"/>
    <w:rsid w:val="009D0778"/>
    <w:rsid w:val="009D2633"/>
    <w:rsid w:val="009D4478"/>
    <w:rsid w:val="009D568D"/>
    <w:rsid w:val="00A20FC6"/>
    <w:rsid w:val="00A42C2B"/>
    <w:rsid w:val="00AD2DB0"/>
    <w:rsid w:val="00B270FF"/>
    <w:rsid w:val="00B65469"/>
    <w:rsid w:val="00B66193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F3063"/>
    <w:rsid w:val="00EA0B4D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B5539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8</cp:revision>
  <dcterms:created xsi:type="dcterms:W3CDTF">2020-02-21T08:38:00Z</dcterms:created>
  <dcterms:modified xsi:type="dcterms:W3CDTF">2020-02-21T12:37:00Z</dcterms:modified>
</cp:coreProperties>
</file>