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CF4" w:rsidRDefault="00877706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  <w:r w:rsidRPr="00877706">
        <w:rPr>
          <w:rFonts w:cs="Arial"/>
          <w:b/>
          <w:color w:val="007E79"/>
          <w:sz w:val="28"/>
          <w:szCs w:val="28"/>
        </w:rPr>
        <w:t>Komentář České bankovní asociace k</w:t>
      </w:r>
      <w:r w:rsidR="0097559E">
        <w:rPr>
          <w:rFonts w:cs="Arial"/>
          <w:b/>
          <w:color w:val="007E79"/>
          <w:sz w:val="28"/>
          <w:szCs w:val="28"/>
        </w:rPr>
        <w:t> vývoji hypotečních úvěrů za rok 2019</w:t>
      </w:r>
    </w:p>
    <w:p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:rsidR="00D13EDA" w:rsidRPr="00877706" w:rsidRDefault="00877706" w:rsidP="002B4617">
      <w:pPr>
        <w:spacing w:after="120" w:line="276" w:lineRule="auto"/>
        <w:contextualSpacing/>
        <w:rPr>
          <w:rFonts w:cs="Arial"/>
          <w:sz w:val="22"/>
          <w:szCs w:val="22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Autor: </w:t>
      </w:r>
      <w:r w:rsidR="009968AC">
        <w:rPr>
          <w:rFonts w:cs="Arial"/>
          <w:b/>
          <w:color w:val="007E79"/>
          <w:sz w:val="22"/>
          <w:szCs w:val="22"/>
        </w:rPr>
        <w:t>Vladimír Staňura</w:t>
      </w:r>
      <w:r w:rsidRPr="00877706">
        <w:rPr>
          <w:rFonts w:cs="Arial"/>
          <w:b/>
          <w:color w:val="007E79"/>
          <w:sz w:val="22"/>
          <w:szCs w:val="22"/>
        </w:rPr>
        <w:t xml:space="preserve">, </w:t>
      </w:r>
      <w:r w:rsidR="009968AC">
        <w:rPr>
          <w:rFonts w:cs="Arial"/>
          <w:b/>
          <w:color w:val="007E79"/>
          <w:sz w:val="22"/>
          <w:szCs w:val="22"/>
        </w:rPr>
        <w:t xml:space="preserve">hlavní </w:t>
      </w:r>
      <w:r w:rsidRPr="00877706">
        <w:rPr>
          <w:rFonts w:cs="Arial"/>
          <w:b/>
          <w:color w:val="007E79"/>
          <w:sz w:val="22"/>
          <w:szCs w:val="22"/>
        </w:rPr>
        <w:t xml:space="preserve">poradce ČBA </w:t>
      </w:r>
    </w:p>
    <w:p w:rsidR="00877706" w:rsidRPr="00877706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Praha, </w:t>
      </w:r>
      <w:r w:rsidR="001D645F">
        <w:rPr>
          <w:rFonts w:cs="Arial"/>
          <w:b/>
          <w:color w:val="007E79"/>
          <w:sz w:val="22"/>
          <w:szCs w:val="22"/>
        </w:rPr>
        <w:t>1</w:t>
      </w:r>
      <w:r w:rsidR="0097559E">
        <w:rPr>
          <w:rFonts w:cs="Arial"/>
          <w:b/>
          <w:color w:val="007E79"/>
          <w:sz w:val="22"/>
          <w:szCs w:val="22"/>
        </w:rPr>
        <w:t>1</w:t>
      </w:r>
      <w:r w:rsidR="00AF3AD9">
        <w:rPr>
          <w:rFonts w:cs="Arial"/>
          <w:b/>
          <w:color w:val="007E79"/>
          <w:sz w:val="22"/>
          <w:szCs w:val="22"/>
        </w:rPr>
        <w:t>.</w:t>
      </w:r>
      <w:r w:rsidRPr="00877706">
        <w:rPr>
          <w:rFonts w:cs="Arial"/>
          <w:b/>
          <w:color w:val="007E79"/>
          <w:sz w:val="22"/>
          <w:szCs w:val="22"/>
        </w:rPr>
        <w:t xml:space="preserve"> </w:t>
      </w:r>
      <w:r w:rsidR="0097559E">
        <w:rPr>
          <w:rFonts w:cs="Arial"/>
          <w:b/>
          <w:color w:val="007E79"/>
          <w:sz w:val="22"/>
          <w:szCs w:val="22"/>
        </w:rPr>
        <w:t>února</w:t>
      </w:r>
      <w:r w:rsidRPr="00877706">
        <w:rPr>
          <w:rFonts w:cs="Arial"/>
          <w:b/>
          <w:color w:val="007E79"/>
          <w:sz w:val="22"/>
          <w:szCs w:val="22"/>
        </w:rPr>
        <w:t xml:space="preserve"> 20</w:t>
      </w:r>
      <w:r w:rsidR="0097559E">
        <w:rPr>
          <w:rFonts w:cs="Arial"/>
          <w:b/>
          <w:color w:val="007E79"/>
          <w:sz w:val="22"/>
          <w:szCs w:val="22"/>
        </w:rPr>
        <w:t>20</w:t>
      </w:r>
      <w:r w:rsidRPr="00877706">
        <w:rPr>
          <w:rFonts w:cs="Arial"/>
          <w:b/>
          <w:color w:val="007E79"/>
          <w:sz w:val="22"/>
          <w:szCs w:val="22"/>
        </w:rPr>
        <w:t xml:space="preserve"> </w:t>
      </w:r>
    </w:p>
    <w:p w:rsidR="00D13EDA" w:rsidRPr="00E27F2F" w:rsidRDefault="00D13EDA" w:rsidP="002B4617">
      <w:pPr>
        <w:spacing w:after="120" w:line="276" w:lineRule="auto"/>
        <w:contextualSpacing/>
        <w:rPr>
          <w:rFonts w:cs="Arial"/>
          <w:szCs w:val="18"/>
        </w:rPr>
      </w:pPr>
    </w:p>
    <w:p w:rsidR="0097559E" w:rsidRPr="0097559E" w:rsidRDefault="0097559E" w:rsidP="0097559E">
      <w:pPr>
        <w:rPr>
          <w:sz w:val="20"/>
        </w:rPr>
      </w:pPr>
      <w:r w:rsidRPr="0097559E">
        <w:rPr>
          <w:sz w:val="20"/>
        </w:rPr>
        <w:t xml:space="preserve">Rok 2019 by se dal označit jednoduše: žně jsou pryč. Objemy hypotečních úvěrů v loňském roce klesly podle statistik </w:t>
      </w:r>
      <w:r w:rsidR="00B472F3">
        <w:rPr>
          <w:sz w:val="20"/>
        </w:rPr>
        <w:t>Ministerstva pro místní rozvoj</w:t>
      </w:r>
      <w:r w:rsidRPr="0097559E">
        <w:rPr>
          <w:sz w:val="20"/>
        </w:rPr>
        <w:t xml:space="preserve"> z 211 mld. Kč na 176 mld., což je propad o 17 %. V počtech byl propad ještě strmější. A to z 97 tis. ks na 75,5 tis., tj. propad o 22 %. Průměrná úroková sazba přitom spadla ze 3 % </w:t>
      </w:r>
      <w:proofErr w:type="spellStart"/>
      <w:r w:rsidRPr="0097559E">
        <w:rPr>
          <w:sz w:val="20"/>
        </w:rPr>
        <w:t>p.a</w:t>
      </w:r>
      <w:proofErr w:type="spellEnd"/>
      <w:r w:rsidRPr="0097559E">
        <w:rPr>
          <w:sz w:val="20"/>
        </w:rPr>
        <w:t>. ze začátku r. 2019 až na 2,34 % v prosinci 2019.</w:t>
      </w:r>
    </w:p>
    <w:p w:rsidR="0097559E" w:rsidRPr="0097559E" w:rsidRDefault="0097559E" w:rsidP="0097559E">
      <w:pPr>
        <w:rPr>
          <w:sz w:val="20"/>
        </w:rPr>
      </w:pPr>
    </w:p>
    <w:p w:rsidR="0097559E" w:rsidRPr="0097559E" w:rsidRDefault="0097559E" w:rsidP="0097559E">
      <w:pPr>
        <w:rPr>
          <w:sz w:val="20"/>
        </w:rPr>
      </w:pPr>
      <w:r w:rsidRPr="0097559E">
        <w:rPr>
          <w:sz w:val="20"/>
        </w:rPr>
        <w:t xml:space="preserve">Při stálém poklesu úrokových sazeb během celého roku by zájem o hypotéky měl stoupat. Opak byl </w:t>
      </w:r>
      <w:r w:rsidR="00070D36">
        <w:rPr>
          <w:sz w:val="20"/>
        </w:rPr>
        <w:t xml:space="preserve">ale </w:t>
      </w:r>
      <w:r w:rsidRPr="0097559E">
        <w:rPr>
          <w:sz w:val="20"/>
        </w:rPr>
        <w:t>pravdou. Proti působila regulace ČNB, která koncem r. 2018 výrazně zpřísnila podmínky pro získání hypotéky. Ukazuje se, že zejména podmínka složení 20 % v hotovosti je největší brzdou pro žadatele o hypotéku. Vedle regulace ČNB zájem o hypotéky brzdily</w:t>
      </w:r>
      <w:r w:rsidR="00300FB9">
        <w:rPr>
          <w:sz w:val="20"/>
        </w:rPr>
        <w:t xml:space="preserve"> také</w:t>
      </w:r>
      <w:r w:rsidRPr="0097559E">
        <w:rPr>
          <w:sz w:val="20"/>
        </w:rPr>
        <w:t xml:space="preserve"> rostoucí ceny nemovitostí. Ty rostly meziročně o cca 6 %. </w:t>
      </w:r>
    </w:p>
    <w:p w:rsidR="0097559E" w:rsidRPr="0097559E" w:rsidRDefault="0097559E" w:rsidP="0097559E">
      <w:pPr>
        <w:rPr>
          <w:sz w:val="20"/>
        </w:rPr>
      </w:pPr>
    </w:p>
    <w:p w:rsidR="0097559E" w:rsidRPr="0097559E" w:rsidRDefault="0097559E" w:rsidP="0097559E">
      <w:pPr>
        <w:rPr>
          <w:sz w:val="20"/>
        </w:rPr>
      </w:pPr>
      <w:r w:rsidRPr="0097559E">
        <w:rPr>
          <w:sz w:val="20"/>
        </w:rPr>
        <w:t xml:space="preserve">Je zajímavé, že přestože bydlení v Praze je v mnoha případech cenově nedostupné, v r. 2019 </w:t>
      </w:r>
      <w:r w:rsidR="009947DB" w:rsidRPr="0097559E">
        <w:rPr>
          <w:sz w:val="20"/>
        </w:rPr>
        <w:t xml:space="preserve">bylo </w:t>
      </w:r>
      <w:r w:rsidRPr="0097559E">
        <w:rPr>
          <w:sz w:val="20"/>
        </w:rPr>
        <w:t>prodáno v Praze 22 % hypoték v kusech a 30 % v objemu (100 % = celá ČR). Praha tak tlačí celorepublikové průměrné ceny nemovitostí výrazně nahoru.</w:t>
      </w:r>
      <w:bookmarkStart w:id="0" w:name="_GoBack"/>
      <w:bookmarkEnd w:id="0"/>
    </w:p>
    <w:p w:rsidR="0097559E" w:rsidRPr="0097559E" w:rsidRDefault="0097559E" w:rsidP="0097559E">
      <w:pPr>
        <w:rPr>
          <w:sz w:val="20"/>
        </w:rPr>
      </w:pPr>
    </w:p>
    <w:p w:rsidR="0097559E" w:rsidRPr="0097559E" w:rsidRDefault="0097559E" w:rsidP="0097559E">
      <w:pPr>
        <w:rPr>
          <w:sz w:val="20"/>
        </w:rPr>
      </w:pPr>
      <w:r w:rsidRPr="0097559E">
        <w:rPr>
          <w:sz w:val="20"/>
        </w:rPr>
        <w:t>Letošní obchody v hypotékách by se měly „</w:t>
      </w:r>
      <w:proofErr w:type="spellStart"/>
      <w:r w:rsidRPr="0097559E">
        <w:rPr>
          <w:sz w:val="20"/>
        </w:rPr>
        <w:t>zastabilizovat</w:t>
      </w:r>
      <w:proofErr w:type="spellEnd"/>
      <w:r w:rsidRPr="0097559E">
        <w:rPr>
          <w:sz w:val="20"/>
        </w:rPr>
        <w:t>“ s tendencí k mírnému růstu v kusech a objemech. Totéž lze říci i o úrokových sazbách hypotečních úvěrů. I ty budou mít tendenci mírného růstu.</w:t>
      </w:r>
    </w:p>
    <w:p w:rsidR="001D645F" w:rsidRPr="001D645F" w:rsidRDefault="001D645F" w:rsidP="0097559E">
      <w:pPr>
        <w:rPr>
          <w:sz w:val="20"/>
        </w:rPr>
      </w:pPr>
    </w:p>
    <w:p w:rsidR="001D645F" w:rsidRPr="00AF3AD9" w:rsidRDefault="001D645F" w:rsidP="001D645F">
      <w:pPr>
        <w:rPr>
          <w:sz w:val="20"/>
        </w:rPr>
      </w:pPr>
    </w:p>
    <w:p w:rsidR="00E8148D" w:rsidRDefault="00E8148D" w:rsidP="004371EE">
      <w:pPr>
        <w:spacing w:line="276" w:lineRule="auto"/>
        <w:rPr>
          <w:sz w:val="20"/>
          <w:szCs w:val="22"/>
        </w:rPr>
      </w:pPr>
    </w:p>
    <w:p w:rsidR="00962CB7" w:rsidRDefault="00962CB7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9968AC" w:rsidRPr="00E27F2F" w:rsidRDefault="009968AC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226F32" w:rsidRDefault="00226F32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226F32" w:rsidRDefault="00226F32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BA1F8A" w:rsidRPr="00E27F2F" w:rsidRDefault="00873451" w:rsidP="00962CB7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81915</wp:posOffset>
                </wp:positionV>
                <wp:extent cx="6574790" cy="169926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69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</w:p>
                          <w:p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Vladimír Staňura je hlavním poradcem České bankovní asociace. Absolvoval Vysokou školu ekonomickou v Praze a na Rotterdam </w:t>
                            </w:r>
                            <w:proofErr w:type="spellStart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School</w:t>
                            </w:r>
                            <w:proofErr w:type="spellEnd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Management získal titul MBA. Působil v řadě rolí v domácím i zahraničním bankovnictví. Pro skupinu ČSOB pracoval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více než 35 let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:rsidR="006A7BEA" w:rsidRP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left:0;text-align:left;margin-left:.05pt;margin-top:6.45pt;width:517.7pt;height:133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" fillcolor="#bfbfbf [2412]" stroked="f" strokeweight="1pt">
                <v:textbox inset="3mm,3mm,3mm,3mm">
                  <w:txbxContent>
                    <w:p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</w:p>
                    <w:p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Vladimír Staňura je hlavním poradcem České bankovní asociace. Absolvoval Vysokou školu ekonomickou v Praze a na Rotterdam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School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Management získal titul MBA. Působil v řadě rolí v domácím i zahraničním bankovnictví. Pro skupinu ČSOB pracoval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více než 35 let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:rsidR="006A7BEA" w:rsidRP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62CB7" w:rsidRPr="00E27F2F">
        <w:rPr>
          <w:rFonts w:cs="Arial"/>
          <w:sz w:val="16"/>
          <w:szCs w:val="16"/>
        </w:rPr>
        <w:tab/>
      </w:r>
    </w:p>
    <w:p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D77C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4396105</wp:posOffset>
                </wp:positionH>
                <wp:positionV relativeFrom="paragraph">
                  <wp:posOffset>10160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petraskova@czech-ba.cz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0" o:spid="_x0000_s1027" style="position:absolute;left:0;text-align:left;margin-left:346.15pt;margin-top:.8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" fillcolor="#007e79" stroked="f" strokeweight="1pt">
                <v:fill opacity="56283f"/>
                <v:textbox inset="3mm,3mm,3mm,3mm">
                  <w:txbxContent>
                    <w:p w14:paraId="2DB84D82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12822FDF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277347F8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0C9CB34A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7296C837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1D8BD7E0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petraskova@czech-ba.cz</w:t>
                      </w:r>
                    </w:p>
                    <w:p w14:paraId="18E56373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3324F9A9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99" o:spid="_x0000_s1028" style="position:absolute;left:0;text-align:left;margin-left:0;margin-top:.8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" fillcolor="#bfbfbf [2412]" stroked="f" strokeweight="1pt">
                <v:textbox inset="3mm,3mm,3mm,3mm">
                  <w:txbxContent>
                    <w:p w14:paraId="5C877497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5390A763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8"/>
      <w:footerReference w:type="default" r:id="rId9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BDA" w:rsidRDefault="00444BDA" w:rsidP="00F573F1">
      <w:r>
        <w:separator/>
      </w:r>
    </w:p>
  </w:endnote>
  <w:endnote w:type="continuationSeparator" w:id="0">
    <w:p w:rsidR="00444BDA" w:rsidRDefault="00444BDA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BDA" w:rsidRDefault="00444BDA" w:rsidP="00F573F1">
      <w:r>
        <w:separator/>
      </w:r>
    </w:p>
  </w:footnote>
  <w:footnote w:type="continuationSeparator" w:id="0">
    <w:p w:rsidR="00444BDA" w:rsidRDefault="00444BDA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13CC"/>
    <w:rsid w:val="00023E9F"/>
    <w:rsid w:val="00037707"/>
    <w:rsid w:val="00043889"/>
    <w:rsid w:val="00044002"/>
    <w:rsid w:val="000444EA"/>
    <w:rsid w:val="00051A5B"/>
    <w:rsid w:val="000559DE"/>
    <w:rsid w:val="00056A4F"/>
    <w:rsid w:val="00057396"/>
    <w:rsid w:val="00060D7F"/>
    <w:rsid w:val="00070D36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F70CA"/>
    <w:rsid w:val="0010268F"/>
    <w:rsid w:val="0010277A"/>
    <w:rsid w:val="001126B2"/>
    <w:rsid w:val="0011443F"/>
    <w:rsid w:val="00116F4B"/>
    <w:rsid w:val="00123FF9"/>
    <w:rsid w:val="00131E94"/>
    <w:rsid w:val="00144D53"/>
    <w:rsid w:val="00146F46"/>
    <w:rsid w:val="0015125A"/>
    <w:rsid w:val="0015295E"/>
    <w:rsid w:val="001622C2"/>
    <w:rsid w:val="00165DDC"/>
    <w:rsid w:val="0017441E"/>
    <w:rsid w:val="00175A85"/>
    <w:rsid w:val="00176C20"/>
    <w:rsid w:val="00195C6D"/>
    <w:rsid w:val="001A2623"/>
    <w:rsid w:val="001A46CC"/>
    <w:rsid w:val="001A6304"/>
    <w:rsid w:val="001C091C"/>
    <w:rsid w:val="001C2261"/>
    <w:rsid w:val="001C6945"/>
    <w:rsid w:val="001C7F88"/>
    <w:rsid w:val="001D5BB9"/>
    <w:rsid w:val="001D645F"/>
    <w:rsid w:val="001E15FD"/>
    <w:rsid w:val="001E27B8"/>
    <w:rsid w:val="001E6F5D"/>
    <w:rsid w:val="001F3DF4"/>
    <w:rsid w:val="001F5CF7"/>
    <w:rsid w:val="002045A5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0FB9"/>
    <w:rsid w:val="003028DC"/>
    <w:rsid w:val="00315F32"/>
    <w:rsid w:val="00324743"/>
    <w:rsid w:val="00327407"/>
    <w:rsid w:val="00335341"/>
    <w:rsid w:val="00341D86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6918"/>
    <w:rsid w:val="00376F07"/>
    <w:rsid w:val="00380788"/>
    <w:rsid w:val="003847A3"/>
    <w:rsid w:val="00391C4B"/>
    <w:rsid w:val="00391FA6"/>
    <w:rsid w:val="003952ED"/>
    <w:rsid w:val="00396F9D"/>
    <w:rsid w:val="00397430"/>
    <w:rsid w:val="003A5636"/>
    <w:rsid w:val="003A623D"/>
    <w:rsid w:val="003B0433"/>
    <w:rsid w:val="003B04C1"/>
    <w:rsid w:val="003B2C84"/>
    <w:rsid w:val="003B4F01"/>
    <w:rsid w:val="003B5E6F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71EE"/>
    <w:rsid w:val="00437589"/>
    <w:rsid w:val="00444BDA"/>
    <w:rsid w:val="00445609"/>
    <w:rsid w:val="004476C2"/>
    <w:rsid w:val="00451368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C1943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73A6"/>
    <w:rsid w:val="00600D9B"/>
    <w:rsid w:val="00601C42"/>
    <w:rsid w:val="0060308F"/>
    <w:rsid w:val="0060552B"/>
    <w:rsid w:val="00606E04"/>
    <w:rsid w:val="00611C5C"/>
    <w:rsid w:val="006131E9"/>
    <w:rsid w:val="0061392C"/>
    <w:rsid w:val="0062336F"/>
    <w:rsid w:val="0063314F"/>
    <w:rsid w:val="006445A3"/>
    <w:rsid w:val="00650724"/>
    <w:rsid w:val="0065124E"/>
    <w:rsid w:val="006513A0"/>
    <w:rsid w:val="00654F37"/>
    <w:rsid w:val="00661C43"/>
    <w:rsid w:val="00662C23"/>
    <w:rsid w:val="00676326"/>
    <w:rsid w:val="006777C7"/>
    <w:rsid w:val="006812D9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DC5"/>
    <w:rsid w:val="006E3420"/>
    <w:rsid w:val="006E3FA9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B44C3"/>
    <w:rsid w:val="008C1507"/>
    <w:rsid w:val="008C5671"/>
    <w:rsid w:val="008E2336"/>
    <w:rsid w:val="008F047E"/>
    <w:rsid w:val="008F2959"/>
    <w:rsid w:val="008F399F"/>
    <w:rsid w:val="009038F9"/>
    <w:rsid w:val="00905AAB"/>
    <w:rsid w:val="009139AF"/>
    <w:rsid w:val="009234FD"/>
    <w:rsid w:val="00924258"/>
    <w:rsid w:val="00924973"/>
    <w:rsid w:val="00931E42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439"/>
    <w:rsid w:val="0097559E"/>
    <w:rsid w:val="00977317"/>
    <w:rsid w:val="00980C11"/>
    <w:rsid w:val="0098257D"/>
    <w:rsid w:val="00987232"/>
    <w:rsid w:val="00991B95"/>
    <w:rsid w:val="00992840"/>
    <w:rsid w:val="009947DB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B25"/>
    <w:rsid w:val="00A569E0"/>
    <w:rsid w:val="00A60546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6C46"/>
    <w:rsid w:val="00AD20AF"/>
    <w:rsid w:val="00AD3BBF"/>
    <w:rsid w:val="00AE2387"/>
    <w:rsid w:val="00AE6E19"/>
    <w:rsid w:val="00AF09A0"/>
    <w:rsid w:val="00AF18CA"/>
    <w:rsid w:val="00AF3AD9"/>
    <w:rsid w:val="00AF58F3"/>
    <w:rsid w:val="00B05777"/>
    <w:rsid w:val="00B15438"/>
    <w:rsid w:val="00B2310C"/>
    <w:rsid w:val="00B24E54"/>
    <w:rsid w:val="00B27646"/>
    <w:rsid w:val="00B44EAC"/>
    <w:rsid w:val="00B472F3"/>
    <w:rsid w:val="00B506AC"/>
    <w:rsid w:val="00B50E2C"/>
    <w:rsid w:val="00B54F8C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5F81"/>
    <w:rsid w:val="00C04F50"/>
    <w:rsid w:val="00C05E06"/>
    <w:rsid w:val="00C12AFA"/>
    <w:rsid w:val="00C17244"/>
    <w:rsid w:val="00C2020E"/>
    <w:rsid w:val="00C21CA1"/>
    <w:rsid w:val="00C34567"/>
    <w:rsid w:val="00C3654D"/>
    <w:rsid w:val="00C44924"/>
    <w:rsid w:val="00C461EB"/>
    <w:rsid w:val="00C520D7"/>
    <w:rsid w:val="00C57869"/>
    <w:rsid w:val="00C627A3"/>
    <w:rsid w:val="00C64C2F"/>
    <w:rsid w:val="00C6528A"/>
    <w:rsid w:val="00C7375A"/>
    <w:rsid w:val="00C74048"/>
    <w:rsid w:val="00C74654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70D3"/>
    <w:rsid w:val="00D67470"/>
    <w:rsid w:val="00D67FC9"/>
    <w:rsid w:val="00D775D2"/>
    <w:rsid w:val="00D8118D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F431A"/>
    <w:rsid w:val="00DF6D21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09A7"/>
    <w:rsid w:val="00F1303C"/>
    <w:rsid w:val="00F15E8D"/>
    <w:rsid w:val="00F175AF"/>
    <w:rsid w:val="00F247BC"/>
    <w:rsid w:val="00F2719D"/>
    <w:rsid w:val="00F313E8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02B"/>
    <w:rsid w:val="00F9267B"/>
    <w:rsid w:val="00F94AE5"/>
    <w:rsid w:val="00F970A7"/>
    <w:rsid w:val="00F9738D"/>
    <w:rsid w:val="00FA2228"/>
    <w:rsid w:val="00FA59C6"/>
    <w:rsid w:val="00FB4A1C"/>
    <w:rsid w:val="00FB60CC"/>
    <w:rsid w:val="00FB60F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AF3D82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2B250-747B-4ADC-BEF0-5A0E9828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30</cp:revision>
  <cp:lastPrinted>2019-08-27T11:23:00Z</cp:lastPrinted>
  <dcterms:created xsi:type="dcterms:W3CDTF">2019-09-13T09:56:00Z</dcterms:created>
  <dcterms:modified xsi:type="dcterms:W3CDTF">2020-02-11T14:46:00Z</dcterms:modified>
</cp:coreProperties>
</file>