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548" w:rsidRDefault="00E67A6C" w:rsidP="00C9674F">
      <w:pPr>
        <w:rPr>
          <w:b/>
          <w:color w:val="007E79"/>
          <w:sz w:val="32"/>
          <w:szCs w:val="32"/>
        </w:rPr>
      </w:pPr>
      <w:r>
        <w:rPr>
          <w:b/>
          <w:color w:val="007E79"/>
          <w:sz w:val="32"/>
          <w:szCs w:val="32"/>
        </w:rPr>
        <w:t>MAKROEKONOMICKÁ PROGNÓZA ČESKÉ BANKOVNÍ ASOCIACE</w:t>
      </w:r>
      <w:r>
        <w:rPr>
          <w:noProof/>
        </w:rPr>
        <mc:AlternateContent>
          <mc:Choice Requires="wps">
            <w:drawing>
              <wp:anchor distT="45720" distB="45720" distL="114300" distR="114300" simplePos="0" relativeHeight="251658240" behindDoc="0" locked="0" layoutInCell="1" hidden="0" allowOverlap="1">
                <wp:simplePos x="0" y="0"/>
                <wp:positionH relativeFrom="column">
                  <wp:posOffset>5181600</wp:posOffset>
                </wp:positionH>
                <wp:positionV relativeFrom="paragraph">
                  <wp:posOffset>-944243</wp:posOffset>
                </wp:positionV>
                <wp:extent cx="1239520" cy="1404620"/>
                <wp:effectExtent l="0" t="0" r="0" b="0"/>
                <wp:wrapNone/>
                <wp:docPr id="4"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1404620"/>
                        </a:xfrm>
                        <a:prstGeom prst="rect">
                          <a:avLst/>
                        </a:prstGeom>
                        <a:noFill/>
                        <a:ln w="9525">
                          <a:noFill/>
                          <a:miter lim="800000"/>
                          <a:headEnd/>
                          <a:tailEnd/>
                        </a:ln>
                      </wps:spPr>
                      <wps:txbx>
                        <w:txbxContent>
                          <w:p w:rsidR="008244B0" w:rsidRDefault="00E67A6C" w:rsidP="00517111">
                            <w:pPr>
                              <w:spacing w:line="276" w:lineRule="auto"/>
                              <w:jc w:val="right"/>
                              <w:rPr>
                                <w:b/>
                                <w:color w:val="13576B"/>
                              </w:rPr>
                            </w:pPr>
                            <w:r w:rsidRPr="00517111">
                              <w:rPr>
                                <w:b/>
                                <w:color w:val="13576B"/>
                              </w:rPr>
                              <w:t>TISKOVÁ ZPRÁVA</w:t>
                            </w:r>
                            <w:r>
                              <w:rPr>
                                <w:b/>
                                <w:color w:val="13576B"/>
                              </w:rPr>
                              <w:t xml:space="preserve"> </w:t>
                            </w:r>
                          </w:p>
                          <w:p w:rsidR="008244B0" w:rsidRPr="00517111" w:rsidRDefault="00E67A6C" w:rsidP="00517111">
                            <w:pPr>
                              <w:spacing w:line="276" w:lineRule="auto"/>
                              <w:jc w:val="right"/>
                              <w:rPr>
                                <w:b/>
                                <w:color w:val="13576B"/>
                              </w:rPr>
                            </w:pPr>
                            <w:r>
                              <w:rPr>
                                <w:color w:val="BFBFBF" w:themeColor="background1" w:themeShade="BF"/>
                              </w:rPr>
                              <w:t>23</w:t>
                            </w:r>
                            <w:r w:rsidRPr="00517111">
                              <w:rPr>
                                <w:color w:val="BFBFBF" w:themeColor="background1" w:themeShade="BF"/>
                              </w:rPr>
                              <w:t xml:space="preserve">. </w:t>
                            </w:r>
                            <w:r>
                              <w:rPr>
                                <w:color w:val="BFBFBF" w:themeColor="background1" w:themeShade="BF"/>
                              </w:rPr>
                              <w:t>1</w:t>
                            </w:r>
                            <w:r w:rsidRPr="00517111">
                              <w:rPr>
                                <w:color w:val="BFBFBF" w:themeColor="background1" w:themeShade="BF"/>
                              </w:rPr>
                              <w:t>. 20</w:t>
                            </w:r>
                            <w:r>
                              <w:rPr>
                                <w:color w:val="BFBFBF" w:themeColor="background1" w:themeShade="BF"/>
                              </w:rPr>
                              <w:t>20</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408pt;margin-top:-74.35pt;width:97.6pt;height:110.6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" filled="f" stroked="f">
                <v:textbox style="mso-fit-shape-to-text:t">
                  <w:txbxContent>
                    <w:p w:rsidR="008244B0" w:rsidRDefault="00E67A6C" w:rsidP="00517111">
                      <w:pPr>
                        <w:spacing w:line="276" w:lineRule="auto"/>
                        <w:jc w:val="right"/>
                        <w:rPr>
                          <w:b/>
                          <w:color w:val="13576B"/>
                        </w:rPr>
                      </w:pPr>
                      <w:r w:rsidRPr="00517111">
                        <w:rPr>
                          <w:b/>
                          <w:color w:val="13576B"/>
                        </w:rPr>
                        <w:t>TISKOVÁ ZPRÁVA</w:t>
                      </w:r>
                      <w:r>
                        <w:rPr>
                          <w:b/>
                          <w:color w:val="13576B"/>
                        </w:rPr>
                        <w:t xml:space="preserve"> </w:t>
                      </w:r>
                    </w:p>
                    <w:p w:rsidR="008244B0" w:rsidRPr="00517111" w:rsidRDefault="00E67A6C" w:rsidP="00517111">
                      <w:pPr>
                        <w:spacing w:line="276" w:lineRule="auto"/>
                        <w:jc w:val="right"/>
                        <w:rPr>
                          <w:b/>
                          <w:color w:val="13576B"/>
                        </w:rPr>
                      </w:pPr>
                      <w:r>
                        <w:rPr>
                          <w:color w:val="BFBFBF" w:themeColor="background1" w:themeShade="BF"/>
                        </w:rPr>
                        <w:t>23</w:t>
                      </w:r>
                      <w:r w:rsidRPr="00517111">
                        <w:rPr>
                          <w:color w:val="BFBFBF" w:themeColor="background1" w:themeShade="BF"/>
                        </w:rPr>
                        <w:t xml:space="preserve">. </w:t>
                      </w:r>
                      <w:r>
                        <w:rPr>
                          <w:color w:val="BFBFBF" w:themeColor="background1" w:themeShade="BF"/>
                        </w:rPr>
                        <w:t>1</w:t>
                      </w:r>
                      <w:r w:rsidRPr="00517111">
                        <w:rPr>
                          <w:color w:val="BFBFBF" w:themeColor="background1" w:themeShade="BF"/>
                        </w:rPr>
                        <w:t>. 20</w:t>
                      </w:r>
                      <w:r>
                        <w:rPr>
                          <w:color w:val="BFBFBF" w:themeColor="background1" w:themeShade="BF"/>
                        </w:rPr>
                        <w:t>20</w:t>
                      </w:r>
                    </w:p>
                  </w:txbxContent>
                </v:textbox>
              </v:shape>
            </w:pict>
          </mc:Fallback>
        </mc:AlternateContent>
      </w:r>
    </w:p>
    <w:p w:rsidR="00F57548" w:rsidRDefault="00F57548" w:rsidP="00C9674F">
      <w:pPr>
        <w:rPr>
          <w:b/>
          <w:color w:val="008080"/>
          <w:sz w:val="22"/>
          <w:szCs w:val="22"/>
        </w:rPr>
      </w:pPr>
    </w:p>
    <w:p w:rsidR="00E4167F" w:rsidRDefault="00E4167F" w:rsidP="00C9674F">
      <w:r>
        <w:rPr>
          <w:b/>
          <w:color w:val="008080"/>
          <w:sz w:val="22"/>
          <w:szCs w:val="22"/>
        </w:rPr>
        <w:t xml:space="preserve">Česká ekonomika zpomaluje, odraz ode dna ji </w:t>
      </w:r>
      <w:r w:rsidR="00EF4427">
        <w:rPr>
          <w:b/>
          <w:color w:val="008080"/>
          <w:sz w:val="22"/>
          <w:szCs w:val="22"/>
        </w:rPr>
        <w:t xml:space="preserve">podle bank </w:t>
      </w:r>
      <w:r>
        <w:rPr>
          <w:b/>
          <w:color w:val="008080"/>
          <w:sz w:val="22"/>
          <w:szCs w:val="22"/>
        </w:rPr>
        <w:t xml:space="preserve">čeká v roce 2021 </w:t>
      </w:r>
    </w:p>
    <w:p w:rsidR="00E4167F" w:rsidRDefault="00E4167F" w:rsidP="00C9674F">
      <w:pPr>
        <w:rPr>
          <w:b/>
          <w:color w:val="008080"/>
          <w:sz w:val="22"/>
          <w:szCs w:val="22"/>
        </w:rPr>
      </w:pPr>
    </w:p>
    <w:p w:rsidR="00F57548" w:rsidRDefault="00E67A6C" w:rsidP="00C9674F">
      <w:pPr>
        <w:rPr>
          <w:b/>
          <w:color w:val="007E79"/>
        </w:rPr>
      </w:pPr>
      <w:r>
        <w:rPr>
          <w:b/>
          <w:color w:val="007E79"/>
        </w:rPr>
        <w:t xml:space="preserve">Praha, 23. ledna 2020 – </w:t>
      </w:r>
      <w:r w:rsidR="00E4167F" w:rsidRPr="00E4167F">
        <w:rPr>
          <w:b/>
          <w:color w:val="007E79"/>
        </w:rPr>
        <w:t xml:space="preserve">Záplava protichůdných ekonomicko-politických signálů z domova i zahraničí znesnadňuje prognózování. </w:t>
      </w:r>
      <w:r w:rsidR="00E4167F">
        <w:rPr>
          <w:b/>
          <w:color w:val="007E79"/>
        </w:rPr>
        <w:t>Nicméně h</w:t>
      </w:r>
      <w:r>
        <w:rPr>
          <w:b/>
          <w:color w:val="007E79"/>
        </w:rPr>
        <w:t xml:space="preserve">lavní ekonomové bank zastoupení v prognostickém panelu České bankovní asociace (ČBA) potvrzují předchozí odhad růstu českého HDP v loňském roce na 2,5 %, pro rok 2020 jej rovněž ponechávají na rovných 2 % a nově odhadují hospodářský růst v roce 2021 na 2,3 %. </w:t>
      </w:r>
    </w:p>
    <w:p w:rsidR="00F57548" w:rsidRDefault="00F57548" w:rsidP="00C9674F"/>
    <w:p w:rsidR="00F57548" w:rsidRDefault="00E67A6C" w:rsidP="00C9674F">
      <w:r>
        <w:t>Růst českého HDP se nachází ve fázi zpomalování. Během 1. a 2. čtvrtletí 2019 dosáhl v meziročním srovnání shodně 2,8 %, ve 3. čtvrtletí pak stále ještě solidních 2,5 %. V posledním kvartálu již ale pravděpodobně (podle k dnešnímu dni dostupných dílčích ukazatel</w:t>
      </w:r>
      <w:r w:rsidR="005D1919">
        <w:t>ů</w:t>
      </w:r>
      <w:r>
        <w:t>) došlo k výraznějšímu zpomalení. Inflace naopak zrychlovala. Její listopadová a poté i prosincová hodnota poprvé od roku 2013 překročila 3% horní hranici tolerančního pásma inflačního cíle centrální banky. Koruna však navzdory tomu, zejména díky poměrně zásadnímu zmírnění externích rizik v závěru roku 2019, začala posilovat. V souvislosti s ne úplně jasnou hospodářskou situací v Německu nadále zůstává základním scénářem ČBA dočasné usazení české ekonomiky na tempech mírně pod jejím střednědobým potenciálem s tím, že během roku 2021 lze již očekávat mírné zrychlení.</w:t>
      </w:r>
    </w:p>
    <w:p w:rsidR="00F57548" w:rsidRDefault="00F57548" w:rsidP="00C9674F">
      <w:pPr>
        <w:rPr>
          <w:b/>
        </w:rPr>
      </w:pPr>
    </w:p>
    <w:p w:rsidR="00F57548" w:rsidRDefault="00E67A6C" w:rsidP="00C9674F">
      <w:pPr>
        <w:rPr>
          <w:b/>
          <w:color w:val="007E79"/>
          <w:sz w:val="20"/>
          <w:szCs w:val="20"/>
        </w:rPr>
      </w:pPr>
      <w:r>
        <w:rPr>
          <w:b/>
          <w:color w:val="007E79"/>
          <w:sz w:val="20"/>
          <w:szCs w:val="20"/>
        </w:rPr>
        <w:t>Vliv světového ekonomického vývoje na naše hospodářství</w:t>
      </w:r>
    </w:p>
    <w:p w:rsidR="00F57548" w:rsidRDefault="00E67A6C" w:rsidP="00C9674F">
      <w:r>
        <w:t xml:space="preserve">Výsledek britských předčasných voleb a následující vývoj významně snížil riziko tvrdého brexitu (odchodu Spojeného království z EU bez dohody) a </w:t>
      </w:r>
      <w:r w:rsidR="00E4167F">
        <w:t xml:space="preserve">vyjasnil, že </w:t>
      </w:r>
      <w:r w:rsidR="00D34A0A">
        <w:t xml:space="preserve">Británie </w:t>
      </w:r>
      <w:r w:rsidR="005D1919">
        <w:t xml:space="preserve">Evropskou unii </w:t>
      </w:r>
      <w:r w:rsidR="00D34A0A">
        <w:t xml:space="preserve">opustí </w:t>
      </w:r>
      <w:r>
        <w:t xml:space="preserve">31. ledna 2020. Po tomto datu se z hlediska vzájemných hospodářských vztahů a pravidel vzájemného obchodu mezi Británií a EU nic měnit nebude. </w:t>
      </w:r>
      <w:r w:rsidR="00B90D20" w:rsidRPr="00B90D20">
        <w:t xml:space="preserve">Současně </w:t>
      </w:r>
      <w:r w:rsidR="00B90D20">
        <w:t>začne</w:t>
      </w:r>
      <w:r w:rsidR="00B90D20" w:rsidRPr="00B90D20">
        <w:t xml:space="preserve"> </w:t>
      </w:r>
      <w:r w:rsidR="00B90D20">
        <w:t>vyjednávání</w:t>
      </w:r>
      <w:r w:rsidR="00B90D20" w:rsidRPr="00B90D20">
        <w:t xml:space="preserve"> o tom, jak</w:t>
      </w:r>
      <w:r w:rsidR="00B90D20">
        <w:t xml:space="preserve"> mezi nimi budou do budoucna upraveny vztahy. </w:t>
      </w:r>
      <w:r>
        <w:t>Ačkoli britský premiér staví jako nepřekročiteln</w:t>
      </w:r>
      <w:r w:rsidR="00AF00CD">
        <w:t>ou mez</w:t>
      </w:r>
      <w:r>
        <w:t xml:space="preserve"> pro uzavření </w:t>
      </w:r>
      <w:r w:rsidR="00AF00CD">
        <w:t xml:space="preserve">dohody o nových vztazích </w:t>
      </w:r>
      <w:r>
        <w:t>konec letošního roku, ze strany EU již byla prostřednictvím Evropské komise signalizována ochota jednat o</w:t>
      </w:r>
      <w:r w:rsidR="00C9674F">
        <w:t> </w:t>
      </w:r>
      <w:r>
        <w:t>prodloužení</w:t>
      </w:r>
      <w:r w:rsidR="00AF00CD">
        <w:t xml:space="preserve"> této lhůty</w:t>
      </w:r>
      <w:r>
        <w:t xml:space="preserve">. Pro </w:t>
      </w:r>
      <w:r w:rsidR="005D1919">
        <w:t>ekonomiku</w:t>
      </w:r>
      <w:r>
        <w:t xml:space="preserve"> to implikuje</w:t>
      </w:r>
      <w:r w:rsidR="00AF00CD">
        <w:t xml:space="preserve"> přetrvávání určitých nejistot až do okamžiku uzavření této dohody</w:t>
      </w:r>
      <w:r>
        <w:t xml:space="preserve">. </w:t>
      </w:r>
    </w:p>
    <w:p w:rsidR="00F57548" w:rsidRDefault="00F57548" w:rsidP="00C9674F"/>
    <w:p w:rsidR="00F57548" w:rsidRDefault="00E67A6C" w:rsidP="00C9674F">
      <w:r>
        <w:t xml:space="preserve">Mezi další dobré zprávy patří i uzavření první fáze dohody mezi USA a Čínou, a s ní spojené stažení obvinění Číny z manipulace kurzu vlastní měny ze strany USA. Z hlediska letošního vývoje globální ekonomiky je však nejpodstatnější, že většina loni zavedených cel v obchodě mezi těmito dvěma státy zůstává zachována, a bude tedy </w:t>
      </w:r>
      <w:r w:rsidR="00B90D20">
        <w:t xml:space="preserve">působit proti ekonomickému růstu. </w:t>
      </w:r>
    </w:p>
    <w:p w:rsidR="00F57548" w:rsidRDefault="00F57548" w:rsidP="00C9674F"/>
    <w:p w:rsidR="00F57548" w:rsidRDefault="00E67A6C" w:rsidP="00C9674F">
      <w:r>
        <w:t>Za spíše pozitivní lze naopak považovat zdrženlivé a rozvážné reakce stran při řešení konfliktu mezi USA a Íránem, který eskaloval v první dekádě ledna a poslal nahoru jak ceny zlata, tak dočasně i ropy. Nicméně vývoj na Středním východě</w:t>
      </w:r>
      <w:r w:rsidR="005D1919">
        <w:t xml:space="preserve"> bude</w:t>
      </w:r>
      <w:r>
        <w:t xml:space="preserve"> i nadále nutn</w:t>
      </w:r>
      <w:r w:rsidR="005D1919">
        <w:t>é</w:t>
      </w:r>
      <w:r>
        <w:t xml:space="preserve"> mezi (staronová) rizika počítat. </w:t>
      </w:r>
    </w:p>
    <w:p w:rsidR="00F57548" w:rsidRDefault="00F57548" w:rsidP="00C9674F"/>
    <w:p w:rsidR="00F57548" w:rsidRDefault="00E67A6C" w:rsidP="00C9674F">
      <w:r>
        <w:t xml:space="preserve">Momentálně největším rizikem z pohledu české ekonomiky je tak vznik obchodního sporu mezi USA a státy EU v návaznosti na kontroverzní evropské dotace výrobci letadel Airbus a následné říjnové zavedení cel na evropské zboží v hodnotě 7.5 miliardy dolarů. </w:t>
      </w:r>
    </w:p>
    <w:p w:rsidR="00F57548" w:rsidRDefault="00E67A6C" w:rsidP="00C9674F">
      <w:r>
        <w:rPr>
          <w:noProof/>
        </w:rPr>
        <mc:AlternateContent>
          <mc:Choice Requires="wps">
            <w:drawing>
              <wp:anchor distT="45720" distB="45720" distL="114300" distR="114300" simplePos="0" relativeHeight="251659264" behindDoc="0" locked="0" layoutInCell="1" hidden="0" allowOverlap="1">
                <wp:simplePos x="0" y="0"/>
                <wp:positionH relativeFrom="column">
                  <wp:posOffset>1</wp:posOffset>
                </wp:positionH>
                <wp:positionV relativeFrom="paragraph">
                  <wp:posOffset>179070</wp:posOffset>
                </wp:positionV>
                <wp:extent cx="6471285" cy="1404620"/>
                <wp:effectExtent l="0" t="0" r="24765" b="17780"/>
                <wp:wrapSquare wrapText="bothSides" distT="45720" distB="45720" distL="114300" distR="114300"/>
                <wp:docPr id="2"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285" cy="1404620"/>
                        </a:xfrm>
                        <a:prstGeom prst="rect">
                          <a:avLst/>
                        </a:prstGeom>
                        <a:solidFill>
                          <a:srgbClr val="FFFFFF"/>
                        </a:solidFill>
                        <a:ln w="9525">
                          <a:solidFill>
                            <a:srgbClr val="000000"/>
                          </a:solidFill>
                          <a:miter lim="800000"/>
                          <a:headEnd/>
                          <a:tailEnd/>
                        </a:ln>
                      </wps:spPr>
                      <wps:txbx>
                        <w:txbxContent>
                          <w:p w:rsidR="008244B0" w:rsidRPr="00D60567" w:rsidRDefault="00E67A6C" w:rsidP="003713E7">
                            <w:pPr>
                              <w:rPr>
                                <w:sz w:val="20"/>
                                <w:szCs w:val="22"/>
                              </w:rPr>
                            </w:pPr>
                            <w:r w:rsidRPr="00A144A3">
                              <w:rPr>
                                <w:color w:val="007E79"/>
                              </w:rPr>
                              <w:t>KOMENTÁŘ/CITACE k přímému použití:</w:t>
                            </w:r>
                          </w:p>
                          <w:p w:rsidR="008244B0" w:rsidRPr="003713E7" w:rsidRDefault="00E67A6C" w:rsidP="003713E7">
                            <w:pPr>
                              <w:rPr>
                                <w:b/>
                                <w:bCs/>
                                <w:color w:val="007E79"/>
                              </w:rPr>
                            </w:pPr>
                            <w:r w:rsidRPr="003713E7">
                              <w:rPr>
                                <w:b/>
                                <w:bCs/>
                                <w:color w:val="007E79"/>
                              </w:rPr>
                              <w:t>Michal Skořepa, ekonom České spořitelny:</w:t>
                            </w:r>
                          </w:p>
                          <w:p w:rsidR="008244B0" w:rsidRDefault="00E67A6C" w:rsidP="003713E7">
                            <w:r w:rsidRPr="003713E7">
                              <w:rPr>
                                <w:i/>
                                <w:iCs/>
                              </w:rPr>
                              <w:t>„Dá se však předpokládat, že do konání prezidentských voleb v USA už americká administrativa žádné významnější kroky na poli obchodního protekcionismu nepodnikne</w:t>
                            </w:r>
                            <w:r>
                              <w:t>.“</w:t>
                            </w:r>
                          </w:p>
                        </w:txbxContent>
                      </wps:txbx>
                      <wps:bodyPr rot="0" vert="horz" wrap="square" lIns="91440" tIns="45720" rIns="91440" bIns="45720" anchor="t" anchorCtr="0">
                        <a:spAutoFit/>
                      </wps:bodyPr>
                    </wps:wsp>
                  </a:graphicData>
                </a:graphic>
              </wp:anchor>
            </w:drawing>
          </mc:Choice>
          <mc:Fallback>
            <w:pict>
              <v:shape id="_x0000_s1027" type="#_x0000_t202" style="position:absolute;left:0;text-align:left;margin-left:0;margin-top:14.1pt;width:509.55pt;height:110.6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">
                <v:textbox style="mso-fit-shape-to-text:t">
                  <w:txbxContent>
                    <w:p w:rsidR="008244B0" w:rsidRPr="00D60567" w:rsidRDefault="00E67A6C" w:rsidP="003713E7">
                      <w:pPr>
                        <w:rPr>
                          <w:sz w:val="20"/>
                          <w:szCs w:val="22"/>
                        </w:rPr>
                      </w:pPr>
                      <w:r w:rsidRPr="00A144A3">
                        <w:rPr>
                          <w:color w:val="007E79"/>
                        </w:rPr>
                        <w:t>KOMENTÁŘ/CITACE k přímému použití:</w:t>
                      </w:r>
                    </w:p>
                    <w:p w:rsidR="008244B0" w:rsidRPr="003713E7" w:rsidRDefault="00E67A6C" w:rsidP="003713E7">
                      <w:pPr>
                        <w:rPr>
                          <w:b/>
                          <w:bCs/>
                          <w:color w:val="007E79"/>
                        </w:rPr>
                      </w:pPr>
                      <w:r w:rsidRPr="003713E7">
                        <w:rPr>
                          <w:b/>
                          <w:bCs/>
                          <w:color w:val="007E79"/>
                        </w:rPr>
                        <w:t>Michal Skořepa, ekonom České spořitelny:</w:t>
                      </w:r>
                    </w:p>
                    <w:p w:rsidR="008244B0" w:rsidRDefault="00E67A6C" w:rsidP="003713E7">
                      <w:r w:rsidRPr="003713E7">
                        <w:rPr>
                          <w:i/>
                          <w:iCs/>
                        </w:rPr>
                        <w:t>„Dá se však předpokládat, že do konání prezidentských voleb v USA už americká administrativa žádné významnější kroky na poli obchodního protekcionismu nepodnikne</w:t>
                      </w:r>
                      <w:r>
                        <w:t>.“</w:t>
                      </w:r>
                    </w:p>
                  </w:txbxContent>
                </v:textbox>
                <w10:wrap type="square"/>
              </v:shape>
            </w:pict>
          </mc:Fallback>
        </mc:AlternateContent>
      </w:r>
    </w:p>
    <w:p w:rsidR="00F57548" w:rsidRDefault="00F57548" w:rsidP="00C9674F"/>
    <w:p w:rsidR="00F57548" w:rsidRDefault="00E67A6C" w:rsidP="00C9674F">
      <w:r>
        <w:t xml:space="preserve">Velice smíšené signály stále přicházejí z ekonomiky našeho klíčového obchodního partnera, kde je v současné době růst tažen zejména domácí spotřebou. Na jednu stranu se zdá, že se Německo vyhnulo recesi, </w:t>
      </w:r>
      <w:r w:rsidR="003F4C8B">
        <w:t>a všeobecně se očekává spíše</w:t>
      </w:r>
      <w:r>
        <w:t xml:space="preserve"> posílení jeho růstového trendu, na druhou stranu údaje o nových objednávkách v německém zpracovatelském průmyslu – jejich meziroční pokles o 6,5 % zaznamenaný v listopadu 2019 je již osmnáctým v řadě (!) – brzdí přílišný optimismus hned v zárodku. Tentokrát to ale byly domácí objednávky, které pokles zmírňovaly, zatímco zhruba před rokem čísla zlepšovala poptávka ze zahraničí. </w:t>
      </w:r>
      <w:r w:rsidR="00AF00CD">
        <w:t>Z</w:t>
      </w:r>
      <w:r>
        <w:t xml:space="preserve">mírnění rizik a nejistot pro mezinárodní obchod pomůže německé ekonomice zpět na udržitelnější růstovou trajektorii. Silnější německé exporty by se pak mohly stát – vzhledem k jejich těsné korelaci – tahounem i pro české HDP. </w:t>
      </w:r>
    </w:p>
    <w:p w:rsidR="00F57548" w:rsidRDefault="00F57548" w:rsidP="00C9674F"/>
    <w:p w:rsidR="00F57548" w:rsidRDefault="00E67A6C" w:rsidP="00C9674F">
      <w:r>
        <w:t xml:space="preserve">Velkou neznámou bude reakce evropských ekonomik na zavedení přísnějších emisních limitů od roku 2021, které může na jednu stranu vést k růstu prodeje automobilů v roce 2020 kvůli předzásobení, na </w:t>
      </w:r>
      <w:r w:rsidR="00564E25">
        <w:t xml:space="preserve">druhé </w:t>
      </w:r>
      <w:r>
        <w:t xml:space="preserve">straně může v následujícím roce naopak přinést pokles, což může </w:t>
      </w:r>
      <w:r w:rsidR="0008690C">
        <w:t>významně</w:t>
      </w:r>
      <w:r>
        <w:t xml:space="preserve"> ovlivnit ziskovost automobilek.  </w:t>
      </w:r>
    </w:p>
    <w:p w:rsidR="00F57548" w:rsidRDefault="00E67A6C" w:rsidP="00C9674F">
      <w:r>
        <w:rPr>
          <w:noProof/>
        </w:rPr>
        <mc:AlternateContent>
          <mc:Choice Requires="wps">
            <w:drawing>
              <wp:anchor distT="45720" distB="45720" distL="114300" distR="114300" simplePos="0" relativeHeight="251660288" behindDoc="0" locked="0" layoutInCell="1" hidden="0" allowOverlap="1">
                <wp:simplePos x="0" y="0"/>
                <wp:positionH relativeFrom="column">
                  <wp:posOffset>1</wp:posOffset>
                </wp:positionH>
                <wp:positionV relativeFrom="paragraph">
                  <wp:posOffset>179070</wp:posOffset>
                </wp:positionV>
                <wp:extent cx="6476365" cy="1404620"/>
                <wp:effectExtent l="0" t="0" r="19685" b="17780"/>
                <wp:wrapSquare wrapText="bothSides" distT="45720" distB="45720" distL="114300" distR="114300"/>
                <wp:docPr id="6"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6365" cy="1404620"/>
                        </a:xfrm>
                        <a:prstGeom prst="rect">
                          <a:avLst/>
                        </a:prstGeom>
                        <a:solidFill>
                          <a:srgbClr val="FFFFFF"/>
                        </a:solidFill>
                        <a:ln w="9525">
                          <a:solidFill>
                            <a:srgbClr val="000000"/>
                          </a:solidFill>
                          <a:miter lim="800000"/>
                          <a:headEnd/>
                          <a:tailEnd/>
                        </a:ln>
                      </wps:spPr>
                      <wps:txbx>
                        <w:txbxContent>
                          <w:p w:rsidR="008244B0" w:rsidRPr="00D60567" w:rsidRDefault="00E67A6C" w:rsidP="003713E7">
                            <w:pPr>
                              <w:rPr>
                                <w:sz w:val="20"/>
                                <w:szCs w:val="22"/>
                              </w:rPr>
                            </w:pPr>
                            <w:r w:rsidRPr="00A144A3">
                              <w:rPr>
                                <w:color w:val="007E79"/>
                              </w:rPr>
                              <w:t>KOMENTÁŘ/CITACE k přímému použití:</w:t>
                            </w:r>
                          </w:p>
                          <w:p w:rsidR="008244B0" w:rsidRPr="003713E7" w:rsidRDefault="00E67A6C" w:rsidP="003713E7">
                            <w:pPr>
                              <w:rPr>
                                <w:b/>
                                <w:bCs/>
                                <w:color w:val="007E79"/>
                              </w:rPr>
                            </w:pPr>
                            <w:r w:rsidRPr="003713E7">
                              <w:rPr>
                                <w:b/>
                                <w:bCs/>
                                <w:color w:val="007E79"/>
                              </w:rPr>
                              <w:t>Miroslav Zámečník, ekonomický analytik České bankovní asociace:</w:t>
                            </w:r>
                          </w:p>
                          <w:p w:rsidR="008244B0" w:rsidRPr="003713E7" w:rsidRDefault="00E67A6C" w:rsidP="003713E7">
                            <w:pPr>
                              <w:rPr>
                                <w:i/>
                                <w:iCs/>
                              </w:rPr>
                            </w:pPr>
                            <w:r w:rsidRPr="003713E7">
                              <w:rPr>
                                <w:i/>
                                <w:iCs/>
                              </w:rPr>
                              <w:t xml:space="preserve">„V tuhle chvíli není nikdo schopen předvídat, jak se propíší přísné emisní normy a nástup elektrifikace do </w:t>
                            </w:r>
                            <w:proofErr w:type="spellStart"/>
                            <w:r>
                              <w:rPr>
                                <w:i/>
                                <w:iCs/>
                              </w:rPr>
                              <w:t>automo</w:t>
                            </w:r>
                            <w:r w:rsidR="003F4C8B">
                              <w:rPr>
                                <w:i/>
                                <w:iCs/>
                              </w:rPr>
                              <w:t>tive</w:t>
                            </w:r>
                            <w:proofErr w:type="spellEnd"/>
                            <w:r w:rsidRPr="003713E7">
                              <w:rPr>
                                <w:i/>
                                <w:iCs/>
                              </w:rPr>
                              <w:t xml:space="preserve"> sektoru v ČR, ale vnímáme to jako významné riziko.“ </w:t>
                            </w:r>
                          </w:p>
                        </w:txbxContent>
                      </wps:txbx>
                      <wps:bodyPr rot="0" vert="horz" wrap="square" lIns="91440" tIns="45720" rIns="91440" bIns="45720" anchor="t" anchorCtr="0">
                        <a:spAutoFit/>
                      </wps:bodyPr>
                    </wps:wsp>
                  </a:graphicData>
                </a:graphic>
              </wp:anchor>
            </w:drawing>
          </mc:Choice>
          <mc:Fallback>
            <w:pict>
              <v:shape id="_x0000_s1028" type="#_x0000_t202" style="position:absolute;left:0;text-align:left;margin-left:0;margin-top:14.1pt;width:509.95pt;height:110.6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">
                <v:textbox style="mso-fit-shape-to-text:t">
                  <w:txbxContent>
                    <w:p w:rsidR="008244B0" w:rsidRPr="00D60567" w:rsidRDefault="00E67A6C" w:rsidP="003713E7">
                      <w:pPr>
                        <w:rPr>
                          <w:sz w:val="20"/>
                          <w:szCs w:val="22"/>
                        </w:rPr>
                      </w:pPr>
                      <w:r w:rsidRPr="00A144A3">
                        <w:rPr>
                          <w:color w:val="007E79"/>
                        </w:rPr>
                        <w:t>KOMENTÁŘ/CITACE k přímému použití:</w:t>
                      </w:r>
                    </w:p>
                    <w:p w:rsidR="008244B0" w:rsidRPr="003713E7" w:rsidRDefault="00E67A6C" w:rsidP="003713E7">
                      <w:pPr>
                        <w:rPr>
                          <w:b/>
                          <w:bCs/>
                          <w:color w:val="007E79"/>
                        </w:rPr>
                      </w:pPr>
                      <w:r w:rsidRPr="003713E7">
                        <w:rPr>
                          <w:b/>
                          <w:bCs/>
                          <w:color w:val="007E79"/>
                        </w:rPr>
                        <w:t>Miroslav Zámečník, ekonomický analytik České bankovní asociace:</w:t>
                      </w:r>
                    </w:p>
                    <w:p w:rsidR="008244B0" w:rsidRPr="003713E7" w:rsidRDefault="00E67A6C" w:rsidP="003713E7">
                      <w:pPr>
                        <w:rPr>
                          <w:i/>
                          <w:iCs/>
                        </w:rPr>
                      </w:pPr>
                      <w:r w:rsidRPr="003713E7">
                        <w:rPr>
                          <w:i/>
                          <w:iCs/>
                        </w:rPr>
                        <w:t xml:space="preserve">„V tuhle chvíli není nikdo schopen předvídat, jak se propíší přísné emisní normy a nástup elektrifikace do </w:t>
                      </w:r>
                      <w:proofErr w:type="spellStart"/>
                      <w:r>
                        <w:rPr>
                          <w:i/>
                          <w:iCs/>
                        </w:rPr>
                        <w:t>automo</w:t>
                      </w:r>
                      <w:r w:rsidR="003F4C8B">
                        <w:rPr>
                          <w:i/>
                          <w:iCs/>
                        </w:rPr>
                        <w:t>tive</w:t>
                      </w:r>
                      <w:proofErr w:type="spellEnd"/>
                      <w:r w:rsidRPr="003713E7">
                        <w:rPr>
                          <w:i/>
                          <w:iCs/>
                        </w:rPr>
                        <w:t xml:space="preserve"> sektoru v ČR, ale vnímáme to jako významné riziko.“ </w:t>
                      </w:r>
                    </w:p>
                  </w:txbxContent>
                </v:textbox>
                <w10:wrap type="square"/>
              </v:shape>
            </w:pict>
          </mc:Fallback>
        </mc:AlternateContent>
      </w:r>
    </w:p>
    <w:p w:rsidR="00F57548" w:rsidRDefault="00F57548" w:rsidP="00C9674F"/>
    <w:p w:rsidR="00F57548" w:rsidRPr="00E67A6C" w:rsidRDefault="00E67A6C" w:rsidP="00C9674F">
      <w:pPr>
        <w:rPr>
          <w:b/>
          <w:color w:val="007E79"/>
          <w:sz w:val="20"/>
          <w:szCs w:val="20"/>
        </w:rPr>
      </w:pPr>
      <w:r w:rsidRPr="00E67A6C">
        <w:rPr>
          <w:b/>
          <w:color w:val="007E79"/>
          <w:sz w:val="20"/>
          <w:szCs w:val="20"/>
        </w:rPr>
        <w:t>Výhled hospodářského růstu ČR</w:t>
      </w:r>
    </w:p>
    <w:p w:rsidR="00F57548" w:rsidRPr="005E655C" w:rsidRDefault="00E67A6C" w:rsidP="00C9674F">
      <w:r w:rsidRPr="00E67A6C">
        <w:t xml:space="preserve">Ačkoli průmyslová </w:t>
      </w:r>
      <w:r w:rsidRPr="005E655C">
        <w:t xml:space="preserve">produkce ve druhé polovině loňského roku setrvale vykazovala meziroční poklesy (v listopadu na sezónně očištěných datech o 3,2 %), očekáváme, že se zlepšováním zahraniční poptávky a zejména s očekávaným oživením v Německu se i českému průmyslu začne blýskat na lepší časy. Neočištěné údaje o hodnotě nových zakázek (meziroční pokles o 2,9 % v listopadu 2019, přičemž zahraniční zakázky poklesly pouze o 0,5 %, zatímco domácí o 8 %) a jejich kompozice však zatím svědčí o pokračujícím útlumu domácí investiční aktivity. </w:t>
      </w:r>
    </w:p>
    <w:p w:rsidR="00F57548" w:rsidRPr="005E655C" w:rsidRDefault="00F57548" w:rsidP="00C9674F"/>
    <w:p w:rsidR="00F57548" w:rsidRPr="005E655C" w:rsidRDefault="00AF00CD" w:rsidP="00C9674F">
      <w:r w:rsidRPr="005E655C">
        <w:rPr>
          <w:color w:val="262626"/>
        </w:rPr>
        <w:t>P</w:t>
      </w:r>
      <w:r w:rsidR="00E67A6C" w:rsidRPr="005E655C">
        <w:rPr>
          <w:color w:val="262626"/>
        </w:rPr>
        <w:t>ro letošní rok předpokládáme, že s poklesem objednávek směřujících za českými firmami ze zahraničí (zejména ze zpomalujícího Německa) bude v první půli roku pokračovat postupný trend zpomalení růstu HDP. Po rozuzlení současných vnějších nejistot však očekáváme zvrácení tohoto trendu</w:t>
      </w:r>
      <w:r w:rsidR="005D1919">
        <w:rPr>
          <w:color w:val="262626"/>
        </w:rPr>
        <w:t>, a to</w:t>
      </w:r>
      <w:r w:rsidR="00E67A6C" w:rsidRPr="005E655C">
        <w:rPr>
          <w:color w:val="262626"/>
        </w:rPr>
        <w:t xml:space="preserve"> nejpozději v prvním kvartále 2021, kdy </w:t>
      </w:r>
      <w:r w:rsidR="003F4C8B" w:rsidRPr="005E655C">
        <w:rPr>
          <w:color w:val="262626"/>
        </w:rPr>
        <w:t xml:space="preserve">se na přírůstku budou podílet soukromá spotřeba </w:t>
      </w:r>
      <w:r w:rsidR="00E67A6C" w:rsidRPr="005E655C">
        <w:rPr>
          <w:color w:val="262626"/>
        </w:rPr>
        <w:t>(2,2 %)</w:t>
      </w:r>
      <w:r w:rsidR="003F4C8B" w:rsidRPr="005E655C">
        <w:rPr>
          <w:color w:val="262626"/>
        </w:rPr>
        <w:t>, v</w:t>
      </w:r>
      <w:r w:rsidR="007D04F2" w:rsidRPr="005E655C">
        <w:rPr>
          <w:color w:val="262626"/>
        </w:rPr>
        <w:t>ládní</w:t>
      </w:r>
      <w:r w:rsidR="003F4C8B" w:rsidRPr="005E655C">
        <w:rPr>
          <w:color w:val="262626"/>
        </w:rPr>
        <w:t xml:space="preserve"> spotřeba</w:t>
      </w:r>
      <w:r w:rsidR="00E67A6C" w:rsidRPr="005E655C">
        <w:rPr>
          <w:color w:val="262626"/>
        </w:rPr>
        <w:t xml:space="preserve"> (2,3 %) </w:t>
      </w:r>
      <w:r w:rsidR="003F4C8B" w:rsidRPr="005E655C">
        <w:rPr>
          <w:color w:val="262626"/>
        </w:rPr>
        <w:t>a také zdvojnásob</w:t>
      </w:r>
      <w:r w:rsidR="00A10779" w:rsidRPr="005E655C">
        <w:rPr>
          <w:color w:val="262626"/>
        </w:rPr>
        <w:t>e</w:t>
      </w:r>
      <w:r w:rsidR="003F4C8B" w:rsidRPr="005E655C">
        <w:rPr>
          <w:color w:val="262626"/>
        </w:rPr>
        <w:t xml:space="preserve">ní </w:t>
      </w:r>
      <w:r w:rsidR="00A10779" w:rsidRPr="005E655C">
        <w:rPr>
          <w:color w:val="262626"/>
        </w:rPr>
        <w:t xml:space="preserve">tempa růstu investic </w:t>
      </w:r>
      <w:r w:rsidR="00E67A6C" w:rsidRPr="005E655C">
        <w:rPr>
          <w:color w:val="262626"/>
        </w:rPr>
        <w:t xml:space="preserve">(2,6 %). </w:t>
      </w:r>
      <w:r w:rsidR="00A10779" w:rsidRPr="005E655C">
        <w:rPr>
          <w:color w:val="262626"/>
        </w:rPr>
        <w:t xml:space="preserve">Pro rok 2021 tak počítáme s růstem </w:t>
      </w:r>
      <w:r w:rsidR="007D04F2" w:rsidRPr="005E655C">
        <w:rPr>
          <w:color w:val="262626"/>
        </w:rPr>
        <w:t>HDP ve výši</w:t>
      </w:r>
      <w:r w:rsidR="00A10779" w:rsidRPr="005E655C">
        <w:rPr>
          <w:color w:val="262626"/>
        </w:rPr>
        <w:t xml:space="preserve"> </w:t>
      </w:r>
      <w:r w:rsidR="00E67A6C" w:rsidRPr="005E655C">
        <w:rPr>
          <w:color w:val="262626"/>
        </w:rPr>
        <w:t>2</w:t>
      </w:r>
      <w:r w:rsidR="00564E25">
        <w:rPr>
          <w:color w:val="262626"/>
        </w:rPr>
        <w:t>,</w:t>
      </w:r>
      <w:r w:rsidR="00E67A6C" w:rsidRPr="005E655C">
        <w:rPr>
          <w:color w:val="262626"/>
        </w:rPr>
        <w:t>3 %.</w:t>
      </w:r>
    </w:p>
    <w:p w:rsidR="00AF00CD" w:rsidRPr="005E655C" w:rsidRDefault="00AF00CD" w:rsidP="00C9674F"/>
    <w:p w:rsidR="00AF00CD" w:rsidRDefault="005E655C" w:rsidP="00C9674F">
      <w:pPr>
        <w:rPr>
          <w:color w:val="262626"/>
        </w:rPr>
      </w:pPr>
      <w:r w:rsidRPr="005E655C">
        <w:t>Výkonost</w:t>
      </w:r>
      <w:r w:rsidR="00C9674F">
        <w:t>i</w:t>
      </w:r>
      <w:r w:rsidRPr="005E655C">
        <w:t xml:space="preserve"> české ekonomiky v letošním i příštím roce pomůže</w:t>
      </w:r>
      <w:r w:rsidR="00AF00CD" w:rsidRPr="005E655C">
        <w:rPr>
          <w:color w:val="262626"/>
        </w:rPr>
        <w:t xml:space="preserve"> soukrom</w:t>
      </w:r>
      <w:r w:rsidRPr="005E655C">
        <w:rPr>
          <w:color w:val="262626"/>
        </w:rPr>
        <w:t>á</w:t>
      </w:r>
      <w:r w:rsidR="00AF00CD" w:rsidRPr="005E655C">
        <w:rPr>
          <w:color w:val="262626"/>
        </w:rPr>
        <w:t xml:space="preserve"> spotře</w:t>
      </w:r>
      <w:r w:rsidRPr="005E655C">
        <w:rPr>
          <w:color w:val="262626"/>
        </w:rPr>
        <w:t xml:space="preserve">ba </w:t>
      </w:r>
      <w:r w:rsidR="00AF00CD" w:rsidRPr="005E655C">
        <w:rPr>
          <w:color w:val="262626"/>
        </w:rPr>
        <w:t>podpořen</w:t>
      </w:r>
      <w:r w:rsidRPr="005E655C">
        <w:rPr>
          <w:color w:val="262626"/>
        </w:rPr>
        <w:t>á</w:t>
      </w:r>
      <w:r w:rsidR="00AF00CD" w:rsidRPr="005E655C">
        <w:rPr>
          <w:color w:val="262626"/>
        </w:rPr>
        <w:t xml:space="preserve"> stále solidním, </w:t>
      </w:r>
      <w:r w:rsidRPr="005E655C">
        <w:rPr>
          <w:color w:val="262626"/>
        </w:rPr>
        <w:t>byť</w:t>
      </w:r>
      <w:r w:rsidR="00AF00CD" w:rsidRPr="005E655C">
        <w:rPr>
          <w:color w:val="262626"/>
        </w:rPr>
        <w:t xml:space="preserve"> postupně se zpomalujícím růstem mezd. </w:t>
      </w:r>
      <w:r w:rsidRPr="005E655C">
        <w:rPr>
          <w:color w:val="262626"/>
        </w:rPr>
        <w:t xml:space="preserve">Ta současně pomohla i odolnosti </w:t>
      </w:r>
      <w:r w:rsidR="00AF00CD" w:rsidRPr="005E655C">
        <w:rPr>
          <w:color w:val="262626"/>
        </w:rPr>
        <w:t>české ekonomiky vůči plošnému ochlazení růstu v</w:t>
      </w:r>
      <w:r w:rsidRPr="005E655C">
        <w:rPr>
          <w:color w:val="262626"/>
        </w:rPr>
        <w:t> </w:t>
      </w:r>
      <w:r w:rsidR="00AF00CD" w:rsidRPr="005E655C">
        <w:rPr>
          <w:color w:val="262626"/>
        </w:rPr>
        <w:t>eurozóně</w:t>
      </w:r>
      <w:r w:rsidRPr="005E655C">
        <w:rPr>
          <w:color w:val="262626"/>
        </w:rPr>
        <w:t>.</w:t>
      </w:r>
    </w:p>
    <w:p w:rsidR="00F57548" w:rsidRDefault="00F57548" w:rsidP="00C9674F"/>
    <w:p w:rsidR="00F57548" w:rsidRDefault="00E67A6C" w:rsidP="00C9674F">
      <w:pPr>
        <w:rPr>
          <w:b/>
          <w:color w:val="007E79"/>
          <w:sz w:val="20"/>
          <w:szCs w:val="20"/>
        </w:rPr>
      </w:pPr>
      <w:r>
        <w:rPr>
          <w:b/>
          <w:color w:val="007E79"/>
          <w:sz w:val="20"/>
          <w:szCs w:val="20"/>
        </w:rPr>
        <w:t>Trh práce stále napjatý</w:t>
      </w:r>
    </w:p>
    <w:p w:rsidR="00F57548" w:rsidRDefault="00E67A6C" w:rsidP="00C9674F">
      <w:r>
        <w:t>Ani prosincové údaje o nezaměstnanosti nepřinesly změnu trendu: česká nezaměstnanost je ve srovnání s ostatními zeměmi EU stále nejnižší a její absolutní úroveň zatím stagnuje na pomyslném dně. S napjatou situací na trhu práce koresponduje i pokračující růst průměrných mezd, které ve 3. čtvrtletí minulého roku na meziroční bázi reálně vzrostly o 4 %. Počet volných pracovních míst na konci loňského roku setrvával v převisu nad počtem nezaměstnaných (cca 341 tis. volných míst oproti cca 196 tis. dosažitelným uchazečům), což je historicky i v rámci celoevropského srovnání bezprecedentní stav.</w:t>
      </w:r>
    </w:p>
    <w:p w:rsidR="00F57548" w:rsidRDefault="00F57548" w:rsidP="00C9674F"/>
    <w:p w:rsidR="00F57548" w:rsidRDefault="00E67A6C" w:rsidP="00C9674F">
      <w:r>
        <w:t xml:space="preserve">I nadále očekáváme, že v nezaměstnanosti dojde k odrazu ode dna, byť nejspíš velmi mírnému. Počítáme s průměrnou mírou nezaměstnanosti letos 2,9 % a příští rok 3,2 %. </w:t>
      </w:r>
    </w:p>
    <w:p w:rsidR="00F57548" w:rsidRDefault="00E67A6C" w:rsidP="00C9674F">
      <w:r>
        <w:rPr>
          <w:noProof/>
        </w:rPr>
        <mc:AlternateContent>
          <mc:Choice Requires="wps">
            <w:drawing>
              <wp:anchor distT="45720" distB="45720" distL="114300" distR="114300" simplePos="0" relativeHeight="251661312" behindDoc="0" locked="0" layoutInCell="1" hidden="0" allowOverlap="1">
                <wp:simplePos x="0" y="0"/>
                <wp:positionH relativeFrom="column">
                  <wp:posOffset>1</wp:posOffset>
                </wp:positionH>
                <wp:positionV relativeFrom="paragraph">
                  <wp:posOffset>178435</wp:posOffset>
                </wp:positionV>
                <wp:extent cx="6353175" cy="1404620"/>
                <wp:effectExtent l="0" t="0" r="28575" b="17780"/>
                <wp:wrapSquare wrapText="bothSides" distT="45720" distB="45720" distL="114300" distR="114300"/>
                <wp:docPr id="1"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404620"/>
                        </a:xfrm>
                        <a:prstGeom prst="rect">
                          <a:avLst/>
                        </a:prstGeom>
                        <a:solidFill>
                          <a:srgbClr val="FFFFFF"/>
                        </a:solidFill>
                        <a:ln w="9525">
                          <a:solidFill>
                            <a:srgbClr val="000000"/>
                          </a:solidFill>
                          <a:miter lim="800000"/>
                          <a:headEnd/>
                          <a:tailEnd/>
                        </a:ln>
                      </wps:spPr>
                      <wps:txbx>
                        <w:txbxContent>
                          <w:p w:rsidR="008244B0" w:rsidRPr="00A144A3" w:rsidRDefault="00E67A6C" w:rsidP="003713E7">
                            <w:pPr>
                              <w:rPr>
                                <w:color w:val="007E79"/>
                              </w:rPr>
                            </w:pPr>
                            <w:r w:rsidRPr="00A144A3">
                              <w:rPr>
                                <w:color w:val="007E79"/>
                              </w:rPr>
                              <w:t>KOMENTÁŘ/CITACE k přímému použití:</w:t>
                            </w:r>
                          </w:p>
                          <w:p w:rsidR="008244B0" w:rsidRPr="003713E7" w:rsidRDefault="00E67A6C" w:rsidP="003713E7">
                            <w:pPr>
                              <w:rPr>
                                <w:b/>
                                <w:bCs/>
                                <w:color w:val="007E79"/>
                              </w:rPr>
                            </w:pPr>
                            <w:r w:rsidRPr="003713E7">
                              <w:rPr>
                                <w:b/>
                                <w:bCs/>
                                <w:color w:val="007E79"/>
                              </w:rPr>
                              <w:t>Pavel Sobíšek, hlavní ekonom UniCredit Bank:</w:t>
                            </w:r>
                          </w:p>
                          <w:p w:rsidR="008244B0" w:rsidRPr="00807F85" w:rsidRDefault="00E67A6C" w:rsidP="003713E7">
                            <w:r>
                              <w:t>„</w:t>
                            </w:r>
                            <w:r w:rsidRPr="003713E7">
                              <w:rPr>
                                <w:i/>
                                <w:iCs/>
                                <w:noProof/>
                              </w:rPr>
                              <w:t>Dřívější rozmach agenturní práce se v této době ekonomického zpomalení stane účinnou brzdou růstu nezaměstnanosti. Podniky se budou primárně zbavovat agenturních pracovníků, z nichž je převážná část cizinců. Omezení zaměstnanosti tak dopadne na příjmy tuzemských domácností jen v omezené míře.</w:t>
                            </w:r>
                            <w:r w:rsidRPr="003713E7">
                              <w:rPr>
                                <w:i/>
                                <w:iCs/>
                              </w:rPr>
                              <w:t>“</w:t>
                            </w:r>
                          </w:p>
                        </w:txbxContent>
                      </wps:txbx>
                      <wps:bodyPr rot="0" vert="horz" wrap="square" lIns="91440" tIns="45720" rIns="91440" bIns="45720" anchor="t" anchorCtr="0">
                        <a:spAutoFit/>
                      </wps:bodyPr>
                    </wps:wsp>
                  </a:graphicData>
                </a:graphic>
              </wp:anchor>
            </w:drawing>
          </mc:Choice>
          <mc:Fallback>
            <w:pict>
              <v:shape id="_x0000_s1029" type="#_x0000_t202" style="position:absolute;left:0;text-align:left;margin-left:0;margin-top:14.05pt;width:500.25pt;height:110.6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">
                <v:textbox style="mso-fit-shape-to-text:t">
                  <w:txbxContent>
                    <w:p w:rsidR="008244B0" w:rsidRPr="00A144A3" w:rsidRDefault="00E67A6C" w:rsidP="003713E7">
                      <w:pPr>
                        <w:rPr>
                          <w:color w:val="007E79"/>
                        </w:rPr>
                      </w:pPr>
                      <w:r w:rsidRPr="00A144A3">
                        <w:rPr>
                          <w:color w:val="007E79"/>
                        </w:rPr>
                        <w:t>KOMENTÁŘ/CITACE k přímému použití:</w:t>
                      </w:r>
                    </w:p>
                    <w:p w:rsidR="008244B0" w:rsidRPr="003713E7" w:rsidRDefault="00E67A6C" w:rsidP="003713E7">
                      <w:pPr>
                        <w:rPr>
                          <w:b/>
                          <w:bCs/>
                          <w:color w:val="007E79"/>
                        </w:rPr>
                      </w:pPr>
                      <w:r w:rsidRPr="003713E7">
                        <w:rPr>
                          <w:b/>
                          <w:bCs/>
                          <w:color w:val="007E79"/>
                        </w:rPr>
                        <w:t>Pavel Sobíšek, hlavní ekonom UniCredit Bank:</w:t>
                      </w:r>
                    </w:p>
                    <w:p w:rsidR="008244B0" w:rsidRPr="00807F85" w:rsidRDefault="00E67A6C" w:rsidP="003713E7">
                      <w:r>
                        <w:t>„</w:t>
                      </w:r>
                      <w:r w:rsidRPr="003713E7">
                        <w:rPr>
                          <w:i/>
                          <w:iCs/>
                          <w:noProof/>
                        </w:rPr>
                        <w:t>Dřívější rozmach agenturní práce se v této době ekonomického zpomalení stane účinnou brzdou růstu nezaměstnanosti. Podniky se budou primárně zbavovat agenturních pracovníků, z nichž je převážná část cizinců. Omezení zaměstnanosti tak dopadne na příjmy tuzemských domácností jen v omezené míře.</w:t>
                      </w:r>
                      <w:r w:rsidRPr="003713E7">
                        <w:rPr>
                          <w:i/>
                          <w:iCs/>
                        </w:rPr>
                        <w:t>“</w:t>
                      </w:r>
                    </w:p>
                  </w:txbxContent>
                </v:textbox>
                <w10:wrap type="square"/>
              </v:shape>
            </w:pict>
          </mc:Fallback>
        </mc:AlternateContent>
      </w:r>
    </w:p>
    <w:p w:rsidR="00F57548" w:rsidRDefault="00F57548" w:rsidP="00C9674F"/>
    <w:p w:rsidR="00F57548" w:rsidRDefault="00E67A6C" w:rsidP="00C9674F">
      <w:pPr>
        <w:rPr>
          <w:b/>
        </w:rPr>
      </w:pPr>
      <w:r>
        <w:rPr>
          <w:b/>
          <w:color w:val="007E79"/>
          <w:sz w:val="20"/>
          <w:szCs w:val="20"/>
        </w:rPr>
        <w:t>Veřejné finance v období zpomalujícího růstu</w:t>
      </w:r>
    </w:p>
    <w:p w:rsidR="00F57548" w:rsidRDefault="00E67A6C" w:rsidP="00C9674F">
      <w:r>
        <w:t>Listopadová revize odhadu růstu ze strany Ministerstva financí ČR směrem dolů indikuje, že vláda bude muset počítat s nižšími než původně očekávanými příjmy. Po prakticky vyrovnaném, resp. velmi mírně přebytkovém</w:t>
      </w:r>
      <w:r w:rsidR="005722E2">
        <w:t>,</w:t>
      </w:r>
      <w:r>
        <w:t xml:space="preserve"> saldu hospodaření veřejných financí v roce 2019 proto i nadále očekáváme pro letošní rok mírný schodek, který se ve volebním roce 2021 – navzdory předpokládanému oživení – dále prohloubí na předpokládaných -0,4 % HDP. Municipální hospodaření už v prognózovaném horizontu nebude vyrovnávat schodky v hospodaření centrální vlády. Nicméně v horizontu, pro který je prognóza ČBA zpracována, bude ČR výší veřejného dluhu v blízkosti 30 % v rámci EU stále mezi nejlepšími.</w:t>
      </w:r>
    </w:p>
    <w:p w:rsidR="00F57548" w:rsidRDefault="00F57548" w:rsidP="00C9674F"/>
    <w:p w:rsidR="00F57548" w:rsidRDefault="00E67A6C" w:rsidP="00C9674F">
      <w:r>
        <w:t xml:space="preserve">Na konci první lednové dekády prezentovaný nástin penzijní reformy nevnesl jasno do toho zásadního, a to jakým způsobem budou ve středním a dlouhém horizontu starobní důchody udržitelně financovány. </w:t>
      </w:r>
    </w:p>
    <w:p w:rsidR="00F57548" w:rsidRDefault="00F57548" w:rsidP="00C9674F"/>
    <w:p w:rsidR="00F57548" w:rsidRDefault="00E67A6C" w:rsidP="00C9674F">
      <w:pPr>
        <w:rPr>
          <w:b/>
          <w:color w:val="007E79"/>
          <w:sz w:val="20"/>
          <w:szCs w:val="20"/>
        </w:rPr>
      </w:pPr>
      <w:r>
        <w:rPr>
          <w:b/>
          <w:color w:val="007E79"/>
          <w:sz w:val="20"/>
          <w:szCs w:val="20"/>
        </w:rPr>
        <w:t xml:space="preserve">Měnová politika, inflace a měnový kurz </w:t>
      </w:r>
    </w:p>
    <w:p w:rsidR="00F57548" w:rsidRDefault="00E67A6C" w:rsidP="00C9674F">
      <w:pPr>
        <w:rPr>
          <w:color w:val="000000"/>
        </w:rPr>
      </w:pPr>
      <w:r>
        <w:t>Spotřebitelská inflace v prosinci 2019 podruhé za sebou překročila horní mez tolerančního pásma kolem inflačního cíle centrální banky a nejen, že o</w:t>
      </w:r>
      <w:r>
        <w:rPr>
          <w:color w:val="000000"/>
        </w:rPr>
        <w:t xml:space="preserve">proti prognóze ČNB byla vyšší o 0,3procentního bodu, ale i jádrová inflace stále prodlévala nad </w:t>
      </w:r>
      <w:proofErr w:type="spellStart"/>
      <w:r>
        <w:rPr>
          <w:color w:val="000000"/>
        </w:rPr>
        <w:t>cílovanými</w:t>
      </w:r>
      <w:proofErr w:type="spellEnd"/>
      <w:r>
        <w:rPr>
          <w:color w:val="000000"/>
        </w:rPr>
        <w:t xml:space="preserve"> dvěma procenty (zejména v důsledku vývoje cen bydlení), ačkoliv v průběhu loňského roku docházelo k jejímu postupnému zpomalení ze 3 na 2,5</w:t>
      </w:r>
      <w:r w:rsidR="005E655C">
        <w:rPr>
          <w:color w:val="000000"/>
        </w:rPr>
        <w:t xml:space="preserve"> %</w:t>
      </w:r>
      <w:r>
        <w:t xml:space="preserve">. </w:t>
      </w:r>
      <w:r>
        <w:rPr>
          <w:color w:val="000000"/>
        </w:rPr>
        <w:t xml:space="preserve">Proti vyššímu než očekávanému cenovému růstu však na přelomu let 2019/2020 působil poměrně rychle posilující měnový kurz. </w:t>
      </w:r>
    </w:p>
    <w:p w:rsidR="00F57548" w:rsidRDefault="00F57548" w:rsidP="00C9674F">
      <w:pPr>
        <w:rPr>
          <w:color w:val="000000"/>
        </w:rPr>
      </w:pPr>
    </w:p>
    <w:p w:rsidR="00F57548" w:rsidRDefault="00E67A6C" w:rsidP="00C9674F">
      <w:r>
        <w:rPr>
          <w:color w:val="000000"/>
        </w:rPr>
        <w:t>Není vyloučeno, že tento vývo</w:t>
      </w:r>
      <w:r>
        <w:t xml:space="preserve">j, </w:t>
      </w:r>
      <w:r>
        <w:rPr>
          <w:color w:val="000000"/>
        </w:rPr>
        <w:t>společně s přetrváváním vnějších rizik může – navzdory původnímu předpokladu listopadové prognózy ČNB o dvojím zvýšení dvoutýdenní reposazby během letošního roku – nakonec vést spíše k jejímu setrvání na současných 2 %</w:t>
      </w:r>
      <w:r w:rsidR="007D04F2">
        <w:rPr>
          <w:color w:val="000000"/>
        </w:rPr>
        <w:t>,</w:t>
      </w:r>
      <w:r>
        <w:rPr>
          <w:color w:val="000000"/>
        </w:rPr>
        <w:t xml:space="preserve"> což je naším hlavním scénářem. Pokud ovšem budou vnější rizika dále odeznívat, zatímco poptávkové tlaky polevovat nebudou, nelze vyloučit ani mírné zvýšení sazeb. Pro rok 2021 se názory prognostického panelu ČBA na pohyb sazeb rozcházejí oběma směry. O</w:t>
      </w:r>
      <w:r>
        <w:t xml:space="preserve">čekávání hlavních ekonomů bank se nicméně nadále shoduje </w:t>
      </w:r>
      <w:r w:rsidR="005722E2">
        <w:t xml:space="preserve">jednak </w:t>
      </w:r>
      <w:r>
        <w:t>na postupném snižování průměrné míry spotřebitelské inflace k cíli ČNB z cca 2,8 % loni, resp.</w:t>
      </w:r>
      <w:r w:rsidR="006C60A3">
        <w:t xml:space="preserve"> </w:t>
      </w:r>
      <w:r>
        <w:t>2,7 % letos na 2,0 % napřesrok</w:t>
      </w:r>
      <w:r w:rsidR="005722E2">
        <w:t>,</w:t>
      </w:r>
      <w:r>
        <w:t xml:space="preserve"> a </w:t>
      </w:r>
      <w:r w:rsidR="005722E2">
        <w:t xml:space="preserve">jednak </w:t>
      </w:r>
      <w:r>
        <w:t>ohledně měnového kurzu</w:t>
      </w:r>
      <w:r w:rsidR="005722E2">
        <w:t>, konkrétně</w:t>
      </w:r>
      <w:r>
        <w:t xml:space="preserve"> na jeho setrvání mírně nad hranicí 25 CZK/EUR až do roku 2021.</w:t>
      </w:r>
    </w:p>
    <w:p w:rsidR="00F57548" w:rsidRDefault="00F57548" w:rsidP="00C9674F"/>
    <w:p w:rsidR="00F57548" w:rsidRDefault="00E67A6C" w:rsidP="00C9674F">
      <w:pPr>
        <w:rPr>
          <w:b/>
          <w:color w:val="007E79"/>
          <w:sz w:val="20"/>
          <w:szCs w:val="20"/>
        </w:rPr>
      </w:pPr>
      <w:r>
        <w:rPr>
          <w:b/>
          <w:color w:val="007E79"/>
          <w:sz w:val="20"/>
          <w:szCs w:val="20"/>
        </w:rPr>
        <w:t>Očekávaný vývoj vkladů a úvěrové emise</w:t>
      </w:r>
    </w:p>
    <w:p w:rsidR="00F57548" w:rsidRDefault="00E67A6C" w:rsidP="00C9674F">
      <w:r>
        <w:t xml:space="preserve">Se zvolna rostoucími depozitními sazbami na trhu v loňském roce rostly relativně vysokým </w:t>
      </w:r>
      <w:proofErr w:type="gramStart"/>
      <w:r>
        <w:t>9,7%</w:t>
      </w:r>
      <w:proofErr w:type="gramEnd"/>
      <w:r>
        <w:t xml:space="preserve"> tempem i klientské vklady. Pro letošní a příští rok však prognóza ČBA očekává zvolnění růstu vkladů prakticky na polovinu – na stále však solidních 5,7</w:t>
      </w:r>
      <w:r w:rsidR="005E655C">
        <w:t xml:space="preserve"> %</w:t>
      </w:r>
      <w:r>
        <w:t xml:space="preserve">, resp. 4,6 %. Podobnou, ale mělčí „U“ křivku, jakou podle předpokladů opíše v posuzovaných </w:t>
      </w:r>
      <w:r w:rsidR="005722E2">
        <w:t>tří</w:t>
      </w:r>
      <w:r>
        <w:t xml:space="preserve"> letech tempo hospodářského růstu, bude kopírovat i úvěrová emise, a to na hladině kolem 5 %. Rozdílně se však bude chovat tempo růstu úvěrů domácnostem, které bude i nadále v souvislosti se zpřísněním regulace hypoték, zvýšením cen a zhoršením dostupnosti bytů klesat (z 6,6 % loni na očekávaných 5,9 % napřesrok), a</w:t>
      </w:r>
      <w:r w:rsidR="003F4C8B">
        <w:t xml:space="preserve"> klesat bude i</w:t>
      </w:r>
      <w:r>
        <w:t xml:space="preserve"> tempo růstu firemních úvěrů. U úvěrů poskytovaným nefinančním podnikům </w:t>
      </w:r>
      <w:r w:rsidR="00BC498C">
        <w:t>panel prognostiků ČBA odhaduje</w:t>
      </w:r>
      <w:r>
        <w:t>, že se v horizontu prognózy udrží mírně nad 4 %. Z pohledu podniků půjde na posuzovaném horizontu v zásadě o</w:t>
      </w:r>
      <w:r w:rsidR="005722E2">
        <w:t> </w:t>
      </w:r>
      <w:r>
        <w:t>stabilní tempo úvěrové emise.</w:t>
      </w:r>
    </w:p>
    <w:p w:rsidR="00F57548" w:rsidRDefault="00F57548" w:rsidP="00C9674F"/>
    <w:p w:rsidR="00F57548" w:rsidRPr="00C9674F" w:rsidRDefault="00E67A6C" w:rsidP="00C9674F">
      <w:pPr>
        <w:rPr>
          <w:b/>
          <w:color w:val="007E79"/>
        </w:rPr>
      </w:pPr>
      <w:r w:rsidRPr="00C9674F">
        <w:rPr>
          <w:b/>
          <w:color w:val="007E79"/>
        </w:rPr>
        <w:t>Prognózy růstu reálného HDP:</w:t>
      </w:r>
    </w:p>
    <w:tbl>
      <w:tblPr>
        <w:tblStyle w:val="a"/>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74"/>
        <w:gridCol w:w="1523"/>
        <w:gridCol w:w="1134"/>
        <w:gridCol w:w="1275"/>
      </w:tblGrid>
      <w:tr w:rsidR="00F57548" w:rsidRPr="00C9674F" w:rsidTr="00F8161E">
        <w:trPr>
          <w:trHeight w:val="257"/>
        </w:trPr>
        <w:tc>
          <w:tcPr>
            <w:tcW w:w="6274" w:type="dxa"/>
            <w:shd w:val="clear" w:color="auto" w:fill="007E79"/>
            <w:vAlign w:val="center"/>
          </w:tcPr>
          <w:p w:rsidR="00F57548" w:rsidRPr="00C9674F" w:rsidRDefault="00E67A6C" w:rsidP="00C9674F">
            <w:pPr>
              <w:spacing w:line="256" w:lineRule="auto"/>
              <w:jc w:val="left"/>
              <w:rPr>
                <w:b/>
                <w:color w:val="FFFFFF"/>
                <w:sz w:val="16"/>
                <w:szCs w:val="16"/>
              </w:rPr>
            </w:pPr>
            <w:r w:rsidRPr="00C9674F">
              <w:rPr>
                <w:rFonts w:eastAsia="Calibri"/>
                <w:b/>
                <w:color w:val="FFFFFF"/>
                <w:sz w:val="16"/>
                <w:szCs w:val="16"/>
              </w:rPr>
              <w:t>Instituce (+ nejaktuálnější prognóza)</w:t>
            </w:r>
          </w:p>
        </w:tc>
        <w:tc>
          <w:tcPr>
            <w:tcW w:w="1523" w:type="dxa"/>
            <w:shd w:val="clear" w:color="auto" w:fill="007E79"/>
            <w:vAlign w:val="center"/>
          </w:tcPr>
          <w:p w:rsidR="00F57548" w:rsidRPr="00C9674F" w:rsidRDefault="00E67A6C" w:rsidP="00C9674F">
            <w:pPr>
              <w:jc w:val="center"/>
              <w:rPr>
                <w:b/>
                <w:color w:val="FFFFFF"/>
                <w:sz w:val="16"/>
                <w:szCs w:val="16"/>
              </w:rPr>
            </w:pPr>
            <w:r w:rsidRPr="00C9674F">
              <w:rPr>
                <w:b/>
                <w:color w:val="FFFFFF"/>
                <w:sz w:val="16"/>
                <w:szCs w:val="16"/>
              </w:rPr>
              <w:t>2019</w:t>
            </w:r>
          </w:p>
        </w:tc>
        <w:tc>
          <w:tcPr>
            <w:tcW w:w="1134" w:type="dxa"/>
            <w:shd w:val="clear" w:color="auto" w:fill="007E79"/>
            <w:vAlign w:val="center"/>
          </w:tcPr>
          <w:p w:rsidR="00F57548" w:rsidRPr="00C9674F" w:rsidRDefault="00E67A6C" w:rsidP="00C9674F">
            <w:pPr>
              <w:jc w:val="center"/>
              <w:rPr>
                <w:b/>
                <w:color w:val="FFFFFF"/>
                <w:sz w:val="16"/>
                <w:szCs w:val="16"/>
              </w:rPr>
            </w:pPr>
            <w:r w:rsidRPr="00C9674F">
              <w:rPr>
                <w:b/>
                <w:color w:val="FFFFFF"/>
                <w:sz w:val="16"/>
                <w:szCs w:val="16"/>
              </w:rPr>
              <w:t>2020</w:t>
            </w:r>
          </w:p>
        </w:tc>
        <w:tc>
          <w:tcPr>
            <w:tcW w:w="1275" w:type="dxa"/>
            <w:shd w:val="clear" w:color="auto" w:fill="007E79"/>
            <w:vAlign w:val="center"/>
          </w:tcPr>
          <w:p w:rsidR="00F57548" w:rsidRPr="00C9674F" w:rsidRDefault="00E67A6C" w:rsidP="00C9674F">
            <w:pPr>
              <w:jc w:val="center"/>
              <w:rPr>
                <w:b/>
                <w:color w:val="FFFFFF"/>
                <w:sz w:val="16"/>
                <w:szCs w:val="16"/>
              </w:rPr>
            </w:pPr>
            <w:r w:rsidRPr="00C9674F">
              <w:rPr>
                <w:b/>
                <w:color w:val="FFFFFF"/>
                <w:sz w:val="16"/>
                <w:szCs w:val="16"/>
              </w:rPr>
              <w:t>2021</w:t>
            </w:r>
          </w:p>
        </w:tc>
      </w:tr>
      <w:tr w:rsidR="00F57548" w:rsidRPr="00C9674F" w:rsidTr="00F8161E">
        <w:trPr>
          <w:trHeight w:val="257"/>
        </w:trPr>
        <w:tc>
          <w:tcPr>
            <w:tcW w:w="6274" w:type="dxa"/>
            <w:shd w:val="clear" w:color="auto" w:fill="auto"/>
          </w:tcPr>
          <w:p w:rsidR="00F57548" w:rsidRPr="00C9674F" w:rsidRDefault="00E67A6C" w:rsidP="00C9674F">
            <w:pPr>
              <w:rPr>
                <w:sz w:val="16"/>
                <w:szCs w:val="16"/>
              </w:rPr>
            </w:pPr>
            <w:r w:rsidRPr="00C9674F">
              <w:rPr>
                <w:sz w:val="16"/>
                <w:szCs w:val="16"/>
              </w:rPr>
              <w:t xml:space="preserve">ČNB (prognóza listopad 2019)           </w:t>
            </w:r>
          </w:p>
        </w:tc>
        <w:tc>
          <w:tcPr>
            <w:tcW w:w="1523" w:type="dxa"/>
            <w:shd w:val="clear" w:color="auto" w:fill="auto"/>
            <w:vAlign w:val="center"/>
          </w:tcPr>
          <w:p w:rsidR="00F57548" w:rsidRPr="00C9674F" w:rsidRDefault="00E67A6C" w:rsidP="00C9674F">
            <w:pPr>
              <w:jc w:val="center"/>
              <w:rPr>
                <w:sz w:val="16"/>
                <w:szCs w:val="16"/>
              </w:rPr>
            </w:pPr>
            <w:r w:rsidRPr="00C9674F">
              <w:rPr>
                <w:sz w:val="16"/>
                <w:szCs w:val="16"/>
              </w:rPr>
              <w:t>2,6 %</w:t>
            </w:r>
          </w:p>
        </w:tc>
        <w:tc>
          <w:tcPr>
            <w:tcW w:w="1134" w:type="dxa"/>
            <w:vAlign w:val="center"/>
          </w:tcPr>
          <w:p w:rsidR="00F57548" w:rsidRPr="00C9674F" w:rsidRDefault="00E67A6C" w:rsidP="00C9674F">
            <w:pPr>
              <w:jc w:val="center"/>
              <w:rPr>
                <w:sz w:val="16"/>
                <w:szCs w:val="16"/>
              </w:rPr>
            </w:pPr>
            <w:r w:rsidRPr="00C9674F">
              <w:rPr>
                <w:sz w:val="16"/>
                <w:szCs w:val="16"/>
              </w:rPr>
              <w:t>2,4 %</w:t>
            </w:r>
          </w:p>
        </w:tc>
        <w:tc>
          <w:tcPr>
            <w:tcW w:w="1275" w:type="dxa"/>
            <w:vAlign w:val="center"/>
          </w:tcPr>
          <w:p w:rsidR="00F57548" w:rsidRPr="00C9674F" w:rsidRDefault="00E67A6C" w:rsidP="00C9674F">
            <w:pPr>
              <w:jc w:val="center"/>
              <w:rPr>
                <w:sz w:val="16"/>
                <w:szCs w:val="16"/>
              </w:rPr>
            </w:pPr>
            <w:r w:rsidRPr="00C9674F">
              <w:rPr>
                <w:sz w:val="16"/>
                <w:szCs w:val="16"/>
              </w:rPr>
              <w:t>2,8 %</w:t>
            </w:r>
          </w:p>
        </w:tc>
      </w:tr>
      <w:tr w:rsidR="00F57548" w:rsidRPr="00C9674F" w:rsidTr="00F8161E">
        <w:trPr>
          <w:trHeight w:val="257"/>
        </w:trPr>
        <w:tc>
          <w:tcPr>
            <w:tcW w:w="6274" w:type="dxa"/>
            <w:shd w:val="clear" w:color="auto" w:fill="auto"/>
          </w:tcPr>
          <w:p w:rsidR="00F57548" w:rsidRPr="00C9674F" w:rsidRDefault="00E67A6C" w:rsidP="00C9674F">
            <w:pPr>
              <w:rPr>
                <w:sz w:val="16"/>
                <w:szCs w:val="16"/>
              </w:rPr>
            </w:pPr>
            <w:r w:rsidRPr="00C9674F">
              <w:rPr>
                <w:sz w:val="16"/>
                <w:szCs w:val="16"/>
              </w:rPr>
              <w:t xml:space="preserve">Ministerstvo financí ČR (makroekonomická predikce listopad 2019)             </w:t>
            </w:r>
          </w:p>
        </w:tc>
        <w:tc>
          <w:tcPr>
            <w:tcW w:w="1523" w:type="dxa"/>
            <w:shd w:val="clear" w:color="auto" w:fill="auto"/>
            <w:vAlign w:val="center"/>
          </w:tcPr>
          <w:p w:rsidR="00F57548" w:rsidRPr="00C9674F" w:rsidRDefault="00E67A6C" w:rsidP="00C9674F">
            <w:pPr>
              <w:jc w:val="center"/>
              <w:rPr>
                <w:sz w:val="16"/>
                <w:szCs w:val="16"/>
              </w:rPr>
            </w:pPr>
            <w:r w:rsidRPr="00C9674F">
              <w:rPr>
                <w:sz w:val="16"/>
                <w:szCs w:val="16"/>
              </w:rPr>
              <w:t>2,5 %</w:t>
            </w:r>
          </w:p>
        </w:tc>
        <w:tc>
          <w:tcPr>
            <w:tcW w:w="1134" w:type="dxa"/>
            <w:vAlign w:val="center"/>
          </w:tcPr>
          <w:p w:rsidR="00F57548" w:rsidRPr="00C9674F" w:rsidRDefault="00E67A6C" w:rsidP="00C9674F">
            <w:pPr>
              <w:jc w:val="center"/>
              <w:rPr>
                <w:sz w:val="16"/>
                <w:szCs w:val="16"/>
              </w:rPr>
            </w:pPr>
            <w:r w:rsidRPr="00C9674F">
              <w:rPr>
                <w:sz w:val="16"/>
                <w:szCs w:val="16"/>
              </w:rPr>
              <w:t>2,0 %</w:t>
            </w:r>
          </w:p>
        </w:tc>
        <w:tc>
          <w:tcPr>
            <w:tcW w:w="1275" w:type="dxa"/>
            <w:vAlign w:val="center"/>
          </w:tcPr>
          <w:p w:rsidR="00F57548" w:rsidRPr="00C9674F" w:rsidRDefault="00E67A6C" w:rsidP="00C9674F">
            <w:pPr>
              <w:jc w:val="center"/>
              <w:rPr>
                <w:sz w:val="16"/>
                <w:szCs w:val="16"/>
              </w:rPr>
            </w:pPr>
            <w:r w:rsidRPr="00C9674F">
              <w:rPr>
                <w:sz w:val="16"/>
                <w:szCs w:val="16"/>
              </w:rPr>
              <w:t>2,2 %</w:t>
            </w:r>
          </w:p>
        </w:tc>
      </w:tr>
      <w:tr w:rsidR="00F57548" w:rsidRPr="00C9674F" w:rsidTr="00F8161E">
        <w:trPr>
          <w:trHeight w:val="257"/>
        </w:trPr>
        <w:tc>
          <w:tcPr>
            <w:tcW w:w="6274" w:type="dxa"/>
            <w:shd w:val="clear" w:color="auto" w:fill="auto"/>
          </w:tcPr>
          <w:p w:rsidR="00F57548" w:rsidRPr="00C9674F" w:rsidRDefault="00E67A6C" w:rsidP="00C9674F">
            <w:pPr>
              <w:rPr>
                <w:sz w:val="16"/>
                <w:szCs w:val="16"/>
              </w:rPr>
            </w:pPr>
            <w:r w:rsidRPr="00C9674F">
              <w:rPr>
                <w:sz w:val="16"/>
                <w:szCs w:val="16"/>
              </w:rPr>
              <w:t>MMF (</w:t>
            </w:r>
            <w:proofErr w:type="spellStart"/>
            <w:r w:rsidRPr="00C9674F">
              <w:rPr>
                <w:sz w:val="16"/>
                <w:szCs w:val="16"/>
              </w:rPr>
              <w:t>World</w:t>
            </w:r>
            <w:proofErr w:type="spellEnd"/>
            <w:r w:rsidRPr="00C9674F">
              <w:rPr>
                <w:sz w:val="16"/>
                <w:szCs w:val="16"/>
              </w:rPr>
              <w:t xml:space="preserve"> </w:t>
            </w:r>
            <w:proofErr w:type="spellStart"/>
            <w:r w:rsidRPr="00C9674F">
              <w:rPr>
                <w:sz w:val="16"/>
                <w:szCs w:val="16"/>
              </w:rPr>
              <w:t>Economic</w:t>
            </w:r>
            <w:proofErr w:type="spellEnd"/>
            <w:r w:rsidRPr="00C9674F">
              <w:rPr>
                <w:sz w:val="16"/>
                <w:szCs w:val="16"/>
              </w:rPr>
              <w:t xml:space="preserve"> Outlook, říjen 2019)    </w:t>
            </w:r>
          </w:p>
        </w:tc>
        <w:tc>
          <w:tcPr>
            <w:tcW w:w="1523" w:type="dxa"/>
            <w:shd w:val="clear" w:color="auto" w:fill="auto"/>
            <w:vAlign w:val="center"/>
          </w:tcPr>
          <w:p w:rsidR="00F57548" w:rsidRPr="00C9674F" w:rsidRDefault="00E67A6C" w:rsidP="00C9674F">
            <w:pPr>
              <w:jc w:val="center"/>
              <w:rPr>
                <w:sz w:val="16"/>
                <w:szCs w:val="16"/>
              </w:rPr>
            </w:pPr>
            <w:r w:rsidRPr="00C9674F">
              <w:rPr>
                <w:sz w:val="16"/>
                <w:szCs w:val="16"/>
              </w:rPr>
              <w:t>2,5 %</w:t>
            </w:r>
          </w:p>
        </w:tc>
        <w:tc>
          <w:tcPr>
            <w:tcW w:w="1134" w:type="dxa"/>
            <w:vAlign w:val="center"/>
          </w:tcPr>
          <w:p w:rsidR="00F57548" w:rsidRPr="00C9674F" w:rsidRDefault="00E67A6C" w:rsidP="00C9674F">
            <w:pPr>
              <w:jc w:val="center"/>
              <w:rPr>
                <w:sz w:val="16"/>
                <w:szCs w:val="16"/>
              </w:rPr>
            </w:pPr>
            <w:r w:rsidRPr="00C9674F">
              <w:rPr>
                <w:sz w:val="16"/>
                <w:szCs w:val="16"/>
              </w:rPr>
              <w:t>2,6 %</w:t>
            </w:r>
          </w:p>
        </w:tc>
        <w:tc>
          <w:tcPr>
            <w:tcW w:w="1275" w:type="dxa"/>
            <w:vAlign w:val="center"/>
          </w:tcPr>
          <w:p w:rsidR="00F57548" w:rsidRPr="00C9674F" w:rsidRDefault="00E67A6C" w:rsidP="00C9674F">
            <w:pPr>
              <w:jc w:val="center"/>
              <w:rPr>
                <w:sz w:val="16"/>
                <w:szCs w:val="16"/>
              </w:rPr>
            </w:pPr>
            <w:r w:rsidRPr="00C9674F">
              <w:rPr>
                <w:sz w:val="16"/>
                <w:szCs w:val="16"/>
              </w:rPr>
              <w:t>2,6 %</w:t>
            </w:r>
          </w:p>
        </w:tc>
      </w:tr>
      <w:tr w:rsidR="00F57548" w:rsidRPr="00C9674F" w:rsidTr="00F8161E">
        <w:trPr>
          <w:trHeight w:val="242"/>
        </w:trPr>
        <w:tc>
          <w:tcPr>
            <w:tcW w:w="6274" w:type="dxa"/>
            <w:shd w:val="clear" w:color="auto" w:fill="auto"/>
          </w:tcPr>
          <w:p w:rsidR="00F57548" w:rsidRPr="00C9674F" w:rsidRDefault="00E67A6C" w:rsidP="00C9674F">
            <w:pPr>
              <w:rPr>
                <w:b/>
                <w:color w:val="1F497D" w:themeColor="text2"/>
                <w:sz w:val="16"/>
                <w:szCs w:val="16"/>
              </w:rPr>
            </w:pPr>
            <w:r w:rsidRPr="00C9674F">
              <w:rPr>
                <w:b/>
                <w:color w:val="FF0000"/>
                <w:sz w:val="16"/>
                <w:szCs w:val="16"/>
              </w:rPr>
              <w:t xml:space="preserve">ČBA (prognóza leden 2020)       </w:t>
            </w:r>
          </w:p>
        </w:tc>
        <w:tc>
          <w:tcPr>
            <w:tcW w:w="1523" w:type="dxa"/>
            <w:shd w:val="clear" w:color="auto" w:fill="auto"/>
            <w:vAlign w:val="center"/>
          </w:tcPr>
          <w:p w:rsidR="00F57548" w:rsidRPr="00C9674F" w:rsidRDefault="00E67A6C" w:rsidP="00C9674F">
            <w:pPr>
              <w:pBdr>
                <w:top w:val="nil"/>
                <w:left w:val="nil"/>
                <w:bottom w:val="nil"/>
                <w:right w:val="nil"/>
                <w:between w:val="nil"/>
              </w:pBdr>
              <w:jc w:val="center"/>
              <w:rPr>
                <w:b/>
                <w:color w:val="FF0000"/>
                <w:sz w:val="16"/>
                <w:szCs w:val="16"/>
              </w:rPr>
            </w:pPr>
            <w:r w:rsidRPr="00C9674F">
              <w:rPr>
                <w:b/>
                <w:color w:val="FF0000"/>
                <w:sz w:val="16"/>
                <w:szCs w:val="16"/>
              </w:rPr>
              <w:t>2,5 %</w:t>
            </w:r>
          </w:p>
        </w:tc>
        <w:tc>
          <w:tcPr>
            <w:tcW w:w="1134" w:type="dxa"/>
            <w:vAlign w:val="center"/>
          </w:tcPr>
          <w:p w:rsidR="00F57548" w:rsidRPr="00C9674F" w:rsidRDefault="00E67A6C" w:rsidP="00C9674F">
            <w:pPr>
              <w:pBdr>
                <w:top w:val="nil"/>
                <w:left w:val="nil"/>
                <w:bottom w:val="nil"/>
                <w:right w:val="nil"/>
                <w:between w:val="nil"/>
              </w:pBdr>
              <w:jc w:val="center"/>
              <w:rPr>
                <w:b/>
                <w:color w:val="FF0000"/>
                <w:sz w:val="16"/>
                <w:szCs w:val="16"/>
              </w:rPr>
            </w:pPr>
            <w:r w:rsidRPr="00C9674F">
              <w:rPr>
                <w:b/>
                <w:color w:val="FF0000"/>
                <w:sz w:val="16"/>
                <w:szCs w:val="16"/>
              </w:rPr>
              <w:t>2,0 %</w:t>
            </w:r>
          </w:p>
        </w:tc>
        <w:tc>
          <w:tcPr>
            <w:tcW w:w="1275" w:type="dxa"/>
            <w:vAlign w:val="center"/>
          </w:tcPr>
          <w:p w:rsidR="00F57548" w:rsidRPr="00C9674F" w:rsidRDefault="00E67A6C" w:rsidP="00C9674F">
            <w:pPr>
              <w:pBdr>
                <w:top w:val="nil"/>
                <w:left w:val="nil"/>
                <w:bottom w:val="nil"/>
                <w:right w:val="nil"/>
                <w:between w:val="nil"/>
              </w:pBdr>
              <w:jc w:val="center"/>
              <w:rPr>
                <w:b/>
                <w:color w:val="FF0000"/>
                <w:sz w:val="16"/>
                <w:szCs w:val="16"/>
              </w:rPr>
            </w:pPr>
            <w:r w:rsidRPr="00C9674F">
              <w:rPr>
                <w:b/>
                <w:color w:val="FF0000"/>
                <w:sz w:val="16"/>
                <w:szCs w:val="16"/>
              </w:rPr>
              <w:t>2,3 %</w:t>
            </w:r>
          </w:p>
        </w:tc>
      </w:tr>
    </w:tbl>
    <w:p w:rsidR="00F57548" w:rsidRPr="00C9674F" w:rsidRDefault="00F57548" w:rsidP="00C9674F">
      <w:pPr>
        <w:rPr>
          <w:b/>
          <w:color w:val="007E79"/>
        </w:rPr>
      </w:pPr>
    </w:p>
    <w:p w:rsidR="00F57548" w:rsidRPr="00C9674F" w:rsidRDefault="00E67A6C" w:rsidP="00C9674F">
      <w:pPr>
        <w:rPr>
          <w:b/>
          <w:color w:val="007E79"/>
        </w:rPr>
      </w:pPr>
      <w:r w:rsidRPr="00C9674F">
        <w:rPr>
          <w:b/>
          <w:color w:val="007E79"/>
        </w:rPr>
        <w:t>Makroekonomická prognóza ČBA v</w:t>
      </w:r>
      <w:r w:rsidR="00A10779" w:rsidRPr="00C9674F">
        <w:rPr>
          <w:b/>
          <w:color w:val="007E79"/>
        </w:rPr>
        <w:t> </w:t>
      </w:r>
      <w:r w:rsidRPr="00C9674F">
        <w:rPr>
          <w:b/>
          <w:color w:val="007E79"/>
        </w:rPr>
        <w:t>číslech</w:t>
      </w:r>
      <w:r w:rsidR="00A10779" w:rsidRPr="00C9674F">
        <w:rPr>
          <w:b/>
          <w:color w:val="007E79"/>
        </w:rPr>
        <w:t xml:space="preserve"> (</w:t>
      </w:r>
      <w:r w:rsidR="00A10779" w:rsidRPr="00C9674F">
        <w:rPr>
          <w:b/>
        </w:rPr>
        <w:t>skutečnost</w:t>
      </w:r>
      <w:r w:rsidR="00A10779" w:rsidRPr="00C9674F">
        <w:rPr>
          <w:b/>
          <w:color w:val="007E79"/>
        </w:rPr>
        <w:t>/</w:t>
      </w:r>
      <w:r w:rsidR="00A10779" w:rsidRPr="00C9674F">
        <w:rPr>
          <w:b/>
          <w:color w:val="FF0000"/>
        </w:rPr>
        <w:t>prognóza</w:t>
      </w:r>
      <w:r w:rsidR="00A10779" w:rsidRPr="00C9674F">
        <w:rPr>
          <w:b/>
          <w:color w:val="007E79"/>
        </w:rPr>
        <w:t>)</w:t>
      </w:r>
      <w:r w:rsidRPr="00C9674F">
        <w:rPr>
          <w:b/>
          <w:color w:val="007E79"/>
        </w:rPr>
        <w:t>:</w:t>
      </w:r>
    </w:p>
    <w:tbl>
      <w:tblPr>
        <w:tblStyle w:val="a0"/>
        <w:tblW w:w="10253" w:type="dxa"/>
        <w:tblInd w:w="0" w:type="dxa"/>
        <w:tblLayout w:type="fixed"/>
        <w:tblLook w:val="0400" w:firstRow="0" w:lastRow="0" w:firstColumn="0" w:lastColumn="0" w:noHBand="0" w:noVBand="1"/>
      </w:tblPr>
      <w:tblGrid>
        <w:gridCol w:w="4952"/>
        <w:gridCol w:w="1275"/>
        <w:gridCol w:w="1418"/>
        <w:gridCol w:w="1417"/>
        <w:gridCol w:w="1191"/>
      </w:tblGrid>
      <w:tr w:rsidR="00F57548" w:rsidRPr="00C9674F" w:rsidTr="00F8161E">
        <w:trPr>
          <w:trHeight w:val="88"/>
        </w:trPr>
        <w:tc>
          <w:tcPr>
            <w:tcW w:w="4952" w:type="dxa"/>
            <w:tcBorders>
              <w:top w:val="single" w:sz="8" w:space="0" w:color="FFFFFF"/>
              <w:left w:val="single" w:sz="8" w:space="0" w:color="FFFFFF"/>
              <w:bottom w:val="single" w:sz="24" w:space="0" w:color="FFFFFF"/>
              <w:right w:val="single" w:sz="8" w:space="0" w:color="FFFFFF"/>
            </w:tcBorders>
            <w:shd w:val="clear" w:color="auto" w:fill="007E79"/>
            <w:tcMar>
              <w:top w:w="15" w:type="dxa"/>
              <w:left w:w="108" w:type="dxa"/>
              <w:bottom w:w="0" w:type="dxa"/>
              <w:right w:w="108" w:type="dxa"/>
            </w:tcMar>
          </w:tcPr>
          <w:p w:rsidR="00F57548" w:rsidRPr="00C9674F" w:rsidRDefault="00E67A6C" w:rsidP="00C9674F">
            <w:pPr>
              <w:spacing w:line="256" w:lineRule="auto"/>
              <w:rPr>
                <w:sz w:val="16"/>
                <w:szCs w:val="16"/>
              </w:rPr>
            </w:pPr>
            <w:r w:rsidRPr="00C9674F">
              <w:rPr>
                <w:rFonts w:eastAsia="Calibri"/>
                <w:b/>
                <w:color w:val="FFFFFF"/>
                <w:sz w:val="16"/>
                <w:szCs w:val="16"/>
              </w:rPr>
              <w:t>Ukazatel</w:t>
            </w:r>
          </w:p>
        </w:tc>
        <w:tc>
          <w:tcPr>
            <w:tcW w:w="1275" w:type="dxa"/>
            <w:tcBorders>
              <w:top w:val="single" w:sz="8" w:space="0" w:color="FFFFFF"/>
              <w:left w:val="single" w:sz="8" w:space="0" w:color="FFFFFF"/>
              <w:bottom w:val="single" w:sz="24" w:space="0" w:color="FFFFFF"/>
              <w:right w:val="single" w:sz="8" w:space="0" w:color="FFFFFF"/>
            </w:tcBorders>
            <w:shd w:val="clear" w:color="auto" w:fill="007E79"/>
            <w:tcMar>
              <w:top w:w="15" w:type="dxa"/>
              <w:left w:w="108" w:type="dxa"/>
              <w:bottom w:w="0" w:type="dxa"/>
              <w:right w:w="108" w:type="dxa"/>
            </w:tcMar>
          </w:tcPr>
          <w:p w:rsidR="00F57548" w:rsidRPr="00C9674F" w:rsidRDefault="00E67A6C" w:rsidP="00C9674F">
            <w:pPr>
              <w:spacing w:line="256" w:lineRule="auto"/>
              <w:jc w:val="center"/>
              <w:rPr>
                <w:sz w:val="16"/>
                <w:szCs w:val="16"/>
              </w:rPr>
            </w:pPr>
            <w:r w:rsidRPr="00C9674F">
              <w:rPr>
                <w:rFonts w:eastAsia="Calibri"/>
                <w:b/>
                <w:color w:val="FFFFFF"/>
                <w:sz w:val="16"/>
                <w:szCs w:val="16"/>
              </w:rPr>
              <w:t>2018</w:t>
            </w:r>
          </w:p>
        </w:tc>
        <w:tc>
          <w:tcPr>
            <w:tcW w:w="1418" w:type="dxa"/>
            <w:tcBorders>
              <w:top w:val="single" w:sz="8" w:space="0" w:color="FFFFFF"/>
              <w:left w:val="single" w:sz="8" w:space="0" w:color="FFFFFF"/>
              <w:bottom w:val="single" w:sz="24" w:space="0" w:color="FFFFFF"/>
              <w:right w:val="single" w:sz="8" w:space="0" w:color="FFFFFF"/>
            </w:tcBorders>
            <w:shd w:val="clear" w:color="auto" w:fill="007E79"/>
            <w:tcMar>
              <w:top w:w="15" w:type="dxa"/>
              <w:left w:w="108" w:type="dxa"/>
              <w:bottom w:w="0" w:type="dxa"/>
              <w:right w:w="108" w:type="dxa"/>
            </w:tcMar>
          </w:tcPr>
          <w:p w:rsidR="00F57548" w:rsidRPr="00C9674F" w:rsidRDefault="00E67A6C" w:rsidP="00C9674F">
            <w:pPr>
              <w:spacing w:line="256" w:lineRule="auto"/>
              <w:jc w:val="center"/>
              <w:rPr>
                <w:sz w:val="16"/>
                <w:szCs w:val="16"/>
              </w:rPr>
            </w:pPr>
            <w:r w:rsidRPr="00C9674F">
              <w:rPr>
                <w:rFonts w:eastAsia="Calibri"/>
                <w:b/>
                <w:color w:val="FFFFFF"/>
                <w:sz w:val="16"/>
                <w:szCs w:val="16"/>
              </w:rPr>
              <w:t>2019</w:t>
            </w:r>
          </w:p>
        </w:tc>
        <w:tc>
          <w:tcPr>
            <w:tcW w:w="1417" w:type="dxa"/>
            <w:tcBorders>
              <w:top w:val="single" w:sz="8" w:space="0" w:color="FFFFFF"/>
              <w:left w:val="single" w:sz="8" w:space="0" w:color="FFFFFF"/>
              <w:bottom w:val="single" w:sz="24" w:space="0" w:color="FFFFFF"/>
              <w:right w:val="single" w:sz="8" w:space="0" w:color="FFFFFF"/>
            </w:tcBorders>
            <w:shd w:val="clear" w:color="auto" w:fill="007E79"/>
            <w:tcMar>
              <w:top w:w="15" w:type="dxa"/>
              <w:left w:w="108" w:type="dxa"/>
              <w:bottom w:w="0" w:type="dxa"/>
              <w:right w:w="108" w:type="dxa"/>
            </w:tcMar>
          </w:tcPr>
          <w:p w:rsidR="00F57548" w:rsidRPr="00C9674F" w:rsidRDefault="00E67A6C" w:rsidP="00C9674F">
            <w:pPr>
              <w:spacing w:line="256" w:lineRule="auto"/>
              <w:jc w:val="center"/>
              <w:rPr>
                <w:sz w:val="16"/>
                <w:szCs w:val="16"/>
              </w:rPr>
            </w:pPr>
            <w:r w:rsidRPr="00C9674F">
              <w:rPr>
                <w:rFonts w:eastAsia="Calibri"/>
                <w:b/>
                <w:color w:val="FFFFFF"/>
                <w:sz w:val="16"/>
                <w:szCs w:val="16"/>
              </w:rPr>
              <w:t>2020</w:t>
            </w:r>
          </w:p>
        </w:tc>
        <w:tc>
          <w:tcPr>
            <w:tcW w:w="1191" w:type="dxa"/>
            <w:tcBorders>
              <w:top w:val="single" w:sz="8" w:space="0" w:color="FFFFFF"/>
              <w:left w:val="single" w:sz="8" w:space="0" w:color="FFFFFF"/>
              <w:bottom w:val="single" w:sz="24" w:space="0" w:color="FFFFFF"/>
              <w:right w:val="single" w:sz="8" w:space="0" w:color="FFFFFF"/>
            </w:tcBorders>
            <w:shd w:val="clear" w:color="auto" w:fill="007E79"/>
          </w:tcPr>
          <w:p w:rsidR="00F57548" w:rsidRPr="00C9674F" w:rsidRDefault="00E67A6C" w:rsidP="00C9674F">
            <w:pPr>
              <w:spacing w:line="256" w:lineRule="auto"/>
              <w:jc w:val="center"/>
              <w:rPr>
                <w:rFonts w:eastAsia="Calibri"/>
                <w:b/>
                <w:color w:val="FFFFFF"/>
                <w:sz w:val="16"/>
                <w:szCs w:val="16"/>
              </w:rPr>
            </w:pPr>
            <w:r w:rsidRPr="00C9674F">
              <w:rPr>
                <w:rFonts w:eastAsia="Calibri"/>
                <w:b/>
                <w:color w:val="FFFFFF"/>
                <w:sz w:val="16"/>
                <w:szCs w:val="16"/>
              </w:rPr>
              <w:t>2021</w:t>
            </w:r>
          </w:p>
        </w:tc>
      </w:tr>
      <w:tr w:rsidR="00F57548" w:rsidRPr="00C9674F" w:rsidTr="00F8161E">
        <w:trPr>
          <w:trHeight w:val="87"/>
        </w:trPr>
        <w:tc>
          <w:tcPr>
            <w:tcW w:w="4952" w:type="dxa"/>
            <w:tcBorders>
              <w:top w:val="single" w:sz="24"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tcPr>
          <w:p w:rsidR="00F57548" w:rsidRPr="00C9674F" w:rsidRDefault="00E67A6C" w:rsidP="00C9674F">
            <w:pPr>
              <w:spacing w:line="256" w:lineRule="auto"/>
              <w:rPr>
                <w:sz w:val="16"/>
                <w:szCs w:val="16"/>
              </w:rPr>
            </w:pPr>
            <w:r w:rsidRPr="00C9674F">
              <w:rPr>
                <w:rFonts w:eastAsia="Calibri"/>
                <w:b/>
                <w:color w:val="FFFFFF"/>
                <w:sz w:val="16"/>
                <w:szCs w:val="16"/>
              </w:rPr>
              <w:t>Růst reálného HDP (%)</w:t>
            </w:r>
          </w:p>
        </w:tc>
        <w:tc>
          <w:tcPr>
            <w:tcW w:w="1275" w:type="dxa"/>
            <w:tcBorders>
              <w:top w:val="single" w:sz="24"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rsidR="00F57548" w:rsidRPr="00C9674F" w:rsidRDefault="00E67A6C" w:rsidP="00C9674F">
            <w:pPr>
              <w:spacing w:line="256" w:lineRule="auto"/>
              <w:jc w:val="center"/>
              <w:rPr>
                <w:sz w:val="16"/>
                <w:szCs w:val="16"/>
              </w:rPr>
            </w:pPr>
            <w:r w:rsidRPr="00C9674F">
              <w:rPr>
                <w:rFonts w:eastAsia="Calibri"/>
                <w:b/>
                <w:sz w:val="16"/>
                <w:szCs w:val="16"/>
              </w:rPr>
              <w:t>3,0</w:t>
            </w:r>
          </w:p>
        </w:tc>
        <w:tc>
          <w:tcPr>
            <w:tcW w:w="1418" w:type="dxa"/>
            <w:tcBorders>
              <w:top w:val="single" w:sz="24"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rsidR="00F57548" w:rsidRPr="00C9674F" w:rsidRDefault="00E67A6C" w:rsidP="00C9674F">
            <w:pPr>
              <w:spacing w:line="256" w:lineRule="auto"/>
              <w:jc w:val="center"/>
              <w:rPr>
                <w:rFonts w:eastAsia="Calibri"/>
                <w:b/>
                <w:color w:val="FF0000"/>
                <w:sz w:val="16"/>
                <w:szCs w:val="16"/>
              </w:rPr>
            </w:pPr>
            <w:r w:rsidRPr="00C9674F">
              <w:rPr>
                <w:rFonts w:eastAsia="Calibri"/>
                <w:b/>
                <w:color w:val="FF0000"/>
                <w:sz w:val="16"/>
                <w:szCs w:val="16"/>
              </w:rPr>
              <w:t>2,5</w:t>
            </w:r>
          </w:p>
        </w:tc>
        <w:tc>
          <w:tcPr>
            <w:tcW w:w="1417" w:type="dxa"/>
            <w:tcBorders>
              <w:top w:val="single" w:sz="24"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rsidR="00F57548" w:rsidRPr="00C9674F" w:rsidRDefault="00E67A6C" w:rsidP="00C9674F">
            <w:pPr>
              <w:spacing w:line="256" w:lineRule="auto"/>
              <w:jc w:val="center"/>
              <w:rPr>
                <w:rFonts w:eastAsia="Calibri"/>
                <w:b/>
                <w:color w:val="FF0000"/>
                <w:sz w:val="16"/>
                <w:szCs w:val="16"/>
              </w:rPr>
            </w:pPr>
            <w:r w:rsidRPr="00C9674F">
              <w:rPr>
                <w:rFonts w:eastAsia="Calibri"/>
                <w:b/>
                <w:color w:val="FF0000"/>
                <w:sz w:val="16"/>
                <w:szCs w:val="16"/>
              </w:rPr>
              <w:t>2,0</w:t>
            </w:r>
          </w:p>
        </w:tc>
        <w:tc>
          <w:tcPr>
            <w:tcW w:w="1191" w:type="dxa"/>
            <w:tcBorders>
              <w:top w:val="single" w:sz="24" w:space="0" w:color="FFFFFF"/>
              <w:left w:val="single" w:sz="8" w:space="0" w:color="FFFFFF"/>
              <w:bottom w:val="single" w:sz="8" w:space="0" w:color="FFFFFF"/>
              <w:right w:val="single" w:sz="8" w:space="0" w:color="FFFFFF"/>
            </w:tcBorders>
            <w:shd w:val="clear" w:color="auto" w:fill="BFBFBF"/>
            <w:vAlign w:val="center"/>
          </w:tcPr>
          <w:p w:rsidR="00F57548" w:rsidRPr="00C9674F" w:rsidRDefault="00E67A6C" w:rsidP="00C9674F">
            <w:pPr>
              <w:spacing w:line="256" w:lineRule="auto"/>
              <w:jc w:val="center"/>
              <w:rPr>
                <w:rFonts w:eastAsia="Calibri"/>
                <w:b/>
                <w:color w:val="FF0000"/>
                <w:sz w:val="16"/>
                <w:szCs w:val="16"/>
              </w:rPr>
            </w:pPr>
            <w:r w:rsidRPr="00C9674F">
              <w:rPr>
                <w:rFonts w:eastAsia="Calibri"/>
                <w:b/>
                <w:color w:val="FF0000"/>
                <w:sz w:val="16"/>
                <w:szCs w:val="16"/>
              </w:rPr>
              <w:t>2,3</w:t>
            </w:r>
          </w:p>
        </w:tc>
      </w:tr>
      <w:tr w:rsidR="00F57548" w:rsidRPr="00C9674F" w:rsidTr="00F8161E">
        <w:trPr>
          <w:trHeight w:val="91"/>
        </w:trPr>
        <w:tc>
          <w:tcPr>
            <w:tcW w:w="4952"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tcPr>
          <w:p w:rsidR="00F57548" w:rsidRPr="00C9674F" w:rsidRDefault="00E67A6C" w:rsidP="00C9674F">
            <w:pPr>
              <w:spacing w:line="256" w:lineRule="auto"/>
              <w:rPr>
                <w:sz w:val="16"/>
                <w:szCs w:val="16"/>
              </w:rPr>
            </w:pPr>
            <w:r w:rsidRPr="00C9674F">
              <w:rPr>
                <w:rFonts w:eastAsia="Calibri"/>
                <w:b/>
                <w:color w:val="FFFFFF"/>
                <w:sz w:val="16"/>
                <w:szCs w:val="16"/>
              </w:rPr>
              <w:t>Podíl nezaměstnaných osob (MPSV): průměr (%)</w:t>
            </w:r>
          </w:p>
        </w:tc>
        <w:tc>
          <w:tcPr>
            <w:tcW w:w="127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rsidR="00F57548" w:rsidRPr="00C9674F" w:rsidRDefault="00E67A6C" w:rsidP="00C9674F">
            <w:pPr>
              <w:spacing w:line="256" w:lineRule="auto"/>
              <w:jc w:val="center"/>
              <w:rPr>
                <w:sz w:val="16"/>
                <w:szCs w:val="16"/>
              </w:rPr>
            </w:pPr>
            <w:r w:rsidRPr="00C9674F">
              <w:rPr>
                <w:rFonts w:eastAsia="Calibri"/>
                <w:b/>
                <w:sz w:val="16"/>
                <w:szCs w:val="16"/>
              </w:rPr>
              <w:t>3,2</w:t>
            </w:r>
          </w:p>
        </w:tc>
        <w:tc>
          <w:tcPr>
            <w:tcW w:w="1418"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rsidR="00F57548" w:rsidRPr="00C9674F" w:rsidRDefault="00E67A6C" w:rsidP="00C9674F">
            <w:pPr>
              <w:spacing w:line="256" w:lineRule="auto"/>
              <w:jc w:val="center"/>
              <w:rPr>
                <w:rFonts w:eastAsia="Calibri"/>
                <w:b/>
                <w:color w:val="FF0000"/>
                <w:sz w:val="16"/>
                <w:szCs w:val="16"/>
              </w:rPr>
            </w:pPr>
            <w:r w:rsidRPr="00C9674F">
              <w:rPr>
                <w:rFonts w:eastAsia="Calibri"/>
                <w:b/>
                <w:sz w:val="16"/>
                <w:szCs w:val="16"/>
              </w:rPr>
              <w:t>2,8</w:t>
            </w:r>
          </w:p>
        </w:tc>
        <w:tc>
          <w:tcPr>
            <w:tcW w:w="1417"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rsidR="00F57548" w:rsidRPr="00C9674F" w:rsidRDefault="00E67A6C" w:rsidP="00C9674F">
            <w:pPr>
              <w:spacing w:line="256" w:lineRule="auto"/>
              <w:jc w:val="center"/>
              <w:rPr>
                <w:rFonts w:eastAsia="Calibri"/>
                <w:b/>
                <w:color w:val="FF0000"/>
                <w:sz w:val="16"/>
                <w:szCs w:val="16"/>
              </w:rPr>
            </w:pPr>
            <w:r w:rsidRPr="00C9674F">
              <w:rPr>
                <w:rFonts w:eastAsia="Calibri"/>
                <w:b/>
                <w:color w:val="FF0000"/>
                <w:sz w:val="16"/>
                <w:szCs w:val="16"/>
              </w:rPr>
              <w:t>2,9</w:t>
            </w:r>
          </w:p>
        </w:tc>
        <w:tc>
          <w:tcPr>
            <w:tcW w:w="1191" w:type="dxa"/>
            <w:tcBorders>
              <w:top w:val="single" w:sz="8" w:space="0" w:color="FFFFFF"/>
              <w:left w:val="single" w:sz="8" w:space="0" w:color="FFFFFF"/>
              <w:bottom w:val="single" w:sz="8" w:space="0" w:color="FFFFFF"/>
              <w:right w:val="single" w:sz="8" w:space="0" w:color="FFFFFF"/>
            </w:tcBorders>
            <w:shd w:val="clear" w:color="auto" w:fill="BFBFBF"/>
            <w:vAlign w:val="center"/>
          </w:tcPr>
          <w:p w:rsidR="00F57548" w:rsidRPr="00C9674F" w:rsidRDefault="00E67A6C" w:rsidP="00C9674F">
            <w:pPr>
              <w:spacing w:line="256" w:lineRule="auto"/>
              <w:jc w:val="center"/>
              <w:rPr>
                <w:rFonts w:eastAsia="Calibri"/>
                <w:b/>
                <w:color w:val="FF0000"/>
                <w:sz w:val="16"/>
                <w:szCs w:val="16"/>
              </w:rPr>
            </w:pPr>
            <w:r w:rsidRPr="00C9674F">
              <w:rPr>
                <w:rFonts w:eastAsia="Calibri"/>
                <w:b/>
                <w:color w:val="FF0000"/>
                <w:sz w:val="16"/>
                <w:szCs w:val="16"/>
              </w:rPr>
              <w:t>3,2</w:t>
            </w:r>
          </w:p>
        </w:tc>
      </w:tr>
      <w:tr w:rsidR="00F57548" w:rsidRPr="00C9674F" w:rsidTr="00F8161E">
        <w:trPr>
          <w:trHeight w:val="87"/>
        </w:trPr>
        <w:tc>
          <w:tcPr>
            <w:tcW w:w="4952"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tcPr>
          <w:p w:rsidR="00F57548" w:rsidRPr="00C9674F" w:rsidRDefault="00E67A6C" w:rsidP="00C9674F">
            <w:pPr>
              <w:spacing w:line="256" w:lineRule="auto"/>
              <w:rPr>
                <w:sz w:val="16"/>
                <w:szCs w:val="16"/>
              </w:rPr>
            </w:pPr>
            <w:r w:rsidRPr="00C9674F">
              <w:rPr>
                <w:rFonts w:eastAsia="Calibri"/>
                <w:b/>
                <w:color w:val="FFFFFF"/>
                <w:sz w:val="16"/>
                <w:szCs w:val="16"/>
              </w:rPr>
              <w:t>Průměrná nominální mzda (růst v %)</w:t>
            </w:r>
          </w:p>
        </w:tc>
        <w:tc>
          <w:tcPr>
            <w:tcW w:w="127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rsidR="00F57548" w:rsidRPr="00C9674F" w:rsidRDefault="00E67A6C" w:rsidP="00C9674F">
            <w:pPr>
              <w:spacing w:line="256" w:lineRule="auto"/>
              <w:jc w:val="center"/>
              <w:rPr>
                <w:rFonts w:eastAsia="Calibri"/>
                <w:b/>
                <w:sz w:val="16"/>
                <w:szCs w:val="16"/>
              </w:rPr>
            </w:pPr>
            <w:r w:rsidRPr="00C9674F">
              <w:rPr>
                <w:rFonts w:eastAsia="Calibri"/>
                <w:b/>
                <w:sz w:val="16"/>
                <w:szCs w:val="16"/>
              </w:rPr>
              <w:t>7,5</w:t>
            </w:r>
          </w:p>
        </w:tc>
        <w:tc>
          <w:tcPr>
            <w:tcW w:w="1418"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rsidR="00F57548" w:rsidRPr="00C9674F" w:rsidRDefault="00E67A6C" w:rsidP="00C9674F">
            <w:pPr>
              <w:spacing w:line="256" w:lineRule="auto"/>
              <w:jc w:val="center"/>
              <w:rPr>
                <w:rFonts w:eastAsia="Calibri"/>
                <w:b/>
                <w:color w:val="FF0000"/>
                <w:sz w:val="16"/>
                <w:szCs w:val="16"/>
              </w:rPr>
            </w:pPr>
            <w:r w:rsidRPr="00C9674F">
              <w:rPr>
                <w:rFonts w:eastAsia="Calibri"/>
                <w:b/>
                <w:color w:val="FF0000"/>
                <w:sz w:val="16"/>
                <w:szCs w:val="16"/>
              </w:rPr>
              <w:t>7,0</w:t>
            </w:r>
          </w:p>
        </w:tc>
        <w:tc>
          <w:tcPr>
            <w:tcW w:w="1417"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rsidR="00F57548" w:rsidRPr="00C9674F" w:rsidRDefault="00E67A6C" w:rsidP="00C9674F">
            <w:pPr>
              <w:spacing w:line="256" w:lineRule="auto"/>
              <w:jc w:val="center"/>
              <w:rPr>
                <w:rFonts w:eastAsia="Calibri"/>
                <w:b/>
                <w:color w:val="FF0000"/>
                <w:sz w:val="16"/>
                <w:szCs w:val="16"/>
              </w:rPr>
            </w:pPr>
            <w:r w:rsidRPr="00C9674F">
              <w:rPr>
                <w:rFonts w:eastAsia="Calibri"/>
                <w:b/>
                <w:color w:val="FF0000"/>
                <w:sz w:val="16"/>
                <w:szCs w:val="16"/>
              </w:rPr>
              <w:t>5,6</w:t>
            </w:r>
          </w:p>
        </w:tc>
        <w:tc>
          <w:tcPr>
            <w:tcW w:w="1191" w:type="dxa"/>
            <w:tcBorders>
              <w:top w:val="single" w:sz="8" w:space="0" w:color="FFFFFF"/>
              <w:left w:val="single" w:sz="8" w:space="0" w:color="FFFFFF"/>
              <w:bottom w:val="single" w:sz="8" w:space="0" w:color="FFFFFF"/>
              <w:right w:val="single" w:sz="8" w:space="0" w:color="FFFFFF"/>
            </w:tcBorders>
            <w:shd w:val="clear" w:color="auto" w:fill="BFBFBF"/>
            <w:vAlign w:val="center"/>
          </w:tcPr>
          <w:p w:rsidR="00F57548" w:rsidRPr="00C9674F" w:rsidRDefault="00E67A6C" w:rsidP="00C9674F">
            <w:pPr>
              <w:spacing w:line="256" w:lineRule="auto"/>
              <w:jc w:val="center"/>
              <w:rPr>
                <w:rFonts w:eastAsia="Calibri"/>
                <w:b/>
                <w:color w:val="FF0000"/>
                <w:sz w:val="16"/>
                <w:szCs w:val="16"/>
              </w:rPr>
            </w:pPr>
            <w:r w:rsidRPr="00C9674F">
              <w:rPr>
                <w:rFonts w:eastAsia="Calibri"/>
                <w:b/>
                <w:color w:val="FF0000"/>
                <w:sz w:val="16"/>
                <w:szCs w:val="16"/>
              </w:rPr>
              <w:t>4,8</w:t>
            </w:r>
          </w:p>
        </w:tc>
      </w:tr>
      <w:tr w:rsidR="00F57548" w:rsidRPr="00C9674F" w:rsidTr="00F8161E">
        <w:trPr>
          <w:trHeight w:val="87"/>
        </w:trPr>
        <w:tc>
          <w:tcPr>
            <w:tcW w:w="4952"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tcPr>
          <w:p w:rsidR="00F57548" w:rsidRPr="00C9674F" w:rsidRDefault="00E67A6C" w:rsidP="00C9674F">
            <w:pPr>
              <w:spacing w:line="256" w:lineRule="auto"/>
              <w:rPr>
                <w:sz w:val="16"/>
                <w:szCs w:val="16"/>
              </w:rPr>
            </w:pPr>
            <w:r w:rsidRPr="00C9674F">
              <w:rPr>
                <w:rFonts w:eastAsia="Calibri"/>
                <w:b/>
                <w:color w:val="FFFFFF"/>
                <w:sz w:val="16"/>
                <w:szCs w:val="16"/>
              </w:rPr>
              <w:t>Míra inflace: CPI (%) průměr</w:t>
            </w:r>
          </w:p>
        </w:tc>
        <w:tc>
          <w:tcPr>
            <w:tcW w:w="127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rsidR="00F57548" w:rsidRPr="00C9674F" w:rsidRDefault="00E67A6C" w:rsidP="00C9674F">
            <w:pPr>
              <w:spacing w:line="256" w:lineRule="auto"/>
              <w:jc w:val="center"/>
              <w:rPr>
                <w:sz w:val="16"/>
                <w:szCs w:val="16"/>
              </w:rPr>
            </w:pPr>
            <w:r w:rsidRPr="00C9674F">
              <w:rPr>
                <w:rFonts w:eastAsia="Calibri"/>
                <w:b/>
                <w:sz w:val="16"/>
                <w:szCs w:val="16"/>
              </w:rPr>
              <w:t>2,1</w:t>
            </w:r>
          </w:p>
        </w:tc>
        <w:tc>
          <w:tcPr>
            <w:tcW w:w="1418"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rsidR="00F57548" w:rsidRPr="00C9674F" w:rsidRDefault="00E67A6C" w:rsidP="00C9674F">
            <w:pPr>
              <w:spacing w:line="256" w:lineRule="auto"/>
              <w:jc w:val="center"/>
              <w:rPr>
                <w:rFonts w:eastAsia="Calibri"/>
                <w:b/>
                <w:color w:val="000000"/>
                <w:sz w:val="16"/>
                <w:szCs w:val="16"/>
              </w:rPr>
            </w:pPr>
            <w:r w:rsidRPr="00C9674F">
              <w:rPr>
                <w:rFonts w:eastAsia="Calibri"/>
                <w:b/>
                <w:sz w:val="16"/>
                <w:szCs w:val="16"/>
              </w:rPr>
              <w:t>2,8</w:t>
            </w:r>
          </w:p>
        </w:tc>
        <w:tc>
          <w:tcPr>
            <w:tcW w:w="1417"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rsidR="00F57548" w:rsidRPr="00C9674F" w:rsidRDefault="00E67A6C" w:rsidP="00C9674F">
            <w:pPr>
              <w:spacing w:line="256" w:lineRule="auto"/>
              <w:jc w:val="center"/>
              <w:rPr>
                <w:rFonts w:eastAsia="Calibri"/>
                <w:b/>
                <w:color w:val="FF0000"/>
                <w:sz w:val="16"/>
                <w:szCs w:val="16"/>
              </w:rPr>
            </w:pPr>
            <w:r w:rsidRPr="00C9674F">
              <w:rPr>
                <w:rFonts w:eastAsia="Calibri"/>
                <w:b/>
                <w:color w:val="FF0000"/>
                <w:sz w:val="16"/>
                <w:szCs w:val="16"/>
              </w:rPr>
              <w:t>2,7</w:t>
            </w:r>
          </w:p>
        </w:tc>
        <w:tc>
          <w:tcPr>
            <w:tcW w:w="1191" w:type="dxa"/>
            <w:tcBorders>
              <w:top w:val="single" w:sz="8" w:space="0" w:color="FFFFFF"/>
              <w:left w:val="single" w:sz="8" w:space="0" w:color="FFFFFF"/>
              <w:bottom w:val="single" w:sz="8" w:space="0" w:color="FFFFFF"/>
              <w:right w:val="single" w:sz="8" w:space="0" w:color="FFFFFF"/>
            </w:tcBorders>
            <w:shd w:val="clear" w:color="auto" w:fill="BFBFBF"/>
            <w:vAlign w:val="center"/>
          </w:tcPr>
          <w:p w:rsidR="00F57548" w:rsidRPr="00C9674F" w:rsidRDefault="00E67A6C" w:rsidP="00C9674F">
            <w:pPr>
              <w:spacing w:line="256" w:lineRule="auto"/>
              <w:jc w:val="center"/>
              <w:rPr>
                <w:rFonts w:eastAsia="Calibri"/>
                <w:b/>
                <w:color w:val="FF0000"/>
                <w:sz w:val="16"/>
                <w:szCs w:val="16"/>
              </w:rPr>
            </w:pPr>
            <w:r w:rsidRPr="00C9674F">
              <w:rPr>
                <w:rFonts w:eastAsia="Calibri"/>
                <w:b/>
                <w:color w:val="FF0000"/>
                <w:sz w:val="16"/>
                <w:szCs w:val="16"/>
              </w:rPr>
              <w:t>2,0</w:t>
            </w:r>
          </w:p>
        </w:tc>
      </w:tr>
      <w:tr w:rsidR="00F57548" w:rsidRPr="00C9674F" w:rsidTr="00F8161E">
        <w:trPr>
          <w:trHeight w:val="87"/>
        </w:trPr>
        <w:tc>
          <w:tcPr>
            <w:tcW w:w="4952"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tcPr>
          <w:p w:rsidR="00F57548" w:rsidRPr="00C9674F" w:rsidRDefault="00E67A6C" w:rsidP="00C9674F">
            <w:pPr>
              <w:spacing w:line="256" w:lineRule="auto"/>
              <w:rPr>
                <w:sz w:val="16"/>
                <w:szCs w:val="16"/>
              </w:rPr>
            </w:pPr>
            <w:r w:rsidRPr="00C9674F">
              <w:rPr>
                <w:rFonts w:eastAsia="Calibri"/>
                <w:b/>
                <w:color w:val="FFFFFF"/>
                <w:sz w:val="16"/>
                <w:szCs w:val="16"/>
              </w:rPr>
              <w:t>Vládní deficit/přebytek (% HDP)</w:t>
            </w:r>
          </w:p>
        </w:tc>
        <w:tc>
          <w:tcPr>
            <w:tcW w:w="127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rsidR="00F57548" w:rsidRPr="00C9674F" w:rsidRDefault="00E67A6C" w:rsidP="00C9674F">
            <w:pPr>
              <w:spacing w:line="256" w:lineRule="auto"/>
              <w:jc w:val="center"/>
              <w:rPr>
                <w:sz w:val="16"/>
                <w:szCs w:val="16"/>
              </w:rPr>
            </w:pPr>
            <w:r w:rsidRPr="00C9674F">
              <w:rPr>
                <w:rFonts w:eastAsia="Calibri"/>
                <w:b/>
                <w:sz w:val="16"/>
                <w:szCs w:val="16"/>
              </w:rPr>
              <w:t>0,9</w:t>
            </w:r>
          </w:p>
        </w:tc>
        <w:tc>
          <w:tcPr>
            <w:tcW w:w="1418"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rsidR="00F57548" w:rsidRPr="00C9674F" w:rsidRDefault="00E67A6C" w:rsidP="00C9674F">
            <w:pPr>
              <w:spacing w:line="256" w:lineRule="auto"/>
              <w:jc w:val="center"/>
              <w:rPr>
                <w:rFonts w:eastAsia="Calibri"/>
                <w:b/>
                <w:color w:val="FF0000"/>
                <w:sz w:val="16"/>
                <w:szCs w:val="16"/>
              </w:rPr>
            </w:pPr>
            <w:r w:rsidRPr="00C9674F">
              <w:rPr>
                <w:rFonts w:eastAsia="Calibri"/>
                <w:b/>
                <w:color w:val="FF0000"/>
                <w:sz w:val="16"/>
                <w:szCs w:val="16"/>
              </w:rPr>
              <w:t>0,2</w:t>
            </w:r>
          </w:p>
        </w:tc>
        <w:tc>
          <w:tcPr>
            <w:tcW w:w="1417"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rsidR="00F57548" w:rsidRPr="00C9674F" w:rsidRDefault="00F8161E" w:rsidP="00C9674F">
            <w:pPr>
              <w:pBdr>
                <w:top w:val="nil"/>
                <w:left w:val="nil"/>
                <w:bottom w:val="nil"/>
                <w:right w:val="nil"/>
                <w:between w:val="nil"/>
              </w:pBdr>
              <w:spacing w:line="256" w:lineRule="auto"/>
              <w:jc w:val="center"/>
              <w:rPr>
                <w:color w:val="FF0000"/>
                <w:sz w:val="16"/>
                <w:szCs w:val="16"/>
              </w:rPr>
            </w:pPr>
            <w:r w:rsidRPr="00C9674F">
              <w:rPr>
                <w:rFonts w:eastAsia="Calibri"/>
                <w:bCs/>
                <w:color w:val="FF0000"/>
                <w:sz w:val="16"/>
                <w:szCs w:val="16"/>
              </w:rPr>
              <w:t>-</w:t>
            </w:r>
            <w:r w:rsidR="00E67A6C" w:rsidRPr="00C9674F">
              <w:rPr>
                <w:rFonts w:eastAsia="Calibri"/>
                <w:b/>
                <w:color w:val="FF0000"/>
                <w:sz w:val="16"/>
                <w:szCs w:val="16"/>
              </w:rPr>
              <w:t>0,2</w:t>
            </w:r>
          </w:p>
        </w:tc>
        <w:tc>
          <w:tcPr>
            <w:tcW w:w="1191" w:type="dxa"/>
            <w:tcBorders>
              <w:top w:val="single" w:sz="8" w:space="0" w:color="FFFFFF"/>
              <w:left w:val="single" w:sz="8" w:space="0" w:color="FFFFFF"/>
              <w:bottom w:val="single" w:sz="8" w:space="0" w:color="FFFFFF"/>
              <w:right w:val="single" w:sz="8" w:space="0" w:color="FFFFFF"/>
            </w:tcBorders>
            <w:shd w:val="clear" w:color="auto" w:fill="BFBFBF"/>
            <w:vAlign w:val="center"/>
          </w:tcPr>
          <w:p w:rsidR="00F57548" w:rsidRPr="00C9674F" w:rsidRDefault="00F8161E" w:rsidP="00C9674F">
            <w:pPr>
              <w:pBdr>
                <w:top w:val="nil"/>
                <w:left w:val="nil"/>
                <w:bottom w:val="nil"/>
                <w:right w:val="nil"/>
                <w:between w:val="nil"/>
              </w:pBdr>
              <w:spacing w:line="256" w:lineRule="auto"/>
              <w:jc w:val="center"/>
              <w:rPr>
                <w:color w:val="FF0000"/>
                <w:sz w:val="16"/>
                <w:szCs w:val="16"/>
              </w:rPr>
            </w:pPr>
            <w:r w:rsidRPr="00C9674F">
              <w:rPr>
                <w:rFonts w:eastAsia="Calibri"/>
                <w:b/>
                <w:color w:val="FF0000"/>
                <w:sz w:val="16"/>
                <w:szCs w:val="16"/>
              </w:rPr>
              <w:t>-</w:t>
            </w:r>
            <w:r w:rsidR="00E67A6C" w:rsidRPr="00C9674F">
              <w:rPr>
                <w:rFonts w:eastAsia="Calibri"/>
                <w:b/>
                <w:color w:val="FF0000"/>
                <w:sz w:val="16"/>
                <w:szCs w:val="16"/>
              </w:rPr>
              <w:t>0,4</w:t>
            </w:r>
          </w:p>
        </w:tc>
      </w:tr>
      <w:tr w:rsidR="00F57548" w:rsidRPr="00C9674F" w:rsidTr="00F8161E">
        <w:trPr>
          <w:trHeight w:val="87"/>
        </w:trPr>
        <w:tc>
          <w:tcPr>
            <w:tcW w:w="4952"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tcPr>
          <w:p w:rsidR="00F57548" w:rsidRPr="00C9674F" w:rsidRDefault="00E67A6C" w:rsidP="00C9674F">
            <w:pPr>
              <w:spacing w:line="256" w:lineRule="auto"/>
              <w:rPr>
                <w:sz w:val="16"/>
                <w:szCs w:val="16"/>
              </w:rPr>
            </w:pPr>
            <w:r w:rsidRPr="00C9674F">
              <w:rPr>
                <w:rFonts w:eastAsia="Calibri"/>
                <w:b/>
                <w:color w:val="FFFFFF"/>
                <w:sz w:val="16"/>
                <w:szCs w:val="16"/>
              </w:rPr>
              <w:t xml:space="preserve">Vládní dluh (% HDP) </w:t>
            </w:r>
          </w:p>
        </w:tc>
        <w:tc>
          <w:tcPr>
            <w:tcW w:w="127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rsidR="00F57548" w:rsidRPr="00C9674F" w:rsidRDefault="00E67A6C" w:rsidP="00C9674F">
            <w:pPr>
              <w:spacing w:line="256" w:lineRule="auto"/>
              <w:jc w:val="center"/>
              <w:rPr>
                <w:sz w:val="16"/>
                <w:szCs w:val="16"/>
              </w:rPr>
            </w:pPr>
            <w:r w:rsidRPr="00C9674F">
              <w:rPr>
                <w:rFonts w:eastAsia="Calibri"/>
                <w:b/>
                <w:sz w:val="16"/>
                <w:szCs w:val="16"/>
              </w:rPr>
              <w:t>32,6</w:t>
            </w:r>
          </w:p>
        </w:tc>
        <w:tc>
          <w:tcPr>
            <w:tcW w:w="1418"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rsidR="00F57548" w:rsidRPr="00C9674F" w:rsidRDefault="00E67A6C" w:rsidP="00C9674F">
            <w:pPr>
              <w:spacing w:line="256" w:lineRule="auto"/>
              <w:jc w:val="center"/>
              <w:rPr>
                <w:rFonts w:eastAsia="Calibri"/>
                <w:b/>
                <w:color w:val="FF0000"/>
                <w:sz w:val="16"/>
                <w:szCs w:val="16"/>
              </w:rPr>
            </w:pPr>
            <w:r w:rsidRPr="00C9674F">
              <w:rPr>
                <w:rFonts w:eastAsia="Calibri"/>
                <w:b/>
                <w:color w:val="FF0000"/>
                <w:sz w:val="16"/>
                <w:szCs w:val="16"/>
              </w:rPr>
              <w:t>30,8</w:t>
            </w:r>
          </w:p>
        </w:tc>
        <w:tc>
          <w:tcPr>
            <w:tcW w:w="1417"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rsidR="00F57548" w:rsidRPr="00C9674F" w:rsidRDefault="00E67A6C" w:rsidP="00C9674F">
            <w:pPr>
              <w:spacing w:line="256" w:lineRule="auto"/>
              <w:jc w:val="center"/>
              <w:rPr>
                <w:rFonts w:eastAsia="Calibri"/>
                <w:b/>
                <w:color w:val="FF0000"/>
                <w:sz w:val="16"/>
                <w:szCs w:val="16"/>
              </w:rPr>
            </w:pPr>
            <w:r w:rsidRPr="00C9674F">
              <w:rPr>
                <w:rFonts w:eastAsia="Calibri"/>
                <w:b/>
                <w:color w:val="FF0000"/>
                <w:sz w:val="16"/>
                <w:szCs w:val="16"/>
              </w:rPr>
              <w:t>30,1</w:t>
            </w:r>
          </w:p>
        </w:tc>
        <w:tc>
          <w:tcPr>
            <w:tcW w:w="1191" w:type="dxa"/>
            <w:tcBorders>
              <w:top w:val="single" w:sz="8" w:space="0" w:color="FFFFFF"/>
              <w:left w:val="single" w:sz="8" w:space="0" w:color="FFFFFF"/>
              <w:bottom w:val="single" w:sz="8" w:space="0" w:color="FFFFFF"/>
              <w:right w:val="single" w:sz="8" w:space="0" w:color="FFFFFF"/>
            </w:tcBorders>
            <w:shd w:val="clear" w:color="auto" w:fill="BFBFBF"/>
            <w:vAlign w:val="center"/>
          </w:tcPr>
          <w:p w:rsidR="00F57548" w:rsidRPr="00C9674F" w:rsidRDefault="00E67A6C" w:rsidP="00C9674F">
            <w:pPr>
              <w:spacing w:line="256" w:lineRule="auto"/>
              <w:jc w:val="center"/>
              <w:rPr>
                <w:rFonts w:eastAsia="Calibri"/>
                <w:b/>
                <w:color w:val="FF0000"/>
                <w:sz w:val="16"/>
                <w:szCs w:val="16"/>
              </w:rPr>
            </w:pPr>
            <w:r w:rsidRPr="00C9674F">
              <w:rPr>
                <w:rFonts w:eastAsia="Calibri"/>
                <w:b/>
                <w:color w:val="FF0000"/>
                <w:sz w:val="16"/>
                <w:szCs w:val="16"/>
              </w:rPr>
              <w:t>29,8</w:t>
            </w:r>
          </w:p>
        </w:tc>
      </w:tr>
      <w:tr w:rsidR="00F57548" w:rsidRPr="00C9674F" w:rsidTr="00F8161E">
        <w:trPr>
          <w:trHeight w:val="87"/>
        </w:trPr>
        <w:tc>
          <w:tcPr>
            <w:tcW w:w="4952"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tcPr>
          <w:p w:rsidR="00F57548" w:rsidRPr="00C9674F" w:rsidRDefault="00E67A6C" w:rsidP="00C9674F">
            <w:pPr>
              <w:spacing w:line="256" w:lineRule="auto"/>
              <w:rPr>
                <w:sz w:val="16"/>
                <w:szCs w:val="16"/>
              </w:rPr>
            </w:pPr>
            <w:r w:rsidRPr="00C9674F">
              <w:rPr>
                <w:rFonts w:eastAsia="Calibri"/>
                <w:b/>
                <w:color w:val="FFFFFF"/>
                <w:sz w:val="16"/>
                <w:szCs w:val="16"/>
              </w:rPr>
              <w:t>Růst spotřeby domácností (%) reálně</w:t>
            </w:r>
          </w:p>
        </w:tc>
        <w:tc>
          <w:tcPr>
            <w:tcW w:w="127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rsidR="00F57548" w:rsidRPr="00C9674F" w:rsidRDefault="00E67A6C" w:rsidP="00C9674F">
            <w:pPr>
              <w:spacing w:line="256" w:lineRule="auto"/>
              <w:jc w:val="center"/>
              <w:rPr>
                <w:sz w:val="16"/>
                <w:szCs w:val="16"/>
              </w:rPr>
            </w:pPr>
            <w:r w:rsidRPr="00C9674F">
              <w:rPr>
                <w:rFonts w:eastAsia="Calibri"/>
                <w:b/>
                <w:sz w:val="16"/>
                <w:szCs w:val="16"/>
              </w:rPr>
              <w:t>3,3</w:t>
            </w:r>
          </w:p>
        </w:tc>
        <w:tc>
          <w:tcPr>
            <w:tcW w:w="1418"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rsidR="00F57548" w:rsidRPr="00C9674F" w:rsidRDefault="00E67A6C" w:rsidP="00C9674F">
            <w:pPr>
              <w:spacing w:line="256" w:lineRule="auto"/>
              <w:jc w:val="center"/>
              <w:rPr>
                <w:rFonts w:eastAsia="Calibri"/>
                <w:b/>
                <w:color w:val="FF0000"/>
                <w:sz w:val="16"/>
                <w:szCs w:val="16"/>
              </w:rPr>
            </w:pPr>
            <w:r w:rsidRPr="00C9674F">
              <w:rPr>
                <w:rFonts w:eastAsia="Calibri"/>
                <w:b/>
                <w:color w:val="FF0000"/>
                <w:sz w:val="16"/>
                <w:szCs w:val="16"/>
              </w:rPr>
              <w:t>2,7</w:t>
            </w:r>
          </w:p>
        </w:tc>
        <w:tc>
          <w:tcPr>
            <w:tcW w:w="1417"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rsidR="00F57548" w:rsidRPr="00C9674F" w:rsidRDefault="00E67A6C" w:rsidP="00C9674F">
            <w:pPr>
              <w:spacing w:line="256" w:lineRule="auto"/>
              <w:jc w:val="center"/>
              <w:rPr>
                <w:rFonts w:eastAsia="Calibri"/>
                <w:b/>
                <w:color w:val="FF0000"/>
                <w:sz w:val="16"/>
                <w:szCs w:val="16"/>
              </w:rPr>
            </w:pPr>
            <w:r w:rsidRPr="00C9674F">
              <w:rPr>
                <w:rFonts w:eastAsia="Calibri"/>
                <w:b/>
                <w:color w:val="FF0000"/>
                <w:sz w:val="16"/>
                <w:szCs w:val="16"/>
              </w:rPr>
              <w:t>2,4</w:t>
            </w:r>
          </w:p>
        </w:tc>
        <w:tc>
          <w:tcPr>
            <w:tcW w:w="1191" w:type="dxa"/>
            <w:tcBorders>
              <w:top w:val="single" w:sz="8" w:space="0" w:color="FFFFFF"/>
              <w:left w:val="single" w:sz="8" w:space="0" w:color="FFFFFF"/>
              <w:bottom w:val="single" w:sz="8" w:space="0" w:color="FFFFFF"/>
              <w:right w:val="single" w:sz="8" w:space="0" w:color="FFFFFF"/>
            </w:tcBorders>
            <w:shd w:val="clear" w:color="auto" w:fill="BFBFBF"/>
            <w:vAlign w:val="center"/>
          </w:tcPr>
          <w:p w:rsidR="00F57548" w:rsidRPr="00C9674F" w:rsidRDefault="00E67A6C" w:rsidP="00C9674F">
            <w:pPr>
              <w:spacing w:line="256" w:lineRule="auto"/>
              <w:jc w:val="center"/>
              <w:rPr>
                <w:rFonts w:eastAsia="Calibri"/>
                <w:b/>
                <w:color w:val="FF0000"/>
                <w:sz w:val="16"/>
                <w:szCs w:val="16"/>
              </w:rPr>
            </w:pPr>
            <w:r w:rsidRPr="00C9674F">
              <w:rPr>
                <w:rFonts w:eastAsia="Calibri"/>
                <w:b/>
                <w:color w:val="FF0000"/>
                <w:sz w:val="16"/>
                <w:szCs w:val="16"/>
              </w:rPr>
              <w:t>2,2</w:t>
            </w:r>
          </w:p>
        </w:tc>
      </w:tr>
      <w:tr w:rsidR="00F57548" w:rsidRPr="00C9674F" w:rsidTr="00F8161E">
        <w:trPr>
          <w:trHeight w:val="87"/>
        </w:trPr>
        <w:tc>
          <w:tcPr>
            <w:tcW w:w="4952"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tcPr>
          <w:p w:rsidR="00F57548" w:rsidRPr="00C9674F" w:rsidRDefault="00E67A6C" w:rsidP="00C9674F">
            <w:pPr>
              <w:spacing w:line="256" w:lineRule="auto"/>
              <w:rPr>
                <w:sz w:val="16"/>
                <w:szCs w:val="16"/>
              </w:rPr>
            </w:pPr>
            <w:r w:rsidRPr="00C9674F">
              <w:rPr>
                <w:rFonts w:eastAsia="Calibri"/>
                <w:b/>
                <w:color w:val="FFFFFF"/>
                <w:sz w:val="16"/>
                <w:szCs w:val="16"/>
              </w:rPr>
              <w:t>Růst vládní spotřeby (%) reálně</w:t>
            </w:r>
          </w:p>
        </w:tc>
        <w:tc>
          <w:tcPr>
            <w:tcW w:w="127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rsidR="00F57548" w:rsidRPr="00C9674F" w:rsidRDefault="00E67A6C" w:rsidP="00C9674F">
            <w:pPr>
              <w:spacing w:line="256" w:lineRule="auto"/>
              <w:jc w:val="center"/>
              <w:rPr>
                <w:sz w:val="16"/>
                <w:szCs w:val="16"/>
              </w:rPr>
            </w:pPr>
            <w:r w:rsidRPr="00C9674F">
              <w:rPr>
                <w:rFonts w:eastAsia="Calibri"/>
                <w:b/>
                <w:sz w:val="16"/>
                <w:szCs w:val="16"/>
              </w:rPr>
              <w:t>4,0</w:t>
            </w:r>
          </w:p>
        </w:tc>
        <w:tc>
          <w:tcPr>
            <w:tcW w:w="1418"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rsidR="00F57548" w:rsidRPr="00C9674F" w:rsidRDefault="00E67A6C" w:rsidP="00C9674F">
            <w:pPr>
              <w:spacing w:line="256" w:lineRule="auto"/>
              <w:jc w:val="center"/>
              <w:rPr>
                <w:rFonts w:eastAsia="Calibri"/>
                <w:b/>
                <w:color w:val="FF0000"/>
                <w:sz w:val="16"/>
                <w:szCs w:val="16"/>
              </w:rPr>
            </w:pPr>
            <w:r w:rsidRPr="00C9674F">
              <w:rPr>
                <w:rFonts w:eastAsia="Calibri"/>
                <w:b/>
                <w:color w:val="FF0000"/>
                <w:sz w:val="16"/>
                <w:szCs w:val="16"/>
              </w:rPr>
              <w:t>3,1</w:t>
            </w:r>
          </w:p>
        </w:tc>
        <w:tc>
          <w:tcPr>
            <w:tcW w:w="1417"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rsidR="00F57548" w:rsidRPr="00C9674F" w:rsidRDefault="00E67A6C" w:rsidP="00C9674F">
            <w:pPr>
              <w:spacing w:line="256" w:lineRule="auto"/>
              <w:jc w:val="center"/>
              <w:rPr>
                <w:rFonts w:eastAsia="Calibri"/>
                <w:b/>
                <w:color w:val="FF0000"/>
                <w:sz w:val="16"/>
                <w:szCs w:val="16"/>
              </w:rPr>
            </w:pPr>
            <w:r w:rsidRPr="00C9674F">
              <w:rPr>
                <w:rFonts w:eastAsia="Calibri"/>
                <w:b/>
                <w:color w:val="FF0000"/>
                <w:sz w:val="16"/>
                <w:szCs w:val="16"/>
              </w:rPr>
              <w:t>2,7</w:t>
            </w:r>
          </w:p>
        </w:tc>
        <w:tc>
          <w:tcPr>
            <w:tcW w:w="1191" w:type="dxa"/>
            <w:tcBorders>
              <w:top w:val="single" w:sz="8" w:space="0" w:color="FFFFFF"/>
              <w:left w:val="single" w:sz="8" w:space="0" w:color="FFFFFF"/>
              <w:bottom w:val="single" w:sz="8" w:space="0" w:color="FFFFFF"/>
              <w:right w:val="single" w:sz="8" w:space="0" w:color="FFFFFF"/>
            </w:tcBorders>
            <w:shd w:val="clear" w:color="auto" w:fill="BFBFBF"/>
            <w:vAlign w:val="center"/>
          </w:tcPr>
          <w:p w:rsidR="00F57548" w:rsidRPr="00C9674F" w:rsidRDefault="00E67A6C" w:rsidP="00C9674F">
            <w:pPr>
              <w:spacing w:line="256" w:lineRule="auto"/>
              <w:jc w:val="center"/>
              <w:rPr>
                <w:rFonts w:eastAsia="Calibri"/>
                <w:b/>
                <w:color w:val="FF0000"/>
                <w:sz w:val="16"/>
                <w:szCs w:val="16"/>
              </w:rPr>
            </w:pPr>
            <w:r w:rsidRPr="00C9674F">
              <w:rPr>
                <w:rFonts w:eastAsia="Calibri"/>
                <w:b/>
                <w:color w:val="FF0000"/>
                <w:sz w:val="16"/>
                <w:szCs w:val="16"/>
              </w:rPr>
              <w:t>2,3</w:t>
            </w:r>
          </w:p>
        </w:tc>
      </w:tr>
      <w:tr w:rsidR="00F57548" w:rsidRPr="00C9674F" w:rsidTr="00F8161E">
        <w:trPr>
          <w:trHeight w:val="87"/>
        </w:trPr>
        <w:tc>
          <w:tcPr>
            <w:tcW w:w="4952"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tcPr>
          <w:p w:rsidR="00F57548" w:rsidRPr="00C9674F" w:rsidRDefault="00E67A6C" w:rsidP="00C9674F">
            <w:pPr>
              <w:spacing w:line="256" w:lineRule="auto"/>
              <w:rPr>
                <w:sz w:val="16"/>
                <w:szCs w:val="16"/>
              </w:rPr>
            </w:pPr>
            <w:r w:rsidRPr="00C9674F">
              <w:rPr>
                <w:rFonts w:eastAsia="Calibri"/>
                <w:b/>
                <w:color w:val="FFFFFF"/>
                <w:sz w:val="16"/>
                <w:szCs w:val="16"/>
              </w:rPr>
              <w:t>Růst investic (%) reálně</w:t>
            </w:r>
          </w:p>
        </w:tc>
        <w:tc>
          <w:tcPr>
            <w:tcW w:w="127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rsidR="00F57548" w:rsidRPr="00C9674F" w:rsidRDefault="00E67A6C" w:rsidP="00C9674F">
            <w:pPr>
              <w:spacing w:line="256" w:lineRule="auto"/>
              <w:jc w:val="center"/>
              <w:rPr>
                <w:sz w:val="16"/>
                <w:szCs w:val="16"/>
              </w:rPr>
            </w:pPr>
            <w:r w:rsidRPr="00C9674F">
              <w:rPr>
                <w:rFonts w:eastAsia="Calibri"/>
                <w:b/>
                <w:sz w:val="16"/>
                <w:szCs w:val="16"/>
              </w:rPr>
              <w:t>7,2</w:t>
            </w:r>
          </w:p>
        </w:tc>
        <w:tc>
          <w:tcPr>
            <w:tcW w:w="1418"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rsidR="00F57548" w:rsidRPr="00C9674F" w:rsidRDefault="00E67A6C" w:rsidP="00C9674F">
            <w:pPr>
              <w:spacing w:line="256" w:lineRule="auto"/>
              <w:jc w:val="center"/>
              <w:rPr>
                <w:rFonts w:eastAsia="Calibri"/>
                <w:b/>
                <w:color w:val="FF0000"/>
                <w:sz w:val="16"/>
                <w:szCs w:val="16"/>
              </w:rPr>
            </w:pPr>
            <w:r w:rsidRPr="00C9674F">
              <w:rPr>
                <w:rFonts w:eastAsia="Calibri"/>
                <w:b/>
                <w:color w:val="FF0000"/>
                <w:sz w:val="16"/>
                <w:szCs w:val="16"/>
              </w:rPr>
              <w:t>1,1</w:t>
            </w:r>
          </w:p>
        </w:tc>
        <w:tc>
          <w:tcPr>
            <w:tcW w:w="1417"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rsidR="00F57548" w:rsidRPr="00C9674F" w:rsidRDefault="00E67A6C" w:rsidP="00C9674F">
            <w:pPr>
              <w:spacing w:line="256" w:lineRule="auto"/>
              <w:jc w:val="center"/>
              <w:rPr>
                <w:rFonts w:eastAsia="Calibri"/>
                <w:b/>
                <w:color w:val="FF0000"/>
                <w:sz w:val="16"/>
                <w:szCs w:val="16"/>
              </w:rPr>
            </w:pPr>
            <w:r w:rsidRPr="00C9674F">
              <w:rPr>
                <w:rFonts w:eastAsia="Calibri"/>
                <w:b/>
                <w:color w:val="FF0000"/>
                <w:sz w:val="16"/>
                <w:szCs w:val="16"/>
              </w:rPr>
              <w:t>1,1</w:t>
            </w:r>
          </w:p>
        </w:tc>
        <w:tc>
          <w:tcPr>
            <w:tcW w:w="1191" w:type="dxa"/>
            <w:tcBorders>
              <w:top w:val="single" w:sz="8" w:space="0" w:color="FFFFFF"/>
              <w:left w:val="single" w:sz="8" w:space="0" w:color="FFFFFF"/>
              <w:bottom w:val="single" w:sz="8" w:space="0" w:color="FFFFFF"/>
              <w:right w:val="single" w:sz="8" w:space="0" w:color="FFFFFF"/>
            </w:tcBorders>
            <w:shd w:val="clear" w:color="auto" w:fill="BFBFBF"/>
            <w:vAlign w:val="center"/>
          </w:tcPr>
          <w:p w:rsidR="00F57548" w:rsidRPr="00C9674F" w:rsidRDefault="00E67A6C" w:rsidP="00C9674F">
            <w:pPr>
              <w:spacing w:line="256" w:lineRule="auto"/>
              <w:jc w:val="center"/>
              <w:rPr>
                <w:rFonts w:eastAsia="Calibri"/>
                <w:b/>
                <w:color w:val="FF0000"/>
                <w:sz w:val="16"/>
                <w:szCs w:val="16"/>
              </w:rPr>
            </w:pPr>
            <w:r w:rsidRPr="00C9674F">
              <w:rPr>
                <w:rFonts w:eastAsia="Calibri"/>
                <w:b/>
                <w:color w:val="FF0000"/>
                <w:sz w:val="16"/>
                <w:szCs w:val="16"/>
              </w:rPr>
              <w:t>2,6</w:t>
            </w:r>
          </w:p>
        </w:tc>
      </w:tr>
      <w:tr w:rsidR="00F57548" w:rsidRPr="00C9674F" w:rsidTr="00F8161E">
        <w:trPr>
          <w:trHeight w:val="87"/>
        </w:trPr>
        <w:tc>
          <w:tcPr>
            <w:tcW w:w="4952"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tcPr>
          <w:p w:rsidR="00F57548" w:rsidRPr="00C9674F" w:rsidRDefault="00E67A6C" w:rsidP="00C9674F">
            <w:pPr>
              <w:spacing w:line="256" w:lineRule="auto"/>
              <w:rPr>
                <w:rFonts w:eastAsia="Calibri"/>
                <w:b/>
                <w:color w:val="FFFFFF"/>
                <w:sz w:val="16"/>
                <w:szCs w:val="16"/>
              </w:rPr>
            </w:pPr>
            <w:r w:rsidRPr="00C9674F">
              <w:rPr>
                <w:rFonts w:eastAsia="Calibri"/>
                <w:b/>
                <w:color w:val="FFFFFF"/>
                <w:sz w:val="16"/>
                <w:szCs w:val="16"/>
              </w:rPr>
              <w:t>Růst vývozů (%) reálně</w:t>
            </w:r>
          </w:p>
        </w:tc>
        <w:tc>
          <w:tcPr>
            <w:tcW w:w="127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rsidR="00F57548" w:rsidRPr="00C9674F" w:rsidRDefault="00E67A6C" w:rsidP="00C9674F">
            <w:pPr>
              <w:spacing w:line="256" w:lineRule="auto"/>
              <w:jc w:val="center"/>
              <w:rPr>
                <w:rFonts w:eastAsia="Calibri"/>
                <w:b/>
                <w:sz w:val="16"/>
                <w:szCs w:val="16"/>
              </w:rPr>
            </w:pPr>
            <w:r w:rsidRPr="00C9674F">
              <w:rPr>
                <w:rFonts w:eastAsia="Calibri"/>
                <w:b/>
                <w:sz w:val="16"/>
                <w:szCs w:val="16"/>
              </w:rPr>
              <w:t>4,4</w:t>
            </w:r>
          </w:p>
        </w:tc>
        <w:tc>
          <w:tcPr>
            <w:tcW w:w="1418"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rsidR="00F57548" w:rsidRPr="00C9674F" w:rsidRDefault="00E67A6C" w:rsidP="00C9674F">
            <w:pPr>
              <w:spacing w:line="256" w:lineRule="auto"/>
              <w:jc w:val="center"/>
              <w:rPr>
                <w:rFonts w:eastAsia="Calibri"/>
                <w:b/>
                <w:color w:val="FF0000"/>
                <w:sz w:val="16"/>
                <w:szCs w:val="16"/>
              </w:rPr>
            </w:pPr>
            <w:r w:rsidRPr="00C9674F">
              <w:rPr>
                <w:rFonts w:eastAsia="Calibri"/>
                <w:b/>
                <w:color w:val="FF0000"/>
                <w:sz w:val="16"/>
                <w:szCs w:val="16"/>
              </w:rPr>
              <w:t>1,9</w:t>
            </w:r>
          </w:p>
        </w:tc>
        <w:tc>
          <w:tcPr>
            <w:tcW w:w="1417"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rsidR="00F57548" w:rsidRPr="00C9674F" w:rsidRDefault="00E67A6C" w:rsidP="00C9674F">
            <w:pPr>
              <w:spacing w:line="256" w:lineRule="auto"/>
              <w:jc w:val="center"/>
              <w:rPr>
                <w:rFonts w:eastAsia="Calibri"/>
                <w:b/>
                <w:color w:val="FF0000"/>
                <w:sz w:val="16"/>
                <w:szCs w:val="16"/>
              </w:rPr>
            </w:pPr>
            <w:r w:rsidRPr="00C9674F">
              <w:rPr>
                <w:rFonts w:eastAsia="Calibri"/>
                <w:b/>
                <w:color w:val="FF0000"/>
                <w:sz w:val="16"/>
                <w:szCs w:val="16"/>
              </w:rPr>
              <w:t>2,0</w:t>
            </w:r>
          </w:p>
        </w:tc>
        <w:tc>
          <w:tcPr>
            <w:tcW w:w="1191" w:type="dxa"/>
            <w:tcBorders>
              <w:top w:val="single" w:sz="8" w:space="0" w:color="FFFFFF"/>
              <w:left w:val="single" w:sz="8" w:space="0" w:color="FFFFFF"/>
              <w:bottom w:val="single" w:sz="8" w:space="0" w:color="FFFFFF"/>
              <w:right w:val="single" w:sz="8" w:space="0" w:color="FFFFFF"/>
            </w:tcBorders>
            <w:shd w:val="clear" w:color="auto" w:fill="BFBFBF"/>
            <w:vAlign w:val="center"/>
          </w:tcPr>
          <w:p w:rsidR="00F57548" w:rsidRPr="00C9674F" w:rsidRDefault="00E67A6C" w:rsidP="00C9674F">
            <w:pPr>
              <w:spacing w:line="256" w:lineRule="auto"/>
              <w:jc w:val="center"/>
              <w:rPr>
                <w:rFonts w:eastAsia="Calibri"/>
                <w:b/>
                <w:color w:val="FF0000"/>
                <w:sz w:val="16"/>
                <w:szCs w:val="16"/>
              </w:rPr>
            </w:pPr>
            <w:r w:rsidRPr="00C9674F">
              <w:rPr>
                <w:rFonts w:eastAsia="Calibri"/>
                <w:b/>
                <w:color w:val="FF0000"/>
                <w:sz w:val="16"/>
                <w:szCs w:val="16"/>
              </w:rPr>
              <w:t>3,7</w:t>
            </w:r>
          </w:p>
        </w:tc>
      </w:tr>
      <w:tr w:rsidR="00F57548" w:rsidRPr="00C9674F" w:rsidTr="00F8161E">
        <w:trPr>
          <w:trHeight w:val="87"/>
        </w:trPr>
        <w:tc>
          <w:tcPr>
            <w:tcW w:w="4952"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tcPr>
          <w:p w:rsidR="00F57548" w:rsidRPr="00C9674F" w:rsidRDefault="00E67A6C" w:rsidP="00C9674F">
            <w:pPr>
              <w:spacing w:line="256" w:lineRule="auto"/>
              <w:rPr>
                <w:rFonts w:eastAsia="Calibri"/>
                <w:b/>
                <w:color w:val="FFFFFF"/>
                <w:sz w:val="16"/>
                <w:szCs w:val="16"/>
              </w:rPr>
            </w:pPr>
            <w:r w:rsidRPr="00C9674F">
              <w:rPr>
                <w:rFonts w:eastAsia="Calibri"/>
                <w:b/>
                <w:color w:val="FFFFFF"/>
                <w:sz w:val="16"/>
                <w:szCs w:val="16"/>
              </w:rPr>
              <w:t>Růst dovozů (%) reálně</w:t>
            </w:r>
          </w:p>
        </w:tc>
        <w:tc>
          <w:tcPr>
            <w:tcW w:w="127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rsidR="00F57548" w:rsidRPr="00C9674F" w:rsidRDefault="00E67A6C" w:rsidP="00C9674F">
            <w:pPr>
              <w:spacing w:line="256" w:lineRule="auto"/>
              <w:jc w:val="center"/>
              <w:rPr>
                <w:rFonts w:eastAsia="Calibri"/>
                <w:b/>
                <w:sz w:val="16"/>
                <w:szCs w:val="16"/>
              </w:rPr>
            </w:pPr>
            <w:r w:rsidRPr="00C9674F">
              <w:rPr>
                <w:rFonts w:eastAsia="Calibri"/>
                <w:b/>
                <w:sz w:val="16"/>
                <w:szCs w:val="16"/>
              </w:rPr>
              <w:t>5,9</w:t>
            </w:r>
          </w:p>
        </w:tc>
        <w:tc>
          <w:tcPr>
            <w:tcW w:w="1418"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rsidR="00F57548" w:rsidRPr="00C9674F" w:rsidRDefault="00E67A6C" w:rsidP="00C9674F">
            <w:pPr>
              <w:spacing w:line="256" w:lineRule="auto"/>
              <w:jc w:val="center"/>
              <w:rPr>
                <w:rFonts w:eastAsia="Calibri"/>
                <w:b/>
                <w:color w:val="FF0000"/>
                <w:sz w:val="16"/>
                <w:szCs w:val="16"/>
              </w:rPr>
            </w:pPr>
            <w:r w:rsidRPr="00C9674F">
              <w:rPr>
                <w:rFonts w:eastAsia="Calibri"/>
                <w:b/>
                <w:color w:val="FF0000"/>
                <w:sz w:val="16"/>
                <w:szCs w:val="16"/>
              </w:rPr>
              <w:t>1,6</w:t>
            </w:r>
          </w:p>
        </w:tc>
        <w:tc>
          <w:tcPr>
            <w:tcW w:w="1417"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rsidR="00F57548" w:rsidRPr="00C9674F" w:rsidRDefault="00E67A6C" w:rsidP="00C9674F">
            <w:pPr>
              <w:spacing w:line="256" w:lineRule="auto"/>
              <w:jc w:val="center"/>
              <w:rPr>
                <w:rFonts w:eastAsia="Calibri"/>
                <w:b/>
                <w:color w:val="FF0000"/>
                <w:sz w:val="16"/>
                <w:szCs w:val="16"/>
              </w:rPr>
            </w:pPr>
            <w:r w:rsidRPr="00C9674F">
              <w:rPr>
                <w:rFonts w:eastAsia="Calibri"/>
                <w:b/>
                <w:color w:val="FF0000"/>
                <w:sz w:val="16"/>
                <w:szCs w:val="16"/>
              </w:rPr>
              <w:t>2,5</w:t>
            </w:r>
          </w:p>
        </w:tc>
        <w:tc>
          <w:tcPr>
            <w:tcW w:w="1191" w:type="dxa"/>
            <w:tcBorders>
              <w:top w:val="single" w:sz="8" w:space="0" w:color="FFFFFF"/>
              <w:left w:val="single" w:sz="8" w:space="0" w:color="FFFFFF"/>
              <w:bottom w:val="single" w:sz="8" w:space="0" w:color="FFFFFF"/>
              <w:right w:val="single" w:sz="8" w:space="0" w:color="FFFFFF"/>
            </w:tcBorders>
            <w:shd w:val="clear" w:color="auto" w:fill="BFBFBF"/>
            <w:vAlign w:val="center"/>
          </w:tcPr>
          <w:p w:rsidR="00F57548" w:rsidRPr="00C9674F" w:rsidRDefault="00E67A6C" w:rsidP="00C9674F">
            <w:pPr>
              <w:spacing w:line="256" w:lineRule="auto"/>
              <w:jc w:val="center"/>
              <w:rPr>
                <w:rFonts w:eastAsia="Calibri"/>
                <w:b/>
                <w:color w:val="FF0000"/>
                <w:sz w:val="16"/>
                <w:szCs w:val="16"/>
              </w:rPr>
            </w:pPr>
            <w:r w:rsidRPr="00C9674F">
              <w:rPr>
                <w:rFonts w:eastAsia="Calibri"/>
                <w:b/>
                <w:color w:val="FF0000"/>
                <w:sz w:val="16"/>
                <w:szCs w:val="16"/>
              </w:rPr>
              <w:t>3,8</w:t>
            </w:r>
          </w:p>
        </w:tc>
      </w:tr>
      <w:tr w:rsidR="00F57548" w:rsidRPr="00C9674F" w:rsidTr="00F8161E">
        <w:trPr>
          <w:trHeight w:val="87"/>
        </w:trPr>
        <w:tc>
          <w:tcPr>
            <w:tcW w:w="4952"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tcPr>
          <w:p w:rsidR="00F57548" w:rsidRPr="00C9674F" w:rsidRDefault="00E67A6C" w:rsidP="00C9674F">
            <w:pPr>
              <w:spacing w:line="256" w:lineRule="auto"/>
              <w:rPr>
                <w:sz w:val="16"/>
                <w:szCs w:val="16"/>
              </w:rPr>
            </w:pPr>
            <w:r w:rsidRPr="00C9674F">
              <w:rPr>
                <w:rFonts w:eastAsia="Calibri"/>
                <w:b/>
                <w:color w:val="FFFFFF"/>
                <w:sz w:val="16"/>
                <w:szCs w:val="16"/>
              </w:rPr>
              <w:t>Růst reálného HDP v eurozóně (%)</w:t>
            </w:r>
          </w:p>
        </w:tc>
        <w:tc>
          <w:tcPr>
            <w:tcW w:w="127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rsidR="00F57548" w:rsidRPr="00C9674F" w:rsidRDefault="00E67A6C" w:rsidP="00C9674F">
            <w:pPr>
              <w:spacing w:line="256" w:lineRule="auto"/>
              <w:jc w:val="center"/>
              <w:rPr>
                <w:sz w:val="16"/>
                <w:szCs w:val="16"/>
              </w:rPr>
            </w:pPr>
            <w:r w:rsidRPr="00C9674F">
              <w:rPr>
                <w:rFonts w:eastAsia="Calibri"/>
                <w:b/>
                <w:sz w:val="16"/>
                <w:szCs w:val="16"/>
              </w:rPr>
              <w:t>1,9</w:t>
            </w:r>
          </w:p>
        </w:tc>
        <w:tc>
          <w:tcPr>
            <w:tcW w:w="1418"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rsidR="00F57548" w:rsidRPr="00C9674F" w:rsidRDefault="00E67A6C" w:rsidP="00C9674F">
            <w:pPr>
              <w:spacing w:line="256" w:lineRule="auto"/>
              <w:jc w:val="center"/>
              <w:rPr>
                <w:rFonts w:eastAsia="Calibri"/>
                <w:b/>
                <w:color w:val="FF0000"/>
                <w:sz w:val="16"/>
                <w:szCs w:val="16"/>
              </w:rPr>
            </w:pPr>
            <w:r w:rsidRPr="00C9674F">
              <w:rPr>
                <w:rFonts w:eastAsia="Calibri"/>
                <w:b/>
                <w:color w:val="FF0000"/>
                <w:sz w:val="16"/>
                <w:szCs w:val="16"/>
              </w:rPr>
              <w:t>1,2</w:t>
            </w:r>
          </w:p>
        </w:tc>
        <w:tc>
          <w:tcPr>
            <w:tcW w:w="1417"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rsidR="00F57548" w:rsidRPr="00C9674F" w:rsidRDefault="00E67A6C" w:rsidP="00C9674F">
            <w:pPr>
              <w:spacing w:line="256" w:lineRule="auto"/>
              <w:jc w:val="center"/>
              <w:rPr>
                <w:rFonts w:eastAsia="Calibri"/>
                <w:b/>
                <w:color w:val="FF0000"/>
                <w:sz w:val="16"/>
                <w:szCs w:val="16"/>
              </w:rPr>
            </w:pPr>
            <w:r w:rsidRPr="00C9674F">
              <w:rPr>
                <w:rFonts w:eastAsia="Calibri"/>
                <w:b/>
                <w:color w:val="FF0000"/>
                <w:sz w:val="16"/>
                <w:szCs w:val="16"/>
              </w:rPr>
              <w:t>1,0</w:t>
            </w:r>
          </w:p>
        </w:tc>
        <w:tc>
          <w:tcPr>
            <w:tcW w:w="1191" w:type="dxa"/>
            <w:tcBorders>
              <w:top w:val="single" w:sz="8" w:space="0" w:color="FFFFFF"/>
              <w:left w:val="single" w:sz="8" w:space="0" w:color="FFFFFF"/>
              <w:bottom w:val="single" w:sz="8" w:space="0" w:color="FFFFFF"/>
              <w:right w:val="single" w:sz="8" w:space="0" w:color="FFFFFF"/>
            </w:tcBorders>
            <w:shd w:val="clear" w:color="auto" w:fill="BFBFBF"/>
            <w:vAlign w:val="center"/>
          </w:tcPr>
          <w:p w:rsidR="00F57548" w:rsidRPr="00C9674F" w:rsidRDefault="00E67A6C" w:rsidP="00C9674F">
            <w:pPr>
              <w:spacing w:line="256" w:lineRule="auto"/>
              <w:jc w:val="center"/>
              <w:rPr>
                <w:rFonts w:eastAsia="Calibri"/>
                <w:b/>
                <w:color w:val="FF0000"/>
                <w:sz w:val="16"/>
                <w:szCs w:val="16"/>
              </w:rPr>
            </w:pPr>
            <w:r w:rsidRPr="00C9674F">
              <w:rPr>
                <w:rFonts w:eastAsia="Calibri"/>
                <w:b/>
                <w:color w:val="FF0000"/>
                <w:sz w:val="16"/>
                <w:szCs w:val="16"/>
              </w:rPr>
              <w:t>1,3</w:t>
            </w:r>
          </w:p>
        </w:tc>
      </w:tr>
      <w:tr w:rsidR="00F57548" w:rsidRPr="00C9674F" w:rsidTr="00F8161E">
        <w:trPr>
          <w:trHeight w:val="87"/>
        </w:trPr>
        <w:tc>
          <w:tcPr>
            <w:tcW w:w="4952"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tcPr>
          <w:p w:rsidR="00F57548" w:rsidRPr="00C9674F" w:rsidRDefault="00E67A6C" w:rsidP="00C9674F">
            <w:pPr>
              <w:spacing w:line="256" w:lineRule="auto"/>
              <w:rPr>
                <w:sz w:val="16"/>
                <w:szCs w:val="16"/>
              </w:rPr>
            </w:pPr>
            <w:r w:rsidRPr="00C9674F">
              <w:rPr>
                <w:rFonts w:eastAsia="Calibri"/>
                <w:b/>
                <w:color w:val="FFFFFF"/>
                <w:sz w:val="16"/>
                <w:szCs w:val="16"/>
              </w:rPr>
              <w:t>Směnný kurz CZK/EUR: průměr</w:t>
            </w:r>
          </w:p>
        </w:tc>
        <w:tc>
          <w:tcPr>
            <w:tcW w:w="127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rsidR="00F57548" w:rsidRPr="00C9674F" w:rsidRDefault="00E67A6C" w:rsidP="00C9674F">
            <w:pPr>
              <w:spacing w:line="256" w:lineRule="auto"/>
              <w:jc w:val="center"/>
              <w:rPr>
                <w:sz w:val="16"/>
                <w:szCs w:val="16"/>
              </w:rPr>
            </w:pPr>
            <w:r w:rsidRPr="00C9674F">
              <w:rPr>
                <w:rFonts w:eastAsia="Calibri"/>
                <w:b/>
                <w:sz w:val="16"/>
                <w:szCs w:val="16"/>
              </w:rPr>
              <w:t>25,64</w:t>
            </w:r>
          </w:p>
        </w:tc>
        <w:tc>
          <w:tcPr>
            <w:tcW w:w="1418"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rsidR="00F57548" w:rsidRPr="00C9674F" w:rsidRDefault="00E67A6C" w:rsidP="00C9674F">
            <w:pPr>
              <w:spacing w:line="256" w:lineRule="auto"/>
              <w:jc w:val="center"/>
              <w:rPr>
                <w:rFonts w:eastAsia="Calibri"/>
                <w:b/>
                <w:sz w:val="16"/>
                <w:szCs w:val="16"/>
              </w:rPr>
            </w:pPr>
            <w:r w:rsidRPr="00C9674F">
              <w:rPr>
                <w:rFonts w:eastAsia="Calibri"/>
                <w:b/>
                <w:sz w:val="16"/>
                <w:szCs w:val="16"/>
              </w:rPr>
              <w:t>25,67</w:t>
            </w:r>
          </w:p>
        </w:tc>
        <w:tc>
          <w:tcPr>
            <w:tcW w:w="1417"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rsidR="00F57548" w:rsidRPr="00C9674F" w:rsidRDefault="00E67A6C" w:rsidP="00C9674F">
            <w:pPr>
              <w:spacing w:line="256" w:lineRule="auto"/>
              <w:jc w:val="center"/>
              <w:rPr>
                <w:rFonts w:eastAsia="Calibri"/>
                <w:b/>
                <w:color w:val="FF0000"/>
                <w:sz w:val="16"/>
                <w:szCs w:val="16"/>
              </w:rPr>
            </w:pPr>
            <w:r w:rsidRPr="00C9674F">
              <w:rPr>
                <w:rFonts w:eastAsia="Calibri"/>
                <w:b/>
                <w:color w:val="FF0000"/>
                <w:sz w:val="16"/>
                <w:szCs w:val="16"/>
              </w:rPr>
              <w:t>25,31</w:t>
            </w:r>
          </w:p>
        </w:tc>
        <w:tc>
          <w:tcPr>
            <w:tcW w:w="1191" w:type="dxa"/>
            <w:tcBorders>
              <w:top w:val="single" w:sz="8" w:space="0" w:color="FFFFFF"/>
              <w:left w:val="single" w:sz="8" w:space="0" w:color="FFFFFF"/>
              <w:bottom w:val="single" w:sz="8" w:space="0" w:color="FFFFFF"/>
              <w:right w:val="single" w:sz="8" w:space="0" w:color="FFFFFF"/>
            </w:tcBorders>
            <w:shd w:val="clear" w:color="auto" w:fill="BFBFBF"/>
            <w:vAlign w:val="center"/>
          </w:tcPr>
          <w:p w:rsidR="00F57548" w:rsidRPr="00C9674F" w:rsidRDefault="00E67A6C" w:rsidP="00C9674F">
            <w:pPr>
              <w:spacing w:line="256" w:lineRule="auto"/>
              <w:jc w:val="center"/>
              <w:rPr>
                <w:rFonts w:eastAsia="Calibri"/>
                <w:b/>
                <w:color w:val="FF0000"/>
                <w:sz w:val="16"/>
                <w:szCs w:val="16"/>
              </w:rPr>
            </w:pPr>
            <w:r w:rsidRPr="00C9674F">
              <w:rPr>
                <w:rFonts w:eastAsia="Calibri"/>
                <w:b/>
                <w:color w:val="FF0000"/>
                <w:sz w:val="16"/>
                <w:szCs w:val="16"/>
              </w:rPr>
              <w:t>25,10</w:t>
            </w:r>
          </w:p>
        </w:tc>
      </w:tr>
      <w:tr w:rsidR="00F57548" w:rsidRPr="00C9674F" w:rsidTr="00F8161E">
        <w:trPr>
          <w:trHeight w:val="87"/>
        </w:trPr>
        <w:tc>
          <w:tcPr>
            <w:tcW w:w="4952"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tcPr>
          <w:p w:rsidR="00F57548" w:rsidRPr="00C9674F" w:rsidRDefault="00E67A6C" w:rsidP="00C9674F">
            <w:pPr>
              <w:spacing w:line="256" w:lineRule="auto"/>
              <w:rPr>
                <w:sz w:val="16"/>
                <w:szCs w:val="16"/>
              </w:rPr>
            </w:pPr>
            <w:r w:rsidRPr="00C9674F">
              <w:rPr>
                <w:rFonts w:eastAsia="Calibri"/>
                <w:b/>
                <w:color w:val="FFFFFF"/>
                <w:sz w:val="16"/>
                <w:szCs w:val="16"/>
              </w:rPr>
              <w:t>Ceny ropy (USD za barel): brent průměr</w:t>
            </w:r>
          </w:p>
        </w:tc>
        <w:tc>
          <w:tcPr>
            <w:tcW w:w="127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rsidR="00F57548" w:rsidRPr="00C9674F" w:rsidRDefault="00E67A6C" w:rsidP="00C9674F">
            <w:pPr>
              <w:spacing w:line="254" w:lineRule="auto"/>
              <w:jc w:val="center"/>
              <w:rPr>
                <w:sz w:val="16"/>
                <w:szCs w:val="16"/>
              </w:rPr>
            </w:pPr>
            <w:r w:rsidRPr="00C9674F">
              <w:rPr>
                <w:rFonts w:eastAsia="Calibri"/>
                <w:b/>
                <w:sz w:val="16"/>
                <w:szCs w:val="16"/>
              </w:rPr>
              <w:t>71,70</w:t>
            </w:r>
          </w:p>
        </w:tc>
        <w:tc>
          <w:tcPr>
            <w:tcW w:w="1418"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rsidR="00F57548" w:rsidRPr="00C9674F" w:rsidRDefault="00E67A6C" w:rsidP="00C9674F">
            <w:pPr>
              <w:spacing w:line="256" w:lineRule="auto"/>
              <w:jc w:val="center"/>
              <w:rPr>
                <w:rFonts w:eastAsia="Calibri"/>
                <w:b/>
                <w:sz w:val="16"/>
                <w:szCs w:val="16"/>
              </w:rPr>
            </w:pPr>
            <w:r w:rsidRPr="00C9674F">
              <w:rPr>
                <w:rFonts w:eastAsia="Calibri"/>
                <w:b/>
                <w:sz w:val="16"/>
                <w:szCs w:val="16"/>
              </w:rPr>
              <w:t>64,1</w:t>
            </w:r>
          </w:p>
        </w:tc>
        <w:tc>
          <w:tcPr>
            <w:tcW w:w="1417"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rsidR="00F57548" w:rsidRPr="00C9674F" w:rsidRDefault="00E67A6C" w:rsidP="00C9674F">
            <w:pPr>
              <w:spacing w:line="256" w:lineRule="auto"/>
              <w:jc w:val="center"/>
              <w:rPr>
                <w:rFonts w:eastAsia="Calibri"/>
                <w:b/>
                <w:color w:val="FF0000"/>
                <w:sz w:val="16"/>
                <w:szCs w:val="16"/>
              </w:rPr>
            </w:pPr>
            <w:r w:rsidRPr="00C9674F">
              <w:rPr>
                <w:rFonts w:eastAsia="Calibri"/>
                <w:b/>
                <w:color w:val="FF0000"/>
                <w:sz w:val="16"/>
                <w:szCs w:val="16"/>
              </w:rPr>
              <w:t>60,75</w:t>
            </w:r>
          </w:p>
        </w:tc>
        <w:tc>
          <w:tcPr>
            <w:tcW w:w="1191" w:type="dxa"/>
            <w:tcBorders>
              <w:top w:val="single" w:sz="8" w:space="0" w:color="FFFFFF"/>
              <w:left w:val="single" w:sz="8" w:space="0" w:color="FFFFFF"/>
              <w:bottom w:val="single" w:sz="8" w:space="0" w:color="FFFFFF"/>
              <w:right w:val="single" w:sz="8" w:space="0" w:color="FFFFFF"/>
            </w:tcBorders>
            <w:shd w:val="clear" w:color="auto" w:fill="BFBFBF"/>
            <w:vAlign w:val="center"/>
          </w:tcPr>
          <w:p w:rsidR="00F57548" w:rsidRPr="00C9674F" w:rsidRDefault="00E67A6C" w:rsidP="00C9674F">
            <w:pPr>
              <w:spacing w:line="256" w:lineRule="auto"/>
              <w:jc w:val="center"/>
              <w:rPr>
                <w:rFonts w:eastAsia="Calibri"/>
                <w:b/>
                <w:color w:val="FF0000"/>
                <w:sz w:val="16"/>
                <w:szCs w:val="16"/>
              </w:rPr>
            </w:pPr>
            <w:r w:rsidRPr="00C9674F">
              <w:rPr>
                <w:rFonts w:eastAsia="Calibri"/>
                <w:b/>
                <w:color w:val="FF0000"/>
                <w:sz w:val="16"/>
                <w:szCs w:val="16"/>
              </w:rPr>
              <w:t>60,00</w:t>
            </w:r>
          </w:p>
        </w:tc>
      </w:tr>
      <w:tr w:rsidR="00F57548" w:rsidRPr="00C9674F" w:rsidTr="00F8161E">
        <w:trPr>
          <w:trHeight w:val="87"/>
        </w:trPr>
        <w:tc>
          <w:tcPr>
            <w:tcW w:w="4952"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tcPr>
          <w:p w:rsidR="00F57548" w:rsidRPr="00C9674F" w:rsidRDefault="00E67A6C" w:rsidP="00C9674F">
            <w:pPr>
              <w:spacing w:line="256" w:lineRule="auto"/>
              <w:rPr>
                <w:sz w:val="16"/>
                <w:szCs w:val="16"/>
              </w:rPr>
            </w:pPr>
            <w:r w:rsidRPr="00C9674F">
              <w:rPr>
                <w:rFonts w:eastAsia="Calibri"/>
                <w:b/>
                <w:color w:val="FFFFFF"/>
                <w:sz w:val="16"/>
                <w:szCs w:val="16"/>
              </w:rPr>
              <w:t xml:space="preserve">Základní sazba ČNB </w:t>
            </w:r>
            <w:proofErr w:type="gramStart"/>
            <w:r w:rsidRPr="00C9674F">
              <w:rPr>
                <w:rFonts w:eastAsia="Calibri"/>
                <w:b/>
                <w:color w:val="FFFFFF"/>
                <w:sz w:val="16"/>
                <w:szCs w:val="16"/>
              </w:rPr>
              <w:t>2T</w:t>
            </w:r>
            <w:proofErr w:type="gramEnd"/>
            <w:r w:rsidRPr="00C9674F">
              <w:rPr>
                <w:rFonts w:eastAsia="Calibri"/>
                <w:b/>
                <w:color w:val="FFFFFF"/>
                <w:sz w:val="16"/>
                <w:szCs w:val="16"/>
              </w:rPr>
              <w:t xml:space="preserve"> REPO (%): konec období</w:t>
            </w:r>
          </w:p>
        </w:tc>
        <w:tc>
          <w:tcPr>
            <w:tcW w:w="127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rsidR="00F57548" w:rsidRPr="00C9674F" w:rsidRDefault="00E67A6C" w:rsidP="00C9674F">
            <w:pPr>
              <w:spacing w:line="254" w:lineRule="auto"/>
              <w:jc w:val="center"/>
              <w:rPr>
                <w:sz w:val="16"/>
                <w:szCs w:val="16"/>
              </w:rPr>
            </w:pPr>
            <w:r w:rsidRPr="00C9674F">
              <w:rPr>
                <w:rFonts w:eastAsia="Calibri"/>
                <w:b/>
                <w:sz w:val="16"/>
                <w:szCs w:val="16"/>
              </w:rPr>
              <w:t>1,75</w:t>
            </w:r>
          </w:p>
        </w:tc>
        <w:tc>
          <w:tcPr>
            <w:tcW w:w="1418"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rsidR="00F57548" w:rsidRPr="00C9674F" w:rsidRDefault="00E67A6C" w:rsidP="00C9674F">
            <w:pPr>
              <w:spacing w:line="256" w:lineRule="auto"/>
              <w:jc w:val="center"/>
              <w:rPr>
                <w:rFonts w:eastAsia="Calibri"/>
                <w:b/>
                <w:sz w:val="16"/>
                <w:szCs w:val="16"/>
              </w:rPr>
            </w:pPr>
            <w:r w:rsidRPr="00C9674F">
              <w:rPr>
                <w:rFonts w:eastAsia="Calibri"/>
                <w:b/>
                <w:sz w:val="16"/>
                <w:szCs w:val="16"/>
              </w:rPr>
              <w:t>2,00</w:t>
            </w:r>
          </w:p>
        </w:tc>
        <w:tc>
          <w:tcPr>
            <w:tcW w:w="1417"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rsidR="00F57548" w:rsidRPr="00C9674F" w:rsidRDefault="00E67A6C" w:rsidP="00C9674F">
            <w:pPr>
              <w:spacing w:line="256" w:lineRule="auto"/>
              <w:jc w:val="center"/>
              <w:rPr>
                <w:rFonts w:eastAsia="Calibri"/>
                <w:b/>
                <w:color w:val="FF0000"/>
                <w:sz w:val="16"/>
                <w:szCs w:val="16"/>
              </w:rPr>
            </w:pPr>
            <w:r w:rsidRPr="00C9674F">
              <w:rPr>
                <w:rFonts w:eastAsia="Calibri"/>
                <w:b/>
                <w:color w:val="FF0000"/>
                <w:sz w:val="16"/>
                <w:szCs w:val="16"/>
              </w:rPr>
              <w:t>2,00</w:t>
            </w:r>
          </w:p>
        </w:tc>
        <w:tc>
          <w:tcPr>
            <w:tcW w:w="1191" w:type="dxa"/>
            <w:tcBorders>
              <w:top w:val="single" w:sz="8" w:space="0" w:color="FFFFFF"/>
              <w:left w:val="single" w:sz="8" w:space="0" w:color="FFFFFF"/>
              <w:bottom w:val="single" w:sz="8" w:space="0" w:color="FFFFFF"/>
              <w:right w:val="single" w:sz="8" w:space="0" w:color="FFFFFF"/>
            </w:tcBorders>
            <w:shd w:val="clear" w:color="auto" w:fill="BFBFBF"/>
            <w:vAlign w:val="center"/>
          </w:tcPr>
          <w:p w:rsidR="00F57548" w:rsidRPr="00C9674F" w:rsidRDefault="00E67A6C" w:rsidP="00C9674F">
            <w:pPr>
              <w:spacing w:line="256" w:lineRule="auto"/>
              <w:jc w:val="center"/>
              <w:rPr>
                <w:rFonts w:eastAsia="Calibri"/>
                <w:b/>
                <w:color w:val="FF0000"/>
                <w:sz w:val="16"/>
                <w:szCs w:val="16"/>
              </w:rPr>
            </w:pPr>
            <w:r w:rsidRPr="00C9674F">
              <w:rPr>
                <w:rFonts w:eastAsia="Calibri"/>
                <w:b/>
                <w:color w:val="FF0000"/>
                <w:sz w:val="16"/>
                <w:szCs w:val="16"/>
              </w:rPr>
              <w:t>2,13</w:t>
            </w:r>
          </w:p>
        </w:tc>
      </w:tr>
      <w:tr w:rsidR="00F57548" w:rsidRPr="00C9674F" w:rsidTr="00F8161E">
        <w:trPr>
          <w:trHeight w:val="87"/>
        </w:trPr>
        <w:tc>
          <w:tcPr>
            <w:tcW w:w="4952"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tcPr>
          <w:p w:rsidR="00F57548" w:rsidRPr="00C9674F" w:rsidRDefault="00E67A6C" w:rsidP="00C9674F">
            <w:pPr>
              <w:spacing w:line="256" w:lineRule="auto"/>
              <w:rPr>
                <w:sz w:val="16"/>
                <w:szCs w:val="16"/>
              </w:rPr>
            </w:pPr>
            <w:r w:rsidRPr="00C9674F">
              <w:rPr>
                <w:rFonts w:eastAsia="Calibri"/>
                <w:b/>
                <w:color w:val="FFFFFF"/>
                <w:sz w:val="16"/>
                <w:szCs w:val="16"/>
              </w:rPr>
              <w:t>Základní sazba ECB (%): konec období</w:t>
            </w:r>
          </w:p>
        </w:tc>
        <w:tc>
          <w:tcPr>
            <w:tcW w:w="127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rsidR="00F57548" w:rsidRPr="00C9674F" w:rsidRDefault="00E67A6C" w:rsidP="00C9674F">
            <w:pPr>
              <w:spacing w:line="256" w:lineRule="auto"/>
              <w:jc w:val="center"/>
              <w:rPr>
                <w:sz w:val="16"/>
                <w:szCs w:val="16"/>
              </w:rPr>
            </w:pPr>
            <w:r w:rsidRPr="00C9674F">
              <w:rPr>
                <w:rFonts w:eastAsia="Calibri"/>
                <w:b/>
                <w:sz w:val="16"/>
                <w:szCs w:val="16"/>
              </w:rPr>
              <w:t>0,0</w:t>
            </w:r>
          </w:p>
        </w:tc>
        <w:tc>
          <w:tcPr>
            <w:tcW w:w="1418"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rsidR="00F57548" w:rsidRPr="00C9674F" w:rsidRDefault="00E67A6C" w:rsidP="00C9674F">
            <w:pPr>
              <w:spacing w:line="256" w:lineRule="auto"/>
              <w:jc w:val="center"/>
              <w:rPr>
                <w:rFonts w:eastAsia="Calibri"/>
                <w:b/>
                <w:sz w:val="16"/>
                <w:szCs w:val="16"/>
              </w:rPr>
            </w:pPr>
            <w:r w:rsidRPr="00C9674F">
              <w:rPr>
                <w:rFonts w:eastAsia="Calibri"/>
                <w:b/>
                <w:sz w:val="16"/>
                <w:szCs w:val="16"/>
              </w:rPr>
              <w:t>0,0</w:t>
            </w:r>
          </w:p>
        </w:tc>
        <w:tc>
          <w:tcPr>
            <w:tcW w:w="1417"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rsidR="00F57548" w:rsidRPr="00C9674F" w:rsidRDefault="00E67A6C" w:rsidP="00C9674F">
            <w:pPr>
              <w:spacing w:line="256" w:lineRule="auto"/>
              <w:jc w:val="center"/>
              <w:rPr>
                <w:rFonts w:eastAsia="Calibri"/>
                <w:b/>
                <w:color w:val="FF0000"/>
                <w:sz w:val="16"/>
                <w:szCs w:val="16"/>
              </w:rPr>
            </w:pPr>
            <w:r w:rsidRPr="00C9674F">
              <w:rPr>
                <w:rFonts w:eastAsia="Calibri"/>
                <w:b/>
                <w:color w:val="FF0000"/>
                <w:sz w:val="16"/>
                <w:szCs w:val="16"/>
              </w:rPr>
              <w:t>0,0</w:t>
            </w:r>
          </w:p>
        </w:tc>
        <w:tc>
          <w:tcPr>
            <w:tcW w:w="1191" w:type="dxa"/>
            <w:tcBorders>
              <w:top w:val="single" w:sz="8" w:space="0" w:color="FFFFFF"/>
              <w:left w:val="single" w:sz="8" w:space="0" w:color="FFFFFF"/>
              <w:bottom w:val="single" w:sz="8" w:space="0" w:color="FFFFFF"/>
              <w:right w:val="single" w:sz="8" w:space="0" w:color="FFFFFF"/>
            </w:tcBorders>
            <w:shd w:val="clear" w:color="auto" w:fill="BFBFBF"/>
            <w:vAlign w:val="center"/>
          </w:tcPr>
          <w:p w:rsidR="00F57548" w:rsidRPr="00C9674F" w:rsidRDefault="00E67A6C" w:rsidP="00C9674F">
            <w:pPr>
              <w:spacing w:line="256" w:lineRule="auto"/>
              <w:jc w:val="center"/>
              <w:rPr>
                <w:rFonts w:eastAsia="Calibri"/>
                <w:b/>
                <w:color w:val="FF0000"/>
                <w:sz w:val="16"/>
                <w:szCs w:val="16"/>
              </w:rPr>
            </w:pPr>
            <w:r w:rsidRPr="00C9674F">
              <w:rPr>
                <w:rFonts w:eastAsia="Calibri"/>
                <w:b/>
                <w:color w:val="FF0000"/>
                <w:sz w:val="16"/>
                <w:szCs w:val="16"/>
              </w:rPr>
              <w:t>0,0</w:t>
            </w:r>
          </w:p>
        </w:tc>
      </w:tr>
      <w:tr w:rsidR="00F57548" w:rsidRPr="00C9674F" w:rsidTr="00F8161E">
        <w:trPr>
          <w:trHeight w:val="87"/>
        </w:trPr>
        <w:tc>
          <w:tcPr>
            <w:tcW w:w="4952"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tcPr>
          <w:p w:rsidR="00F57548" w:rsidRPr="00C9674F" w:rsidRDefault="00E67A6C" w:rsidP="00C9674F">
            <w:pPr>
              <w:spacing w:line="256" w:lineRule="auto"/>
              <w:rPr>
                <w:sz w:val="16"/>
                <w:szCs w:val="16"/>
              </w:rPr>
            </w:pPr>
            <w:r w:rsidRPr="00C9674F">
              <w:rPr>
                <w:rFonts w:eastAsia="Calibri"/>
                <w:b/>
                <w:color w:val="FFFFFF"/>
                <w:sz w:val="16"/>
                <w:szCs w:val="16"/>
              </w:rPr>
              <w:t>3M-PRIBOR (%): průměr</w:t>
            </w:r>
          </w:p>
        </w:tc>
        <w:tc>
          <w:tcPr>
            <w:tcW w:w="127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rsidR="00F57548" w:rsidRPr="00C9674F" w:rsidRDefault="00E67A6C" w:rsidP="00C9674F">
            <w:pPr>
              <w:spacing w:line="256" w:lineRule="auto"/>
              <w:jc w:val="center"/>
              <w:rPr>
                <w:sz w:val="16"/>
                <w:szCs w:val="16"/>
              </w:rPr>
            </w:pPr>
            <w:r w:rsidRPr="00C9674F">
              <w:rPr>
                <w:rFonts w:eastAsia="Calibri"/>
                <w:b/>
                <w:sz w:val="16"/>
                <w:szCs w:val="16"/>
              </w:rPr>
              <w:t>1,27</w:t>
            </w:r>
          </w:p>
        </w:tc>
        <w:tc>
          <w:tcPr>
            <w:tcW w:w="1418"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rsidR="00F57548" w:rsidRPr="00C9674F" w:rsidRDefault="00E67A6C" w:rsidP="00C9674F">
            <w:pPr>
              <w:spacing w:line="256" w:lineRule="auto"/>
              <w:jc w:val="center"/>
              <w:rPr>
                <w:rFonts w:eastAsia="Calibri"/>
                <w:b/>
                <w:sz w:val="16"/>
                <w:szCs w:val="16"/>
              </w:rPr>
            </w:pPr>
            <w:r w:rsidRPr="00C9674F">
              <w:rPr>
                <w:rFonts w:eastAsia="Calibri"/>
                <w:b/>
                <w:sz w:val="16"/>
                <w:szCs w:val="16"/>
              </w:rPr>
              <w:t>2,12</w:t>
            </w:r>
          </w:p>
        </w:tc>
        <w:tc>
          <w:tcPr>
            <w:tcW w:w="1417"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rsidR="00F57548" w:rsidRPr="00C9674F" w:rsidRDefault="00E67A6C" w:rsidP="00C9674F">
            <w:pPr>
              <w:spacing w:line="256" w:lineRule="auto"/>
              <w:jc w:val="center"/>
              <w:rPr>
                <w:rFonts w:eastAsia="Calibri"/>
                <w:b/>
                <w:color w:val="FF0000"/>
                <w:sz w:val="16"/>
                <w:szCs w:val="16"/>
              </w:rPr>
            </w:pPr>
            <w:r w:rsidRPr="00C9674F">
              <w:rPr>
                <w:rFonts w:eastAsia="Calibri"/>
                <w:b/>
                <w:color w:val="FF0000"/>
                <w:sz w:val="16"/>
                <w:szCs w:val="16"/>
              </w:rPr>
              <w:t>2,15</w:t>
            </w:r>
          </w:p>
        </w:tc>
        <w:tc>
          <w:tcPr>
            <w:tcW w:w="1191" w:type="dxa"/>
            <w:tcBorders>
              <w:top w:val="single" w:sz="8" w:space="0" w:color="FFFFFF"/>
              <w:left w:val="single" w:sz="8" w:space="0" w:color="FFFFFF"/>
              <w:bottom w:val="single" w:sz="8" w:space="0" w:color="FFFFFF"/>
              <w:right w:val="single" w:sz="8" w:space="0" w:color="FFFFFF"/>
            </w:tcBorders>
            <w:shd w:val="clear" w:color="auto" w:fill="BFBFBF"/>
            <w:vAlign w:val="center"/>
          </w:tcPr>
          <w:p w:rsidR="00F57548" w:rsidRPr="00C9674F" w:rsidRDefault="00E67A6C" w:rsidP="00C9674F">
            <w:pPr>
              <w:spacing w:line="256" w:lineRule="auto"/>
              <w:jc w:val="center"/>
              <w:rPr>
                <w:rFonts w:eastAsia="Calibri"/>
                <w:b/>
                <w:color w:val="FF0000"/>
                <w:sz w:val="16"/>
                <w:szCs w:val="16"/>
              </w:rPr>
            </w:pPr>
            <w:r w:rsidRPr="00C9674F">
              <w:rPr>
                <w:rFonts w:eastAsia="Calibri"/>
                <w:b/>
                <w:color w:val="FF0000"/>
                <w:sz w:val="16"/>
                <w:szCs w:val="16"/>
              </w:rPr>
              <w:t>2,22</w:t>
            </w:r>
          </w:p>
        </w:tc>
      </w:tr>
      <w:tr w:rsidR="00F57548" w:rsidRPr="00C9674F" w:rsidTr="00F8161E">
        <w:trPr>
          <w:trHeight w:val="87"/>
        </w:trPr>
        <w:tc>
          <w:tcPr>
            <w:tcW w:w="4952"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tcPr>
          <w:p w:rsidR="00F57548" w:rsidRPr="00C9674F" w:rsidRDefault="00E67A6C" w:rsidP="00C9674F">
            <w:pPr>
              <w:spacing w:line="256" w:lineRule="auto"/>
              <w:rPr>
                <w:sz w:val="16"/>
                <w:szCs w:val="16"/>
              </w:rPr>
            </w:pPr>
            <w:r w:rsidRPr="00C9674F">
              <w:rPr>
                <w:rFonts w:eastAsia="Calibri"/>
                <w:b/>
                <w:color w:val="FFFFFF"/>
                <w:sz w:val="16"/>
                <w:szCs w:val="16"/>
              </w:rPr>
              <w:t>Růst bankovních úvěrů klientských (%)</w:t>
            </w:r>
          </w:p>
        </w:tc>
        <w:tc>
          <w:tcPr>
            <w:tcW w:w="127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rsidR="00F57548" w:rsidRPr="00C9674F" w:rsidRDefault="00E67A6C" w:rsidP="00C9674F">
            <w:pPr>
              <w:spacing w:line="256" w:lineRule="auto"/>
              <w:jc w:val="center"/>
              <w:rPr>
                <w:rFonts w:eastAsia="Calibri"/>
                <w:b/>
                <w:sz w:val="16"/>
                <w:szCs w:val="16"/>
              </w:rPr>
            </w:pPr>
            <w:r w:rsidRPr="00C9674F">
              <w:rPr>
                <w:rFonts w:eastAsia="Calibri"/>
                <w:b/>
                <w:sz w:val="16"/>
                <w:szCs w:val="16"/>
              </w:rPr>
              <w:t>7,2</w:t>
            </w:r>
          </w:p>
        </w:tc>
        <w:tc>
          <w:tcPr>
            <w:tcW w:w="1418"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rsidR="00F57548" w:rsidRPr="00C9674F" w:rsidRDefault="00E67A6C" w:rsidP="00C9674F">
            <w:pPr>
              <w:spacing w:line="256" w:lineRule="auto"/>
              <w:jc w:val="center"/>
              <w:rPr>
                <w:rFonts w:eastAsia="Calibri"/>
                <w:b/>
                <w:color w:val="000000"/>
                <w:sz w:val="16"/>
                <w:szCs w:val="16"/>
              </w:rPr>
            </w:pPr>
            <w:r w:rsidRPr="00C9674F">
              <w:rPr>
                <w:rFonts w:eastAsia="Calibri"/>
                <w:b/>
                <w:color w:val="FF0000"/>
                <w:sz w:val="16"/>
                <w:szCs w:val="16"/>
              </w:rPr>
              <w:t>5,2</w:t>
            </w:r>
          </w:p>
        </w:tc>
        <w:tc>
          <w:tcPr>
            <w:tcW w:w="1417"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rsidR="00F57548" w:rsidRPr="00C9674F" w:rsidRDefault="00E67A6C" w:rsidP="00C9674F">
            <w:pPr>
              <w:spacing w:line="256" w:lineRule="auto"/>
              <w:jc w:val="center"/>
              <w:rPr>
                <w:rFonts w:eastAsia="Calibri"/>
                <w:b/>
                <w:color w:val="FF0000"/>
                <w:sz w:val="16"/>
                <w:szCs w:val="16"/>
              </w:rPr>
            </w:pPr>
            <w:r w:rsidRPr="00C9674F">
              <w:rPr>
                <w:rFonts w:eastAsia="Calibri"/>
                <w:b/>
                <w:color w:val="FF0000"/>
                <w:sz w:val="16"/>
                <w:szCs w:val="16"/>
              </w:rPr>
              <w:t>5,0</w:t>
            </w:r>
          </w:p>
        </w:tc>
        <w:tc>
          <w:tcPr>
            <w:tcW w:w="1191" w:type="dxa"/>
            <w:tcBorders>
              <w:top w:val="single" w:sz="8" w:space="0" w:color="FFFFFF"/>
              <w:left w:val="single" w:sz="8" w:space="0" w:color="FFFFFF"/>
              <w:bottom w:val="single" w:sz="8" w:space="0" w:color="FFFFFF"/>
              <w:right w:val="single" w:sz="8" w:space="0" w:color="FFFFFF"/>
            </w:tcBorders>
            <w:shd w:val="clear" w:color="auto" w:fill="BFBFBF"/>
            <w:vAlign w:val="center"/>
          </w:tcPr>
          <w:p w:rsidR="00F57548" w:rsidRPr="00C9674F" w:rsidRDefault="00E67A6C" w:rsidP="00C9674F">
            <w:pPr>
              <w:spacing w:line="256" w:lineRule="auto"/>
              <w:jc w:val="center"/>
              <w:rPr>
                <w:rFonts w:eastAsia="Calibri"/>
                <w:b/>
                <w:color w:val="FF0000"/>
                <w:sz w:val="16"/>
                <w:szCs w:val="16"/>
              </w:rPr>
            </w:pPr>
            <w:r w:rsidRPr="00C9674F">
              <w:rPr>
                <w:rFonts w:eastAsia="Calibri"/>
                <w:b/>
                <w:color w:val="FF0000"/>
                <w:sz w:val="16"/>
                <w:szCs w:val="16"/>
              </w:rPr>
              <w:t>5,1</w:t>
            </w:r>
          </w:p>
        </w:tc>
      </w:tr>
      <w:tr w:rsidR="00F57548" w:rsidRPr="00C9674F" w:rsidTr="00F8161E">
        <w:trPr>
          <w:trHeight w:val="87"/>
        </w:trPr>
        <w:tc>
          <w:tcPr>
            <w:tcW w:w="4952"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tcPr>
          <w:p w:rsidR="00F57548" w:rsidRPr="00C9674F" w:rsidRDefault="00E67A6C" w:rsidP="00C9674F">
            <w:pPr>
              <w:spacing w:line="256" w:lineRule="auto"/>
              <w:rPr>
                <w:sz w:val="16"/>
                <w:szCs w:val="16"/>
              </w:rPr>
            </w:pPr>
            <w:r w:rsidRPr="00C9674F">
              <w:rPr>
                <w:rFonts w:eastAsia="Calibri"/>
                <w:b/>
                <w:color w:val="FFFFFF"/>
                <w:sz w:val="16"/>
                <w:szCs w:val="16"/>
              </w:rPr>
              <w:t>Růst bankovních úvěrů domácnostem (%)</w:t>
            </w:r>
          </w:p>
        </w:tc>
        <w:tc>
          <w:tcPr>
            <w:tcW w:w="127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rsidR="00F57548" w:rsidRPr="00C9674F" w:rsidRDefault="00E67A6C" w:rsidP="00C9674F">
            <w:pPr>
              <w:spacing w:line="256" w:lineRule="auto"/>
              <w:jc w:val="center"/>
              <w:rPr>
                <w:sz w:val="16"/>
                <w:szCs w:val="16"/>
              </w:rPr>
            </w:pPr>
            <w:r w:rsidRPr="00C9674F">
              <w:rPr>
                <w:rFonts w:eastAsia="Calibri"/>
                <w:b/>
                <w:sz w:val="16"/>
                <w:szCs w:val="16"/>
              </w:rPr>
              <w:t>7,9</w:t>
            </w:r>
          </w:p>
        </w:tc>
        <w:tc>
          <w:tcPr>
            <w:tcW w:w="1418"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rsidR="00F57548" w:rsidRPr="00C9674F" w:rsidRDefault="00E67A6C" w:rsidP="00C9674F">
            <w:pPr>
              <w:spacing w:line="256" w:lineRule="auto"/>
              <w:jc w:val="center"/>
              <w:rPr>
                <w:rFonts w:eastAsia="Calibri"/>
                <w:b/>
                <w:color w:val="FF0000"/>
                <w:sz w:val="16"/>
                <w:szCs w:val="16"/>
              </w:rPr>
            </w:pPr>
            <w:r w:rsidRPr="00C9674F">
              <w:rPr>
                <w:rFonts w:eastAsia="Calibri"/>
                <w:b/>
                <w:color w:val="FF0000"/>
                <w:sz w:val="16"/>
                <w:szCs w:val="16"/>
              </w:rPr>
              <w:t>6,6</w:t>
            </w:r>
          </w:p>
        </w:tc>
        <w:tc>
          <w:tcPr>
            <w:tcW w:w="1417"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rsidR="00F57548" w:rsidRPr="00C9674F" w:rsidRDefault="00E67A6C" w:rsidP="00C9674F">
            <w:pPr>
              <w:spacing w:line="256" w:lineRule="auto"/>
              <w:jc w:val="center"/>
              <w:rPr>
                <w:rFonts w:eastAsia="Calibri"/>
                <w:b/>
                <w:color w:val="FF0000"/>
                <w:sz w:val="16"/>
                <w:szCs w:val="16"/>
              </w:rPr>
            </w:pPr>
            <w:r w:rsidRPr="00C9674F">
              <w:rPr>
                <w:rFonts w:eastAsia="Calibri"/>
                <w:b/>
                <w:color w:val="FF0000"/>
                <w:sz w:val="16"/>
                <w:szCs w:val="16"/>
              </w:rPr>
              <w:t>6,1</w:t>
            </w:r>
          </w:p>
        </w:tc>
        <w:tc>
          <w:tcPr>
            <w:tcW w:w="1191" w:type="dxa"/>
            <w:tcBorders>
              <w:top w:val="single" w:sz="8" w:space="0" w:color="FFFFFF"/>
              <w:left w:val="single" w:sz="8" w:space="0" w:color="FFFFFF"/>
              <w:bottom w:val="single" w:sz="8" w:space="0" w:color="FFFFFF"/>
              <w:right w:val="single" w:sz="8" w:space="0" w:color="FFFFFF"/>
            </w:tcBorders>
            <w:shd w:val="clear" w:color="auto" w:fill="BFBFBF"/>
            <w:vAlign w:val="center"/>
          </w:tcPr>
          <w:p w:rsidR="00F57548" w:rsidRPr="00C9674F" w:rsidRDefault="00E67A6C" w:rsidP="00C9674F">
            <w:pPr>
              <w:spacing w:line="256" w:lineRule="auto"/>
              <w:jc w:val="center"/>
              <w:rPr>
                <w:rFonts w:eastAsia="Calibri"/>
                <w:b/>
                <w:color w:val="FF0000"/>
                <w:sz w:val="16"/>
                <w:szCs w:val="16"/>
              </w:rPr>
            </w:pPr>
            <w:r w:rsidRPr="00C9674F">
              <w:rPr>
                <w:rFonts w:eastAsia="Calibri"/>
                <w:b/>
                <w:color w:val="FF0000"/>
                <w:sz w:val="16"/>
                <w:szCs w:val="16"/>
              </w:rPr>
              <w:t>5,9</w:t>
            </w:r>
          </w:p>
        </w:tc>
      </w:tr>
      <w:tr w:rsidR="00F57548" w:rsidRPr="00C9674F" w:rsidTr="00F8161E">
        <w:trPr>
          <w:trHeight w:val="84"/>
        </w:trPr>
        <w:tc>
          <w:tcPr>
            <w:tcW w:w="4952"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tcPr>
          <w:p w:rsidR="00F57548" w:rsidRPr="00C9674F" w:rsidRDefault="00E67A6C" w:rsidP="00C9674F">
            <w:pPr>
              <w:spacing w:line="256" w:lineRule="auto"/>
              <w:rPr>
                <w:sz w:val="16"/>
                <w:szCs w:val="16"/>
              </w:rPr>
            </w:pPr>
            <w:r w:rsidRPr="00C9674F">
              <w:rPr>
                <w:rFonts w:eastAsia="Calibri"/>
                <w:b/>
                <w:color w:val="FFFFFF"/>
                <w:sz w:val="16"/>
                <w:szCs w:val="16"/>
              </w:rPr>
              <w:t>Růst bankovních úvěrů (nefinančním) podnikům (%)</w:t>
            </w:r>
          </w:p>
        </w:tc>
        <w:tc>
          <w:tcPr>
            <w:tcW w:w="127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rsidR="00F57548" w:rsidRPr="00C9674F" w:rsidRDefault="00E67A6C" w:rsidP="00C9674F">
            <w:pPr>
              <w:spacing w:line="256" w:lineRule="auto"/>
              <w:jc w:val="center"/>
              <w:rPr>
                <w:sz w:val="16"/>
                <w:szCs w:val="16"/>
              </w:rPr>
            </w:pPr>
            <w:r w:rsidRPr="00C9674F">
              <w:rPr>
                <w:rFonts w:eastAsia="Calibri"/>
                <w:b/>
                <w:sz w:val="16"/>
                <w:szCs w:val="16"/>
              </w:rPr>
              <w:t>5,7</w:t>
            </w:r>
          </w:p>
        </w:tc>
        <w:tc>
          <w:tcPr>
            <w:tcW w:w="1418"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rsidR="00F57548" w:rsidRPr="00C9674F" w:rsidRDefault="00E67A6C" w:rsidP="00C9674F">
            <w:pPr>
              <w:spacing w:line="256" w:lineRule="auto"/>
              <w:jc w:val="center"/>
              <w:rPr>
                <w:rFonts w:eastAsia="Calibri"/>
                <w:b/>
                <w:color w:val="FF0000"/>
                <w:sz w:val="16"/>
                <w:szCs w:val="16"/>
              </w:rPr>
            </w:pPr>
            <w:r w:rsidRPr="00C9674F">
              <w:rPr>
                <w:rFonts w:eastAsia="Calibri"/>
                <w:b/>
                <w:color w:val="FF0000"/>
                <w:sz w:val="16"/>
                <w:szCs w:val="16"/>
              </w:rPr>
              <w:t>4,3</w:t>
            </w:r>
          </w:p>
        </w:tc>
        <w:tc>
          <w:tcPr>
            <w:tcW w:w="1417"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rsidR="00F57548" w:rsidRPr="00C9674F" w:rsidRDefault="00E67A6C" w:rsidP="00C9674F">
            <w:pPr>
              <w:spacing w:line="256" w:lineRule="auto"/>
              <w:jc w:val="center"/>
              <w:rPr>
                <w:rFonts w:eastAsia="Calibri"/>
                <w:b/>
                <w:color w:val="FF0000"/>
                <w:sz w:val="16"/>
                <w:szCs w:val="16"/>
              </w:rPr>
            </w:pPr>
            <w:r w:rsidRPr="00C9674F">
              <w:rPr>
                <w:rFonts w:eastAsia="Calibri"/>
                <w:b/>
                <w:color w:val="FF0000"/>
                <w:sz w:val="16"/>
                <w:szCs w:val="16"/>
              </w:rPr>
              <w:t>4,5</w:t>
            </w:r>
          </w:p>
        </w:tc>
        <w:tc>
          <w:tcPr>
            <w:tcW w:w="1191" w:type="dxa"/>
            <w:tcBorders>
              <w:top w:val="single" w:sz="8" w:space="0" w:color="FFFFFF"/>
              <w:left w:val="single" w:sz="8" w:space="0" w:color="FFFFFF"/>
              <w:bottom w:val="single" w:sz="8" w:space="0" w:color="FFFFFF"/>
              <w:right w:val="single" w:sz="8" w:space="0" w:color="FFFFFF"/>
            </w:tcBorders>
            <w:shd w:val="clear" w:color="auto" w:fill="BFBFBF"/>
            <w:vAlign w:val="center"/>
          </w:tcPr>
          <w:p w:rsidR="00F57548" w:rsidRPr="00C9674F" w:rsidRDefault="00E67A6C" w:rsidP="00C9674F">
            <w:pPr>
              <w:spacing w:line="256" w:lineRule="auto"/>
              <w:jc w:val="center"/>
              <w:rPr>
                <w:rFonts w:eastAsia="Calibri"/>
                <w:b/>
                <w:color w:val="FF0000"/>
                <w:sz w:val="16"/>
                <w:szCs w:val="16"/>
              </w:rPr>
            </w:pPr>
            <w:r w:rsidRPr="00C9674F">
              <w:rPr>
                <w:rFonts w:eastAsia="Calibri"/>
                <w:b/>
                <w:color w:val="FF0000"/>
                <w:sz w:val="16"/>
                <w:szCs w:val="16"/>
              </w:rPr>
              <w:t>4,2</w:t>
            </w:r>
          </w:p>
        </w:tc>
      </w:tr>
      <w:tr w:rsidR="00F57548" w:rsidRPr="00C9674F" w:rsidTr="00F8161E">
        <w:trPr>
          <w:trHeight w:val="84"/>
        </w:trPr>
        <w:tc>
          <w:tcPr>
            <w:tcW w:w="4952" w:type="dxa"/>
            <w:tcBorders>
              <w:top w:val="single" w:sz="8" w:space="0" w:color="FFFFFF"/>
              <w:left w:val="single" w:sz="8" w:space="0" w:color="FFFFFF"/>
              <w:bottom w:val="single" w:sz="8" w:space="0" w:color="FFFFFF"/>
              <w:right w:val="single" w:sz="8" w:space="0" w:color="FFFFFF"/>
            </w:tcBorders>
            <w:shd w:val="clear" w:color="auto" w:fill="007E79"/>
            <w:tcMar>
              <w:top w:w="15" w:type="dxa"/>
              <w:left w:w="108" w:type="dxa"/>
              <w:bottom w:w="0" w:type="dxa"/>
              <w:right w:w="108" w:type="dxa"/>
            </w:tcMar>
          </w:tcPr>
          <w:p w:rsidR="00F57548" w:rsidRPr="00C9674F" w:rsidRDefault="00E67A6C" w:rsidP="00C9674F">
            <w:pPr>
              <w:spacing w:line="256" w:lineRule="auto"/>
              <w:rPr>
                <w:sz w:val="16"/>
                <w:szCs w:val="16"/>
              </w:rPr>
            </w:pPr>
            <w:r w:rsidRPr="00C9674F">
              <w:rPr>
                <w:rFonts w:eastAsia="Calibri"/>
                <w:b/>
                <w:color w:val="FFFFFF"/>
                <w:sz w:val="16"/>
                <w:szCs w:val="16"/>
              </w:rPr>
              <w:t>Růst bankovních vkladů klientských celkem (%)</w:t>
            </w:r>
          </w:p>
        </w:tc>
        <w:tc>
          <w:tcPr>
            <w:tcW w:w="127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rsidR="00F57548" w:rsidRPr="00C9674F" w:rsidRDefault="00E67A6C" w:rsidP="00C9674F">
            <w:pPr>
              <w:spacing w:line="256" w:lineRule="auto"/>
              <w:jc w:val="center"/>
              <w:rPr>
                <w:sz w:val="16"/>
                <w:szCs w:val="16"/>
              </w:rPr>
            </w:pPr>
            <w:r w:rsidRPr="00C9674F">
              <w:rPr>
                <w:rFonts w:eastAsia="Calibri"/>
                <w:b/>
                <w:sz w:val="16"/>
                <w:szCs w:val="16"/>
              </w:rPr>
              <w:t>6,6</w:t>
            </w:r>
          </w:p>
        </w:tc>
        <w:tc>
          <w:tcPr>
            <w:tcW w:w="1418"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rsidR="00F57548" w:rsidRPr="00C9674F" w:rsidRDefault="00E67A6C" w:rsidP="00C9674F">
            <w:pPr>
              <w:spacing w:line="256" w:lineRule="auto"/>
              <w:jc w:val="center"/>
              <w:rPr>
                <w:rFonts w:eastAsia="Calibri"/>
                <w:b/>
                <w:color w:val="FF0000"/>
                <w:sz w:val="16"/>
                <w:szCs w:val="16"/>
              </w:rPr>
            </w:pPr>
            <w:r w:rsidRPr="00C9674F">
              <w:rPr>
                <w:rFonts w:eastAsia="Calibri"/>
                <w:b/>
                <w:color w:val="FF0000"/>
                <w:sz w:val="16"/>
                <w:szCs w:val="16"/>
              </w:rPr>
              <w:t>9,7</w:t>
            </w:r>
          </w:p>
        </w:tc>
        <w:tc>
          <w:tcPr>
            <w:tcW w:w="1417" w:type="dxa"/>
            <w:tcBorders>
              <w:top w:val="single" w:sz="8" w:space="0" w:color="FFFFFF"/>
              <w:left w:val="single" w:sz="8" w:space="0" w:color="FFFFFF"/>
              <w:bottom w:val="single" w:sz="8" w:space="0" w:color="FFFFFF"/>
              <w:right w:val="single" w:sz="8" w:space="0" w:color="FFFFFF"/>
            </w:tcBorders>
            <w:shd w:val="clear" w:color="auto" w:fill="BFBFBF"/>
            <w:tcMar>
              <w:top w:w="15" w:type="dxa"/>
              <w:left w:w="108" w:type="dxa"/>
              <w:bottom w:w="0" w:type="dxa"/>
              <w:right w:w="108" w:type="dxa"/>
            </w:tcMar>
            <w:vAlign w:val="center"/>
          </w:tcPr>
          <w:p w:rsidR="00F57548" w:rsidRPr="00C9674F" w:rsidRDefault="00E67A6C" w:rsidP="00C9674F">
            <w:pPr>
              <w:spacing w:line="256" w:lineRule="auto"/>
              <w:jc w:val="center"/>
              <w:rPr>
                <w:rFonts w:eastAsia="Calibri"/>
                <w:b/>
                <w:color w:val="FF0000"/>
                <w:sz w:val="16"/>
                <w:szCs w:val="16"/>
              </w:rPr>
            </w:pPr>
            <w:r w:rsidRPr="00C9674F">
              <w:rPr>
                <w:rFonts w:eastAsia="Calibri"/>
                <w:b/>
                <w:color w:val="FF0000"/>
                <w:sz w:val="16"/>
                <w:szCs w:val="16"/>
              </w:rPr>
              <w:t>5,7</w:t>
            </w:r>
          </w:p>
        </w:tc>
        <w:tc>
          <w:tcPr>
            <w:tcW w:w="1191" w:type="dxa"/>
            <w:tcBorders>
              <w:top w:val="single" w:sz="8" w:space="0" w:color="FFFFFF"/>
              <w:left w:val="single" w:sz="8" w:space="0" w:color="FFFFFF"/>
              <w:bottom w:val="single" w:sz="8" w:space="0" w:color="FFFFFF"/>
              <w:right w:val="single" w:sz="8" w:space="0" w:color="FFFFFF"/>
            </w:tcBorders>
            <w:shd w:val="clear" w:color="auto" w:fill="BFBFBF"/>
            <w:vAlign w:val="center"/>
          </w:tcPr>
          <w:p w:rsidR="00F57548" w:rsidRPr="00C9674F" w:rsidRDefault="00E67A6C" w:rsidP="00C9674F">
            <w:pPr>
              <w:spacing w:line="256" w:lineRule="auto"/>
              <w:jc w:val="center"/>
              <w:rPr>
                <w:rFonts w:eastAsia="Calibri"/>
                <w:b/>
                <w:color w:val="FF0000"/>
                <w:sz w:val="16"/>
                <w:szCs w:val="16"/>
              </w:rPr>
            </w:pPr>
            <w:r w:rsidRPr="00C9674F">
              <w:rPr>
                <w:rFonts w:eastAsia="Calibri"/>
                <w:b/>
                <w:color w:val="FF0000"/>
                <w:sz w:val="16"/>
                <w:szCs w:val="16"/>
              </w:rPr>
              <w:t>4,6</w:t>
            </w:r>
          </w:p>
        </w:tc>
      </w:tr>
    </w:tbl>
    <w:p w:rsidR="00CB356F" w:rsidRPr="00C9674F" w:rsidRDefault="00CB356F" w:rsidP="00C9674F">
      <w:pPr>
        <w:rPr>
          <w:sz w:val="16"/>
          <w:szCs w:val="16"/>
        </w:rPr>
      </w:pPr>
    </w:p>
    <w:p w:rsidR="00F57548" w:rsidRPr="00C9674F" w:rsidRDefault="00A55BDD" w:rsidP="00C9674F">
      <w:pPr>
        <w:rPr>
          <w:sz w:val="16"/>
          <w:szCs w:val="16"/>
        </w:rPr>
      </w:pPr>
      <w:bookmarkStart w:id="0" w:name="_GoBack"/>
      <w:bookmarkEnd w:id="0"/>
      <w:r w:rsidRPr="00C9674F">
        <w:rPr>
          <w:noProof/>
          <w:sz w:val="16"/>
          <w:szCs w:val="16"/>
        </w:rPr>
        <mc:AlternateContent>
          <mc:Choice Requires="wps">
            <w:drawing>
              <wp:anchor distT="0" distB="0" distL="114300" distR="114300" simplePos="0" relativeHeight="251663360" behindDoc="1" locked="0" layoutInCell="1" hidden="0" allowOverlap="1">
                <wp:simplePos x="0" y="0"/>
                <wp:positionH relativeFrom="column">
                  <wp:posOffset>4364990</wp:posOffset>
                </wp:positionH>
                <wp:positionV relativeFrom="paragraph">
                  <wp:posOffset>208446</wp:posOffset>
                </wp:positionV>
                <wp:extent cx="2186608" cy="1296035"/>
                <wp:effectExtent l="0" t="0" r="4445" b="0"/>
                <wp:wrapNone/>
                <wp:docPr id="3" name=""/>
                <wp:cNvGraphicFramePr/>
                <a:graphic xmlns:a="http://schemas.openxmlformats.org/drawingml/2006/main">
                  <a:graphicData uri="http://schemas.microsoft.com/office/word/2010/wordprocessingShape">
                    <wps:wsp>
                      <wps:cNvSpPr/>
                      <wps:spPr>
                        <a:xfrm>
                          <a:off x="0" y="0"/>
                          <a:ext cx="2186608" cy="1296035"/>
                        </a:xfrm>
                        <a:prstGeom prst="rect">
                          <a:avLst/>
                        </a:prstGeom>
                        <a:solidFill>
                          <a:srgbClr val="007E79">
                            <a:alpha val="4980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44B0" w:rsidRPr="00A55BDD" w:rsidRDefault="00E67A6C" w:rsidP="00044002">
                            <w:pPr>
                              <w:spacing w:line="276" w:lineRule="auto"/>
                              <w:ind w:left="28" w:hanging="28"/>
                              <w:jc w:val="left"/>
                              <w:outlineLvl w:val="0"/>
                              <w:rPr>
                                <w:b/>
                                <w:sz w:val="16"/>
                                <w:szCs w:val="16"/>
                              </w:rPr>
                            </w:pPr>
                            <w:r w:rsidRPr="00A55BDD">
                              <w:rPr>
                                <w:b/>
                                <w:sz w:val="16"/>
                                <w:szCs w:val="16"/>
                              </w:rPr>
                              <w:t xml:space="preserve">Další informace </w:t>
                            </w:r>
                          </w:p>
                          <w:p w:rsidR="008244B0" w:rsidRPr="00A55BDD" w:rsidRDefault="00E67A6C" w:rsidP="00044002">
                            <w:pPr>
                              <w:spacing w:line="276" w:lineRule="auto"/>
                              <w:ind w:left="28" w:hanging="28"/>
                              <w:jc w:val="left"/>
                              <w:outlineLvl w:val="0"/>
                              <w:rPr>
                                <w:b/>
                                <w:sz w:val="16"/>
                                <w:szCs w:val="16"/>
                              </w:rPr>
                            </w:pPr>
                            <w:r w:rsidRPr="00A55BDD">
                              <w:rPr>
                                <w:b/>
                                <w:sz w:val="16"/>
                                <w:szCs w:val="16"/>
                              </w:rPr>
                              <w:t>obdržíte na adrese:</w:t>
                            </w:r>
                          </w:p>
                          <w:p w:rsidR="008244B0" w:rsidRPr="00A55BDD" w:rsidRDefault="00A55BDD" w:rsidP="00044002">
                            <w:pPr>
                              <w:spacing w:line="276" w:lineRule="auto"/>
                              <w:jc w:val="left"/>
                              <w:rPr>
                                <w:b/>
                                <w:sz w:val="16"/>
                                <w:szCs w:val="16"/>
                              </w:rPr>
                            </w:pPr>
                          </w:p>
                          <w:p w:rsidR="008244B0" w:rsidRPr="00A55BDD" w:rsidRDefault="00E67A6C" w:rsidP="00044002">
                            <w:pPr>
                              <w:spacing w:line="276" w:lineRule="auto"/>
                              <w:jc w:val="left"/>
                              <w:rPr>
                                <w:noProof/>
                                <w:sz w:val="16"/>
                                <w:szCs w:val="16"/>
                              </w:rPr>
                            </w:pPr>
                            <w:r w:rsidRPr="00A55BDD">
                              <w:rPr>
                                <w:noProof/>
                                <w:sz w:val="16"/>
                                <w:szCs w:val="16"/>
                              </w:rPr>
                              <w:t xml:space="preserve">Monika Petrásková, </w:t>
                            </w:r>
                          </w:p>
                          <w:p w:rsidR="008244B0" w:rsidRPr="00A55BDD" w:rsidRDefault="00E67A6C" w:rsidP="00044002">
                            <w:pPr>
                              <w:spacing w:line="276" w:lineRule="auto"/>
                              <w:jc w:val="left"/>
                              <w:rPr>
                                <w:sz w:val="16"/>
                                <w:szCs w:val="16"/>
                              </w:rPr>
                            </w:pPr>
                            <w:r w:rsidRPr="00A55BDD">
                              <w:rPr>
                                <w:noProof/>
                                <w:sz w:val="16"/>
                                <w:szCs w:val="16"/>
                              </w:rPr>
                              <w:t>m</w:t>
                            </w:r>
                            <w:proofErr w:type="spellStart"/>
                            <w:r w:rsidRPr="00A55BDD">
                              <w:rPr>
                                <w:sz w:val="16"/>
                                <w:szCs w:val="16"/>
                              </w:rPr>
                              <w:t>anažerka</w:t>
                            </w:r>
                            <w:proofErr w:type="spellEnd"/>
                            <w:r w:rsidRPr="00A55BDD">
                              <w:rPr>
                                <w:sz w:val="16"/>
                                <w:szCs w:val="16"/>
                              </w:rPr>
                              <w:t xml:space="preserve"> PR a komunikace ČBA</w:t>
                            </w:r>
                          </w:p>
                          <w:p w:rsidR="008244B0" w:rsidRPr="00A55BDD" w:rsidRDefault="00E67A6C" w:rsidP="00044002">
                            <w:pPr>
                              <w:spacing w:line="276" w:lineRule="auto"/>
                              <w:jc w:val="left"/>
                              <w:rPr>
                                <w:sz w:val="16"/>
                                <w:szCs w:val="16"/>
                              </w:rPr>
                            </w:pPr>
                            <w:r w:rsidRPr="00A55BDD">
                              <w:rPr>
                                <w:sz w:val="16"/>
                                <w:szCs w:val="16"/>
                              </w:rPr>
                              <w:t>petraskova@czech-ba.cz</w:t>
                            </w:r>
                          </w:p>
                          <w:p w:rsidR="008244B0" w:rsidRPr="00A55BDD" w:rsidRDefault="00E67A6C" w:rsidP="00044002">
                            <w:pPr>
                              <w:spacing w:line="276" w:lineRule="auto"/>
                              <w:jc w:val="left"/>
                              <w:rPr>
                                <w:sz w:val="16"/>
                                <w:szCs w:val="16"/>
                              </w:rPr>
                            </w:pPr>
                            <w:r w:rsidRPr="00A55BDD">
                              <w:rPr>
                                <w:sz w:val="16"/>
                                <w:szCs w:val="16"/>
                              </w:rPr>
                              <w:t>tel: + 420 733 130 282</w:t>
                            </w:r>
                          </w:p>
                          <w:p w:rsidR="008244B0" w:rsidRDefault="00A55BDD" w:rsidP="00044002">
                            <w:pPr>
                              <w:jc w:val="left"/>
                            </w:pP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left:0;text-align:left;margin-left:343.7pt;margin-top:16.4pt;width:172.15pt;height:102.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" fillcolor="#007e79" stroked="f" strokeweight="2pt">
                <v:fill opacity="32639f"/>
                <v:textbox inset="3mm,3mm,3mm,3mm">
                  <w:txbxContent>
                    <w:p w:rsidR="008244B0" w:rsidRPr="00A55BDD" w:rsidRDefault="00E67A6C" w:rsidP="00044002">
                      <w:pPr>
                        <w:spacing w:line="276" w:lineRule="auto"/>
                        <w:ind w:left="28" w:hanging="28"/>
                        <w:jc w:val="left"/>
                        <w:outlineLvl w:val="0"/>
                        <w:rPr>
                          <w:b/>
                          <w:sz w:val="16"/>
                          <w:szCs w:val="16"/>
                        </w:rPr>
                      </w:pPr>
                      <w:r w:rsidRPr="00A55BDD">
                        <w:rPr>
                          <w:b/>
                          <w:sz w:val="16"/>
                          <w:szCs w:val="16"/>
                        </w:rPr>
                        <w:t xml:space="preserve">Další informace </w:t>
                      </w:r>
                    </w:p>
                    <w:p w:rsidR="008244B0" w:rsidRPr="00A55BDD" w:rsidRDefault="00E67A6C" w:rsidP="00044002">
                      <w:pPr>
                        <w:spacing w:line="276" w:lineRule="auto"/>
                        <w:ind w:left="28" w:hanging="28"/>
                        <w:jc w:val="left"/>
                        <w:outlineLvl w:val="0"/>
                        <w:rPr>
                          <w:b/>
                          <w:sz w:val="16"/>
                          <w:szCs w:val="16"/>
                        </w:rPr>
                      </w:pPr>
                      <w:r w:rsidRPr="00A55BDD">
                        <w:rPr>
                          <w:b/>
                          <w:sz w:val="16"/>
                          <w:szCs w:val="16"/>
                        </w:rPr>
                        <w:t>obdržíte na adrese:</w:t>
                      </w:r>
                    </w:p>
                    <w:p w:rsidR="008244B0" w:rsidRPr="00A55BDD" w:rsidRDefault="00A55BDD" w:rsidP="00044002">
                      <w:pPr>
                        <w:spacing w:line="276" w:lineRule="auto"/>
                        <w:jc w:val="left"/>
                        <w:rPr>
                          <w:b/>
                          <w:sz w:val="16"/>
                          <w:szCs w:val="16"/>
                        </w:rPr>
                      </w:pPr>
                    </w:p>
                    <w:p w:rsidR="008244B0" w:rsidRPr="00A55BDD" w:rsidRDefault="00E67A6C" w:rsidP="00044002">
                      <w:pPr>
                        <w:spacing w:line="276" w:lineRule="auto"/>
                        <w:jc w:val="left"/>
                        <w:rPr>
                          <w:noProof/>
                          <w:sz w:val="16"/>
                          <w:szCs w:val="16"/>
                        </w:rPr>
                      </w:pPr>
                      <w:r w:rsidRPr="00A55BDD">
                        <w:rPr>
                          <w:noProof/>
                          <w:sz w:val="16"/>
                          <w:szCs w:val="16"/>
                        </w:rPr>
                        <w:t xml:space="preserve">Monika Petrásková, </w:t>
                      </w:r>
                    </w:p>
                    <w:p w:rsidR="008244B0" w:rsidRPr="00A55BDD" w:rsidRDefault="00E67A6C" w:rsidP="00044002">
                      <w:pPr>
                        <w:spacing w:line="276" w:lineRule="auto"/>
                        <w:jc w:val="left"/>
                        <w:rPr>
                          <w:sz w:val="16"/>
                          <w:szCs w:val="16"/>
                        </w:rPr>
                      </w:pPr>
                      <w:r w:rsidRPr="00A55BDD">
                        <w:rPr>
                          <w:noProof/>
                          <w:sz w:val="16"/>
                          <w:szCs w:val="16"/>
                        </w:rPr>
                        <w:t>m</w:t>
                      </w:r>
                      <w:proofErr w:type="spellStart"/>
                      <w:r w:rsidRPr="00A55BDD">
                        <w:rPr>
                          <w:sz w:val="16"/>
                          <w:szCs w:val="16"/>
                        </w:rPr>
                        <w:t>anažerka</w:t>
                      </w:r>
                      <w:proofErr w:type="spellEnd"/>
                      <w:r w:rsidRPr="00A55BDD">
                        <w:rPr>
                          <w:sz w:val="16"/>
                          <w:szCs w:val="16"/>
                        </w:rPr>
                        <w:t xml:space="preserve"> PR a komunikace ČBA</w:t>
                      </w:r>
                    </w:p>
                    <w:p w:rsidR="008244B0" w:rsidRPr="00A55BDD" w:rsidRDefault="00E67A6C" w:rsidP="00044002">
                      <w:pPr>
                        <w:spacing w:line="276" w:lineRule="auto"/>
                        <w:jc w:val="left"/>
                        <w:rPr>
                          <w:sz w:val="16"/>
                          <w:szCs w:val="16"/>
                        </w:rPr>
                      </w:pPr>
                      <w:r w:rsidRPr="00A55BDD">
                        <w:rPr>
                          <w:sz w:val="16"/>
                          <w:szCs w:val="16"/>
                        </w:rPr>
                        <w:t>petraskova@czech-ba.cz</w:t>
                      </w:r>
                    </w:p>
                    <w:p w:rsidR="008244B0" w:rsidRPr="00A55BDD" w:rsidRDefault="00E67A6C" w:rsidP="00044002">
                      <w:pPr>
                        <w:spacing w:line="276" w:lineRule="auto"/>
                        <w:jc w:val="left"/>
                        <w:rPr>
                          <w:sz w:val="16"/>
                          <w:szCs w:val="16"/>
                        </w:rPr>
                      </w:pPr>
                      <w:r w:rsidRPr="00A55BDD">
                        <w:rPr>
                          <w:sz w:val="16"/>
                          <w:szCs w:val="16"/>
                        </w:rPr>
                        <w:t>tel: + 420 733 130 282</w:t>
                      </w:r>
                    </w:p>
                    <w:p w:rsidR="008244B0" w:rsidRDefault="00A55BDD" w:rsidP="00044002">
                      <w:pPr>
                        <w:jc w:val="left"/>
                      </w:pPr>
                    </w:p>
                  </w:txbxContent>
                </v:textbox>
              </v:rect>
            </w:pict>
          </mc:Fallback>
        </mc:AlternateContent>
      </w:r>
      <w:r w:rsidRPr="00C9674F">
        <w:rPr>
          <w:noProof/>
          <w:sz w:val="16"/>
          <w:szCs w:val="16"/>
        </w:rPr>
        <mc:AlternateContent>
          <mc:Choice Requires="wps">
            <w:drawing>
              <wp:anchor distT="0" distB="0" distL="114300" distR="114300" simplePos="0" relativeHeight="251662336" behindDoc="1" locked="0" layoutInCell="1" hidden="0" allowOverlap="1">
                <wp:simplePos x="0" y="0"/>
                <wp:positionH relativeFrom="column">
                  <wp:posOffset>-7620</wp:posOffset>
                </wp:positionH>
                <wp:positionV relativeFrom="paragraph">
                  <wp:posOffset>208142</wp:posOffset>
                </wp:positionV>
                <wp:extent cx="4285753" cy="1296035"/>
                <wp:effectExtent l="0" t="0" r="635" b="0"/>
                <wp:wrapNone/>
                <wp:docPr id="5" name=""/>
                <wp:cNvGraphicFramePr/>
                <a:graphic xmlns:a="http://schemas.openxmlformats.org/drawingml/2006/main">
                  <a:graphicData uri="http://schemas.microsoft.com/office/word/2010/wordprocessingShape">
                    <wps:wsp>
                      <wps:cNvSpPr/>
                      <wps:spPr>
                        <a:xfrm>
                          <a:off x="0" y="0"/>
                          <a:ext cx="4285753" cy="129603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244B0" w:rsidRPr="00A55BDD" w:rsidRDefault="00E67A6C" w:rsidP="00044002">
                            <w:pPr>
                              <w:spacing w:line="276" w:lineRule="auto"/>
                              <w:jc w:val="left"/>
                              <w:rPr>
                                <w:b/>
                                <w:sz w:val="16"/>
                                <w:szCs w:val="16"/>
                              </w:rPr>
                            </w:pPr>
                            <w:r w:rsidRPr="00A55BDD">
                              <w:rPr>
                                <w:b/>
                                <w:sz w:val="16"/>
                                <w:szCs w:val="16"/>
                              </w:rPr>
                              <w:t>O České bankovní asociaci</w:t>
                            </w:r>
                          </w:p>
                          <w:p w:rsidR="008244B0" w:rsidRPr="00A55BDD" w:rsidRDefault="00E67A6C" w:rsidP="00044002">
                            <w:pPr>
                              <w:spacing w:line="276" w:lineRule="auto"/>
                              <w:ind w:left="28" w:hanging="28"/>
                              <w:jc w:val="left"/>
                              <w:rPr>
                                <w:sz w:val="16"/>
                                <w:szCs w:val="16"/>
                              </w:rPr>
                            </w:pPr>
                            <w:r w:rsidRPr="00A55BDD">
                              <w:rPr>
                                <w:sz w:val="16"/>
                                <w:szCs w:val="16"/>
                              </w:rPr>
                              <w:t>Česká bankovní asociace vznikla v roce 1990 a je dobrovolným sdružením právnických osob podnikajících v oblasti peněžnictví. V současné době sdružuje 38 členů. Rolí asociace je především zastupovat a prosazovat společné zájmy členů, prezentovat roli a zájmy bankovnictví vůči veřejnosti, podílet se na standardizaci postupů v</w:t>
                            </w:r>
                            <w:r w:rsidRPr="00A55BDD">
                              <w:rPr>
                                <w:i/>
                                <w:sz w:val="16"/>
                                <w:szCs w:val="16"/>
                              </w:rPr>
                              <w:t> </w:t>
                            </w:r>
                            <w:r w:rsidRPr="00A55BDD">
                              <w:rPr>
                                <w:sz w:val="16"/>
                                <w:szCs w:val="16"/>
                              </w:rPr>
                              <w:t>bankovnictví a na vytváření odborných zvyklostí, podporovat harmonizaci bankovní legislativy s legislativou Evropské unie a vyvíjet aktivitu v informativní a školící oblasti. ČBA je členem Evropské bankovní federace a</w:t>
                            </w:r>
                            <w:r w:rsidRPr="00A55BDD">
                              <w:rPr>
                                <w:i/>
                                <w:sz w:val="16"/>
                                <w:szCs w:val="16"/>
                              </w:rPr>
                              <w:t> </w:t>
                            </w:r>
                            <w:r w:rsidRPr="00A55BDD">
                              <w:rPr>
                                <w:sz w:val="16"/>
                                <w:szCs w:val="16"/>
                              </w:rPr>
                              <w:t>EMMI.</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left:0;text-align:left;margin-left:-.6pt;margin-top:16.4pt;width:337.45pt;height:102.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" fillcolor="#bfbfbf [2412]" stroked="f" strokeweight="2pt">
                <v:textbox inset="3mm,3mm,3mm,3mm">
                  <w:txbxContent>
                    <w:p w:rsidR="008244B0" w:rsidRPr="00A55BDD" w:rsidRDefault="00E67A6C" w:rsidP="00044002">
                      <w:pPr>
                        <w:spacing w:line="276" w:lineRule="auto"/>
                        <w:jc w:val="left"/>
                        <w:rPr>
                          <w:b/>
                          <w:sz w:val="16"/>
                          <w:szCs w:val="16"/>
                        </w:rPr>
                      </w:pPr>
                      <w:r w:rsidRPr="00A55BDD">
                        <w:rPr>
                          <w:b/>
                          <w:sz w:val="16"/>
                          <w:szCs w:val="16"/>
                        </w:rPr>
                        <w:t>O České bankovní asociaci</w:t>
                      </w:r>
                    </w:p>
                    <w:p w:rsidR="008244B0" w:rsidRPr="00A55BDD" w:rsidRDefault="00E67A6C" w:rsidP="00044002">
                      <w:pPr>
                        <w:spacing w:line="276" w:lineRule="auto"/>
                        <w:ind w:left="28" w:hanging="28"/>
                        <w:jc w:val="left"/>
                        <w:rPr>
                          <w:sz w:val="16"/>
                          <w:szCs w:val="16"/>
                        </w:rPr>
                      </w:pPr>
                      <w:r w:rsidRPr="00A55BDD">
                        <w:rPr>
                          <w:sz w:val="16"/>
                          <w:szCs w:val="16"/>
                        </w:rPr>
                        <w:t>Česká bankovní asociace vznikla v roce 1990 a je dobrovolným sdružením právnických osob podnikajících v oblasti peněžnictví. V současné době sdružuje 38 členů. Rolí asociace je především zastupovat a prosazovat společné zájmy členů, prezentovat roli a zájmy bankovnictví vůči veřejnosti, podílet se na standardizaci postupů v</w:t>
                      </w:r>
                      <w:r w:rsidRPr="00A55BDD">
                        <w:rPr>
                          <w:i/>
                          <w:sz w:val="16"/>
                          <w:szCs w:val="16"/>
                        </w:rPr>
                        <w:t> </w:t>
                      </w:r>
                      <w:r w:rsidRPr="00A55BDD">
                        <w:rPr>
                          <w:sz w:val="16"/>
                          <w:szCs w:val="16"/>
                        </w:rPr>
                        <w:t>bankovnictví a na vytváření odborných zvyklostí, podporovat harmonizaci bankovní legislativy s legislativou Evropské unie a vyvíjet aktivitu v informativní a školící oblasti. ČBA je členem Evropské bankovní federace a</w:t>
                      </w:r>
                      <w:r w:rsidRPr="00A55BDD">
                        <w:rPr>
                          <w:i/>
                          <w:sz w:val="16"/>
                          <w:szCs w:val="16"/>
                        </w:rPr>
                        <w:t> </w:t>
                      </w:r>
                      <w:r w:rsidRPr="00A55BDD">
                        <w:rPr>
                          <w:sz w:val="16"/>
                          <w:szCs w:val="16"/>
                        </w:rPr>
                        <w:t>EMMI.</w:t>
                      </w:r>
                    </w:p>
                  </w:txbxContent>
                </v:textbox>
              </v:rect>
            </w:pict>
          </mc:Fallback>
        </mc:AlternateContent>
      </w:r>
    </w:p>
    <w:sectPr w:rsidR="00F57548" w:rsidRPr="00C9674F">
      <w:headerReference w:type="default" r:id="rId7"/>
      <w:footerReference w:type="default" r:id="rId8"/>
      <w:pgSz w:w="11906" w:h="16838"/>
      <w:pgMar w:top="2552" w:right="851" w:bottom="1560" w:left="851" w:header="709" w:footer="28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143" w:rsidRDefault="00E67A6C">
      <w:r>
        <w:separator/>
      </w:r>
    </w:p>
  </w:endnote>
  <w:endnote w:type="continuationSeparator" w:id="0">
    <w:p w:rsidR="00A97143" w:rsidRDefault="00E67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548" w:rsidRDefault="00E67A6C">
    <w:pPr>
      <w:pBdr>
        <w:top w:val="nil"/>
        <w:left w:val="nil"/>
        <w:bottom w:val="nil"/>
        <w:right w:val="nil"/>
        <w:between w:val="nil"/>
      </w:pBdr>
      <w:tabs>
        <w:tab w:val="center" w:pos="4536"/>
        <w:tab w:val="right" w:pos="9072"/>
      </w:tabs>
      <w:rPr>
        <w:color w:val="A6A6A6"/>
        <w:sz w:val="14"/>
        <w:szCs w:val="14"/>
      </w:rPr>
    </w:pPr>
    <w:r>
      <w:rPr>
        <w:color w:val="A6A6A6"/>
        <w:sz w:val="14"/>
        <w:szCs w:val="14"/>
      </w:rPr>
      <w:fldChar w:fldCharType="begin"/>
    </w:r>
    <w:r>
      <w:rPr>
        <w:color w:val="A6A6A6"/>
        <w:sz w:val="14"/>
        <w:szCs w:val="14"/>
      </w:rPr>
      <w:instrText>PAGE</w:instrText>
    </w:r>
    <w:r>
      <w:rPr>
        <w:color w:val="A6A6A6"/>
        <w:sz w:val="14"/>
        <w:szCs w:val="14"/>
      </w:rPr>
      <w:fldChar w:fldCharType="separate"/>
    </w:r>
    <w:r w:rsidR="00E4167F">
      <w:rPr>
        <w:noProof/>
        <w:color w:val="A6A6A6"/>
        <w:sz w:val="14"/>
        <w:szCs w:val="14"/>
      </w:rPr>
      <w:t>1</w:t>
    </w:r>
    <w:r>
      <w:rPr>
        <w:color w:val="A6A6A6"/>
        <w:sz w:val="14"/>
        <w:szCs w:val="14"/>
      </w:rPr>
      <w:fldChar w:fldCharType="end"/>
    </w:r>
  </w:p>
  <w:p w:rsidR="00F57548" w:rsidRDefault="00F57548">
    <w:pPr>
      <w:pBdr>
        <w:top w:val="nil"/>
        <w:left w:val="nil"/>
        <w:bottom w:val="nil"/>
        <w:right w:val="nil"/>
        <w:between w:val="nil"/>
      </w:pBdr>
      <w:tabs>
        <w:tab w:val="left" w:pos="6080"/>
      </w:tabs>
      <w:rPr>
        <w:color w:val="A6A6A6"/>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143" w:rsidRDefault="00E67A6C">
      <w:r>
        <w:separator/>
      </w:r>
    </w:p>
  </w:footnote>
  <w:footnote w:type="continuationSeparator" w:id="0">
    <w:p w:rsidR="00A97143" w:rsidRDefault="00E67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548" w:rsidRDefault="00E67A6C">
    <w:pPr>
      <w:pBdr>
        <w:top w:val="nil"/>
        <w:left w:val="nil"/>
        <w:bottom w:val="nil"/>
        <w:right w:val="nil"/>
        <w:between w:val="nil"/>
      </w:pBdr>
      <w:tabs>
        <w:tab w:val="center" w:pos="4536"/>
        <w:tab w:val="right" w:pos="9072"/>
      </w:tabs>
      <w:rPr>
        <w:color w:val="000000"/>
      </w:rPr>
    </w:pPr>
    <w:r>
      <w:rPr>
        <w:noProof/>
      </w:rPr>
      <w:drawing>
        <wp:anchor distT="0" distB="0" distL="0" distR="0" simplePos="0" relativeHeight="251658240" behindDoc="1" locked="0" layoutInCell="1" hidden="0" allowOverlap="1">
          <wp:simplePos x="0" y="0"/>
          <wp:positionH relativeFrom="column">
            <wp:posOffset>-427989</wp:posOffset>
          </wp:positionH>
          <wp:positionV relativeFrom="paragraph">
            <wp:posOffset>-413384</wp:posOffset>
          </wp:positionV>
          <wp:extent cx="3196206" cy="1612900"/>
          <wp:effectExtent l="0" t="0" r="0" b="0"/>
          <wp:wrapNone/>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196206" cy="16129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3870ED"/>
    <w:multiLevelType w:val="multilevel"/>
    <w:tmpl w:val="F08A8F66"/>
    <w:lvl w:ilvl="0">
      <w:start w:val="1"/>
      <w:numFmt w:val="bullet"/>
      <w:lvlText w:val="-"/>
      <w:lvlJc w:val="left"/>
      <w:pPr>
        <w:ind w:left="720" w:hanging="360"/>
      </w:pPr>
      <w:rPr>
        <w:rFonts w:ascii="Calibri" w:eastAsia="Calibri" w:hAnsi="Calibri" w:cs="Calibri"/>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548"/>
    <w:rsid w:val="0008690C"/>
    <w:rsid w:val="003F4C8B"/>
    <w:rsid w:val="004F6D93"/>
    <w:rsid w:val="00564E25"/>
    <w:rsid w:val="005722E2"/>
    <w:rsid w:val="005D1919"/>
    <w:rsid w:val="005E655C"/>
    <w:rsid w:val="006C60A3"/>
    <w:rsid w:val="007D04F2"/>
    <w:rsid w:val="00814936"/>
    <w:rsid w:val="00A10779"/>
    <w:rsid w:val="00A55BDD"/>
    <w:rsid w:val="00A97143"/>
    <w:rsid w:val="00AF00CD"/>
    <w:rsid w:val="00B90D20"/>
    <w:rsid w:val="00BC498C"/>
    <w:rsid w:val="00C9674F"/>
    <w:rsid w:val="00CB356F"/>
    <w:rsid w:val="00D34A0A"/>
    <w:rsid w:val="00D92142"/>
    <w:rsid w:val="00E4167F"/>
    <w:rsid w:val="00E67A6C"/>
    <w:rsid w:val="00EF4427"/>
    <w:rsid w:val="00F57548"/>
    <w:rsid w:val="00F72117"/>
    <w:rsid w:val="00F816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2F4E6"/>
  <w15:docId w15:val="{6039623A-09BF-4590-BA82-64D23C51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18"/>
        <w:szCs w:val="18"/>
        <w:lang w:val="cs-CZ" w:eastAsia="cs-CZ"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E4167F"/>
    <w:rPr>
      <w:rFonts w:ascii="Segoe UI" w:hAnsi="Segoe UI" w:cs="Segoe UI"/>
    </w:rPr>
  </w:style>
  <w:style w:type="character" w:customStyle="1" w:styleId="TextbublinyChar">
    <w:name w:val="Text bubliny Char"/>
    <w:basedOn w:val="Standardnpsmoodstavce"/>
    <w:link w:val="Textbubliny"/>
    <w:uiPriority w:val="99"/>
    <w:semiHidden/>
    <w:rsid w:val="00E4167F"/>
    <w:rPr>
      <w:rFonts w:ascii="Segoe UI" w:hAnsi="Segoe UI" w:cs="Segoe UI"/>
    </w:rPr>
  </w:style>
  <w:style w:type="paragraph" w:styleId="Pedmtkomente">
    <w:name w:val="annotation subject"/>
    <w:basedOn w:val="Textkomente"/>
    <w:next w:val="Textkomente"/>
    <w:link w:val="PedmtkomenteChar"/>
    <w:uiPriority w:val="99"/>
    <w:semiHidden/>
    <w:unhideWhenUsed/>
    <w:rsid w:val="00B90D20"/>
    <w:rPr>
      <w:b/>
      <w:bCs/>
    </w:rPr>
  </w:style>
  <w:style w:type="character" w:customStyle="1" w:styleId="PedmtkomenteChar">
    <w:name w:val="Předmět komentáře Char"/>
    <w:basedOn w:val="TextkomenteChar"/>
    <w:link w:val="Pedmtkomente"/>
    <w:uiPriority w:val="99"/>
    <w:semiHidden/>
    <w:rsid w:val="00B90D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1105</TotalTime>
  <Pages>3</Pages>
  <Words>1610</Words>
  <Characters>9504</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Petrásková</dc:creator>
  <cp:lastModifiedBy>Andrea Trudičová</cp:lastModifiedBy>
  <cp:revision>10</cp:revision>
  <cp:lastPrinted>2020-01-22T16:14:00Z</cp:lastPrinted>
  <dcterms:created xsi:type="dcterms:W3CDTF">2020-01-22T10:52:00Z</dcterms:created>
  <dcterms:modified xsi:type="dcterms:W3CDTF">2020-01-23T08:07:00Z</dcterms:modified>
</cp:coreProperties>
</file>