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F4" w:rsidRDefault="00877706" w:rsidP="00BD483C">
      <w:pPr>
        <w:spacing w:after="120" w:line="276" w:lineRule="auto"/>
        <w:contextualSpacing/>
        <w:rPr>
          <w:rFonts w:cs="Arial"/>
          <w:b/>
          <w:color w:val="007E79"/>
          <w:sz w:val="28"/>
          <w:szCs w:val="28"/>
        </w:rPr>
      </w:pPr>
      <w:r w:rsidRPr="00877706">
        <w:rPr>
          <w:rFonts w:cs="Arial"/>
          <w:b/>
          <w:color w:val="007E79"/>
          <w:sz w:val="28"/>
          <w:szCs w:val="28"/>
        </w:rPr>
        <w:t>Komentář České bankovní asociace k</w:t>
      </w:r>
      <w:r w:rsidR="009968AC">
        <w:rPr>
          <w:rFonts w:cs="Arial"/>
          <w:b/>
          <w:color w:val="007E79"/>
          <w:sz w:val="28"/>
          <w:szCs w:val="28"/>
        </w:rPr>
        <w:t> </w:t>
      </w:r>
      <w:proofErr w:type="spellStart"/>
      <w:r w:rsidR="009968AC">
        <w:rPr>
          <w:rFonts w:cs="Arial"/>
          <w:b/>
          <w:color w:val="007E79"/>
          <w:sz w:val="28"/>
          <w:szCs w:val="28"/>
        </w:rPr>
        <w:t>Hypoindexu</w:t>
      </w:r>
      <w:proofErr w:type="spellEnd"/>
      <w:r w:rsidR="009968AC">
        <w:rPr>
          <w:rFonts w:cs="Arial"/>
          <w:b/>
          <w:color w:val="007E79"/>
          <w:sz w:val="28"/>
          <w:szCs w:val="28"/>
        </w:rPr>
        <w:t xml:space="preserve"> za </w:t>
      </w:r>
      <w:r w:rsidR="001D645F">
        <w:rPr>
          <w:rFonts w:cs="Arial"/>
          <w:b/>
          <w:color w:val="007E79"/>
          <w:sz w:val="28"/>
          <w:szCs w:val="28"/>
        </w:rPr>
        <w:t>listopad</w:t>
      </w:r>
      <w:r w:rsidR="009968AC">
        <w:rPr>
          <w:rFonts w:cs="Arial"/>
          <w:b/>
          <w:color w:val="007E79"/>
          <w:sz w:val="28"/>
          <w:szCs w:val="28"/>
        </w:rPr>
        <w:t xml:space="preserve"> 2019</w:t>
      </w:r>
    </w:p>
    <w:p w:rsidR="00877706" w:rsidRPr="00E27F2F" w:rsidRDefault="00877706" w:rsidP="00BD483C">
      <w:pPr>
        <w:spacing w:after="120" w:line="276" w:lineRule="auto"/>
        <w:contextualSpacing/>
        <w:rPr>
          <w:rFonts w:cs="Arial"/>
          <w:szCs w:val="18"/>
        </w:rPr>
      </w:pPr>
    </w:p>
    <w:p w:rsidR="00D13EDA" w:rsidRPr="00877706" w:rsidRDefault="00877706" w:rsidP="002B4617">
      <w:pPr>
        <w:spacing w:after="120" w:line="276" w:lineRule="auto"/>
        <w:contextualSpacing/>
        <w:rPr>
          <w:rFonts w:cs="Arial"/>
          <w:sz w:val="22"/>
          <w:szCs w:val="22"/>
        </w:rPr>
      </w:pPr>
      <w:r w:rsidRPr="00877706">
        <w:rPr>
          <w:rFonts w:cs="Arial"/>
          <w:b/>
          <w:color w:val="007E79"/>
          <w:sz w:val="22"/>
          <w:szCs w:val="22"/>
        </w:rPr>
        <w:t xml:space="preserve">Autor: </w:t>
      </w:r>
      <w:r w:rsidR="009968AC">
        <w:rPr>
          <w:rFonts w:cs="Arial"/>
          <w:b/>
          <w:color w:val="007E79"/>
          <w:sz w:val="22"/>
          <w:szCs w:val="22"/>
        </w:rPr>
        <w:t>Vladimír Staňura</w:t>
      </w:r>
      <w:r w:rsidRPr="00877706">
        <w:rPr>
          <w:rFonts w:cs="Arial"/>
          <w:b/>
          <w:color w:val="007E79"/>
          <w:sz w:val="22"/>
          <w:szCs w:val="22"/>
        </w:rPr>
        <w:t xml:space="preserve">, </w:t>
      </w:r>
      <w:r w:rsidR="009968AC">
        <w:rPr>
          <w:rFonts w:cs="Arial"/>
          <w:b/>
          <w:color w:val="007E79"/>
          <w:sz w:val="22"/>
          <w:szCs w:val="22"/>
        </w:rPr>
        <w:t xml:space="preserve">hlavní </w:t>
      </w:r>
      <w:r w:rsidRPr="00877706">
        <w:rPr>
          <w:rFonts w:cs="Arial"/>
          <w:b/>
          <w:color w:val="007E79"/>
          <w:sz w:val="22"/>
          <w:szCs w:val="22"/>
        </w:rPr>
        <w:t xml:space="preserve">poradce ČBA </w:t>
      </w:r>
    </w:p>
    <w:p w:rsidR="00877706" w:rsidRPr="00877706" w:rsidRDefault="00877706" w:rsidP="00877706">
      <w:pPr>
        <w:spacing w:after="120" w:line="276" w:lineRule="auto"/>
        <w:contextualSpacing/>
        <w:rPr>
          <w:rFonts w:cs="Arial"/>
          <w:b/>
          <w:color w:val="007E79"/>
          <w:sz w:val="22"/>
          <w:szCs w:val="22"/>
        </w:rPr>
      </w:pPr>
      <w:r w:rsidRPr="00877706">
        <w:rPr>
          <w:rFonts w:cs="Arial"/>
          <w:b/>
          <w:color w:val="007E79"/>
          <w:sz w:val="22"/>
          <w:szCs w:val="22"/>
        </w:rPr>
        <w:t xml:space="preserve">Praha, </w:t>
      </w:r>
      <w:r w:rsidR="001D645F">
        <w:rPr>
          <w:rFonts w:cs="Arial"/>
          <w:b/>
          <w:color w:val="007E79"/>
          <w:sz w:val="22"/>
          <w:szCs w:val="22"/>
        </w:rPr>
        <w:t>18</w:t>
      </w:r>
      <w:r w:rsidR="00AF3AD9">
        <w:rPr>
          <w:rFonts w:cs="Arial"/>
          <w:b/>
          <w:color w:val="007E79"/>
          <w:sz w:val="22"/>
          <w:szCs w:val="22"/>
        </w:rPr>
        <w:t>.</w:t>
      </w:r>
      <w:r w:rsidRPr="00877706">
        <w:rPr>
          <w:rFonts w:cs="Arial"/>
          <w:b/>
          <w:color w:val="007E79"/>
          <w:sz w:val="22"/>
          <w:szCs w:val="22"/>
        </w:rPr>
        <w:t xml:space="preserve"> </w:t>
      </w:r>
      <w:r w:rsidR="001D645F">
        <w:rPr>
          <w:rFonts w:cs="Arial"/>
          <w:b/>
          <w:color w:val="007E79"/>
          <w:sz w:val="22"/>
          <w:szCs w:val="22"/>
        </w:rPr>
        <w:t>prosince</w:t>
      </w:r>
      <w:r w:rsidRPr="00877706">
        <w:rPr>
          <w:rFonts w:cs="Arial"/>
          <w:b/>
          <w:color w:val="007E79"/>
          <w:sz w:val="22"/>
          <w:szCs w:val="22"/>
        </w:rPr>
        <w:t xml:space="preserve"> 2019 </w:t>
      </w:r>
    </w:p>
    <w:p w:rsidR="00D13EDA" w:rsidRPr="00E27F2F" w:rsidRDefault="00D13EDA" w:rsidP="002B4617">
      <w:pPr>
        <w:spacing w:after="120" w:line="276" w:lineRule="auto"/>
        <w:contextualSpacing/>
        <w:rPr>
          <w:rFonts w:cs="Arial"/>
          <w:szCs w:val="18"/>
        </w:rPr>
      </w:pPr>
    </w:p>
    <w:p w:rsidR="001D645F" w:rsidRPr="001D645F" w:rsidRDefault="001D645F" w:rsidP="001D645F">
      <w:pPr>
        <w:rPr>
          <w:sz w:val="20"/>
        </w:rPr>
      </w:pPr>
      <w:r w:rsidRPr="001D645F">
        <w:rPr>
          <w:sz w:val="20"/>
        </w:rPr>
        <w:t xml:space="preserve">Vývoj </w:t>
      </w:r>
      <w:hyperlink r:id="rId8" w:history="1">
        <w:proofErr w:type="spellStart"/>
        <w:r w:rsidRPr="001D645F">
          <w:rPr>
            <w:rStyle w:val="Hypertextovodkaz"/>
            <w:sz w:val="20"/>
          </w:rPr>
          <w:t>Hypoindexu</w:t>
        </w:r>
        <w:proofErr w:type="spellEnd"/>
      </w:hyperlink>
      <w:r w:rsidRPr="001D645F">
        <w:rPr>
          <w:sz w:val="20"/>
        </w:rPr>
        <w:t xml:space="preserve"> v listopadu 2019 není překvapivý. Klesl o jednu setinu z 2,36 % na 2,35 % </w:t>
      </w:r>
      <w:proofErr w:type="spellStart"/>
      <w:r w:rsidRPr="001D645F">
        <w:rPr>
          <w:sz w:val="20"/>
        </w:rPr>
        <w:t>p.a</w:t>
      </w:r>
      <w:proofErr w:type="spellEnd"/>
      <w:r w:rsidRPr="001D645F">
        <w:rPr>
          <w:sz w:val="20"/>
        </w:rPr>
        <w:t xml:space="preserve">. Co ale překvapivé je, že oproti začátku roku je nižší o 0,65 %. To už je velmi znatelný pokles. Stále máme daleko k nejnižší sazbě </w:t>
      </w:r>
      <w:r w:rsidR="00F9202B">
        <w:rPr>
          <w:sz w:val="20"/>
        </w:rPr>
        <w:br/>
      </w:r>
      <w:r w:rsidRPr="001D645F">
        <w:rPr>
          <w:sz w:val="20"/>
        </w:rPr>
        <w:t>1,77 % z konce roku 2016. Ale tak daleko se nedostaneme s ohledem na to, že ve druhém pololetí letošního roku některé banky začaly opět svoje sazby zvyšovat. Zejména pokud tak činí velcí hráči na trhu.</w:t>
      </w:r>
    </w:p>
    <w:p w:rsidR="001D645F" w:rsidRPr="001D645F" w:rsidRDefault="001D645F" w:rsidP="001D645F">
      <w:pPr>
        <w:rPr>
          <w:sz w:val="20"/>
        </w:rPr>
      </w:pPr>
    </w:p>
    <w:p w:rsidR="001D645F" w:rsidRPr="001D645F" w:rsidRDefault="001D645F" w:rsidP="001D645F">
      <w:pPr>
        <w:rPr>
          <w:sz w:val="20"/>
        </w:rPr>
      </w:pPr>
      <w:r w:rsidRPr="001D645F">
        <w:rPr>
          <w:sz w:val="20"/>
        </w:rPr>
        <w:t>Kromě toho je dob</w:t>
      </w:r>
      <w:r w:rsidR="00F9202B">
        <w:rPr>
          <w:sz w:val="20"/>
        </w:rPr>
        <w:t>ré</w:t>
      </w:r>
      <w:r w:rsidRPr="001D645F">
        <w:rPr>
          <w:sz w:val="20"/>
        </w:rPr>
        <w:t xml:space="preserve"> si připomenout, že koncem roku 2016 byla základní úroková sazba ČNB 0,05 % </w:t>
      </w:r>
      <w:proofErr w:type="spellStart"/>
      <w:r w:rsidRPr="001D645F">
        <w:rPr>
          <w:sz w:val="20"/>
        </w:rPr>
        <w:t>p.a</w:t>
      </w:r>
      <w:proofErr w:type="spellEnd"/>
      <w:r w:rsidRPr="001D645F">
        <w:rPr>
          <w:sz w:val="20"/>
        </w:rPr>
        <w:t xml:space="preserve">. Dnes je 2,0 % </w:t>
      </w:r>
      <w:proofErr w:type="spellStart"/>
      <w:r w:rsidRPr="001D645F">
        <w:rPr>
          <w:sz w:val="20"/>
        </w:rPr>
        <w:t>p.a</w:t>
      </w:r>
      <w:proofErr w:type="spellEnd"/>
      <w:r w:rsidRPr="001D645F">
        <w:rPr>
          <w:sz w:val="20"/>
        </w:rPr>
        <w:t>. To je další důvod, proč sazby hypotečních úvěrů už nemají pro další pokles velký, nebo razantněji řečeno žádný, prostor. Trh teď „testuje“ svoje dno. Přes celoroční pokles se dá očekávat, že pokud se sazby někam dál pohnou, tak nahoru, nikoliv dolů.</w:t>
      </w:r>
    </w:p>
    <w:p w:rsidR="001D645F" w:rsidRPr="001D645F" w:rsidRDefault="001D645F" w:rsidP="001D645F">
      <w:pPr>
        <w:rPr>
          <w:sz w:val="20"/>
        </w:rPr>
      </w:pPr>
    </w:p>
    <w:p w:rsidR="001D645F" w:rsidRPr="001D645F" w:rsidRDefault="001D645F" w:rsidP="001D645F">
      <w:pPr>
        <w:rPr>
          <w:sz w:val="20"/>
        </w:rPr>
      </w:pPr>
      <w:r w:rsidRPr="001D645F">
        <w:rPr>
          <w:sz w:val="20"/>
        </w:rPr>
        <w:t xml:space="preserve">Přestože banky bojovaly letos o svoje obchody a klienty nižšími sazbami, propadl se trh v objemech oproti loňskému roku o 20 %. V kusech dokonce skoro o 25 %. Dá se očekávat, že objem za celý letošní rok se bude pohybovat kolem 200 mld. Kč. To je pořád velké číslo. Po dvou letech boomu se vracíme k „normálu“. </w:t>
      </w:r>
    </w:p>
    <w:p w:rsidR="001D645F" w:rsidRPr="001D645F" w:rsidRDefault="001D645F" w:rsidP="001D645F">
      <w:pPr>
        <w:rPr>
          <w:sz w:val="20"/>
        </w:rPr>
      </w:pPr>
    </w:p>
    <w:p w:rsidR="001D645F" w:rsidRPr="001D645F" w:rsidRDefault="001D645F" w:rsidP="001D645F">
      <w:pPr>
        <w:rPr>
          <w:sz w:val="20"/>
        </w:rPr>
      </w:pPr>
      <w:r w:rsidRPr="001D645F">
        <w:rPr>
          <w:sz w:val="20"/>
        </w:rPr>
        <w:t xml:space="preserve">Za zmínku ještě rozhodně stojí zjištění HN, které píší o tom, že polovina prodejů bytů a rodinných domů ve velkých městech probíhá za hotové </w:t>
      </w:r>
      <w:proofErr w:type="gramStart"/>
      <w:r w:rsidRPr="001D645F">
        <w:rPr>
          <w:sz w:val="20"/>
        </w:rPr>
        <w:t>nebo-</w:t>
      </w:r>
      <w:bookmarkStart w:id="0" w:name="_GoBack"/>
      <w:bookmarkEnd w:id="0"/>
      <w:proofErr w:type="spellStart"/>
      <w:r w:rsidRPr="001D645F">
        <w:rPr>
          <w:sz w:val="20"/>
        </w:rPr>
        <w:t>li</w:t>
      </w:r>
      <w:proofErr w:type="spellEnd"/>
      <w:proofErr w:type="gramEnd"/>
      <w:r w:rsidRPr="001D645F">
        <w:rPr>
          <w:sz w:val="20"/>
        </w:rPr>
        <w:t xml:space="preserve"> bez zástavy. To je neskutečně velké číslo. Vedle hypotečního trhu tedy stojí stejně velký trh „za hotové“, který má dramatický vliv na cenu nemovitostí a nepřímo i na úrokové sazby, do kterého ale nikdo pořádně nevidí a je obtížně předvídatelný.</w:t>
      </w:r>
    </w:p>
    <w:p w:rsidR="001D645F" w:rsidRPr="00AF3AD9" w:rsidRDefault="001D645F" w:rsidP="001D645F">
      <w:pPr>
        <w:rPr>
          <w:sz w:val="20"/>
        </w:rPr>
      </w:pPr>
    </w:p>
    <w:p w:rsidR="00E8148D" w:rsidRDefault="00E8148D" w:rsidP="004371EE">
      <w:pPr>
        <w:spacing w:line="276" w:lineRule="auto"/>
        <w:rPr>
          <w:sz w:val="20"/>
          <w:szCs w:val="22"/>
        </w:rPr>
      </w:pPr>
    </w:p>
    <w:p w:rsidR="00962CB7" w:rsidRDefault="00962CB7" w:rsidP="00BD483C">
      <w:pPr>
        <w:spacing w:after="120" w:line="276" w:lineRule="auto"/>
        <w:contextualSpacing/>
        <w:rPr>
          <w:rFonts w:cs="Arial"/>
          <w:sz w:val="16"/>
          <w:szCs w:val="16"/>
        </w:rPr>
      </w:pPr>
    </w:p>
    <w:p w:rsidR="009968AC" w:rsidRPr="00E27F2F" w:rsidRDefault="009968AC" w:rsidP="00BD483C">
      <w:pPr>
        <w:spacing w:after="120" w:line="276" w:lineRule="auto"/>
        <w:contextualSpacing/>
        <w:rPr>
          <w:rFonts w:cs="Arial"/>
          <w:sz w:val="16"/>
          <w:szCs w:val="16"/>
        </w:rPr>
      </w:pPr>
    </w:p>
    <w:p w:rsidR="00226F32" w:rsidRDefault="00226F32" w:rsidP="00BD483C">
      <w:pPr>
        <w:spacing w:after="120" w:line="276" w:lineRule="auto"/>
        <w:contextualSpacing/>
        <w:rPr>
          <w:rFonts w:cs="Arial"/>
          <w:sz w:val="16"/>
          <w:szCs w:val="16"/>
        </w:rPr>
      </w:pPr>
    </w:p>
    <w:p w:rsidR="00D4029D" w:rsidRDefault="00D4029D" w:rsidP="00BD483C">
      <w:pPr>
        <w:spacing w:after="120" w:line="276" w:lineRule="auto"/>
        <w:contextualSpacing/>
        <w:rPr>
          <w:rFonts w:cs="Arial"/>
          <w:sz w:val="16"/>
          <w:szCs w:val="16"/>
        </w:rPr>
      </w:pPr>
    </w:p>
    <w:p w:rsidR="00D4029D" w:rsidRDefault="00D4029D" w:rsidP="00BD483C">
      <w:pPr>
        <w:spacing w:after="120" w:line="276" w:lineRule="auto"/>
        <w:contextualSpacing/>
        <w:rPr>
          <w:rFonts w:cs="Arial"/>
          <w:sz w:val="16"/>
          <w:szCs w:val="16"/>
        </w:rPr>
      </w:pPr>
    </w:p>
    <w:p w:rsidR="00D4029D" w:rsidRDefault="00D4029D" w:rsidP="00BD483C">
      <w:pPr>
        <w:spacing w:after="120" w:line="276" w:lineRule="auto"/>
        <w:contextualSpacing/>
        <w:rPr>
          <w:rFonts w:cs="Arial"/>
          <w:sz w:val="16"/>
          <w:szCs w:val="16"/>
        </w:rPr>
      </w:pPr>
    </w:p>
    <w:p w:rsidR="00D4029D" w:rsidRDefault="00D4029D" w:rsidP="00BD483C">
      <w:pPr>
        <w:spacing w:after="120" w:line="276" w:lineRule="auto"/>
        <w:contextualSpacing/>
        <w:rPr>
          <w:rFonts w:cs="Arial"/>
          <w:sz w:val="16"/>
          <w:szCs w:val="16"/>
        </w:rPr>
      </w:pPr>
    </w:p>
    <w:p w:rsidR="00226F32" w:rsidRDefault="00226F32" w:rsidP="00BD483C">
      <w:pPr>
        <w:spacing w:after="120" w:line="276" w:lineRule="auto"/>
        <w:contextualSpacing/>
        <w:rPr>
          <w:rFonts w:cs="Arial"/>
          <w:sz w:val="16"/>
          <w:szCs w:val="16"/>
        </w:rPr>
      </w:pPr>
    </w:p>
    <w:p w:rsidR="00BA1F8A" w:rsidRPr="00E27F2F" w:rsidRDefault="00873451" w:rsidP="00962CB7">
      <w:pPr>
        <w:tabs>
          <w:tab w:val="left" w:pos="3660"/>
        </w:tabs>
        <w:spacing w:after="120"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92032" behindDoc="0" locked="0" layoutInCell="1" allowOverlap="1">
                <wp:simplePos x="0" y="0"/>
                <wp:positionH relativeFrom="margin">
                  <wp:posOffset>635</wp:posOffset>
                </wp:positionH>
                <wp:positionV relativeFrom="paragraph">
                  <wp:posOffset>81915</wp:posOffset>
                </wp:positionV>
                <wp:extent cx="6574790" cy="169926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6992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rsidR="00873451" w:rsidRDefault="00873451" w:rsidP="00873451">
                            <w:pPr>
                              <w:pStyle w:val="THnorm"/>
                              <w:ind w:firstLine="0"/>
                              <w:rPr>
                                <w:rFonts w:ascii="Arial" w:hAnsi="Arial" w:cs="Arial"/>
                                <w:bCs/>
                                <w:sz w:val="18"/>
                                <w:szCs w:val="18"/>
                              </w:rPr>
                            </w:pPr>
                            <w:r w:rsidRPr="00873451">
                              <w:rPr>
                                <w:rFonts w:ascii="Arial" w:hAnsi="Arial" w:cs="Arial"/>
                                <w:bCs/>
                                <w:sz w:val="18"/>
                                <w:szCs w:val="18"/>
                              </w:rPr>
                              <w:t xml:space="preserve">Vladimír Staňura je hlavním poradcem České bankovní asociace. Absolvoval Vysokou školu ekonomickou v Praze a na Rotterdam </w:t>
                            </w:r>
                            <w:proofErr w:type="spellStart"/>
                            <w:r w:rsidRPr="00873451">
                              <w:rPr>
                                <w:rFonts w:ascii="Arial" w:hAnsi="Arial" w:cs="Arial"/>
                                <w:bCs/>
                                <w:sz w:val="18"/>
                                <w:szCs w:val="18"/>
                              </w:rPr>
                              <w:t>School</w:t>
                            </w:r>
                            <w:proofErr w:type="spellEnd"/>
                            <w:r w:rsidRPr="00873451">
                              <w:rPr>
                                <w:rFonts w:ascii="Arial" w:hAnsi="Arial" w:cs="Arial"/>
                                <w:bCs/>
                                <w:sz w:val="18"/>
                                <w:szCs w:val="18"/>
                              </w:rPr>
                              <w:t xml:space="preserve"> </w:t>
                            </w:r>
                            <w:proofErr w:type="spellStart"/>
                            <w:r w:rsidRPr="00873451">
                              <w:rPr>
                                <w:rFonts w:ascii="Arial" w:hAnsi="Arial" w:cs="Arial"/>
                                <w:bCs/>
                                <w:sz w:val="18"/>
                                <w:szCs w:val="18"/>
                              </w:rPr>
                              <w:t>of</w:t>
                            </w:r>
                            <w:proofErr w:type="spellEnd"/>
                            <w:r w:rsidRPr="00873451">
                              <w:rPr>
                                <w:rFonts w:ascii="Arial" w:hAnsi="Arial" w:cs="Arial"/>
                                <w:bCs/>
                                <w:sz w:val="18"/>
                                <w:szCs w:val="18"/>
                              </w:rPr>
                              <w:t xml:space="preserve"> Management získal titul MBA. Působil v řadě rolí v domácím i zahraničním bankovnictví. Pro skupinu ČSOB pracoval</w:t>
                            </w:r>
                            <w:r>
                              <w:rPr>
                                <w:rFonts w:ascii="Arial" w:hAnsi="Arial" w:cs="Arial"/>
                                <w:bCs/>
                                <w:sz w:val="18"/>
                                <w:szCs w:val="18"/>
                              </w:rPr>
                              <w:t xml:space="preserve"> více než 35 let</w:t>
                            </w:r>
                            <w:r w:rsidRPr="00873451">
                              <w:rPr>
                                <w:rFonts w:ascii="Arial" w:hAnsi="Arial" w:cs="Arial"/>
                                <w:bCs/>
                                <w:sz w:val="18"/>
                                <w:szCs w:val="18"/>
                              </w:rPr>
                              <w:t xml:space="preserve">.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rsidR="00873451" w:rsidRDefault="00873451" w:rsidP="00873451">
                            <w:pPr>
                              <w:pStyle w:val="THnorm"/>
                              <w:ind w:firstLine="0"/>
                              <w:rPr>
                                <w:rFonts w:ascii="Arial" w:hAnsi="Arial" w:cs="Arial"/>
                                <w:bCs/>
                                <w:sz w:val="18"/>
                                <w:szCs w:val="18"/>
                              </w:rPr>
                            </w:pPr>
                            <w:r w:rsidRPr="00873451">
                              <w:rPr>
                                <w:rFonts w:ascii="Arial" w:hAnsi="Arial" w:cs="Arial"/>
                                <w:bCs/>
                                <w:sz w:val="18"/>
                                <w:szCs w:val="18"/>
                              </w:rPr>
                              <w:t xml:space="preserve">Od r. 2018 pracuje pro Českou bankovní asociaci, za kterou působí ve správní radě Garančního systému finančního trhu. Kromě toho se věnuje jako poradce ČBA otázkám bydlení a jeho financování. </w:t>
                            </w:r>
                          </w:p>
                          <w:p w:rsidR="006A7BEA" w:rsidRPr="00873451" w:rsidRDefault="00873451" w:rsidP="00873451">
                            <w:pPr>
                              <w:pStyle w:val="THnorm"/>
                              <w:ind w:firstLine="0"/>
                              <w:rPr>
                                <w:rFonts w:ascii="Arial" w:hAnsi="Arial" w:cs="Arial"/>
                                <w:bCs/>
                                <w:sz w:val="18"/>
                                <w:szCs w:val="18"/>
                              </w:rPr>
                            </w:pPr>
                            <w:r w:rsidRPr="00873451">
                              <w:rPr>
                                <w:rFonts w:ascii="Arial" w:hAnsi="Arial" w:cs="Arial"/>
                                <w:bCs/>
                                <w:sz w:val="18"/>
                                <w:szCs w:val="18"/>
                              </w:rPr>
                              <w:t>Vášnivě miluje rodinu, aktivní sport, čtení, cestování, cizí jazyky.</w:t>
                            </w:r>
                          </w:p>
                          <w:p w:rsidR="006A7BEA" w:rsidRPr="00FD77C2" w:rsidRDefault="006A7BEA" w:rsidP="00F8461A">
                            <w:pPr>
                              <w:spacing w:after="120" w:line="276" w:lineRule="auto"/>
                              <w:contextualSpacing/>
                              <w:rPr>
                                <w:rFonts w:cs="Arial"/>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 o:spid="_x0000_s1026" style="position:absolute;left:0;text-align:left;margin-left:.05pt;margin-top:6.45pt;width:517.7pt;height:13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" fillcolor="#bfbfbf [2412]" stroked="f" strokeweight="1pt">
                <v:textbox inset="3mm,3mm,3mm,3mm">
                  <w:txbxContent>
                    <w:p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rsidR="00873451" w:rsidRDefault="00873451" w:rsidP="00873451">
                      <w:pPr>
                        <w:pStyle w:val="THnorm"/>
                        <w:ind w:firstLine="0"/>
                        <w:rPr>
                          <w:rFonts w:ascii="Arial" w:hAnsi="Arial" w:cs="Arial"/>
                          <w:bCs/>
                          <w:sz w:val="18"/>
                          <w:szCs w:val="18"/>
                        </w:rPr>
                      </w:pPr>
                      <w:r w:rsidRPr="00873451">
                        <w:rPr>
                          <w:rFonts w:ascii="Arial" w:hAnsi="Arial" w:cs="Arial"/>
                          <w:bCs/>
                          <w:sz w:val="18"/>
                          <w:szCs w:val="18"/>
                        </w:rPr>
                        <w:t xml:space="preserve">Vladimír Staňura je hlavním poradcem České bankovní asociace. Absolvoval Vysokou školu ekonomickou v Praze a na Rotterdam </w:t>
                      </w:r>
                      <w:proofErr w:type="spellStart"/>
                      <w:r w:rsidRPr="00873451">
                        <w:rPr>
                          <w:rFonts w:ascii="Arial" w:hAnsi="Arial" w:cs="Arial"/>
                          <w:bCs/>
                          <w:sz w:val="18"/>
                          <w:szCs w:val="18"/>
                        </w:rPr>
                        <w:t>School</w:t>
                      </w:r>
                      <w:proofErr w:type="spellEnd"/>
                      <w:r w:rsidRPr="00873451">
                        <w:rPr>
                          <w:rFonts w:ascii="Arial" w:hAnsi="Arial" w:cs="Arial"/>
                          <w:bCs/>
                          <w:sz w:val="18"/>
                          <w:szCs w:val="18"/>
                        </w:rPr>
                        <w:t xml:space="preserve"> </w:t>
                      </w:r>
                      <w:proofErr w:type="spellStart"/>
                      <w:r w:rsidRPr="00873451">
                        <w:rPr>
                          <w:rFonts w:ascii="Arial" w:hAnsi="Arial" w:cs="Arial"/>
                          <w:bCs/>
                          <w:sz w:val="18"/>
                          <w:szCs w:val="18"/>
                        </w:rPr>
                        <w:t>of</w:t>
                      </w:r>
                      <w:proofErr w:type="spellEnd"/>
                      <w:r w:rsidRPr="00873451">
                        <w:rPr>
                          <w:rFonts w:ascii="Arial" w:hAnsi="Arial" w:cs="Arial"/>
                          <w:bCs/>
                          <w:sz w:val="18"/>
                          <w:szCs w:val="18"/>
                        </w:rPr>
                        <w:t xml:space="preserve"> Management získal titul MBA. Působil v řadě rolí v domácím i zahraničním bankovnictví. Pro skupinu ČSOB pracoval</w:t>
                      </w:r>
                      <w:r>
                        <w:rPr>
                          <w:rFonts w:ascii="Arial" w:hAnsi="Arial" w:cs="Arial"/>
                          <w:bCs/>
                          <w:sz w:val="18"/>
                          <w:szCs w:val="18"/>
                        </w:rPr>
                        <w:t xml:space="preserve"> více než 35 let</w:t>
                      </w:r>
                      <w:r w:rsidRPr="00873451">
                        <w:rPr>
                          <w:rFonts w:ascii="Arial" w:hAnsi="Arial" w:cs="Arial"/>
                          <w:bCs/>
                          <w:sz w:val="18"/>
                          <w:szCs w:val="18"/>
                        </w:rPr>
                        <w:t xml:space="preserve">.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rsidR="00873451" w:rsidRDefault="00873451" w:rsidP="00873451">
                      <w:pPr>
                        <w:pStyle w:val="THnorm"/>
                        <w:ind w:firstLine="0"/>
                        <w:rPr>
                          <w:rFonts w:ascii="Arial" w:hAnsi="Arial" w:cs="Arial"/>
                          <w:bCs/>
                          <w:sz w:val="18"/>
                          <w:szCs w:val="18"/>
                        </w:rPr>
                      </w:pPr>
                      <w:r w:rsidRPr="00873451">
                        <w:rPr>
                          <w:rFonts w:ascii="Arial" w:hAnsi="Arial" w:cs="Arial"/>
                          <w:bCs/>
                          <w:sz w:val="18"/>
                          <w:szCs w:val="18"/>
                        </w:rPr>
                        <w:t xml:space="preserve">Od r. 2018 pracuje pro Českou bankovní asociaci, za kterou působí ve správní radě Garančního systému finančního trhu. Kromě toho se věnuje jako poradce ČBA otázkám bydlení a jeho financování. </w:t>
                      </w:r>
                    </w:p>
                    <w:p w:rsidR="006A7BEA" w:rsidRPr="00873451" w:rsidRDefault="00873451" w:rsidP="00873451">
                      <w:pPr>
                        <w:pStyle w:val="THnorm"/>
                        <w:ind w:firstLine="0"/>
                        <w:rPr>
                          <w:rFonts w:ascii="Arial" w:hAnsi="Arial" w:cs="Arial"/>
                          <w:bCs/>
                          <w:sz w:val="18"/>
                          <w:szCs w:val="18"/>
                        </w:rPr>
                      </w:pPr>
                      <w:r w:rsidRPr="00873451">
                        <w:rPr>
                          <w:rFonts w:ascii="Arial" w:hAnsi="Arial" w:cs="Arial"/>
                          <w:bCs/>
                          <w:sz w:val="18"/>
                          <w:szCs w:val="18"/>
                        </w:rPr>
                        <w:t>Vášnivě miluje rodinu, aktivní sport, čtení, cestování, cizí jazyky.</w:t>
                      </w:r>
                    </w:p>
                    <w:p w:rsidR="006A7BEA" w:rsidRPr="00FD77C2" w:rsidRDefault="006A7BEA" w:rsidP="00F8461A">
                      <w:pPr>
                        <w:spacing w:after="120" w:line="276" w:lineRule="auto"/>
                        <w:contextualSpacing/>
                        <w:rPr>
                          <w:rFonts w:cs="Arial"/>
                          <w:sz w:val="22"/>
                          <w:szCs w:val="22"/>
                        </w:rPr>
                      </w:pPr>
                    </w:p>
                  </w:txbxContent>
                </v:textbox>
                <w10:wrap anchorx="margin"/>
              </v:rect>
            </w:pict>
          </mc:Fallback>
        </mc:AlternateContent>
      </w:r>
      <w:r w:rsidR="00962CB7" w:rsidRPr="00E27F2F">
        <w:rPr>
          <w:rFonts w:cs="Arial"/>
          <w:sz w:val="16"/>
          <w:szCs w:val="16"/>
        </w:rPr>
        <w:tab/>
      </w:r>
    </w:p>
    <w:p w:rsidR="00662C23" w:rsidRPr="00E27F2F" w:rsidRDefault="00662C23" w:rsidP="002C2C2B">
      <w:pPr>
        <w:spacing w:after="120" w:line="276" w:lineRule="auto"/>
        <w:rPr>
          <w:rFonts w:cs="Arial"/>
          <w:b/>
          <w:color w:val="007E79"/>
          <w:sz w:val="16"/>
          <w:szCs w:val="16"/>
        </w:rPr>
      </w:pPr>
    </w:p>
    <w:p w:rsidR="00662C23" w:rsidRDefault="00662C23" w:rsidP="002C2C2B">
      <w:pPr>
        <w:spacing w:after="120" w:line="276" w:lineRule="auto"/>
        <w:rPr>
          <w:rFonts w:cs="Arial"/>
          <w:b/>
          <w:color w:val="007E79"/>
          <w:sz w:val="16"/>
          <w:szCs w:val="16"/>
        </w:rPr>
      </w:pPr>
    </w:p>
    <w:p w:rsidR="00D36238" w:rsidRDefault="00D36238" w:rsidP="002C2C2B">
      <w:pPr>
        <w:spacing w:after="120" w:line="276" w:lineRule="auto"/>
        <w:rPr>
          <w:rFonts w:cs="Arial"/>
          <w:b/>
          <w:color w:val="007E79"/>
          <w:sz w:val="16"/>
          <w:szCs w:val="16"/>
        </w:rPr>
      </w:pPr>
    </w:p>
    <w:p w:rsidR="00D36238" w:rsidRDefault="00D36238" w:rsidP="002C2C2B">
      <w:pPr>
        <w:spacing w:after="120" w:line="276" w:lineRule="auto"/>
        <w:rPr>
          <w:rFonts w:cs="Arial"/>
          <w:b/>
          <w:color w:val="007E79"/>
          <w:sz w:val="16"/>
          <w:szCs w:val="16"/>
        </w:rPr>
      </w:pPr>
    </w:p>
    <w:p w:rsidR="00D36238" w:rsidRPr="00E27F2F" w:rsidRDefault="00D36238" w:rsidP="002C2C2B">
      <w:pPr>
        <w:spacing w:after="120" w:line="276" w:lineRule="auto"/>
        <w:rPr>
          <w:rFonts w:cs="Arial"/>
          <w:b/>
          <w:color w:val="007E79"/>
          <w:sz w:val="16"/>
          <w:szCs w:val="16"/>
        </w:rPr>
      </w:pPr>
    </w:p>
    <w:p w:rsidR="00662C23" w:rsidRPr="00E27F2F" w:rsidRDefault="00662C23" w:rsidP="002C2C2B">
      <w:pPr>
        <w:spacing w:after="120" w:line="276" w:lineRule="auto"/>
        <w:rPr>
          <w:rFonts w:cs="Arial"/>
          <w:b/>
          <w:color w:val="007E79"/>
          <w:sz w:val="16"/>
          <w:szCs w:val="16"/>
        </w:rPr>
      </w:pPr>
    </w:p>
    <w:p w:rsidR="00AB0ED1" w:rsidRPr="00E27F2F" w:rsidRDefault="00AB0ED1"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D77C2" w:rsidP="008B1C16">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88960" behindDoc="0" locked="0" layoutInCell="1" allowOverlap="1">
                <wp:simplePos x="0" y="0"/>
                <wp:positionH relativeFrom="margin">
                  <wp:posOffset>4396105</wp:posOffset>
                </wp:positionH>
                <wp:positionV relativeFrom="paragraph">
                  <wp:posOffset>10160</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rsidR="0065124E" w:rsidRPr="00F2719D" w:rsidRDefault="0065124E" w:rsidP="00044002">
                            <w:pPr>
                              <w:spacing w:line="276" w:lineRule="auto"/>
                              <w:jc w:val="left"/>
                              <w:rPr>
                                <w:rFonts w:cs="Arial"/>
                                <w:b/>
                                <w:color w:val="FFFFFF" w:themeColor="background1"/>
                                <w:szCs w:val="18"/>
                              </w:rPr>
                            </w:pPr>
                          </w:p>
                          <w:p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petraskova@czech-ba.cz</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id="Obdélník 200" o:spid="_x0000_s1027" style="position:absolute;left:0;text-align:left;margin-left:346.15pt;margin-top:.8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" fillcolor="#007e79" stroked="f" strokeweight="1pt">
                <v:fill opacity="56283f"/>
                <v:textbox inset="3mm,3mm,3mm,3mm">
                  <w:txbxContent>
                    <w:p w14:paraId="2DB84D82"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12822FDF"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277347F8" w14:textId="77777777" w:rsidR="0065124E" w:rsidRPr="00F2719D" w:rsidRDefault="0065124E" w:rsidP="00044002">
                      <w:pPr>
                        <w:spacing w:line="276" w:lineRule="auto"/>
                        <w:jc w:val="left"/>
                        <w:rPr>
                          <w:rFonts w:cs="Arial"/>
                          <w:b/>
                          <w:color w:val="FFFFFF" w:themeColor="background1"/>
                          <w:szCs w:val="18"/>
                        </w:rPr>
                      </w:pPr>
                    </w:p>
                    <w:p w14:paraId="0C9CB34A"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7296C837"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1D8BD7E0"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petraskova@czech-ba.cz</w:t>
                      </w:r>
                    </w:p>
                    <w:p w14:paraId="18E56373"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3324F9A9" w14:textId="77777777" w:rsidR="0065124E" w:rsidRDefault="0065124E" w:rsidP="00044002">
                      <w:pPr>
                        <w:jc w:val="left"/>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10160</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99" o:spid="_x0000_s1028" style="position:absolute;left:0;text-align:left;margin-left:0;margin-top:.8pt;width:340.35pt;height:12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" fillcolor="#bfbfbf [2412]" stroked="f" strokeweight="1pt">
                <v:textbox inset="3mm,3mm,3mm,3mm">
                  <w:txbxContent>
                    <w:p w14:paraId="5C877497"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5390A763" w14:textId="77777777"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E373B4" w:rsidRPr="00E27F2F" w:rsidRDefault="00E373B4" w:rsidP="008B1C16">
      <w:pPr>
        <w:spacing w:line="276" w:lineRule="auto"/>
        <w:contextualSpacing/>
        <w:rPr>
          <w:rFonts w:cs="Arial"/>
          <w:sz w:val="16"/>
          <w:szCs w:val="16"/>
        </w:rPr>
      </w:pPr>
    </w:p>
    <w:p w:rsidR="004F6EA8" w:rsidRPr="00E27F2F" w:rsidRDefault="004F6EA8" w:rsidP="008B1C16">
      <w:pPr>
        <w:spacing w:line="276" w:lineRule="auto"/>
        <w:contextualSpacing/>
        <w:jc w:val="center"/>
        <w:rPr>
          <w:rFonts w:cs="Arial"/>
          <w:sz w:val="16"/>
          <w:szCs w:val="16"/>
        </w:rPr>
      </w:pPr>
    </w:p>
    <w:p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9"/>
      <w:footerReference w:type="default" r:id="rId10"/>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DA" w:rsidRDefault="00444BDA" w:rsidP="00F573F1">
      <w:r>
        <w:separator/>
      </w:r>
    </w:p>
  </w:endnote>
  <w:endnote w:type="continuationSeparator" w:id="0">
    <w:p w:rsidR="00444BDA" w:rsidRDefault="00444BDA"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211002874"/>
      <w:docPartObj>
        <w:docPartGallery w:val="Page Numbers (Bottom of Page)"/>
        <w:docPartUnique/>
      </w:docPartObj>
    </w:sdtPr>
    <w:sdtEndPr/>
    <w:sdtContent>
      <w:p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DA" w:rsidRDefault="00444BDA" w:rsidP="00F573F1">
      <w:r>
        <w:separator/>
      </w:r>
    </w:p>
  </w:footnote>
  <w:footnote w:type="continuationSeparator" w:id="0">
    <w:p w:rsidR="00444BDA" w:rsidRDefault="00444BDA"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4E" w:rsidRDefault="0065124E">
    <w:pPr>
      <w:pStyle w:val="Zhlav"/>
    </w:pPr>
    <w:r>
      <w:rPr>
        <w:noProof/>
      </w:rPr>
      <w:drawing>
        <wp:anchor distT="0" distB="0" distL="114300" distR="114300" simplePos="0" relativeHeight="251659264" behindDoc="1" locked="0" layoutInCell="1" allowOverlap="1">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20581"/>
    <w:rsid w:val="000213CC"/>
    <w:rsid w:val="00023E9F"/>
    <w:rsid w:val="00037707"/>
    <w:rsid w:val="00043889"/>
    <w:rsid w:val="00044002"/>
    <w:rsid w:val="000444EA"/>
    <w:rsid w:val="00051A5B"/>
    <w:rsid w:val="000559DE"/>
    <w:rsid w:val="00056A4F"/>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2B4E"/>
    <w:rsid w:val="000E4ABC"/>
    <w:rsid w:val="000E563F"/>
    <w:rsid w:val="000F70CA"/>
    <w:rsid w:val="0010268F"/>
    <w:rsid w:val="0010277A"/>
    <w:rsid w:val="001126B2"/>
    <w:rsid w:val="0011443F"/>
    <w:rsid w:val="00116F4B"/>
    <w:rsid w:val="00123FF9"/>
    <w:rsid w:val="00131E94"/>
    <w:rsid w:val="00144D53"/>
    <w:rsid w:val="00146F46"/>
    <w:rsid w:val="0015125A"/>
    <w:rsid w:val="0015295E"/>
    <w:rsid w:val="001622C2"/>
    <w:rsid w:val="00165DDC"/>
    <w:rsid w:val="0017441E"/>
    <w:rsid w:val="00175A85"/>
    <w:rsid w:val="00176C20"/>
    <w:rsid w:val="00195C6D"/>
    <w:rsid w:val="001A2623"/>
    <w:rsid w:val="001A46CC"/>
    <w:rsid w:val="001A6304"/>
    <w:rsid w:val="001C091C"/>
    <w:rsid w:val="001C2261"/>
    <w:rsid w:val="001C6945"/>
    <w:rsid w:val="001C7F88"/>
    <w:rsid w:val="001D5BB9"/>
    <w:rsid w:val="001D645F"/>
    <w:rsid w:val="001E15FD"/>
    <w:rsid w:val="001E27B8"/>
    <w:rsid w:val="001E6F5D"/>
    <w:rsid w:val="001F3DF4"/>
    <w:rsid w:val="001F5CF7"/>
    <w:rsid w:val="002045A5"/>
    <w:rsid w:val="002137B0"/>
    <w:rsid w:val="00217881"/>
    <w:rsid w:val="0022075B"/>
    <w:rsid w:val="00221FF5"/>
    <w:rsid w:val="00225F51"/>
    <w:rsid w:val="0022648E"/>
    <w:rsid w:val="00226F32"/>
    <w:rsid w:val="00227ACD"/>
    <w:rsid w:val="002375B2"/>
    <w:rsid w:val="002443DF"/>
    <w:rsid w:val="00244923"/>
    <w:rsid w:val="002472A6"/>
    <w:rsid w:val="00247512"/>
    <w:rsid w:val="0025305E"/>
    <w:rsid w:val="00253D09"/>
    <w:rsid w:val="002567A3"/>
    <w:rsid w:val="00262B7F"/>
    <w:rsid w:val="00266980"/>
    <w:rsid w:val="00267ACA"/>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4743"/>
    <w:rsid w:val="00327407"/>
    <w:rsid w:val="00335341"/>
    <w:rsid w:val="00341D86"/>
    <w:rsid w:val="003472AF"/>
    <w:rsid w:val="003508FE"/>
    <w:rsid w:val="00351369"/>
    <w:rsid w:val="00356FF7"/>
    <w:rsid w:val="003608FD"/>
    <w:rsid w:val="0036420C"/>
    <w:rsid w:val="00366057"/>
    <w:rsid w:val="003677E2"/>
    <w:rsid w:val="00370F35"/>
    <w:rsid w:val="003739F0"/>
    <w:rsid w:val="00376918"/>
    <w:rsid w:val="00376F07"/>
    <w:rsid w:val="00380788"/>
    <w:rsid w:val="003847A3"/>
    <w:rsid w:val="00391C4B"/>
    <w:rsid w:val="00391FA6"/>
    <w:rsid w:val="003952ED"/>
    <w:rsid w:val="00396F9D"/>
    <w:rsid w:val="00397430"/>
    <w:rsid w:val="003A5636"/>
    <w:rsid w:val="003A623D"/>
    <w:rsid w:val="003B0433"/>
    <w:rsid w:val="003B04C1"/>
    <w:rsid w:val="003B2C84"/>
    <w:rsid w:val="003B4F01"/>
    <w:rsid w:val="003B5E6F"/>
    <w:rsid w:val="003C373E"/>
    <w:rsid w:val="003C3D7F"/>
    <w:rsid w:val="003C6326"/>
    <w:rsid w:val="003D079C"/>
    <w:rsid w:val="003D224C"/>
    <w:rsid w:val="003E14DF"/>
    <w:rsid w:val="003E3DCB"/>
    <w:rsid w:val="003E4ADE"/>
    <w:rsid w:val="003E5891"/>
    <w:rsid w:val="003F021E"/>
    <w:rsid w:val="003F03DF"/>
    <w:rsid w:val="003F1CB9"/>
    <w:rsid w:val="003F7F31"/>
    <w:rsid w:val="00402FA1"/>
    <w:rsid w:val="00403744"/>
    <w:rsid w:val="0041521E"/>
    <w:rsid w:val="00425B3B"/>
    <w:rsid w:val="004325D3"/>
    <w:rsid w:val="004371EE"/>
    <w:rsid w:val="00437589"/>
    <w:rsid w:val="00444BDA"/>
    <w:rsid w:val="00445609"/>
    <w:rsid w:val="004476C2"/>
    <w:rsid w:val="00451368"/>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50BF"/>
    <w:rsid w:val="004C751A"/>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71BEE"/>
    <w:rsid w:val="00571C08"/>
    <w:rsid w:val="00573F62"/>
    <w:rsid w:val="00576C13"/>
    <w:rsid w:val="00576CF4"/>
    <w:rsid w:val="00584718"/>
    <w:rsid w:val="00584D4C"/>
    <w:rsid w:val="00587350"/>
    <w:rsid w:val="0059556C"/>
    <w:rsid w:val="005A0C34"/>
    <w:rsid w:val="005A2501"/>
    <w:rsid w:val="005A34B6"/>
    <w:rsid w:val="005A3E34"/>
    <w:rsid w:val="005A44FF"/>
    <w:rsid w:val="005A51C6"/>
    <w:rsid w:val="005A5BAB"/>
    <w:rsid w:val="005B3439"/>
    <w:rsid w:val="005B5E17"/>
    <w:rsid w:val="005C1943"/>
    <w:rsid w:val="005C6D52"/>
    <w:rsid w:val="005C7858"/>
    <w:rsid w:val="005D11A5"/>
    <w:rsid w:val="005D4BC8"/>
    <w:rsid w:val="005D55D6"/>
    <w:rsid w:val="005D593D"/>
    <w:rsid w:val="005D6E43"/>
    <w:rsid w:val="005D769A"/>
    <w:rsid w:val="005E092E"/>
    <w:rsid w:val="005E1DD8"/>
    <w:rsid w:val="005E58E1"/>
    <w:rsid w:val="005E5F8B"/>
    <w:rsid w:val="005F73A6"/>
    <w:rsid w:val="00600D9B"/>
    <w:rsid w:val="0060308F"/>
    <w:rsid w:val="0060552B"/>
    <w:rsid w:val="00606E04"/>
    <w:rsid w:val="00611C5C"/>
    <w:rsid w:val="006131E9"/>
    <w:rsid w:val="0061392C"/>
    <w:rsid w:val="0062336F"/>
    <w:rsid w:val="0063314F"/>
    <w:rsid w:val="006445A3"/>
    <w:rsid w:val="00650724"/>
    <w:rsid w:val="0065124E"/>
    <w:rsid w:val="006513A0"/>
    <w:rsid w:val="00654F37"/>
    <w:rsid w:val="00661C43"/>
    <w:rsid w:val="00662C23"/>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DC5"/>
    <w:rsid w:val="006E3420"/>
    <w:rsid w:val="006E3FA9"/>
    <w:rsid w:val="006F2196"/>
    <w:rsid w:val="006F2B29"/>
    <w:rsid w:val="00702D07"/>
    <w:rsid w:val="007078D6"/>
    <w:rsid w:val="007133E9"/>
    <w:rsid w:val="00714837"/>
    <w:rsid w:val="00717B00"/>
    <w:rsid w:val="00720DE3"/>
    <w:rsid w:val="00722F2C"/>
    <w:rsid w:val="00727012"/>
    <w:rsid w:val="0072723A"/>
    <w:rsid w:val="00733C05"/>
    <w:rsid w:val="007402C2"/>
    <w:rsid w:val="00743577"/>
    <w:rsid w:val="007609D5"/>
    <w:rsid w:val="00771AA1"/>
    <w:rsid w:val="007813D1"/>
    <w:rsid w:val="0078687A"/>
    <w:rsid w:val="00786BB9"/>
    <w:rsid w:val="00786FE5"/>
    <w:rsid w:val="007953B5"/>
    <w:rsid w:val="007964DC"/>
    <w:rsid w:val="007A3BFB"/>
    <w:rsid w:val="007B02A8"/>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7706"/>
    <w:rsid w:val="008825CE"/>
    <w:rsid w:val="0088460D"/>
    <w:rsid w:val="008857AA"/>
    <w:rsid w:val="00890B66"/>
    <w:rsid w:val="008A6398"/>
    <w:rsid w:val="008B19B7"/>
    <w:rsid w:val="008B1C16"/>
    <w:rsid w:val="008B44C3"/>
    <w:rsid w:val="008C1507"/>
    <w:rsid w:val="008C5671"/>
    <w:rsid w:val="008E2336"/>
    <w:rsid w:val="008F047E"/>
    <w:rsid w:val="008F2959"/>
    <w:rsid w:val="008F399F"/>
    <w:rsid w:val="009038F9"/>
    <w:rsid w:val="00905AAB"/>
    <w:rsid w:val="009139A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7026"/>
    <w:rsid w:val="009B393A"/>
    <w:rsid w:val="009B7972"/>
    <w:rsid w:val="009C0DD6"/>
    <w:rsid w:val="009C1B29"/>
    <w:rsid w:val="009D0E88"/>
    <w:rsid w:val="009D24D7"/>
    <w:rsid w:val="009D2DB6"/>
    <w:rsid w:val="009D2F47"/>
    <w:rsid w:val="009D7835"/>
    <w:rsid w:val="009E172B"/>
    <w:rsid w:val="009E39C0"/>
    <w:rsid w:val="009E5367"/>
    <w:rsid w:val="009F1E76"/>
    <w:rsid w:val="009F3268"/>
    <w:rsid w:val="009F6C56"/>
    <w:rsid w:val="00A0323B"/>
    <w:rsid w:val="00A13F1D"/>
    <w:rsid w:val="00A155ED"/>
    <w:rsid w:val="00A15F37"/>
    <w:rsid w:val="00A163E3"/>
    <w:rsid w:val="00A22A52"/>
    <w:rsid w:val="00A425BA"/>
    <w:rsid w:val="00A4316F"/>
    <w:rsid w:val="00A45FC0"/>
    <w:rsid w:val="00A5314F"/>
    <w:rsid w:val="00A54B25"/>
    <w:rsid w:val="00A569E0"/>
    <w:rsid w:val="00A60546"/>
    <w:rsid w:val="00A7149F"/>
    <w:rsid w:val="00A72FF3"/>
    <w:rsid w:val="00A7410C"/>
    <w:rsid w:val="00A832BA"/>
    <w:rsid w:val="00A85048"/>
    <w:rsid w:val="00A8750A"/>
    <w:rsid w:val="00A90878"/>
    <w:rsid w:val="00A950F4"/>
    <w:rsid w:val="00A97F5A"/>
    <w:rsid w:val="00AB0ED1"/>
    <w:rsid w:val="00AB23B0"/>
    <w:rsid w:val="00AB365A"/>
    <w:rsid w:val="00AB4CFC"/>
    <w:rsid w:val="00AB58F2"/>
    <w:rsid w:val="00AC6C46"/>
    <w:rsid w:val="00AD20AF"/>
    <w:rsid w:val="00AD3BBF"/>
    <w:rsid w:val="00AE2387"/>
    <w:rsid w:val="00AE6E19"/>
    <w:rsid w:val="00AF09A0"/>
    <w:rsid w:val="00AF18CA"/>
    <w:rsid w:val="00AF3AD9"/>
    <w:rsid w:val="00AF58F3"/>
    <w:rsid w:val="00B05777"/>
    <w:rsid w:val="00B15438"/>
    <w:rsid w:val="00B2310C"/>
    <w:rsid w:val="00B24E54"/>
    <w:rsid w:val="00B27646"/>
    <w:rsid w:val="00B44EAC"/>
    <w:rsid w:val="00B506AC"/>
    <w:rsid w:val="00B50E2C"/>
    <w:rsid w:val="00B54F8C"/>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CB8"/>
    <w:rsid w:val="00BC1B82"/>
    <w:rsid w:val="00BC5978"/>
    <w:rsid w:val="00BD0100"/>
    <w:rsid w:val="00BD297C"/>
    <w:rsid w:val="00BD483C"/>
    <w:rsid w:val="00BD7A55"/>
    <w:rsid w:val="00BE00E4"/>
    <w:rsid w:val="00BE21A8"/>
    <w:rsid w:val="00BE2827"/>
    <w:rsid w:val="00BE48B7"/>
    <w:rsid w:val="00BE53BC"/>
    <w:rsid w:val="00BE5574"/>
    <w:rsid w:val="00BE74B4"/>
    <w:rsid w:val="00BF0B84"/>
    <w:rsid w:val="00BF5F81"/>
    <w:rsid w:val="00C04F50"/>
    <w:rsid w:val="00C05E06"/>
    <w:rsid w:val="00C12AFA"/>
    <w:rsid w:val="00C17244"/>
    <w:rsid w:val="00C2020E"/>
    <w:rsid w:val="00C21CA1"/>
    <w:rsid w:val="00C3654D"/>
    <w:rsid w:val="00C44924"/>
    <w:rsid w:val="00C461EB"/>
    <w:rsid w:val="00C520D7"/>
    <w:rsid w:val="00C57869"/>
    <w:rsid w:val="00C627A3"/>
    <w:rsid w:val="00C64C2F"/>
    <w:rsid w:val="00C6528A"/>
    <w:rsid w:val="00C7375A"/>
    <w:rsid w:val="00C74048"/>
    <w:rsid w:val="00C74654"/>
    <w:rsid w:val="00C8685C"/>
    <w:rsid w:val="00C87795"/>
    <w:rsid w:val="00C9786B"/>
    <w:rsid w:val="00CA7866"/>
    <w:rsid w:val="00CB1580"/>
    <w:rsid w:val="00CB4072"/>
    <w:rsid w:val="00CB517A"/>
    <w:rsid w:val="00CC5AF3"/>
    <w:rsid w:val="00CC68BF"/>
    <w:rsid w:val="00CC7C45"/>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029D"/>
    <w:rsid w:val="00D477C3"/>
    <w:rsid w:val="00D55406"/>
    <w:rsid w:val="00D670D3"/>
    <w:rsid w:val="00D67470"/>
    <w:rsid w:val="00D67FC9"/>
    <w:rsid w:val="00D775D2"/>
    <w:rsid w:val="00D8118D"/>
    <w:rsid w:val="00D85155"/>
    <w:rsid w:val="00D93EB9"/>
    <w:rsid w:val="00D97E49"/>
    <w:rsid w:val="00DA4875"/>
    <w:rsid w:val="00DA4917"/>
    <w:rsid w:val="00DB67E5"/>
    <w:rsid w:val="00DC13F9"/>
    <w:rsid w:val="00DC545A"/>
    <w:rsid w:val="00DC585F"/>
    <w:rsid w:val="00DD4F3E"/>
    <w:rsid w:val="00DF431A"/>
    <w:rsid w:val="00DF6D21"/>
    <w:rsid w:val="00E02136"/>
    <w:rsid w:val="00E03E17"/>
    <w:rsid w:val="00E06813"/>
    <w:rsid w:val="00E10053"/>
    <w:rsid w:val="00E27F2F"/>
    <w:rsid w:val="00E315D6"/>
    <w:rsid w:val="00E3317B"/>
    <w:rsid w:val="00E3386F"/>
    <w:rsid w:val="00E350BD"/>
    <w:rsid w:val="00E373B4"/>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09A7"/>
    <w:rsid w:val="00F1303C"/>
    <w:rsid w:val="00F15E8D"/>
    <w:rsid w:val="00F175AF"/>
    <w:rsid w:val="00F247BC"/>
    <w:rsid w:val="00F2719D"/>
    <w:rsid w:val="00F313E8"/>
    <w:rsid w:val="00F36405"/>
    <w:rsid w:val="00F53132"/>
    <w:rsid w:val="00F5456A"/>
    <w:rsid w:val="00F545FC"/>
    <w:rsid w:val="00F573F1"/>
    <w:rsid w:val="00F57CAC"/>
    <w:rsid w:val="00F66320"/>
    <w:rsid w:val="00F6767A"/>
    <w:rsid w:val="00F67E6A"/>
    <w:rsid w:val="00F71668"/>
    <w:rsid w:val="00F7568A"/>
    <w:rsid w:val="00F81073"/>
    <w:rsid w:val="00F83EEA"/>
    <w:rsid w:val="00F8461A"/>
    <w:rsid w:val="00F87FA4"/>
    <w:rsid w:val="00F90063"/>
    <w:rsid w:val="00F91222"/>
    <w:rsid w:val="00F9202B"/>
    <w:rsid w:val="00F9267B"/>
    <w:rsid w:val="00F94AE5"/>
    <w:rsid w:val="00F970A7"/>
    <w:rsid w:val="00F9738D"/>
    <w:rsid w:val="00FA2228"/>
    <w:rsid w:val="00FA59C6"/>
    <w:rsid w:val="00FB4A1C"/>
    <w:rsid w:val="00FB60CC"/>
    <w:rsid w:val="00FB60FB"/>
    <w:rsid w:val="00FC23C7"/>
    <w:rsid w:val="00FC5A6D"/>
    <w:rsid w:val="00FC5B2A"/>
    <w:rsid w:val="00FD12DB"/>
    <w:rsid w:val="00FD1306"/>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1AB77"/>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poindex.cz/clanky/fincentrum-hypoindex-listopad-2019-pokles-sazeb-brzdi-zajem-o-hypoteky-neutic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0379-8CDB-436D-879D-8867B293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262</Words>
  <Characters>1550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16</cp:revision>
  <cp:lastPrinted>2019-08-27T11:23:00Z</cp:lastPrinted>
  <dcterms:created xsi:type="dcterms:W3CDTF">2019-09-13T09:56:00Z</dcterms:created>
  <dcterms:modified xsi:type="dcterms:W3CDTF">2019-12-18T07:57:00Z</dcterms:modified>
</cp:coreProperties>
</file>