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76A4" w14:textId="77777777"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205330">
        <w:rPr>
          <w:rFonts w:cs="Arial"/>
          <w:b/>
          <w:color w:val="007E79"/>
          <w:sz w:val="28"/>
          <w:szCs w:val="28"/>
        </w:rPr>
        <w:t>září</w:t>
      </w:r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77777777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4C0DD2">
        <w:rPr>
          <w:rFonts w:cs="Arial"/>
          <w:b/>
          <w:color w:val="007E79"/>
          <w:sz w:val="22"/>
          <w:szCs w:val="22"/>
        </w:rPr>
        <w:t>3</w:t>
      </w:r>
      <w:r w:rsidR="00205330">
        <w:rPr>
          <w:rFonts w:cs="Arial"/>
          <w:b/>
          <w:color w:val="007E79"/>
          <w:sz w:val="22"/>
          <w:szCs w:val="22"/>
        </w:rPr>
        <w:t>1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205330">
        <w:rPr>
          <w:rFonts w:cs="Arial"/>
          <w:b/>
          <w:color w:val="007E79"/>
          <w:sz w:val="22"/>
          <w:szCs w:val="22"/>
        </w:rPr>
        <w:t>říjen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14:paraId="581118C8" w14:textId="77777777" w:rsidR="004C0DD2" w:rsidRPr="00877706" w:rsidRDefault="004C0DD2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01C17305" w14:textId="7D1C22CB" w:rsidR="008E41D0" w:rsidRDefault="008E41D0" w:rsidP="008E41D0">
      <w:pPr>
        <w:rPr>
          <w:rFonts w:cs="Arial"/>
          <w:sz w:val="20"/>
        </w:rPr>
      </w:pPr>
      <w:r>
        <w:rPr>
          <w:rFonts w:cs="Arial"/>
          <w:sz w:val="20"/>
        </w:rPr>
        <w:t xml:space="preserve">Objem </w:t>
      </w:r>
      <w:r w:rsidRPr="008E41D0">
        <w:rPr>
          <w:rFonts w:cs="Arial"/>
          <w:b/>
          <w:bCs/>
          <w:sz w:val="20"/>
        </w:rPr>
        <w:t>bankovních úvěrů rezidentům</w:t>
      </w:r>
      <w:r>
        <w:rPr>
          <w:rFonts w:cs="Arial"/>
          <w:sz w:val="20"/>
        </w:rPr>
        <w:t xml:space="preserve"> </w:t>
      </w:r>
      <w:r w:rsidRPr="00094F61">
        <w:rPr>
          <w:rFonts w:cs="Arial"/>
          <w:sz w:val="20"/>
        </w:rPr>
        <w:t xml:space="preserve">ke konci </w:t>
      </w:r>
      <w:r w:rsidR="00205330">
        <w:rPr>
          <w:rFonts w:cs="Arial"/>
          <w:sz w:val="20"/>
        </w:rPr>
        <w:t>září</w:t>
      </w:r>
      <w:r>
        <w:rPr>
          <w:rFonts w:cs="Arial"/>
          <w:sz w:val="20"/>
        </w:rPr>
        <w:t xml:space="preserve"> 2019 </w:t>
      </w:r>
      <w:r w:rsidRPr="00F24BDA">
        <w:rPr>
          <w:rFonts w:cs="Arial"/>
          <w:sz w:val="20"/>
        </w:rPr>
        <w:t>dosáhl 6,0</w:t>
      </w:r>
      <w:r w:rsidR="00F24BDA" w:rsidRPr="00F24BDA">
        <w:rPr>
          <w:rFonts w:cs="Arial"/>
          <w:sz w:val="20"/>
        </w:rPr>
        <w:t>19</w:t>
      </w:r>
      <w:r w:rsidRPr="00F24BDA">
        <w:rPr>
          <w:rFonts w:cs="Arial"/>
          <w:sz w:val="20"/>
        </w:rPr>
        <w:t xml:space="preserve"> bilionu korun</w:t>
      </w:r>
      <w:r w:rsidR="00F24BD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 proti předchozímu měsíci tak podle statistik České národní banky </w:t>
      </w:r>
      <w:r w:rsidR="00F24BDA">
        <w:rPr>
          <w:rFonts w:cs="Arial"/>
          <w:sz w:val="20"/>
        </w:rPr>
        <w:t>klesl</w:t>
      </w:r>
      <w:r>
        <w:rPr>
          <w:rFonts w:cs="Arial"/>
          <w:sz w:val="20"/>
        </w:rPr>
        <w:t xml:space="preserve"> o </w:t>
      </w:r>
      <w:r w:rsidR="00F24BDA">
        <w:rPr>
          <w:rFonts w:cs="Arial"/>
          <w:sz w:val="20"/>
        </w:rPr>
        <w:t xml:space="preserve">4 </w:t>
      </w:r>
      <w:r>
        <w:rPr>
          <w:rFonts w:cs="Arial"/>
          <w:sz w:val="20"/>
        </w:rPr>
        <w:t>miliard</w:t>
      </w:r>
      <w:r w:rsidR="00F24BDA">
        <w:rPr>
          <w:rFonts w:cs="Arial"/>
          <w:sz w:val="20"/>
        </w:rPr>
        <w:t>y</w:t>
      </w:r>
      <w:r>
        <w:rPr>
          <w:rFonts w:cs="Arial"/>
          <w:sz w:val="20"/>
        </w:rPr>
        <w:t xml:space="preserve"> z 6,0</w:t>
      </w:r>
      <w:r w:rsidR="00205330">
        <w:rPr>
          <w:rFonts w:cs="Arial"/>
          <w:sz w:val="20"/>
        </w:rPr>
        <w:t>23</w:t>
      </w:r>
      <w:r>
        <w:rPr>
          <w:rFonts w:cs="Arial"/>
          <w:sz w:val="20"/>
        </w:rPr>
        <w:t xml:space="preserve"> bilionu korun. </w:t>
      </w:r>
    </w:p>
    <w:p w14:paraId="75662E27" w14:textId="77777777" w:rsidR="008E41D0" w:rsidRDefault="008E41D0" w:rsidP="008E41D0">
      <w:pPr>
        <w:rPr>
          <w:rFonts w:cs="Arial"/>
          <w:sz w:val="20"/>
        </w:rPr>
      </w:pPr>
    </w:p>
    <w:p w14:paraId="6C0575DE" w14:textId="7DB37D02" w:rsidR="008E41D0" w:rsidRPr="001B37E1" w:rsidRDefault="008E41D0" w:rsidP="008E41D0">
      <w:pPr>
        <w:rPr>
          <w:rFonts w:cs="Arial"/>
          <w:sz w:val="20"/>
        </w:rPr>
      </w:pPr>
      <w:r>
        <w:rPr>
          <w:rFonts w:cs="Arial"/>
          <w:sz w:val="20"/>
        </w:rPr>
        <w:t xml:space="preserve">Úvěry v Česku působícím </w:t>
      </w:r>
      <w:r w:rsidRPr="008E41D0">
        <w:rPr>
          <w:rFonts w:cs="Arial"/>
          <w:b/>
          <w:bCs/>
          <w:sz w:val="20"/>
        </w:rPr>
        <w:t>nefinančním podnikům</w:t>
      </w:r>
      <w:r>
        <w:rPr>
          <w:rFonts w:cs="Arial"/>
          <w:sz w:val="20"/>
        </w:rPr>
        <w:t xml:space="preserve"> oproti </w:t>
      </w:r>
      <w:r w:rsidR="00F24BDA">
        <w:rPr>
          <w:rFonts w:cs="Arial"/>
          <w:sz w:val="20"/>
        </w:rPr>
        <w:t xml:space="preserve">srpnu </w:t>
      </w:r>
      <w:r>
        <w:rPr>
          <w:rFonts w:cs="Arial"/>
          <w:sz w:val="20"/>
        </w:rPr>
        <w:t xml:space="preserve">2019 vzrostly o </w:t>
      </w:r>
      <w:r w:rsidR="00F24BDA">
        <w:rPr>
          <w:rFonts w:cs="Arial"/>
          <w:sz w:val="20"/>
        </w:rPr>
        <w:t>7</w:t>
      </w:r>
      <w:r>
        <w:rPr>
          <w:rFonts w:cs="Arial"/>
          <w:sz w:val="20"/>
        </w:rPr>
        <w:t xml:space="preserve"> miliard korun na</w:t>
      </w:r>
      <w:r w:rsidR="00F24BDA">
        <w:rPr>
          <w:rFonts w:cs="Arial"/>
          <w:sz w:val="20"/>
        </w:rPr>
        <w:t xml:space="preserve"> 1,135 bilionu korun</w:t>
      </w:r>
      <w:r>
        <w:rPr>
          <w:rFonts w:cs="Arial"/>
          <w:sz w:val="20"/>
        </w:rPr>
        <w:t>. Podíl dlouhodobých úvěrů, používaných pro financování podnikových investic, dosahuje 5</w:t>
      </w:r>
      <w:r w:rsidR="00F24BDA">
        <w:rPr>
          <w:rFonts w:cs="Arial"/>
          <w:sz w:val="20"/>
        </w:rPr>
        <w:t>5</w:t>
      </w:r>
      <w:r>
        <w:rPr>
          <w:rFonts w:cs="Arial"/>
          <w:sz w:val="20"/>
        </w:rPr>
        <w:t xml:space="preserve"> %. </w:t>
      </w:r>
    </w:p>
    <w:p w14:paraId="2887C58E" w14:textId="77777777" w:rsidR="008E41D0" w:rsidRDefault="008E41D0" w:rsidP="008E41D0">
      <w:pPr>
        <w:rPr>
          <w:rFonts w:cs="Arial"/>
          <w:iCs/>
          <w:sz w:val="20"/>
        </w:rPr>
      </w:pPr>
      <w:r w:rsidRPr="00094F61">
        <w:rPr>
          <w:rFonts w:cs="Arial"/>
          <w:iCs/>
          <w:sz w:val="20"/>
        </w:rPr>
        <w:t xml:space="preserve"> </w:t>
      </w:r>
    </w:p>
    <w:p w14:paraId="7BB28E75" w14:textId="24015D5D" w:rsidR="008E41D0" w:rsidRDefault="008E41D0" w:rsidP="008E41D0">
      <w:pPr>
        <w:rPr>
          <w:rFonts w:cs="Arial"/>
          <w:iCs/>
          <w:sz w:val="20"/>
        </w:rPr>
      </w:pPr>
      <w:r w:rsidRPr="00CE25BC">
        <w:rPr>
          <w:rFonts w:cs="Arial"/>
          <w:b/>
          <w:iCs/>
          <w:sz w:val="20"/>
        </w:rPr>
        <w:t>Domácnosti</w:t>
      </w:r>
      <w:r w:rsidRPr="00094F61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>dluží celkem</w:t>
      </w:r>
      <w:r w:rsidR="00F24BDA">
        <w:rPr>
          <w:rFonts w:cs="Arial"/>
          <w:iCs/>
          <w:sz w:val="20"/>
        </w:rPr>
        <w:t xml:space="preserve"> 1,719 bilionu korun</w:t>
      </w:r>
      <w:r>
        <w:rPr>
          <w:rFonts w:cs="Arial"/>
          <w:iCs/>
          <w:sz w:val="20"/>
        </w:rPr>
        <w:t xml:space="preserve">, s meziměsíčním nárůstem o </w:t>
      </w:r>
      <w:r w:rsidRPr="00F24BDA">
        <w:rPr>
          <w:rFonts w:cs="Arial"/>
          <w:iCs/>
          <w:sz w:val="20"/>
        </w:rPr>
        <w:t>9 miliard korun, kde stále jasně dominují s podílem téměř 76 % úvěry na bydlení, jež dosáhly</w:t>
      </w:r>
      <w:r w:rsidR="00146241">
        <w:rPr>
          <w:rFonts w:cs="Arial"/>
          <w:iCs/>
          <w:sz w:val="20"/>
        </w:rPr>
        <w:t xml:space="preserve"> hodnoty </w:t>
      </w:r>
      <w:r w:rsidR="00F24BDA" w:rsidRPr="00F24BDA">
        <w:rPr>
          <w:rFonts w:cs="Arial"/>
          <w:iCs/>
          <w:sz w:val="20"/>
        </w:rPr>
        <w:t>1,306 bilionu korun</w:t>
      </w:r>
      <w:r w:rsidRPr="00F24BDA">
        <w:rPr>
          <w:rFonts w:cs="Arial"/>
          <w:iCs/>
          <w:sz w:val="20"/>
        </w:rPr>
        <w:t>. Jejich objem se tak meziměsíčně zvýšil o 0,</w:t>
      </w:r>
      <w:r w:rsidR="00F24BDA" w:rsidRPr="00F24BDA">
        <w:rPr>
          <w:rFonts w:cs="Arial"/>
          <w:iCs/>
          <w:sz w:val="20"/>
        </w:rPr>
        <w:t>5</w:t>
      </w:r>
      <w:r w:rsidRPr="00F24BDA">
        <w:rPr>
          <w:rFonts w:cs="Arial"/>
          <w:iCs/>
          <w:sz w:val="20"/>
        </w:rPr>
        <w:t xml:space="preserve"> %.</w:t>
      </w:r>
      <w:r>
        <w:rPr>
          <w:rFonts w:cs="Arial"/>
          <w:iCs/>
          <w:sz w:val="20"/>
        </w:rPr>
        <w:t xml:space="preserve"> </w:t>
      </w:r>
    </w:p>
    <w:p w14:paraId="0C100F59" w14:textId="0E41B426" w:rsidR="008E41D0" w:rsidRDefault="008E41D0" w:rsidP="008E41D0">
      <w:pPr>
        <w:rPr>
          <w:rFonts w:cs="Arial"/>
          <w:iCs/>
          <w:sz w:val="20"/>
        </w:rPr>
      </w:pPr>
    </w:p>
    <w:p w14:paraId="2C3F9B45" w14:textId="05D78929" w:rsidR="00BE2D7A" w:rsidRPr="00BE2D7A" w:rsidRDefault="00BE2D7A" w:rsidP="00BE2D7A">
      <w:pPr>
        <w:rPr>
          <w:rFonts w:ascii="Calibri" w:hAnsi="Calibri"/>
          <w:sz w:val="20"/>
        </w:rPr>
      </w:pPr>
      <w:r w:rsidRPr="00BE2D7A">
        <w:rPr>
          <w:i/>
          <w:iCs/>
          <w:sz w:val="20"/>
        </w:rPr>
        <w:t>„</w:t>
      </w:r>
      <w:r w:rsidR="00D02BC4">
        <w:rPr>
          <w:i/>
          <w:iCs/>
          <w:sz w:val="20"/>
        </w:rPr>
        <w:t>Nízké ú</w:t>
      </w:r>
      <w:r w:rsidRPr="00BE2D7A">
        <w:rPr>
          <w:i/>
          <w:iCs/>
          <w:sz w:val="20"/>
        </w:rPr>
        <w:t>ročení hypoték</w:t>
      </w:r>
      <w:r w:rsidR="00EF531B">
        <w:rPr>
          <w:i/>
          <w:iCs/>
          <w:sz w:val="20"/>
        </w:rPr>
        <w:t xml:space="preserve"> by</w:t>
      </w:r>
      <w:r w:rsidR="00D02BC4">
        <w:rPr>
          <w:i/>
          <w:iCs/>
          <w:sz w:val="20"/>
        </w:rPr>
        <w:t xml:space="preserve"> v kombinaci s případnou</w:t>
      </w:r>
      <w:r w:rsidRPr="00BE2D7A">
        <w:rPr>
          <w:i/>
          <w:iCs/>
          <w:sz w:val="20"/>
        </w:rPr>
        <w:t xml:space="preserve"> nižší </w:t>
      </w:r>
      <w:r w:rsidR="00D02BC4">
        <w:rPr>
          <w:i/>
          <w:iCs/>
          <w:sz w:val="20"/>
        </w:rPr>
        <w:t>cenovou</w:t>
      </w:r>
      <w:r w:rsidRPr="00BE2D7A">
        <w:rPr>
          <w:i/>
          <w:iCs/>
          <w:sz w:val="20"/>
        </w:rPr>
        <w:t xml:space="preserve"> </w:t>
      </w:r>
      <w:r w:rsidR="00D02BC4">
        <w:rPr>
          <w:i/>
          <w:iCs/>
          <w:sz w:val="20"/>
        </w:rPr>
        <w:t>hladinou</w:t>
      </w:r>
      <w:r w:rsidRPr="00BE2D7A">
        <w:rPr>
          <w:i/>
          <w:iCs/>
          <w:sz w:val="20"/>
        </w:rPr>
        <w:t xml:space="preserve"> </w:t>
      </w:r>
      <w:bookmarkStart w:id="0" w:name="_GoBack"/>
      <w:bookmarkEnd w:id="0"/>
      <w:r w:rsidRPr="00BE2D7A">
        <w:rPr>
          <w:i/>
          <w:iCs/>
          <w:sz w:val="20"/>
        </w:rPr>
        <w:t>na trhu nemovitostí způsobil</w:t>
      </w:r>
      <w:r w:rsidR="00146241">
        <w:rPr>
          <w:i/>
          <w:iCs/>
          <w:sz w:val="20"/>
        </w:rPr>
        <w:t>o</w:t>
      </w:r>
      <w:r w:rsidRPr="00BE2D7A">
        <w:rPr>
          <w:i/>
          <w:iCs/>
          <w:sz w:val="20"/>
        </w:rPr>
        <w:t xml:space="preserve"> dvouciferný meziroční nárůst objemů nově poskytnutých hypoték. Ceny realit jsou však velmi vysoko a svůj efekt mají i regulace ČNB. Za prvních devět měsíců tak objem poskytnutých hypotečních úvěrů meziročně poklesl o zhruba třicet miliard, měsíční objemy v srpnu a září odpovídají zhruba situaci v roce 2015</w:t>
      </w:r>
      <w:r w:rsidR="00507FBA">
        <w:rPr>
          <w:i/>
          <w:iCs/>
          <w:sz w:val="20"/>
        </w:rPr>
        <w:t>,</w:t>
      </w:r>
      <w:r w:rsidRPr="00BE2D7A">
        <w:rPr>
          <w:i/>
          <w:iCs/>
          <w:sz w:val="20"/>
        </w:rPr>
        <w:t>“</w:t>
      </w:r>
      <w:r>
        <w:rPr>
          <w:color w:val="1F497D"/>
        </w:rPr>
        <w:t xml:space="preserve"> </w:t>
      </w:r>
      <w:r w:rsidRPr="00BE2D7A">
        <w:rPr>
          <w:rFonts w:cs="Arial"/>
          <w:iCs/>
          <w:sz w:val="20"/>
        </w:rPr>
        <w:t xml:space="preserve">uvedl </w:t>
      </w:r>
      <w:r>
        <w:rPr>
          <w:sz w:val="20"/>
        </w:rPr>
        <w:t>ekonomický analytik České bankovní asociace Miroslav Zámečník.</w:t>
      </w:r>
      <w:r>
        <w:rPr>
          <w:color w:val="1F497D"/>
        </w:rPr>
        <w:t xml:space="preserve"> </w:t>
      </w:r>
    </w:p>
    <w:p w14:paraId="09A8DBF1" w14:textId="2E0A60A1" w:rsidR="00BE2D7A" w:rsidRDefault="00BE2D7A" w:rsidP="008E41D0">
      <w:pPr>
        <w:rPr>
          <w:rFonts w:cs="Arial"/>
          <w:iCs/>
          <w:sz w:val="20"/>
        </w:rPr>
      </w:pPr>
    </w:p>
    <w:p w14:paraId="57853144" w14:textId="4CFAFE9B" w:rsidR="006E1421" w:rsidRDefault="006E1421" w:rsidP="006E1421">
      <w:pPr>
        <w:rPr>
          <w:rFonts w:ascii="Calibri" w:hAnsi="Calibri"/>
          <w:sz w:val="20"/>
        </w:rPr>
      </w:pPr>
      <w:r>
        <w:rPr>
          <w:sz w:val="20"/>
        </w:rPr>
        <w:t>„</w:t>
      </w:r>
      <w:r w:rsidRPr="006E1421">
        <w:rPr>
          <w:i/>
          <w:iCs/>
          <w:sz w:val="20"/>
        </w:rPr>
        <w:t xml:space="preserve">Navzdory přicházejícím signálům zpomalení u exportně orientovaných firem ve zpracovatelském průmyslu zůstává kvalita podnikového úvěrového portfolia na </w:t>
      </w:r>
      <w:r w:rsidR="00EF4A09">
        <w:rPr>
          <w:i/>
          <w:iCs/>
          <w:sz w:val="20"/>
        </w:rPr>
        <w:t>historicky nejlepších hodnotác</w:t>
      </w:r>
      <w:r w:rsidR="0059134E">
        <w:rPr>
          <w:i/>
          <w:iCs/>
          <w:sz w:val="20"/>
        </w:rPr>
        <w:t>h,</w:t>
      </w:r>
      <w:r w:rsidRPr="006E1421">
        <w:rPr>
          <w:i/>
          <w:iCs/>
          <w:sz w:val="20"/>
        </w:rPr>
        <w:t xml:space="preserve"> s 3,3 % úvěrů v selhání. V případě úvěrů obyvatelstvu je situace s úvěry v selhání ještě o dost lepší, jejich podíl meziměsíčně o desetinu procenta klesl </w:t>
      </w:r>
      <w:r>
        <w:rPr>
          <w:i/>
          <w:iCs/>
          <w:sz w:val="20"/>
        </w:rPr>
        <w:br/>
      </w:r>
      <w:r w:rsidRPr="006E1421">
        <w:rPr>
          <w:i/>
          <w:iCs/>
          <w:sz w:val="20"/>
        </w:rPr>
        <w:t>na 1,7</w:t>
      </w:r>
      <w:r>
        <w:rPr>
          <w:i/>
          <w:iCs/>
          <w:sz w:val="20"/>
        </w:rPr>
        <w:t xml:space="preserve"> </w:t>
      </w:r>
      <w:r w:rsidRPr="006E1421">
        <w:rPr>
          <w:i/>
          <w:iCs/>
          <w:sz w:val="20"/>
        </w:rPr>
        <w:t>%, což je nové minimum. V případě hypoték je podíl nesplácených půjček ještě nižší,</w:t>
      </w:r>
      <w:r>
        <w:rPr>
          <w:sz w:val="20"/>
        </w:rPr>
        <w:t>“ připomněl Zámečník.</w:t>
      </w:r>
    </w:p>
    <w:p w14:paraId="58D63E24" w14:textId="77777777" w:rsidR="008E41D0" w:rsidRPr="00983C84" w:rsidRDefault="008E41D0" w:rsidP="008E41D0">
      <w:pPr>
        <w:rPr>
          <w:rFonts w:cs="Arial"/>
          <w:i/>
          <w:iCs/>
          <w:sz w:val="20"/>
        </w:rPr>
      </w:pPr>
    </w:p>
    <w:p w14:paraId="56C45D3A" w14:textId="0BCFF25A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3911932" w14:textId="30807D5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C5534D7" w14:textId="7BD90BD2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0A770D2" w14:textId="42A01A1B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3165447" w14:textId="7777777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639697D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2390BE13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02D89455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9BF218C" w14:textId="77777777"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476D932" w14:textId="77777777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1E771BC6" w14:textId="77777777"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17C23350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84A646A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14:paraId="48FB09D4" w14:textId="77777777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712EC7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207338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101C5E0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10FD3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BDEF" w14:textId="77777777" w:rsidR="005C0D15" w:rsidRDefault="005C0D15" w:rsidP="00F573F1">
      <w:r>
        <w:separator/>
      </w:r>
    </w:p>
  </w:endnote>
  <w:endnote w:type="continuationSeparator" w:id="0">
    <w:p w14:paraId="315868F3" w14:textId="77777777" w:rsidR="005C0D15" w:rsidRDefault="005C0D1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E1F7" w14:textId="77777777" w:rsidR="005C0D15" w:rsidRDefault="005C0D15" w:rsidP="00F573F1">
      <w:r>
        <w:separator/>
      </w:r>
    </w:p>
  </w:footnote>
  <w:footnote w:type="continuationSeparator" w:id="0">
    <w:p w14:paraId="75BB1AD3" w14:textId="77777777" w:rsidR="005C0D15" w:rsidRDefault="005C0D15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98D6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241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134E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0D15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2BC4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135E"/>
    <w:rsid w:val="00DD4F3E"/>
    <w:rsid w:val="00DD6CB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4A09"/>
    <w:rsid w:val="00EF531B"/>
    <w:rsid w:val="00EF6331"/>
    <w:rsid w:val="00F00241"/>
    <w:rsid w:val="00F01AED"/>
    <w:rsid w:val="00F1303C"/>
    <w:rsid w:val="00F15E8D"/>
    <w:rsid w:val="00F175AF"/>
    <w:rsid w:val="00F247BC"/>
    <w:rsid w:val="00F24BDA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BD91-EFAD-4931-9BC0-F9D31997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16</cp:revision>
  <cp:lastPrinted>2019-08-27T11:23:00Z</cp:lastPrinted>
  <dcterms:created xsi:type="dcterms:W3CDTF">2019-09-23T12:59:00Z</dcterms:created>
  <dcterms:modified xsi:type="dcterms:W3CDTF">2019-11-01T09:18:00Z</dcterms:modified>
</cp:coreProperties>
</file>