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F4" w:rsidRDefault="00877706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9968AC">
        <w:rPr>
          <w:rFonts w:cs="Arial"/>
          <w:b/>
          <w:color w:val="007E79"/>
          <w:sz w:val="28"/>
          <w:szCs w:val="28"/>
        </w:rPr>
        <w:t> </w:t>
      </w:r>
      <w:proofErr w:type="spellStart"/>
      <w:r w:rsidR="009968AC">
        <w:rPr>
          <w:rFonts w:cs="Arial"/>
          <w:b/>
          <w:color w:val="007E79"/>
          <w:sz w:val="28"/>
          <w:szCs w:val="28"/>
        </w:rPr>
        <w:t>Hypoindexu</w:t>
      </w:r>
      <w:proofErr w:type="spellEnd"/>
      <w:r w:rsidR="009968AC">
        <w:rPr>
          <w:rFonts w:cs="Arial"/>
          <w:b/>
          <w:color w:val="007E79"/>
          <w:sz w:val="28"/>
          <w:szCs w:val="28"/>
        </w:rPr>
        <w:t xml:space="preserve"> za </w:t>
      </w:r>
      <w:r w:rsidR="000444EA">
        <w:rPr>
          <w:rFonts w:cs="Arial"/>
          <w:b/>
          <w:color w:val="007E79"/>
          <w:sz w:val="28"/>
          <w:szCs w:val="28"/>
        </w:rPr>
        <w:t>září</w:t>
      </w:r>
      <w:r w:rsidR="009968AC">
        <w:rPr>
          <w:rFonts w:cs="Arial"/>
          <w:b/>
          <w:color w:val="007E79"/>
          <w:sz w:val="28"/>
          <w:szCs w:val="28"/>
        </w:rPr>
        <w:t xml:space="preserve"> 2019</w:t>
      </w:r>
    </w:p>
    <w:p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:rsidR="00D13EDA" w:rsidRPr="00877706" w:rsidRDefault="00877706" w:rsidP="002B4617">
      <w:pPr>
        <w:spacing w:after="120" w:line="276" w:lineRule="auto"/>
        <w:contextualSpacing/>
        <w:rPr>
          <w:rFonts w:cs="Arial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9968AC">
        <w:rPr>
          <w:rFonts w:cs="Arial"/>
          <w:b/>
          <w:color w:val="007E79"/>
          <w:sz w:val="22"/>
          <w:szCs w:val="22"/>
        </w:rPr>
        <w:t>Vladimír Staňura</w:t>
      </w:r>
      <w:r w:rsidRPr="00877706">
        <w:rPr>
          <w:rFonts w:cs="Arial"/>
          <w:b/>
          <w:color w:val="007E79"/>
          <w:sz w:val="22"/>
          <w:szCs w:val="22"/>
        </w:rPr>
        <w:t xml:space="preserve">, </w:t>
      </w:r>
      <w:r w:rsidR="009968AC">
        <w:rPr>
          <w:rFonts w:cs="Arial"/>
          <w:b/>
          <w:color w:val="007E79"/>
          <w:sz w:val="22"/>
          <w:szCs w:val="22"/>
        </w:rPr>
        <w:t xml:space="preserve">hlavní </w:t>
      </w:r>
      <w:r w:rsidRPr="00877706">
        <w:rPr>
          <w:rFonts w:cs="Arial"/>
          <w:b/>
          <w:color w:val="007E79"/>
          <w:sz w:val="22"/>
          <w:szCs w:val="22"/>
        </w:rPr>
        <w:t xml:space="preserve">poradce ČBA </w:t>
      </w:r>
    </w:p>
    <w:p w:rsidR="00877706" w:rsidRP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9968AC">
        <w:rPr>
          <w:rFonts w:cs="Arial"/>
          <w:b/>
          <w:color w:val="007E79"/>
          <w:sz w:val="22"/>
          <w:szCs w:val="22"/>
        </w:rPr>
        <w:t>1</w:t>
      </w:r>
      <w:r w:rsidR="000444EA">
        <w:rPr>
          <w:rFonts w:cs="Arial"/>
          <w:b/>
          <w:color w:val="007E79"/>
          <w:sz w:val="22"/>
          <w:szCs w:val="22"/>
        </w:rPr>
        <w:t>6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0444EA">
        <w:rPr>
          <w:rFonts w:cs="Arial"/>
          <w:b/>
          <w:color w:val="007E79"/>
          <w:sz w:val="22"/>
          <w:szCs w:val="22"/>
        </w:rPr>
        <w:t>října</w:t>
      </w:r>
      <w:r w:rsidRPr="00877706">
        <w:rPr>
          <w:rFonts w:cs="Arial"/>
          <w:b/>
          <w:color w:val="007E79"/>
          <w:sz w:val="22"/>
          <w:szCs w:val="22"/>
        </w:rPr>
        <w:t xml:space="preserve"> 2019 </w:t>
      </w:r>
    </w:p>
    <w:p w:rsidR="00D13EDA" w:rsidRPr="00E27F2F" w:rsidRDefault="00D13EDA" w:rsidP="002B4617">
      <w:pPr>
        <w:spacing w:after="120" w:line="276" w:lineRule="auto"/>
        <w:contextualSpacing/>
        <w:rPr>
          <w:rFonts w:cs="Arial"/>
          <w:szCs w:val="18"/>
        </w:rPr>
      </w:pPr>
    </w:p>
    <w:p w:rsidR="000444EA" w:rsidRPr="000444EA" w:rsidRDefault="000444EA" w:rsidP="000444EA">
      <w:pPr>
        <w:rPr>
          <w:rFonts w:asciiTheme="minorHAnsi" w:hAnsiTheme="minorHAnsi"/>
          <w:sz w:val="24"/>
          <w:szCs w:val="22"/>
        </w:rPr>
      </w:pPr>
      <w:r w:rsidRPr="000444EA">
        <w:rPr>
          <w:sz w:val="20"/>
          <w:szCs w:val="22"/>
        </w:rPr>
        <w:t xml:space="preserve">Další pokles </w:t>
      </w:r>
      <w:hyperlink r:id="rId8" w:history="1">
        <w:proofErr w:type="spellStart"/>
        <w:r w:rsidRPr="000444EA">
          <w:rPr>
            <w:rStyle w:val="Hypertextovodkaz"/>
            <w:sz w:val="20"/>
            <w:szCs w:val="22"/>
          </w:rPr>
          <w:t>Hypoindexu</w:t>
        </w:r>
        <w:proofErr w:type="spellEnd"/>
      </w:hyperlink>
      <w:r w:rsidRPr="000444EA">
        <w:rPr>
          <w:sz w:val="20"/>
          <w:szCs w:val="22"/>
        </w:rPr>
        <w:t xml:space="preserve"> v září na 2,47 % </w:t>
      </w:r>
      <w:proofErr w:type="spellStart"/>
      <w:r w:rsidRPr="000444EA">
        <w:rPr>
          <w:sz w:val="20"/>
          <w:szCs w:val="22"/>
        </w:rPr>
        <w:t>p.a</w:t>
      </w:r>
      <w:proofErr w:type="spellEnd"/>
      <w:r w:rsidRPr="000444EA">
        <w:rPr>
          <w:sz w:val="20"/>
          <w:szCs w:val="22"/>
        </w:rPr>
        <w:t xml:space="preserve">. je pokles oproti srpnu o 0,14 % a pokles oproti začátku roku o 0,53 %. To už lze bezpochyby označit za významnou změnu a také za trend. Stále jsme ovšem daleko od nejnižších sazeb, které byly na trhu koncem roku 2016 a dosáhly minima ve výši 1,77 % </w:t>
      </w:r>
      <w:proofErr w:type="spellStart"/>
      <w:r w:rsidRPr="000444EA">
        <w:rPr>
          <w:sz w:val="20"/>
          <w:szCs w:val="22"/>
        </w:rPr>
        <w:t>p.a</w:t>
      </w:r>
      <w:proofErr w:type="spellEnd"/>
      <w:r w:rsidRPr="000444EA">
        <w:rPr>
          <w:sz w:val="20"/>
          <w:szCs w:val="22"/>
        </w:rPr>
        <w:t>.</w:t>
      </w:r>
    </w:p>
    <w:p w:rsidR="000444EA" w:rsidRPr="000444EA" w:rsidRDefault="000444EA" w:rsidP="000444EA">
      <w:pPr>
        <w:rPr>
          <w:sz w:val="20"/>
          <w:szCs w:val="22"/>
        </w:rPr>
      </w:pPr>
    </w:p>
    <w:p w:rsidR="000444EA" w:rsidRPr="000444EA" w:rsidRDefault="000444EA" w:rsidP="000444EA">
      <w:pPr>
        <w:rPr>
          <w:sz w:val="20"/>
          <w:szCs w:val="22"/>
        </w:rPr>
      </w:pPr>
      <w:r w:rsidRPr="000444EA">
        <w:rPr>
          <w:sz w:val="20"/>
          <w:szCs w:val="22"/>
        </w:rPr>
        <w:t>Snižování sazeb je logická reakce bank na výrazné propady hypotečního trhu. V tuto chvíli to vypadá na 20 % propad trhu oproti loňskému roku. Je dobré k tomu poznamenat, že v letech 2016 až 2018 došlo k boomu na hypotečním trhu, který se tak dostal na nezvykle vysoké objemy přes 200 mld. Kč nových úvěrů a přes 100 tis. kusů hypoték v jednom roce. To bylo ovšem doprovázeno dramatickým nárůstem cen nemovitostí a také opatřeními ČNB, která omezila dostupnost hypoték. Obojí způsobilo letošní propad trhu, na který banky reagují snižováním sazeb, aby přilákaly nové klienty a aby si udržely ty stávající při refixaci úrokovýc</w:t>
      </w:r>
      <w:bookmarkStart w:id="0" w:name="_GoBack"/>
      <w:bookmarkEnd w:id="0"/>
      <w:r w:rsidRPr="000444EA">
        <w:rPr>
          <w:sz w:val="20"/>
          <w:szCs w:val="22"/>
        </w:rPr>
        <w:t>h sazeb.</w:t>
      </w:r>
    </w:p>
    <w:p w:rsidR="000444EA" w:rsidRPr="000444EA" w:rsidRDefault="000444EA" w:rsidP="000444EA">
      <w:pPr>
        <w:rPr>
          <w:sz w:val="20"/>
          <w:szCs w:val="22"/>
        </w:rPr>
      </w:pPr>
    </w:p>
    <w:p w:rsidR="000444EA" w:rsidRPr="000444EA" w:rsidRDefault="000444EA" w:rsidP="000444EA">
      <w:pPr>
        <w:rPr>
          <w:sz w:val="20"/>
          <w:szCs w:val="22"/>
        </w:rPr>
      </w:pPr>
      <w:r w:rsidRPr="000444EA">
        <w:rPr>
          <w:sz w:val="20"/>
          <w:szCs w:val="22"/>
        </w:rPr>
        <w:t xml:space="preserve">Snížení sazeb je samozřejmě dobrá zpráva pro klienty bank. Půjde trend dál? Domnívám se, že ano. Jednak už jsme si v r. 2016 „vyzkoušeli“ sazby pod 2 % </w:t>
      </w:r>
      <w:proofErr w:type="spellStart"/>
      <w:r w:rsidRPr="000444EA">
        <w:rPr>
          <w:sz w:val="20"/>
          <w:szCs w:val="22"/>
        </w:rPr>
        <w:t>p.a</w:t>
      </w:r>
      <w:proofErr w:type="spellEnd"/>
      <w:r w:rsidRPr="000444EA">
        <w:rPr>
          <w:sz w:val="20"/>
          <w:szCs w:val="22"/>
        </w:rPr>
        <w:t xml:space="preserve">. To znamená, že banky v rámci konkurenčního boje budou ochotny sáhnout ještě více do svých marží. A když se podívám po Evropě, vidím, že sazby hypotečních úvěrů se pohybují kolem 1 % </w:t>
      </w:r>
      <w:proofErr w:type="spellStart"/>
      <w:r w:rsidRPr="000444EA">
        <w:rPr>
          <w:sz w:val="20"/>
          <w:szCs w:val="22"/>
        </w:rPr>
        <w:t>p.a</w:t>
      </w:r>
      <w:proofErr w:type="spellEnd"/>
      <w:r w:rsidRPr="000444EA">
        <w:rPr>
          <w:sz w:val="20"/>
          <w:szCs w:val="22"/>
        </w:rPr>
        <w:t>. V Rakousku si můžete zafixovat svoji úrokovou sazbu na 30 let na úrovni kolem 2 %. Česká koruna si může udržovat svoji úroveň úrokových sazeb, ale úplně od sazeb v Eurozóně odhlédnout nemůže. Kromě toho si myslím, že ČNB bude více a více ztrácet chuť zvýšit svoji základní úrokovou sazbu. Možná naopak…</w:t>
      </w:r>
    </w:p>
    <w:p w:rsidR="00E8148D" w:rsidRDefault="00E8148D" w:rsidP="004371EE">
      <w:pPr>
        <w:spacing w:line="276" w:lineRule="auto"/>
        <w:rPr>
          <w:sz w:val="20"/>
          <w:szCs w:val="22"/>
        </w:rPr>
      </w:pPr>
    </w:p>
    <w:p w:rsidR="00962CB7" w:rsidRDefault="00962CB7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9968AC" w:rsidRPr="00E27F2F" w:rsidRDefault="009968AC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BA1F8A" w:rsidRPr="00E27F2F" w:rsidRDefault="00873451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81915</wp:posOffset>
                </wp:positionV>
                <wp:extent cx="6574790" cy="169926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Vladimír Staňura je hlavním poradcem České bankovní asociace. Absolvoval Vysokou školu ekonomickou v Praze a na Rotterdam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6.45pt;width:517.7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Z8swIAANAFAAAOAAAAZHJzL2Uyb0RvYy54bWysVMFu2zAMvQ/YPwi6r3aCJW2NOkXQosOA&#10;rC3WDj0rshwblUVNUmJnf7TDvqI/Nkqy3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Vladimír Staňura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2CB7" w:rsidRPr="00E27F2F">
        <w:rPr>
          <w:rFonts w:cs="Arial"/>
          <w:sz w:val="16"/>
          <w:szCs w:val="16"/>
        </w:rPr>
        <w:tab/>
      </w: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" fillcolor="#007e79" stroked="f" strokeweight="1pt">
                <v:fill opacity="56283f"/>
                <v:textbox inset="3mm,3mm,3mm,3mm">
                  <w:txbxContent>
                    <w:p w14:paraId="2DB84D82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2822FDF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277347F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0C9CB34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7296C837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1D8BD7E0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14:paraId="18E56373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3324F9A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5C877497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5390A763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FF7" w:rsidRDefault="00356FF7" w:rsidP="00F573F1">
      <w:r>
        <w:separator/>
      </w:r>
    </w:p>
  </w:endnote>
  <w:endnote w:type="continuationSeparator" w:id="0">
    <w:p w:rsidR="00356FF7" w:rsidRDefault="00356FF7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FF7" w:rsidRDefault="00356FF7" w:rsidP="00F573F1">
      <w:r>
        <w:separator/>
      </w:r>
    </w:p>
  </w:footnote>
  <w:footnote w:type="continuationSeparator" w:id="0">
    <w:p w:rsidR="00356FF7" w:rsidRDefault="00356FF7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444EA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20D7"/>
    <w:rsid w:val="00C57869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CEFE55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oindex.cz/clanky/fincentrum-hypoindex-zari-2019-sazby-prudce-pada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DB7F-8B2D-4000-A7AF-FE1C04B2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5</cp:revision>
  <cp:lastPrinted>2019-08-27T11:23:00Z</cp:lastPrinted>
  <dcterms:created xsi:type="dcterms:W3CDTF">2019-09-13T09:56:00Z</dcterms:created>
  <dcterms:modified xsi:type="dcterms:W3CDTF">2019-10-29T08:16:00Z</dcterms:modified>
</cp:coreProperties>
</file>