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1B59" w14:textId="1DFAA72C" w:rsidR="009139AF" w:rsidRPr="009139AF" w:rsidRDefault="009139AF" w:rsidP="009139AF">
      <w:pPr>
        <w:rPr>
          <w:rFonts w:cs="Arial"/>
          <w:b/>
          <w:color w:val="007E79"/>
          <w:sz w:val="32"/>
          <w:szCs w:val="28"/>
        </w:rPr>
      </w:pPr>
      <w:r w:rsidRPr="00517111">
        <w:rPr>
          <w:rFonts w:cs="Arial"/>
          <w:noProof/>
        </w:rPr>
        <mc:AlternateContent>
          <mc:Choice Requires="wps">
            <w:drawing>
              <wp:anchor distT="45720" distB="45720" distL="114300" distR="114300" simplePos="0" relativeHeight="251669504" behindDoc="0" locked="0" layoutInCell="1" allowOverlap="1" wp14:anchorId="68A52E74" wp14:editId="0BBDBD55">
                <wp:simplePos x="0" y="0"/>
                <wp:positionH relativeFrom="margin">
                  <wp:posOffset>5181600</wp:posOffset>
                </wp:positionH>
                <wp:positionV relativeFrom="paragraph">
                  <wp:posOffset>-944245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093A89A6" w14:textId="77777777" w:rsidR="00517111" w:rsidRDefault="00517111" w:rsidP="00517111">
                            <w:pPr>
                              <w:spacing w:line="276" w:lineRule="auto"/>
                              <w:jc w:val="right"/>
                              <w:rPr>
                                <w:b/>
                                <w:color w:val="13576B"/>
                              </w:rPr>
                            </w:pPr>
                            <w:r w:rsidRPr="00517111">
                              <w:rPr>
                                <w:b/>
                                <w:color w:val="13576B"/>
                              </w:rPr>
                              <w:t>TISKOVÁ ZPRÁVA</w:t>
                            </w:r>
                            <w:r>
                              <w:rPr>
                                <w:b/>
                                <w:color w:val="13576B"/>
                              </w:rPr>
                              <w:t xml:space="preserve"> </w:t>
                            </w:r>
                          </w:p>
                          <w:p w14:paraId="25BF6333" w14:textId="2E612EED" w:rsidR="00517111" w:rsidRPr="00517111" w:rsidRDefault="00C01CB1" w:rsidP="00517111">
                            <w:pPr>
                              <w:spacing w:line="276" w:lineRule="auto"/>
                              <w:jc w:val="right"/>
                              <w:rPr>
                                <w:b/>
                                <w:color w:val="13576B"/>
                              </w:rPr>
                            </w:pPr>
                            <w:r>
                              <w:rPr>
                                <w:color w:val="BFBFBF" w:themeColor="background1" w:themeShade="BF"/>
                              </w:rPr>
                              <w:t>24</w:t>
                            </w:r>
                            <w:r w:rsidR="00517111" w:rsidRPr="00517111">
                              <w:rPr>
                                <w:color w:val="BFBFBF" w:themeColor="background1" w:themeShade="BF"/>
                              </w:rPr>
                              <w:t xml:space="preserve">. </w:t>
                            </w:r>
                            <w:r>
                              <w:rPr>
                                <w:color w:val="BFBFBF" w:themeColor="background1" w:themeShade="BF"/>
                              </w:rPr>
                              <w:t>10</w:t>
                            </w:r>
                            <w:r w:rsidR="00517111" w:rsidRPr="00517111">
                              <w:rPr>
                                <w:color w:val="BFBFBF" w:themeColor="background1" w:themeShade="BF"/>
                              </w:rPr>
                              <w:t>. 201</w:t>
                            </w:r>
                            <w:r w:rsidR="00267ACA">
                              <w:rPr>
                                <w:color w:val="BFBFBF" w:themeColor="background1" w:themeShade="BF"/>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52E74" id="_x0000_t202" coordsize="21600,21600" o:spt="202" path="m,l,21600r21600,l21600,xe">
                <v:stroke joinstyle="miter"/>
                <v:path gradientshapeok="t" o:connecttype="rect"/>
              </v:shapetype>
              <v:shape id="Textové pole 2" o:spid="_x0000_s1026" type="#_x0000_t202" style="position:absolute;left:0;text-align:left;margin-left:408pt;margin-top:-74.35pt;width:97.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Pvf5AvgAAAADAEAAA8AAABkcnMvZG93bnJldi54bWxMj8tOwzAURPdI/IN1kdi1tiNo&#10;ojROVaG2LIESsXbj2yQifsh20/D3uCtYjmY0c6bazHokE/owWCOALxkQNK1Vg+kENJ/7RQEkRGmU&#10;HK1BAT8YYFPf31WyVPZqPnA6xo6kEhNKKaCP0ZWUhrZHLcPSOjTJO1uvZUzSd1R5eU3leqQZYyuq&#10;5WDSQi8dvvTYfh8vWoCL7pC/+rf37W4/sebr0GRDtxPi8WHeroFEnONfGG74CR3qxHSyF6MCGQUU&#10;fJW+RAEL/lTkQG4RxnkG5CQgz56B1hX9f6L+BQAA//8DAFBLAQItABQABgAIAAAAIQC2gziS/gAA&#10;AOEBAAATAAAAAAAAAAAAAAAAAAAAAABbQ29udGVudF9UeXBlc10ueG1sUEsBAi0AFAAGAAgAAAAh&#10;ADj9If/WAAAAlAEAAAsAAAAAAAAAAAAAAAAALwEAAF9yZWxzLy5yZWxzUEsBAi0AFAAGAAgAAAAh&#10;AKT20ZgTAgAA+gMAAA4AAAAAAAAAAAAAAAAALgIAAGRycy9lMm9Eb2MueG1sUEsBAi0AFAAGAAgA&#10;AAAhAPvf5AvgAAAADAEAAA8AAAAAAAAAAAAAAAAAbQQAAGRycy9kb3ducmV2LnhtbFBLBQYAAAAA&#10;BAAEAPMAAAB6BQAAAAA=&#10;" filled="f" stroked="f">
                <v:textbox style="mso-fit-shape-to-text:t">
                  <w:txbxContent>
                    <w:p w14:paraId="093A89A6" w14:textId="77777777" w:rsidR="00517111" w:rsidRDefault="00517111" w:rsidP="00517111">
                      <w:pPr>
                        <w:spacing w:line="276" w:lineRule="auto"/>
                        <w:jc w:val="right"/>
                        <w:rPr>
                          <w:b/>
                          <w:color w:val="13576B"/>
                        </w:rPr>
                      </w:pPr>
                      <w:r w:rsidRPr="00517111">
                        <w:rPr>
                          <w:b/>
                          <w:color w:val="13576B"/>
                        </w:rPr>
                        <w:t>TISKOVÁ ZPRÁVA</w:t>
                      </w:r>
                      <w:r>
                        <w:rPr>
                          <w:b/>
                          <w:color w:val="13576B"/>
                        </w:rPr>
                        <w:t xml:space="preserve"> </w:t>
                      </w:r>
                    </w:p>
                    <w:p w14:paraId="25BF6333" w14:textId="2E612EED" w:rsidR="00517111" w:rsidRPr="00517111" w:rsidRDefault="00C01CB1" w:rsidP="00517111">
                      <w:pPr>
                        <w:spacing w:line="276" w:lineRule="auto"/>
                        <w:jc w:val="right"/>
                        <w:rPr>
                          <w:b/>
                          <w:color w:val="13576B"/>
                        </w:rPr>
                      </w:pPr>
                      <w:r>
                        <w:rPr>
                          <w:color w:val="BFBFBF" w:themeColor="background1" w:themeShade="BF"/>
                        </w:rPr>
                        <w:t>24</w:t>
                      </w:r>
                      <w:r w:rsidR="00517111" w:rsidRPr="00517111">
                        <w:rPr>
                          <w:color w:val="BFBFBF" w:themeColor="background1" w:themeShade="BF"/>
                        </w:rPr>
                        <w:t xml:space="preserve">. </w:t>
                      </w:r>
                      <w:r>
                        <w:rPr>
                          <w:color w:val="BFBFBF" w:themeColor="background1" w:themeShade="BF"/>
                        </w:rPr>
                        <w:t>10</w:t>
                      </w:r>
                      <w:r w:rsidR="00517111" w:rsidRPr="00517111">
                        <w:rPr>
                          <w:color w:val="BFBFBF" w:themeColor="background1" w:themeShade="BF"/>
                        </w:rPr>
                        <w:t>. 201</w:t>
                      </w:r>
                      <w:r w:rsidR="00267ACA">
                        <w:rPr>
                          <w:color w:val="BFBFBF" w:themeColor="background1" w:themeShade="BF"/>
                        </w:rPr>
                        <w:t>9</w:t>
                      </w:r>
                    </w:p>
                  </w:txbxContent>
                </v:textbox>
                <w10:wrap anchorx="margin"/>
              </v:shape>
            </w:pict>
          </mc:Fallback>
        </mc:AlternateContent>
      </w:r>
      <w:r w:rsidRPr="00C74048">
        <w:rPr>
          <w:rFonts w:cs="Arial"/>
          <w:b/>
          <w:color w:val="007E79"/>
          <w:sz w:val="32"/>
          <w:szCs w:val="28"/>
        </w:rPr>
        <w:t>M</w:t>
      </w:r>
      <w:r w:rsidRPr="009139AF">
        <w:rPr>
          <w:rFonts w:cs="Arial"/>
          <w:b/>
          <w:color w:val="007E79"/>
          <w:sz w:val="32"/>
          <w:szCs w:val="28"/>
        </w:rPr>
        <w:t>AKROEKONOMICKÁ PROGNÓZA ČESKÉ BANKOVNÍ ASOCIACE</w:t>
      </w:r>
    </w:p>
    <w:p w14:paraId="486B6FB7" w14:textId="77777777" w:rsidR="00F32F3A" w:rsidRDefault="00F32F3A" w:rsidP="001D5BB9">
      <w:pPr>
        <w:rPr>
          <w:b/>
          <w:color w:val="008080"/>
          <w:sz w:val="22"/>
        </w:rPr>
      </w:pPr>
    </w:p>
    <w:p w14:paraId="4A6E52AD" w14:textId="2EAA2DC2" w:rsidR="009139AF" w:rsidRDefault="000A337A" w:rsidP="001D5BB9">
      <w:r>
        <w:rPr>
          <w:b/>
          <w:color w:val="008080"/>
          <w:sz w:val="22"/>
        </w:rPr>
        <w:t>Stále stejná vnější rizika znesnadňují predikci hospodářského vývoje i nadále</w:t>
      </w:r>
    </w:p>
    <w:p w14:paraId="6C97E5AB" w14:textId="77777777" w:rsidR="00F32F3A" w:rsidRDefault="00F32F3A" w:rsidP="006478ED">
      <w:pPr>
        <w:rPr>
          <w:rFonts w:cs="Arial"/>
          <w:b/>
          <w:color w:val="007E79"/>
          <w:szCs w:val="22"/>
        </w:rPr>
      </w:pPr>
    </w:p>
    <w:p w14:paraId="4D3BF803" w14:textId="317D9E04" w:rsidR="006478ED" w:rsidRPr="00D157A4" w:rsidRDefault="009139AF" w:rsidP="006478ED">
      <w:pPr>
        <w:rPr>
          <w:b/>
          <w:color w:val="008080"/>
        </w:rPr>
      </w:pPr>
      <w:r w:rsidRPr="00BC61FC">
        <w:rPr>
          <w:rFonts w:cs="Arial"/>
          <w:b/>
          <w:color w:val="007E79"/>
          <w:szCs w:val="22"/>
        </w:rPr>
        <w:t xml:space="preserve">Praha, </w:t>
      </w:r>
      <w:r w:rsidR="00F32F3A" w:rsidRPr="00BC61FC">
        <w:rPr>
          <w:rFonts w:cs="Arial"/>
          <w:b/>
          <w:color w:val="007E79"/>
          <w:szCs w:val="22"/>
        </w:rPr>
        <w:t>2</w:t>
      </w:r>
      <w:r w:rsidR="0007096D" w:rsidRPr="00BC61FC">
        <w:rPr>
          <w:rFonts w:cs="Arial"/>
          <w:b/>
          <w:color w:val="007E79"/>
          <w:szCs w:val="22"/>
        </w:rPr>
        <w:t>4</w:t>
      </w:r>
      <w:r w:rsidRPr="00BC61FC">
        <w:rPr>
          <w:rFonts w:cs="Arial"/>
          <w:b/>
          <w:color w:val="007E79"/>
          <w:szCs w:val="22"/>
        </w:rPr>
        <w:t xml:space="preserve">. </w:t>
      </w:r>
      <w:r w:rsidR="0007096D" w:rsidRPr="00BC61FC">
        <w:rPr>
          <w:rFonts w:cs="Arial"/>
          <w:b/>
          <w:color w:val="007E79"/>
          <w:szCs w:val="22"/>
        </w:rPr>
        <w:t>října</w:t>
      </w:r>
      <w:r w:rsidRPr="00BC61FC">
        <w:rPr>
          <w:rFonts w:cs="Arial"/>
          <w:b/>
          <w:color w:val="007E79"/>
          <w:szCs w:val="22"/>
        </w:rPr>
        <w:t xml:space="preserve"> 2019 – </w:t>
      </w:r>
      <w:r w:rsidR="00F32F3A" w:rsidRPr="00BC61FC">
        <w:rPr>
          <w:rFonts w:cs="Arial"/>
          <w:b/>
          <w:color w:val="007E79"/>
          <w:szCs w:val="22"/>
        </w:rPr>
        <w:t>Hlavní ekonomové bank zastoupen</w:t>
      </w:r>
      <w:r w:rsidR="001C1EFA">
        <w:rPr>
          <w:rFonts w:cs="Arial"/>
          <w:b/>
          <w:color w:val="007E79"/>
          <w:szCs w:val="22"/>
        </w:rPr>
        <w:t>i</w:t>
      </w:r>
      <w:r w:rsidR="00F32F3A" w:rsidRPr="00BC61FC">
        <w:rPr>
          <w:rFonts w:cs="Arial"/>
          <w:b/>
          <w:color w:val="007E79"/>
          <w:szCs w:val="22"/>
        </w:rPr>
        <w:t xml:space="preserve"> v prognostickém panelu České bankovní asociace (ČBA) </w:t>
      </w:r>
      <w:r w:rsidR="00BC61FC" w:rsidRPr="00D157A4">
        <w:rPr>
          <w:rFonts w:cs="Arial"/>
          <w:b/>
          <w:color w:val="007E79"/>
          <w:szCs w:val="22"/>
        </w:rPr>
        <w:t xml:space="preserve">mírně zvyšují </w:t>
      </w:r>
      <w:r w:rsidR="00F32F3A" w:rsidRPr="00D157A4">
        <w:rPr>
          <w:rFonts w:cs="Arial"/>
          <w:b/>
          <w:color w:val="007E79"/>
          <w:szCs w:val="22"/>
        </w:rPr>
        <w:t xml:space="preserve">odhad růstu </w:t>
      </w:r>
      <w:r w:rsidR="00BC61FC" w:rsidRPr="00D157A4">
        <w:rPr>
          <w:rFonts w:cs="Arial"/>
          <w:b/>
          <w:color w:val="007E79"/>
          <w:szCs w:val="22"/>
        </w:rPr>
        <w:t xml:space="preserve">letošního </w:t>
      </w:r>
      <w:r w:rsidR="00F32F3A" w:rsidRPr="00D157A4">
        <w:rPr>
          <w:rFonts w:cs="Arial"/>
          <w:b/>
          <w:color w:val="007E79"/>
          <w:szCs w:val="22"/>
        </w:rPr>
        <w:t>českého HDP na 2,</w:t>
      </w:r>
      <w:r w:rsidR="00520AEA" w:rsidRPr="00D157A4">
        <w:rPr>
          <w:rFonts w:cs="Arial"/>
          <w:b/>
          <w:color w:val="007E79"/>
          <w:szCs w:val="22"/>
        </w:rPr>
        <w:t>5</w:t>
      </w:r>
      <w:r w:rsidR="00F32F3A" w:rsidRPr="00D157A4">
        <w:rPr>
          <w:rFonts w:cs="Arial"/>
          <w:b/>
          <w:color w:val="007E79"/>
          <w:szCs w:val="22"/>
        </w:rPr>
        <w:t xml:space="preserve"> % a</w:t>
      </w:r>
      <w:r w:rsidR="00BC61FC" w:rsidRPr="00D157A4">
        <w:rPr>
          <w:rFonts w:cs="Arial"/>
          <w:b/>
          <w:color w:val="007E79"/>
          <w:szCs w:val="22"/>
        </w:rPr>
        <w:t xml:space="preserve"> pro rok 2020 jej naopak snižuj</w:t>
      </w:r>
      <w:r w:rsidR="00E4270B">
        <w:rPr>
          <w:rFonts w:cs="Arial"/>
          <w:b/>
          <w:color w:val="007E79"/>
          <w:szCs w:val="22"/>
        </w:rPr>
        <w:t>í</w:t>
      </w:r>
      <w:r w:rsidR="00BC61FC" w:rsidRPr="00D157A4">
        <w:rPr>
          <w:rFonts w:cs="Arial"/>
          <w:b/>
          <w:color w:val="007E79"/>
          <w:szCs w:val="22"/>
        </w:rPr>
        <w:t xml:space="preserve"> na rovná</w:t>
      </w:r>
      <w:r w:rsidR="00F32F3A" w:rsidRPr="00D157A4">
        <w:rPr>
          <w:rFonts w:cs="Arial"/>
          <w:b/>
          <w:color w:val="007E79"/>
          <w:szCs w:val="22"/>
        </w:rPr>
        <w:t xml:space="preserve"> 2 %.</w:t>
      </w:r>
      <w:r w:rsidR="00A36E62">
        <w:rPr>
          <w:rFonts w:cs="Arial"/>
          <w:b/>
          <w:color w:val="007E79"/>
          <w:szCs w:val="22"/>
        </w:rPr>
        <w:t xml:space="preserve"> </w:t>
      </w:r>
      <w:r w:rsidR="00263F96" w:rsidRPr="00D157A4">
        <w:rPr>
          <w:rFonts w:cs="Arial"/>
          <w:b/>
          <w:color w:val="007E79"/>
          <w:szCs w:val="22"/>
        </w:rPr>
        <w:t>S</w:t>
      </w:r>
      <w:r w:rsidR="00F32F3A" w:rsidRPr="00D157A4">
        <w:rPr>
          <w:rFonts w:cs="Arial"/>
          <w:b/>
          <w:color w:val="007E79"/>
          <w:szCs w:val="22"/>
        </w:rPr>
        <w:t xml:space="preserve">ignály přicházející ze světové ekonomiky nevnesly do bilance </w:t>
      </w:r>
      <w:r w:rsidR="00F32F3A" w:rsidRPr="00342882">
        <w:rPr>
          <w:rFonts w:cs="Arial"/>
          <w:b/>
          <w:color w:val="007E79"/>
          <w:szCs w:val="22"/>
        </w:rPr>
        <w:t>vnější</w:t>
      </w:r>
      <w:r w:rsidR="00EA4EAF">
        <w:rPr>
          <w:rFonts w:cs="Arial"/>
          <w:b/>
          <w:color w:val="007E79"/>
          <w:szCs w:val="22"/>
        </w:rPr>
        <w:t>ch</w:t>
      </w:r>
      <w:r w:rsidR="00F32F3A" w:rsidRPr="00D157A4">
        <w:rPr>
          <w:rFonts w:cs="Arial"/>
          <w:b/>
          <w:color w:val="007E79"/>
          <w:szCs w:val="22"/>
        </w:rPr>
        <w:t xml:space="preserve"> rizik pro výhled otevřené české ekonomiky</w:t>
      </w:r>
      <w:r w:rsidR="00BC61FC" w:rsidRPr="00D157A4">
        <w:rPr>
          <w:rFonts w:cs="Arial"/>
          <w:b/>
          <w:color w:val="007E79"/>
          <w:szCs w:val="22"/>
        </w:rPr>
        <w:t xml:space="preserve"> mnoho nového</w:t>
      </w:r>
      <w:r w:rsidR="00E4270B">
        <w:rPr>
          <w:rFonts w:cs="Arial"/>
          <w:b/>
          <w:color w:val="007E79"/>
          <w:szCs w:val="22"/>
        </w:rPr>
        <w:t>.</w:t>
      </w:r>
      <w:r w:rsidR="000D1977" w:rsidRPr="00D157A4">
        <w:rPr>
          <w:rFonts w:cs="Arial"/>
          <w:b/>
          <w:color w:val="007E79"/>
          <w:szCs w:val="22"/>
        </w:rPr>
        <w:t xml:space="preserve"> </w:t>
      </w:r>
      <w:r w:rsidR="00E4270B">
        <w:rPr>
          <w:rFonts w:cs="Arial"/>
          <w:b/>
          <w:color w:val="007E79"/>
          <w:szCs w:val="22"/>
        </w:rPr>
        <w:t>R</w:t>
      </w:r>
      <w:r w:rsidR="000D1977" w:rsidRPr="00D157A4">
        <w:rPr>
          <w:rFonts w:cs="Arial"/>
          <w:b/>
          <w:color w:val="007E79"/>
          <w:szCs w:val="22"/>
        </w:rPr>
        <w:t>izika jsou nadále vychýlená směrem k slabšímu růstu z titulu zpomalování světové ekonomiky</w:t>
      </w:r>
      <w:r w:rsidR="00E10472" w:rsidRPr="00D157A4">
        <w:rPr>
          <w:rFonts w:cs="Arial"/>
          <w:b/>
          <w:color w:val="007E79"/>
          <w:szCs w:val="22"/>
        </w:rPr>
        <w:t>, což platí i p</w:t>
      </w:r>
      <w:r w:rsidR="00BC61FC" w:rsidRPr="00D157A4">
        <w:rPr>
          <w:rFonts w:cs="Arial"/>
          <w:b/>
          <w:color w:val="007E79"/>
          <w:szCs w:val="22"/>
        </w:rPr>
        <w:t xml:space="preserve">o </w:t>
      </w:r>
      <w:r w:rsidR="003947A8">
        <w:rPr>
          <w:rFonts w:cs="Arial"/>
          <w:b/>
          <w:color w:val="007E79"/>
          <w:szCs w:val="22"/>
        </w:rPr>
        <w:t>posledním</w:t>
      </w:r>
      <w:r w:rsidR="00BC61FC" w:rsidRPr="00D157A4">
        <w:rPr>
          <w:rFonts w:cs="Arial"/>
          <w:b/>
          <w:color w:val="007E79"/>
          <w:szCs w:val="22"/>
        </w:rPr>
        <w:t xml:space="preserve"> hlasování britského parlamentu</w:t>
      </w:r>
      <w:r w:rsidR="00E10472" w:rsidRPr="00D157A4">
        <w:rPr>
          <w:rFonts w:cs="Arial"/>
          <w:b/>
          <w:color w:val="007E79"/>
          <w:szCs w:val="22"/>
        </w:rPr>
        <w:t>.</w:t>
      </w:r>
      <w:r w:rsidR="000D1977" w:rsidRPr="00D157A4">
        <w:rPr>
          <w:rFonts w:cs="Arial"/>
          <w:b/>
          <w:color w:val="007E79"/>
          <w:szCs w:val="22"/>
        </w:rPr>
        <w:t xml:space="preserve"> </w:t>
      </w:r>
    </w:p>
    <w:p w14:paraId="571BBDCA" w14:textId="77777777" w:rsidR="006478ED" w:rsidRPr="00D157A4" w:rsidRDefault="006478ED" w:rsidP="006478ED">
      <w:pPr>
        <w:rPr>
          <w:b/>
          <w:color w:val="008080"/>
        </w:rPr>
      </w:pPr>
    </w:p>
    <w:p w14:paraId="6A7F30EB" w14:textId="0CAD3391" w:rsidR="00A2430B" w:rsidRPr="00D157A4" w:rsidRDefault="00F32F3A" w:rsidP="006478ED">
      <w:r w:rsidRPr="00D157A4">
        <w:t xml:space="preserve">V prvním </w:t>
      </w:r>
      <w:r w:rsidR="00BF58BD" w:rsidRPr="00D157A4">
        <w:t xml:space="preserve">i druhém </w:t>
      </w:r>
      <w:r w:rsidRPr="00D157A4">
        <w:t xml:space="preserve">čtvrtletí letošního roku český HDP meziročně rostl o stále solidních 2,8 %, </w:t>
      </w:r>
      <w:r w:rsidR="000E3A69" w:rsidRPr="00D157A4">
        <w:t xml:space="preserve">což </w:t>
      </w:r>
      <w:r w:rsidR="00BF58BD" w:rsidRPr="00D157A4">
        <w:t xml:space="preserve">pro analytiky </w:t>
      </w:r>
      <w:r w:rsidR="000E3A69" w:rsidRPr="00D157A4">
        <w:t xml:space="preserve">do jisté míry </w:t>
      </w:r>
      <w:r w:rsidR="00BF58BD" w:rsidRPr="00D157A4">
        <w:t>představoval</w:t>
      </w:r>
      <w:r w:rsidR="000E3A69" w:rsidRPr="00D157A4">
        <w:t>o</w:t>
      </w:r>
      <w:r w:rsidR="00BF58BD" w:rsidRPr="00D157A4">
        <w:t xml:space="preserve"> </w:t>
      </w:r>
      <w:r w:rsidR="000E3A69" w:rsidRPr="00D157A4">
        <w:t xml:space="preserve">příjemné </w:t>
      </w:r>
      <w:r w:rsidR="00BF58BD" w:rsidRPr="00D157A4">
        <w:t xml:space="preserve">překvapení. </w:t>
      </w:r>
      <w:r w:rsidR="000E3A69" w:rsidRPr="00D157A4">
        <w:t>Na druhé straně však vesměs neočekávali další prodlužování období růstu spotřebitelských cen v blízkosti 3 %, do kategorie dobrých zpráv by mnozí nezařadili ani stále neposilující měnový kurz koruny k euru.</w:t>
      </w:r>
      <w:r w:rsidR="00BC61FC" w:rsidRPr="00D157A4">
        <w:t xml:space="preserve"> Vzhledem k výše uvedenému je </w:t>
      </w:r>
      <w:r w:rsidR="008722D9" w:rsidRPr="00D157A4">
        <w:t xml:space="preserve">tak </w:t>
      </w:r>
      <w:r w:rsidR="00BC61FC" w:rsidRPr="00D157A4">
        <w:t>základní</w:t>
      </w:r>
      <w:r w:rsidR="008722D9" w:rsidRPr="00D157A4">
        <w:t>m</w:t>
      </w:r>
      <w:r w:rsidR="00BC61FC" w:rsidRPr="00D157A4">
        <w:t xml:space="preserve"> scénářem ČBA </w:t>
      </w:r>
      <w:r w:rsidR="00263F96" w:rsidRPr="00D157A4">
        <w:t xml:space="preserve">dočasné usazení </w:t>
      </w:r>
      <w:r w:rsidR="00BC61FC" w:rsidRPr="00D157A4">
        <w:t>české ekonomiky na tempech</w:t>
      </w:r>
      <w:r w:rsidR="00263F96" w:rsidRPr="00D157A4">
        <w:t xml:space="preserve">, která se nacházejí </w:t>
      </w:r>
      <w:r w:rsidR="00BC61FC" w:rsidRPr="00D157A4">
        <w:t>pod jejím střednědobým potenciálem</w:t>
      </w:r>
      <w:r w:rsidR="008722D9" w:rsidRPr="00A144A3">
        <w:t xml:space="preserve">. </w:t>
      </w:r>
      <w:r w:rsidR="00A2430B" w:rsidRPr="00A144A3">
        <w:t>Vzhledem k</w:t>
      </w:r>
      <w:r w:rsidR="008722D9" w:rsidRPr="00A144A3">
        <w:t>e stále</w:t>
      </w:r>
      <w:r w:rsidR="00A2430B" w:rsidRPr="00A144A3">
        <w:t xml:space="preserve"> přetrvávajícím externím rizikům jsou rizika prognózy vychýlena směrem dolů.</w:t>
      </w:r>
    </w:p>
    <w:p w14:paraId="0FD5D873" w14:textId="6C94CD99" w:rsidR="00F32F3A" w:rsidRPr="00D157A4" w:rsidRDefault="00F32F3A" w:rsidP="006478ED">
      <w:pPr>
        <w:rPr>
          <w:b/>
        </w:rPr>
      </w:pPr>
    </w:p>
    <w:p w14:paraId="3D5DA6B2" w14:textId="45C61633" w:rsidR="00F32F3A" w:rsidRPr="00D157A4" w:rsidRDefault="00A2430B" w:rsidP="006478ED">
      <w:pPr>
        <w:rPr>
          <w:b/>
          <w:color w:val="007E79"/>
          <w:sz w:val="20"/>
        </w:rPr>
      </w:pPr>
      <w:r w:rsidRPr="00D157A4">
        <w:rPr>
          <w:b/>
          <w:color w:val="007E79"/>
          <w:sz w:val="20"/>
        </w:rPr>
        <w:t>Vliv světového ekonomického vývoje na</w:t>
      </w:r>
      <w:r w:rsidR="00F32F3A" w:rsidRPr="00D157A4">
        <w:rPr>
          <w:b/>
          <w:color w:val="007E79"/>
          <w:sz w:val="20"/>
        </w:rPr>
        <w:t xml:space="preserve"> naše hospodářství</w:t>
      </w:r>
    </w:p>
    <w:p w14:paraId="1925E5BF" w14:textId="392DD2F4" w:rsidR="004E6615" w:rsidRDefault="00A732A1" w:rsidP="004E6615">
      <w:r w:rsidRPr="00D157A4">
        <w:t xml:space="preserve">Sedm dnů před ohlášeným termínem odchodu Velké Británie z EU nelze úvahy o rychlosti a </w:t>
      </w:r>
      <w:r w:rsidR="006D7467" w:rsidRPr="00D157A4">
        <w:t xml:space="preserve">hloubce dopadu zhmotnění vnějších rizik – ačkoli </w:t>
      </w:r>
      <w:r w:rsidR="00416028" w:rsidRPr="00D157A4">
        <w:t xml:space="preserve">brexit </w:t>
      </w:r>
      <w:r w:rsidR="006D7467" w:rsidRPr="00D157A4">
        <w:t>pro otevřenou českou ekonomiku nepředstavuje riziko hlavní – začít jinak</w:t>
      </w:r>
      <w:r w:rsidR="00416028" w:rsidRPr="00D157A4">
        <w:t xml:space="preserve">. </w:t>
      </w:r>
      <w:r w:rsidR="006D7467" w:rsidRPr="00D157A4">
        <w:t>Do poslední chvíle ne</w:t>
      </w:r>
      <w:r w:rsidR="00416028" w:rsidRPr="00D157A4">
        <w:t>ní</w:t>
      </w:r>
      <w:r w:rsidR="006D7467" w:rsidRPr="00D157A4">
        <w:t xml:space="preserve"> jasné, zda nebude </w:t>
      </w:r>
      <w:r w:rsidR="00CA6B72" w:rsidRPr="00D157A4">
        <w:t>znovu</w:t>
      </w:r>
      <w:r w:rsidR="006D7467" w:rsidRPr="00D157A4">
        <w:t xml:space="preserve"> odložen, </w:t>
      </w:r>
      <w:r w:rsidR="00055376" w:rsidRPr="00D157A4">
        <w:t>což se nyní jeví jako pravděpodobnější alternativa, než že by k brexitu nedošlo vůbec</w:t>
      </w:r>
      <w:r w:rsidR="006D7467" w:rsidRPr="00D157A4">
        <w:t>. Tato nejistota se</w:t>
      </w:r>
      <w:r w:rsidR="00416028" w:rsidRPr="00D157A4">
        <w:t xml:space="preserve">, kromě jiných faktorů, </w:t>
      </w:r>
      <w:r w:rsidR="006D7467" w:rsidRPr="00D157A4">
        <w:t>projevuje i na zhoršující se výkonnosti německého hospodářství</w:t>
      </w:r>
      <w:r w:rsidR="00416028" w:rsidRPr="00D157A4">
        <w:t>.</w:t>
      </w:r>
      <w:r w:rsidR="006D7467" w:rsidRPr="00D157A4">
        <w:t xml:space="preserve"> </w:t>
      </w:r>
      <w:r w:rsidR="00416028" w:rsidRPr="00D157A4">
        <w:t>T</w:t>
      </w:r>
      <w:r w:rsidR="006D7467" w:rsidRPr="00D157A4">
        <w:t xml:space="preserve">vrdý brexit by nás zasáhl dvakrát – přímo prostřednictvím komplikací pro naše vývozy do UK a možná ještě tvrději nepřímo přes hlubší než očekávaný propad německé ekonomiky. </w:t>
      </w:r>
    </w:p>
    <w:p w14:paraId="54BE57C8" w14:textId="77777777" w:rsidR="00577677" w:rsidRPr="00D157A4" w:rsidRDefault="00577677" w:rsidP="004E6615"/>
    <w:p w14:paraId="6404A488" w14:textId="11E657F9" w:rsidR="00577677" w:rsidRDefault="00A36E62" w:rsidP="006478ED">
      <w:r>
        <w:rPr>
          <w:noProof/>
        </w:rPr>
        <mc:AlternateContent>
          <mc:Choice Requires="wps">
            <w:drawing>
              <wp:anchor distT="45720" distB="45720" distL="114300" distR="114300" simplePos="0" relativeHeight="251697152" behindDoc="0" locked="0" layoutInCell="1" allowOverlap="1" wp14:anchorId="7D7B0856" wp14:editId="701F0EC2">
                <wp:simplePos x="0" y="0"/>
                <wp:positionH relativeFrom="margin">
                  <wp:posOffset>2540</wp:posOffset>
                </wp:positionH>
                <wp:positionV relativeFrom="paragraph">
                  <wp:posOffset>955675</wp:posOffset>
                </wp:positionV>
                <wp:extent cx="6477000" cy="771525"/>
                <wp:effectExtent l="0" t="0" r="19050" b="2857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1525"/>
                        </a:xfrm>
                        <a:prstGeom prst="rect">
                          <a:avLst/>
                        </a:prstGeom>
                        <a:solidFill>
                          <a:srgbClr val="FFFFFF"/>
                        </a:solidFill>
                        <a:ln w="9525">
                          <a:solidFill>
                            <a:srgbClr val="000000"/>
                          </a:solidFill>
                          <a:miter lim="800000"/>
                          <a:headEnd/>
                          <a:tailEnd/>
                        </a:ln>
                      </wps:spPr>
                      <wps:txbx>
                        <w:txbxContent>
                          <w:p w14:paraId="1159FE98" w14:textId="77777777" w:rsidR="00577677" w:rsidRPr="00A144A3" w:rsidRDefault="00577677" w:rsidP="00577677">
                            <w:pPr>
                              <w:rPr>
                                <w:color w:val="007E79"/>
                                <w:szCs w:val="18"/>
                              </w:rPr>
                            </w:pPr>
                            <w:r w:rsidRPr="00A144A3">
                              <w:rPr>
                                <w:color w:val="007E79"/>
                                <w:szCs w:val="18"/>
                              </w:rPr>
                              <w:t>KOMENTÁŘ/CITACE k přímému použití:</w:t>
                            </w:r>
                          </w:p>
                          <w:p w14:paraId="4488CA10" w14:textId="2BCAB79B" w:rsidR="00577677" w:rsidRPr="00A144A3" w:rsidRDefault="008D5313" w:rsidP="00577677">
                            <w:pPr>
                              <w:rPr>
                                <w:b/>
                                <w:color w:val="007E79"/>
                                <w:szCs w:val="18"/>
                              </w:rPr>
                            </w:pPr>
                            <w:r w:rsidRPr="00A144A3">
                              <w:rPr>
                                <w:b/>
                                <w:color w:val="007E79"/>
                                <w:szCs w:val="18"/>
                              </w:rPr>
                              <w:t>Miroslav Zámečník</w:t>
                            </w:r>
                            <w:r w:rsidR="00577677" w:rsidRPr="00A144A3">
                              <w:rPr>
                                <w:b/>
                                <w:color w:val="007E79"/>
                                <w:szCs w:val="18"/>
                              </w:rPr>
                              <w:t xml:space="preserve">, </w:t>
                            </w:r>
                            <w:r w:rsidRPr="00A144A3">
                              <w:rPr>
                                <w:b/>
                                <w:color w:val="007E79"/>
                                <w:szCs w:val="18"/>
                              </w:rPr>
                              <w:t xml:space="preserve">ekonomický analytik ČBA </w:t>
                            </w:r>
                          </w:p>
                          <w:p w14:paraId="2B5C8B35" w14:textId="2FAE92B7" w:rsidR="008D5313" w:rsidRPr="00A144A3" w:rsidRDefault="007725F7" w:rsidP="00577677">
                            <w:pPr>
                              <w:rPr>
                                <w:i/>
                                <w:iCs/>
                              </w:rPr>
                            </w:pPr>
                            <w:r w:rsidRPr="00A144A3">
                              <w:rPr>
                                <w:i/>
                                <w:iCs/>
                              </w:rPr>
                              <w:t xml:space="preserve">„Zavedení cel na dovoz automobilů z EU, o němž by měl prezident Trump rozhodnout v polovině listopadu, </w:t>
                            </w:r>
                            <w:r w:rsidR="008D5313" w:rsidRPr="00A144A3">
                              <w:rPr>
                                <w:i/>
                                <w:iCs/>
                              </w:rPr>
                              <w:t xml:space="preserve">by byla pro český průmysl, prostřednictvím nepřímého vývozu komponentů přes Německo do USA, podstatně významnější </w:t>
                            </w:r>
                            <w:r w:rsidR="00100B73" w:rsidRPr="00A144A3">
                              <w:rPr>
                                <w:i/>
                                <w:iCs/>
                              </w:rPr>
                              <w:t>újma</w:t>
                            </w:r>
                            <w:r w:rsidR="00100B73">
                              <w:rPr>
                                <w:i/>
                                <w:iCs/>
                              </w:rPr>
                              <w:t xml:space="preserve"> než spor kvůli letadlům u WTO</w:t>
                            </w:r>
                            <w:r w:rsidRPr="00A144A3">
                              <w:rPr>
                                <w:i/>
                                <w:iCs/>
                              </w:rPr>
                              <w:t>.“</w:t>
                            </w:r>
                          </w:p>
                          <w:p w14:paraId="0E713804" w14:textId="77777777" w:rsidR="008D5313" w:rsidRPr="00B3003D" w:rsidRDefault="008D5313" w:rsidP="00577677">
                            <w:pPr>
                              <w:rPr>
                                <w:rFonts w:ascii="Calibri" w:hAnsi="Calibri"/>
                                <w:i/>
                                <w:sz w:val="22"/>
                                <w:lang w:eastAsia="zh-TW"/>
                              </w:rPr>
                            </w:pPr>
                          </w:p>
                          <w:p w14:paraId="34603327" w14:textId="77777777" w:rsidR="00577677" w:rsidRPr="00B3003D" w:rsidRDefault="00577677" w:rsidP="00577677">
                            <w:pPr>
                              <w:rPr>
                                <w:i/>
                                <w:lang w:eastAsia="en-US"/>
                              </w:rPr>
                            </w:pPr>
                          </w:p>
                          <w:p w14:paraId="69972693" w14:textId="77777777" w:rsidR="00577677" w:rsidRDefault="00577677" w:rsidP="00577677">
                            <w:pPr>
                              <w:rPr>
                                <w:i/>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B0856" id="Textové pole 3" o:spid="_x0000_s1027" type="#_x0000_t202" style="position:absolute;left:0;text-align:left;margin-left:.2pt;margin-top:75.25pt;width:510pt;height:60.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pMAIAAFAEAAAOAAAAZHJzL2Uyb0RvYy54bWysVF1u2zAMfh+wOwh6X+ykSdMacYouXYYB&#10;3Q/Q7gCMLMfCZFGTlNjdjXqOXWyUnKbpBuxhWB4E0aQ+fvxIZnHVt5rtpfMKTcnHo5wzaQRWymxL&#10;/vV+/eaCMx/AVKDRyJI/SM+vlq9fLTpbyAk2qCvpGIEYX3S25E0ItsgyLxrZgh+hlYacNboWAplu&#10;m1UOOkJvdTbJ8/OsQ1dZh0J6T19vBidfJvy6liJ8rmsvA9MlJ24hnS6dm3hmywUUWwe2UeJAA/6B&#10;RQvKUNIj1A0EYDun/oBqlXDosQ4jgW2Gda2ETDVQNeP8t2ruGrAy1ULieHuUyf8/WPFp/8UxVZX8&#10;jDMDLbXoXvYB9z8fmUUt2VmUqLO+oMg7S7Ghf4s9tTqV6+0tim+eGVw1YLby2jnsGgkVURzHl9nJ&#10;0wHHR5BN9xErygW7gAmor10b9SNFGKFTqx6O7SE+TNDH8+l8nufkEuSbz8ezySylgOLptXU+vJfY&#10;sngpuaP2J3TY3/oQ2UDxFBKTedSqWiutk+G2m5V2bA80Kuv0O6C/CNOGdSW/jLn/DkFMI9kh6wuI&#10;VgWaea3akl8cg6CIsr0zFT2AIoDSw50oa3PQMUo3iBj6TZ+6lkSOGm+weiBhHQ4jTitJlwbdD846&#10;Gu+S++87cJIz/cFQcy7H02nch2RMZ/MJGe7Uszn1gBEEVfLA2XBdhbRDkarBa2pirZK+z0wOlGls&#10;k+yHFYt7cWqnqOc/guUvAAAA//8DAFBLAwQUAAYACAAAACEAXh5xnt4AAAAJAQAADwAAAGRycy9k&#10;b3ducmV2LnhtbEyPzU7DMBCE70i8g7VIXBC1Cf0jxKkQEghu0FZwdeNtEhGvg+2m4e3ZnuC4M6PZ&#10;b4rV6DoxYIitJw03EwUCqfK2pVrDdvN0vQQRkyFrOk+o4QcjrMrzs8Lk1h/pHYd1qgWXUMyNhial&#10;PpcyVg06Eye+R2Jv74Mzic9QSxvMkctdJzOl5tKZlvhDY3p8bLD6Wh+chuX0ZfiMr7dvH9V8392l&#10;q8Xw/B20vrwYH+5BJBzTXxhO+IwOJTPt/IFsFJ2GKedYnakZiJOtMsXSTkO2yBTIspD/F5S/AAAA&#10;//8DAFBLAQItABQABgAIAAAAIQC2gziS/gAAAOEBAAATAAAAAAAAAAAAAAAAAAAAAABbQ29udGVu&#10;dF9UeXBlc10ueG1sUEsBAi0AFAAGAAgAAAAhADj9If/WAAAAlAEAAAsAAAAAAAAAAAAAAAAALwEA&#10;AF9yZWxzLy5yZWxzUEsBAi0AFAAGAAgAAAAhAA+jz6kwAgAAUAQAAA4AAAAAAAAAAAAAAAAALgIA&#10;AGRycy9lMm9Eb2MueG1sUEsBAi0AFAAGAAgAAAAhAF4ecZ7eAAAACQEAAA8AAAAAAAAAAAAAAAAA&#10;igQAAGRycy9kb3ducmV2LnhtbFBLBQYAAAAABAAEAPMAAACVBQAAAAA=&#10;">
                <v:textbox>
                  <w:txbxContent>
                    <w:p w14:paraId="1159FE98" w14:textId="77777777" w:rsidR="00577677" w:rsidRPr="00A144A3" w:rsidRDefault="00577677" w:rsidP="00577677">
                      <w:pPr>
                        <w:rPr>
                          <w:color w:val="007E79"/>
                          <w:szCs w:val="18"/>
                        </w:rPr>
                      </w:pPr>
                      <w:r w:rsidRPr="00A144A3">
                        <w:rPr>
                          <w:color w:val="007E79"/>
                          <w:szCs w:val="18"/>
                        </w:rPr>
                        <w:t>KOMENTÁŘ/CITACE k přímému použití:</w:t>
                      </w:r>
                    </w:p>
                    <w:p w14:paraId="4488CA10" w14:textId="2BCAB79B" w:rsidR="00577677" w:rsidRPr="00A144A3" w:rsidRDefault="008D5313" w:rsidP="00577677">
                      <w:pPr>
                        <w:rPr>
                          <w:b/>
                          <w:color w:val="007E79"/>
                          <w:szCs w:val="18"/>
                        </w:rPr>
                      </w:pPr>
                      <w:r w:rsidRPr="00A144A3">
                        <w:rPr>
                          <w:b/>
                          <w:color w:val="007E79"/>
                          <w:szCs w:val="18"/>
                        </w:rPr>
                        <w:t>Miroslav Zámečník</w:t>
                      </w:r>
                      <w:r w:rsidR="00577677" w:rsidRPr="00A144A3">
                        <w:rPr>
                          <w:b/>
                          <w:color w:val="007E79"/>
                          <w:szCs w:val="18"/>
                        </w:rPr>
                        <w:t xml:space="preserve">, </w:t>
                      </w:r>
                      <w:r w:rsidRPr="00A144A3">
                        <w:rPr>
                          <w:b/>
                          <w:color w:val="007E79"/>
                          <w:szCs w:val="18"/>
                        </w:rPr>
                        <w:t xml:space="preserve">ekonomický analytik ČBA </w:t>
                      </w:r>
                    </w:p>
                    <w:p w14:paraId="2B5C8B35" w14:textId="2FAE92B7" w:rsidR="008D5313" w:rsidRPr="00A144A3" w:rsidRDefault="007725F7" w:rsidP="00577677">
                      <w:pPr>
                        <w:rPr>
                          <w:i/>
                          <w:iCs/>
                        </w:rPr>
                      </w:pPr>
                      <w:r w:rsidRPr="00A144A3">
                        <w:rPr>
                          <w:i/>
                          <w:iCs/>
                        </w:rPr>
                        <w:t xml:space="preserve">„Zavedení cel na dovoz automobilů z EU, o němž by měl prezident Trump rozhodnout v polovině listopadu, </w:t>
                      </w:r>
                      <w:r w:rsidR="008D5313" w:rsidRPr="00A144A3">
                        <w:rPr>
                          <w:i/>
                          <w:iCs/>
                        </w:rPr>
                        <w:t xml:space="preserve">by byla pro český průmysl, prostřednictvím nepřímého vývozu komponentů přes Německo do USA, podstatně významnější </w:t>
                      </w:r>
                      <w:r w:rsidR="00100B73" w:rsidRPr="00A144A3">
                        <w:rPr>
                          <w:i/>
                          <w:iCs/>
                        </w:rPr>
                        <w:t>újma</w:t>
                      </w:r>
                      <w:r w:rsidR="00100B73">
                        <w:rPr>
                          <w:i/>
                          <w:iCs/>
                        </w:rPr>
                        <w:t xml:space="preserve"> než spor kvůli letadlům u WTO</w:t>
                      </w:r>
                      <w:r w:rsidRPr="00A144A3">
                        <w:rPr>
                          <w:i/>
                          <w:iCs/>
                        </w:rPr>
                        <w:t>.“</w:t>
                      </w:r>
                    </w:p>
                    <w:p w14:paraId="0E713804" w14:textId="77777777" w:rsidR="008D5313" w:rsidRPr="00B3003D" w:rsidRDefault="008D5313" w:rsidP="00577677">
                      <w:pPr>
                        <w:rPr>
                          <w:rFonts w:ascii="Calibri" w:hAnsi="Calibri"/>
                          <w:i/>
                          <w:sz w:val="22"/>
                          <w:lang w:eastAsia="zh-TW"/>
                        </w:rPr>
                      </w:pPr>
                    </w:p>
                    <w:p w14:paraId="34603327" w14:textId="77777777" w:rsidR="00577677" w:rsidRPr="00B3003D" w:rsidRDefault="00577677" w:rsidP="00577677">
                      <w:pPr>
                        <w:rPr>
                          <w:i/>
                          <w:lang w:eastAsia="en-US"/>
                        </w:rPr>
                      </w:pPr>
                    </w:p>
                    <w:p w14:paraId="69972693" w14:textId="77777777" w:rsidR="00577677" w:rsidRDefault="00577677" w:rsidP="00577677">
                      <w:pPr>
                        <w:rPr>
                          <w:i/>
                          <w:lang w:eastAsia="en-US"/>
                        </w:rPr>
                      </w:pPr>
                    </w:p>
                  </w:txbxContent>
                </v:textbox>
                <w10:wrap type="square" anchorx="margin"/>
              </v:shape>
            </w:pict>
          </mc:Fallback>
        </mc:AlternateContent>
      </w:r>
      <w:r w:rsidR="005C6DB6" w:rsidRPr="00D157A4">
        <w:t xml:space="preserve">Hospodářské zpomalování ekonomiky eurozóny a zejména hospodářství Německa jako našeho největšího obchodního partnera však krom nejistot ohledně budoucích vztahů s UK kriticky závisí i na probíhajícím obchodním konfliktu mezi USA a Čínou </w:t>
      </w:r>
      <w:r w:rsidR="00CE1014" w:rsidRPr="00D157A4">
        <w:t xml:space="preserve">(v případě zpomalení čínské ekonomiky lze očekávat negativní dopad zejména na německé exportéry) </w:t>
      </w:r>
      <w:r w:rsidR="005C6DB6" w:rsidRPr="00D157A4">
        <w:t>a na tom, zda a jaké restrikce se USA rozhodne uvalit na vzájemný obchod</w:t>
      </w:r>
      <w:r w:rsidR="00A42EAA" w:rsidRPr="00D157A4">
        <w:t xml:space="preserve"> se zeměmi EU</w:t>
      </w:r>
      <w:r w:rsidR="00A42EAA" w:rsidRPr="00A144A3">
        <w:t xml:space="preserve">. </w:t>
      </w:r>
      <w:r w:rsidR="00555B91" w:rsidRPr="00A144A3">
        <w:t>Sankce vyplývající z</w:t>
      </w:r>
      <w:r w:rsidR="00A144A3" w:rsidRPr="00A144A3">
        <w:t> </w:t>
      </w:r>
      <w:r w:rsidR="00555B91" w:rsidRPr="00A144A3">
        <w:t>arbitráže</w:t>
      </w:r>
      <w:r w:rsidR="00A144A3" w:rsidRPr="00A144A3">
        <w:t xml:space="preserve"> mezi EU a USA</w:t>
      </w:r>
      <w:r w:rsidR="00555B91" w:rsidRPr="00A144A3">
        <w:t xml:space="preserve"> u WTO</w:t>
      </w:r>
      <w:r w:rsidR="00555B91" w:rsidRPr="00D157A4">
        <w:t xml:space="preserve"> nemají vzhledem k</w:t>
      </w:r>
      <w:r w:rsidR="00B3003D">
        <w:t> </w:t>
      </w:r>
      <w:r w:rsidR="00555B91" w:rsidRPr="00D157A4">
        <w:t>položkám</w:t>
      </w:r>
      <w:r w:rsidR="00B3003D">
        <w:t xml:space="preserve">, </w:t>
      </w:r>
      <w:r w:rsidR="00555B91" w:rsidRPr="00D157A4">
        <w:t>na n</w:t>
      </w:r>
      <w:r w:rsidR="00B3003D">
        <w:t>ě</w:t>
      </w:r>
      <w:r w:rsidR="00555B91" w:rsidRPr="00D157A4">
        <w:t>ž se vztahují, výrazný dopad na ČR, což ovšem neplatí pro případná cla na dovoz automobilů z EU, o jejichž zaveden</w:t>
      </w:r>
      <w:r w:rsidR="00373D9D">
        <w:t>í</w:t>
      </w:r>
      <w:r w:rsidR="00555B91" w:rsidRPr="00D157A4">
        <w:t xml:space="preserve"> může prezident Donald Trump rozhodnout </w:t>
      </w:r>
      <w:r w:rsidR="00373D9D">
        <w:t>v </w:t>
      </w:r>
      <w:r w:rsidR="00373D9D" w:rsidRPr="00CD7450">
        <w:t xml:space="preserve">polovině </w:t>
      </w:r>
      <w:r w:rsidR="00555B91" w:rsidRPr="00CD7450">
        <w:t xml:space="preserve">listopadu 2019. </w:t>
      </w:r>
    </w:p>
    <w:p w14:paraId="7F5B477E" w14:textId="5C7F121A" w:rsidR="006669D1" w:rsidRDefault="006669D1" w:rsidP="006478ED"/>
    <w:p w14:paraId="19B9B40E" w14:textId="1D97669F" w:rsidR="005C6DB6" w:rsidRPr="00D157A4" w:rsidRDefault="00A42EAA" w:rsidP="006478ED">
      <w:r w:rsidRPr="00CD7450">
        <w:t>Vzhledem k poměrně těsné korelaci našeho HDP s německým exportem by dopad do míry hospodářského růstu mohl být</w:t>
      </w:r>
      <w:r w:rsidRPr="00D157A4">
        <w:t xml:space="preserve"> dosti citelným.</w:t>
      </w:r>
      <w:r w:rsidR="00A36E62">
        <w:t xml:space="preserve"> </w:t>
      </w:r>
      <w:r w:rsidR="00CE1014" w:rsidRPr="00D157A4">
        <w:t>O dalších zdrojích rizika, mezi něž patří například probíhající konflikt na syrském území, a jejich dopadech na mezinárodní obchod nemluvě.</w:t>
      </w:r>
      <w:r w:rsidRPr="00D157A4">
        <w:t xml:space="preserve">  </w:t>
      </w:r>
    </w:p>
    <w:p w14:paraId="2A221C02" w14:textId="79994DD8" w:rsidR="006D7467" w:rsidRPr="00D157A4" w:rsidRDefault="006D7467" w:rsidP="006478ED"/>
    <w:p w14:paraId="5E7E5640" w14:textId="09499D88" w:rsidR="006478ED" w:rsidRDefault="006D7467" w:rsidP="006478ED">
      <w:r w:rsidRPr="00D157A4">
        <w:t xml:space="preserve">Zatím se </w:t>
      </w:r>
      <w:r w:rsidR="00CE1014" w:rsidRPr="00D157A4">
        <w:t xml:space="preserve">však </w:t>
      </w:r>
      <w:r w:rsidRPr="00D157A4">
        <w:t>situace</w:t>
      </w:r>
      <w:r w:rsidR="00CE1014" w:rsidRPr="00D157A4">
        <w:t xml:space="preserve"> optikou domácích čísel</w:t>
      </w:r>
      <w:r w:rsidRPr="00D157A4">
        <w:t xml:space="preserve"> nejeví nijak </w:t>
      </w:r>
      <w:r w:rsidR="008722D9" w:rsidRPr="00D157A4">
        <w:t>špatně</w:t>
      </w:r>
      <w:r w:rsidR="00555B91" w:rsidRPr="00D157A4">
        <w:t xml:space="preserve">. Byť někteří </w:t>
      </w:r>
      <w:r w:rsidRPr="00D157A4">
        <w:t>vývozci</w:t>
      </w:r>
      <w:r w:rsidR="00555B91" w:rsidRPr="00D157A4">
        <w:t xml:space="preserve"> již začínají hlásit pokles zakázek, a přestávají nabírat nové zaměstnance, není tato informace „vstřebána“ v celé ekonomice, </w:t>
      </w:r>
      <w:r w:rsidR="00555B91" w:rsidRPr="00A144A3">
        <w:t xml:space="preserve">která </w:t>
      </w:r>
      <w:r w:rsidR="00105C84" w:rsidRPr="00A144A3">
        <w:t xml:space="preserve">se veze </w:t>
      </w:r>
      <w:r w:rsidR="00555B91" w:rsidRPr="00A144A3">
        <w:t>na vlně</w:t>
      </w:r>
      <w:r w:rsidR="00555B91" w:rsidRPr="00D157A4">
        <w:t xml:space="preserve"> domácí spotřeby a vládních výdajů</w:t>
      </w:r>
      <w:r w:rsidRPr="00D157A4">
        <w:t xml:space="preserve">. </w:t>
      </w:r>
      <w:r w:rsidR="00105C84">
        <w:t>Nicméně, p</w:t>
      </w:r>
      <w:r w:rsidR="00F32F3A" w:rsidRPr="00D157A4">
        <w:t xml:space="preserve">ro otevřenou českou ekonomiku </w:t>
      </w:r>
      <w:r w:rsidR="00CE1014" w:rsidRPr="00D157A4">
        <w:t xml:space="preserve">budou však jakékoli zprávy o snížení či dokonce eliminaci některých z výše uvedených rizik poselstvím více než vítaným. </w:t>
      </w:r>
    </w:p>
    <w:p w14:paraId="5BA2AA04" w14:textId="77777777" w:rsidR="00A144A3" w:rsidRDefault="00A144A3" w:rsidP="006478ED"/>
    <w:p w14:paraId="14C88EB8" w14:textId="635C0117" w:rsidR="008D5313" w:rsidRPr="00D157A4" w:rsidRDefault="008D5313" w:rsidP="006478ED">
      <w:r>
        <w:rPr>
          <w:rFonts w:ascii="Times New Roman" w:eastAsiaTheme="minorHAnsi" w:hAnsi="Times New Roman"/>
          <w:noProof/>
          <w:sz w:val="24"/>
          <w:szCs w:val="24"/>
        </w:rPr>
        <mc:AlternateContent>
          <mc:Choice Requires="wps">
            <w:drawing>
              <wp:anchor distT="45720" distB="45720" distL="114300" distR="114300" simplePos="0" relativeHeight="251699200" behindDoc="0" locked="0" layoutInCell="1" allowOverlap="1" wp14:anchorId="586A35A0" wp14:editId="3EE4EE8D">
                <wp:simplePos x="0" y="0"/>
                <wp:positionH relativeFrom="margin">
                  <wp:posOffset>0</wp:posOffset>
                </wp:positionH>
                <wp:positionV relativeFrom="paragraph">
                  <wp:posOffset>175260</wp:posOffset>
                </wp:positionV>
                <wp:extent cx="6477000" cy="1066800"/>
                <wp:effectExtent l="0" t="0" r="19050" b="19050"/>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66800"/>
                        </a:xfrm>
                        <a:prstGeom prst="rect">
                          <a:avLst/>
                        </a:prstGeom>
                        <a:solidFill>
                          <a:srgbClr val="FFFFFF"/>
                        </a:solidFill>
                        <a:ln w="9525">
                          <a:solidFill>
                            <a:srgbClr val="000000"/>
                          </a:solidFill>
                          <a:miter lim="800000"/>
                          <a:headEnd/>
                          <a:tailEnd/>
                        </a:ln>
                      </wps:spPr>
                      <wps:txbx>
                        <w:txbxContent>
                          <w:p w14:paraId="7D981F9A" w14:textId="77777777" w:rsidR="008D5313" w:rsidRDefault="008D5313" w:rsidP="008D5313">
                            <w:pPr>
                              <w:rPr>
                                <w:color w:val="007E79"/>
                                <w:szCs w:val="18"/>
                              </w:rPr>
                            </w:pPr>
                            <w:r>
                              <w:rPr>
                                <w:color w:val="007E79"/>
                                <w:szCs w:val="18"/>
                              </w:rPr>
                              <w:t>KOMENTÁŘ/CITACE k přímému použití:</w:t>
                            </w:r>
                          </w:p>
                          <w:p w14:paraId="5001470A" w14:textId="77777777" w:rsidR="008D5313" w:rsidRDefault="008D5313" w:rsidP="008D5313">
                            <w:pPr>
                              <w:rPr>
                                <w:b/>
                                <w:color w:val="007E79"/>
                                <w:szCs w:val="18"/>
                              </w:rPr>
                            </w:pPr>
                            <w:r>
                              <w:rPr>
                                <w:b/>
                                <w:color w:val="007E79"/>
                                <w:szCs w:val="18"/>
                              </w:rPr>
                              <w:t>Helena Horská, hlavní ekonomka Raiffeisenbank a.s.</w:t>
                            </w:r>
                          </w:p>
                          <w:p w14:paraId="5C0F1A48" w14:textId="5448A353" w:rsidR="008D5313" w:rsidRDefault="008D5313" w:rsidP="008D5313">
                            <w:pPr>
                              <w:rPr>
                                <w:i/>
                                <w:lang w:eastAsia="en-US"/>
                              </w:rPr>
                            </w:pPr>
                            <w:r>
                              <w:rPr>
                                <w:i/>
                                <w:lang w:eastAsia="en-US"/>
                              </w:rPr>
                              <w:t>„Českou ekonomiku po více než pěti letech nepřetržitého růstu čeká na závěr letošního roku a v příštím roce ochlazení. Zatímco v předchozích letech rostla ekonomika tempem, kter</w:t>
                            </w:r>
                            <w:r w:rsidR="003947A8">
                              <w:rPr>
                                <w:i/>
                                <w:lang w:eastAsia="en-US"/>
                              </w:rPr>
                              <w:t>é</w:t>
                            </w:r>
                            <w:r>
                              <w:rPr>
                                <w:i/>
                                <w:lang w:eastAsia="en-US"/>
                              </w:rPr>
                              <w:t xml:space="preserve"> byl</w:t>
                            </w:r>
                            <w:r w:rsidR="003947A8">
                              <w:rPr>
                                <w:i/>
                                <w:lang w:eastAsia="en-US"/>
                              </w:rPr>
                              <w:t>o</w:t>
                            </w:r>
                            <w:r>
                              <w:rPr>
                                <w:i/>
                                <w:lang w:eastAsia="en-US"/>
                              </w:rPr>
                              <w:t xml:space="preserve"> příliš rychl</w:t>
                            </w:r>
                            <w:r w:rsidR="003947A8">
                              <w:rPr>
                                <w:i/>
                                <w:lang w:eastAsia="en-US"/>
                              </w:rPr>
                              <w:t>é</w:t>
                            </w:r>
                            <w:r>
                              <w:rPr>
                                <w:i/>
                                <w:lang w:eastAsia="en-US"/>
                              </w:rPr>
                              <w:t xml:space="preserve"> a dlouhodobě neudržiteln</w:t>
                            </w:r>
                            <w:r w:rsidR="003947A8">
                              <w:rPr>
                                <w:i/>
                                <w:lang w:eastAsia="en-US"/>
                              </w:rPr>
                              <w:t>é</w:t>
                            </w:r>
                            <w:r>
                              <w:rPr>
                                <w:i/>
                                <w:lang w:eastAsia="en-US"/>
                              </w:rPr>
                              <w:t>, nyní se přirozeně dostáváme do fáze zpomalení. Český trh práce je vysátý, ceny nemovitostí vystoupaly na závratné úrovně. Firmy z důvodu nejistoty ale také přirozeného cyklu začaly omezovat investice. Některé firmy již hlásí úbytek zakázek, jiné jedou stále na plný výkon. Vstupujeme do období tzv. selektivního růstu, napříč ekonomikou, napříč sektory. Plošný růst je již za námi.“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A35A0" id="Textové pole 8" o:spid="_x0000_s1028" type="#_x0000_t202" style="position:absolute;left:0;text-align:left;margin-left:0;margin-top:13.8pt;width:510pt;height:8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pVMQIAAFEEAAAOAAAAZHJzL2Uyb0RvYy54bWysVNtu2zAMfR+wfxD0vtgJcqsRp+jSZRjQ&#10;XYB2HyDLcixMEjVJiZ390b6jPzZKTtN0w16G5UEQTeqQPIfM6rrXihyE8xJMScejnBJhONTS7Er6&#10;9WH7ZkmJD8zUTIERJT0KT6/Xr1+tOluICbSgauEIghhfdLakbQi2yDLPW6GZH4EVBp0NOM0Cmm6X&#10;1Y51iK5VNsnzedaBq60DLrzHr7eDk64TftMIHj43jReBqJJibSGdLp1VPLP1ihU7x2wr+akM9g9V&#10;aCYNJj1D3bLAyN7JP6C05A48NGHEQWfQNJKL1AN2M85/6+a+ZVakXpAcb880+f8Hyz8dvjgi65Ki&#10;UIZplOhB9AEOjz+JBSXIMlLUWV9g5L3F2NC/hR6lTu16ewf8mycGNi0zO3HjHHStYDWWOI4vs4un&#10;A46PIFX3EWrMxfYBElDfOB35Q0YIoqNUx7M8WA/h+HE+XSzyHF0cfeN8Pl+iEXOw4um5dT68F6BJ&#10;vJTUof4Jnh3ufBhCn0JiNg9K1lupVDLcrtooRw4MZ2Wbfif0F2HKkK6kV7PJbGDgrxBYaqx2yPoC&#10;QsuAQ6+kRtbPQayIvL0zNT5gRWBSDXfsTpkTkZG7gcXQV32SbRITRJIrqI/IrINhxnEn8dKC+0FJ&#10;h/NdUv99z5ygRH0wqM7VeDqNC5GM6WwxQcNdeqpLDzMcoUoaKBmum5CWKJZq4AZVbGTi97mSU8k4&#10;t0mh047Fxbi0U9TzP8H6FwAAAP//AwBQSwMEFAAGAAgAAAAhAIM3N4beAAAACAEAAA8AAABkcnMv&#10;ZG93bnJldi54bWxMj8FOwzAQRO9I/IO1SFxQ61AgbUOcCiGB6A1aBFc33iYR9jrYbhr+nu0Jbrua&#10;0cybcjU6KwYMsfOk4HqagUCqvemoUfC+fZosQMSkyWjrCRX8YIRVdX5W6sL4I73hsEmN4BCKhVbQ&#10;ptQXUsa6Rafj1PdIrO19cDrxGxppgj5yuLNylmW5dLojbmh1j48t1l+bg1OwuH0ZPuP65vWjzvd2&#10;ma7mw/N3UOryYny4B5FwTH9mOOEzOlTMtPMHMlFYBTwkKZjNcxAnNeM2EDu+lnc5yKqU/wdUvwAA&#10;AP//AwBQSwECLQAUAAYACAAAACEAtoM4kv4AAADhAQAAEwAAAAAAAAAAAAAAAAAAAAAAW0NvbnRl&#10;bnRfVHlwZXNdLnhtbFBLAQItABQABgAIAAAAIQA4/SH/1gAAAJQBAAALAAAAAAAAAAAAAAAAAC8B&#10;AABfcmVscy8ucmVsc1BLAQItABQABgAIAAAAIQAm1fpVMQIAAFEEAAAOAAAAAAAAAAAAAAAAAC4C&#10;AABkcnMvZTJvRG9jLnhtbFBLAQItABQABgAIAAAAIQCDNzeG3gAAAAgBAAAPAAAAAAAAAAAAAAAA&#10;AIsEAABkcnMvZG93bnJldi54bWxQSwUGAAAAAAQABADzAAAAlgUAAAAA&#10;">
                <v:textbox>
                  <w:txbxContent>
                    <w:p w14:paraId="7D981F9A" w14:textId="77777777" w:rsidR="008D5313" w:rsidRDefault="008D5313" w:rsidP="008D5313">
                      <w:pPr>
                        <w:rPr>
                          <w:color w:val="007E79"/>
                          <w:szCs w:val="18"/>
                        </w:rPr>
                      </w:pPr>
                      <w:r>
                        <w:rPr>
                          <w:color w:val="007E79"/>
                          <w:szCs w:val="18"/>
                        </w:rPr>
                        <w:t>KOMENTÁŘ/CITACE k přímému použití:</w:t>
                      </w:r>
                    </w:p>
                    <w:p w14:paraId="5001470A" w14:textId="77777777" w:rsidR="008D5313" w:rsidRDefault="008D5313" w:rsidP="008D5313">
                      <w:pPr>
                        <w:rPr>
                          <w:b/>
                          <w:color w:val="007E79"/>
                          <w:szCs w:val="18"/>
                        </w:rPr>
                      </w:pPr>
                      <w:r>
                        <w:rPr>
                          <w:b/>
                          <w:color w:val="007E79"/>
                          <w:szCs w:val="18"/>
                        </w:rPr>
                        <w:t>Helena Horská, hlavní ekonomka Raiffeisenbank a.s.</w:t>
                      </w:r>
                    </w:p>
                    <w:p w14:paraId="5C0F1A48" w14:textId="5448A353" w:rsidR="008D5313" w:rsidRDefault="008D5313" w:rsidP="008D5313">
                      <w:pPr>
                        <w:rPr>
                          <w:i/>
                          <w:lang w:eastAsia="en-US"/>
                        </w:rPr>
                      </w:pPr>
                      <w:r>
                        <w:rPr>
                          <w:i/>
                          <w:lang w:eastAsia="en-US"/>
                        </w:rPr>
                        <w:t>„Českou ekonomiku po více než pěti letech nepřetržitého růstu čeká na závěr letošního roku a v příštím roce ochlazení. Zatímco v předchozích letech rostla ekonomika tempem, kter</w:t>
                      </w:r>
                      <w:r w:rsidR="003947A8">
                        <w:rPr>
                          <w:i/>
                          <w:lang w:eastAsia="en-US"/>
                        </w:rPr>
                        <w:t>é</w:t>
                      </w:r>
                      <w:r>
                        <w:rPr>
                          <w:i/>
                          <w:lang w:eastAsia="en-US"/>
                        </w:rPr>
                        <w:t xml:space="preserve"> byl</w:t>
                      </w:r>
                      <w:r w:rsidR="003947A8">
                        <w:rPr>
                          <w:i/>
                          <w:lang w:eastAsia="en-US"/>
                        </w:rPr>
                        <w:t>o</w:t>
                      </w:r>
                      <w:r>
                        <w:rPr>
                          <w:i/>
                          <w:lang w:eastAsia="en-US"/>
                        </w:rPr>
                        <w:t xml:space="preserve"> příliš rychl</w:t>
                      </w:r>
                      <w:r w:rsidR="003947A8">
                        <w:rPr>
                          <w:i/>
                          <w:lang w:eastAsia="en-US"/>
                        </w:rPr>
                        <w:t>é</w:t>
                      </w:r>
                      <w:r>
                        <w:rPr>
                          <w:i/>
                          <w:lang w:eastAsia="en-US"/>
                        </w:rPr>
                        <w:t xml:space="preserve"> a dlouhodobě neudržiteln</w:t>
                      </w:r>
                      <w:r w:rsidR="003947A8">
                        <w:rPr>
                          <w:i/>
                          <w:lang w:eastAsia="en-US"/>
                        </w:rPr>
                        <w:t>é</w:t>
                      </w:r>
                      <w:r>
                        <w:rPr>
                          <w:i/>
                          <w:lang w:eastAsia="en-US"/>
                        </w:rPr>
                        <w:t>, nyní se přirozeně dostáváme do fáze zpomalení. Český trh práce je vysátý, ceny nemovitostí vystoupaly na závratné úrovně. Firmy z důvodu nejistoty ale také přirozeného cyklu začaly omezovat investice. Některé firmy již hlásí úbytek zakázek, jiné jedou stále na plný výkon. Vstupujeme do období tzv. selektivního růstu, napříč ekonomikou, napříč sektory. Plošný růst je již za námi.“</w:t>
                      </w:r>
                    </w:p>
                  </w:txbxContent>
                </v:textbox>
                <w10:wrap type="square" anchorx="margin"/>
              </v:shape>
            </w:pict>
          </mc:Fallback>
        </mc:AlternateContent>
      </w:r>
    </w:p>
    <w:p w14:paraId="26BD6BB5" w14:textId="0FF2BE08" w:rsidR="00F32F3A" w:rsidRPr="00D157A4" w:rsidRDefault="00F32F3A" w:rsidP="006478ED"/>
    <w:p w14:paraId="7306EF6D" w14:textId="0A61536B" w:rsidR="00F32F3A" w:rsidRPr="00D157A4" w:rsidRDefault="00A2430B" w:rsidP="006478ED">
      <w:pPr>
        <w:rPr>
          <w:b/>
          <w:color w:val="007E79"/>
          <w:sz w:val="20"/>
        </w:rPr>
      </w:pPr>
      <w:r w:rsidRPr="00D157A4">
        <w:rPr>
          <w:b/>
          <w:color w:val="007E79"/>
          <w:sz w:val="20"/>
        </w:rPr>
        <w:lastRenderedPageBreak/>
        <w:t>Výhled h</w:t>
      </w:r>
      <w:r w:rsidR="00F32F3A" w:rsidRPr="00D157A4">
        <w:rPr>
          <w:b/>
          <w:color w:val="007E79"/>
          <w:sz w:val="20"/>
        </w:rPr>
        <w:t>ospodářsk</w:t>
      </w:r>
      <w:r w:rsidRPr="00D157A4">
        <w:rPr>
          <w:b/>
          <w:color w:val="007E79"/>
          <w:sz w:val="20"/>
        </w:rPr>
        <w:t>ého</w:t>
      </w:r>
      <w:r w:rsidR="00F32F3A" w:rsidRPr="00D157A4">
        <w:rPr>
          <w:b/>
          <w:color w:val="007E79"/>
          <w:sz w:val="20"/>
        </w:rPr>
        <w:t xml:space="preserve"> růst</w:t>
      </w:r>
      <w:r w:rsidRPr="00D157A4">
        <w:rPr>
          <w:b/>
          <w:color w:val="007E79"/>
          <w:sz w:val="20"/>
        </w:rPr>
        <w:t>u ČR</w:t>
      </w:r>
    </w:p>
    <w:p w14:paraId="20B152A7" w14:textId="7E747D2F" w:rsidR="000E3A69" w:rsidRDefault="00F32F3A" w:rsidP="000E3A69">
      <w:r w:rsidRPr="00D157A4">
        <w:t xml:space="preserve">Pokud jde o tuzemské faktory růstu, </w:t>
      </w:r>
      <w:r w:rsidR="00330682">
        <w:t>odhad je takový</w:t>
      </w:r>
      <w:r w:rsidRPr="00D157A4">
        <w:t xml:space="preserve">, že na </w:t>
      </w:r>
      <w:r w:rsidRPr="001914C2">
        <w:t>předpokládané růstové dynamice se bud</w:t>
      </w:r>
      <w:r w:rsidR="000D1977" w:rsidRPr="001914C2">
        <w:t>e</w:t>
      </w:r>
      <w:r w:rsidRPr="001914C2">
        <w:t xml:space="preserve"> podílet</w:t>
      </w:r>
      <w:r w:rsidR="00BD51B7" w:rsidRPr="001914C2">
        <w:t xml:space="preserve"> p</w:t>
      </w:r>
      <w:r w:rsidR="000D1977" w:rsidRPr="001914C2">
        <w:t>ředevším</w:t>
      </w:r>
      <w:r w:rsidRPr="001914C2">
        <w:t xml:space="preserve"> </w:t>
      </w:r>
      <w:r w:rsidR="00342882">
        <w:t xml:space="preserve">spotřeba </w:t>
      </w:r>
      <w:r w:rsidRPr="001914C2">
        <w:t>soukromá</w:t>
      </w:r>
      <w:r w:rsidR="001914C2" w:rsidRPr="001914C2">
        <w:t xml:space="preserve"> (s předpokládaným tempem růstu 2,7 </w:t>
      </w:r>
      <w:r w:rsidR="007E0D70">
        <w:t xml:space="preserve">% </w:t>
      </w:r>
      <w:r w:rsidR="001914C2" w:rsidRPr="001914C2">
        <w:t xml:space="preserve">letos, resp. 2,3 % </w:t>
      </w:r>
      <w:r w:rsidR="00925C27">
        <w:t>v roce příštím</w:t>
      </w:r>
      <w:r w:rsidR="001914C2" w:rsidRPr="001914C2">
        <w:t>)</w:t>
      </w:r>
      <w:r w:rsidRPr="001914C2">
        <w:t xml:space="preserve">, </w:t>
      </w:r>
      <w:r w:rsidR="00A144A3" w:rsidRPr="001914C2">
        <w:t xml:space="preserve">ale </w:t>
      </w:r>
      <w:r w:rsidR="00342882">
        <w:t>také</w:t>
      </w:r>
      <w:r w:rsidR="00A144A3" w:rsidRPr="001914C2">
        <w:t xml:space="preserve"> </w:t>
      </w:r>
      <w:r w:rsidR="00342882" w:rsidRPr="001914C2">
        <w:t xml:space="preserve">spotřeba </w:t>
      </w:r>
      <w:r w:rsidRPr="001914C2">
        <w:t xml:space="preserve">vládní </w:t>
      </w:r>
      <w:r w:rsidR="001914C2" w:rsidRPr="001914C2">
        <w:t>(</w:t>
      </w:r>
      <w:r w:rsidR="00925C27">
        <w:t>ta</w:t>
      </w:r>
      <w:r w:rsidR="00AA24D9" w:rsidRPr="001914C2">
        <w:t xml:space="preserve"> porost</w:t>
      </w:r>
      <w:r w:rsidR="001914C2" w:rsidRPr="001914C2">
        <w:t>e</w:t>
      </w:r>
      <w:r w:rsidR="00AA24D9" w:rsidRPr="001914C2">
        <w:t xml:space="preserve"> </w:t>
      </w:r>
      <w:proofErr w:type="gramStart"/>
      <w:r w:rsidR="001914C2" w:rsidRPr="001914C2">
        <w:t>3%</w:t>
      </w:r>
      <w:proofErr w:type="gramEnd"/>
      <w:r w:rsidR="001914C2" w:rsidRPr="001914C2">
        <w:t xml:space="preserve"> tempem </w:t>
      </w:r>
      <w:r w:rsidR="00AA24D9" w:rsidRPr="001914C2">
        <w:t xml:space="preserve">v letošním roce, </w:t>
      </w:r>
      <w:r w:rsidR="00405C26" w:rsidRPr="001914C2">
        <w:t xml:space="preserve">a </w:t>
      </w:r>
      <w:r w:rsidR="00520AEA" w:rsidRPr="001914C2">
        <w:t>2</w:t>
      </w:r>
      <w:r w:rsidR="00405C26" w:rsidRPr="001914C2">
        <w:t>%</w:t>
      </w:r>
      <w:r w:rsidR="00105C84" w:rsidRPr="001914C2">
        <w:t xml:space="preserve"> </w:t>
      </w:r>
      <w:r w:rsidR="001914C2" w:rsidRPr="001914C2">
        <w:t>tempem</w:t>
      </w:r>
      <w:r w:rsidR="00405C26" w:rsidRPr="001914C2">
        <w:t xml:space="preserve"> napřesrok</w:t>
      </w:r>
      <w:r w:rsidR="001914C2" w:rsidRPr="001914C2">
        <w:t>)</w:t>
      </w:r>
      <w:r w:rsidR="00A732A1" w:rsidRPr="001914C2">
        <w:t xml:space="preserve">. </w:t>
      </w:r>
      <w:r w:rsidR="00D87B97" w:rsidRPr="001914C2">
        <w:t>Přitom platí, že významnou roli při stimulaci soukromé spotřeby</w:t>
      </w:r>
      <w:r w:rsidR="00405C26" w:rsidRPr="001914C2">
        <w:t xml:space="preserve"> v současnosti</w:t>
      </w:r>
      <w:r w:rsidR="00D87B97" w:rsidRPr="001914C2">
        <w:t xml:space="preserve"> hraje fiskální politika prostřednictvím výrazného zvýšení penzí a růstu mezd ve veřejném sektoru. </w:t>
      </w:r>
      <w:r w:rsidR="00A732A1" w:rsidRPr="001914C2">
        <w:t xml:space="preserve">Na druhou stranu se zdá, že příspěvek </w:t>
      </w:r>
      <w:r w:rsidRPr="001914C2">
        <w:t>temp</w:t>
      </w:r>
      <w:r w:rsidR="00A732A1" w:rsidRPr="001914C2">
        <w:t>a</w:t>
      </w:r>
      <w:r w:rsidRPr="001914C2">
        <w:t xml:space="preserve"> růstu investic</w:t>
      </w:r>
      <w:r w:rsidR="00A732A1" w:rsidRPr="001914C2">
        <w:t xml:space="preserve"> </w:t>
      </w:r>
      <w:r w:rsidR="00D87B97" w:rsidRPr="001914C2">
        <w:t xml:space="preserve">– i přes současné dvouciferné tempo růstu veřejných investic – </w:t>
      </w:r>
      <w:r w:rsidR="00A732A1" w:rsidRPr="001914C2">
        <w:t>slábne</w:t>
      </w:r>
      <w:r w:rsidR="00BD51B7" w:rsidRPr="001914C2">
        <w:t>, a to především z titulu</w:t>
      </w:r>
      <w:r w:rsidR="00BD51B7" w:rsidRPr="00D157A4">
        <w:t xml:space="preserve"> zpo</w:t>
      </w:r>
      <w:r w:rsidR="00E10472" w:rsidRPr="00D157A4">
        <w:t>ma</w:t>
      </w:r>
      <w:r w:rsidR="00BD51B7" w:rsidRPr="00D157A4">
        <w:t>lení investic firem</w:t>
      </w:r>
      <w:r w:rsidR="00405C26" w:rsidRPr="00D157A4">
        <w:t xml:space="preserve"> </w:t>
      </w:r>
      <w:r w:rsidR="00405C26" w:rsidRPr="00A144A3">
        <w:t>(</w:t>
      </w:r>
      <w:r w:rsidR="008D5313" w:rsidRPr="00A144A3">
        <w:t xml:space="preserve">odhad prognostického panelu je </w:t>
      </w:r>
      <w:r w:rsidR="00405C26" w:rsidRPr="00A144A3">
        <w:t>1,</w:t>
      </w:r>
      <w:r w:rsidR="00263F96" w:rsidRPr="00A144A3">
        <w:t>5</w:t>
      </w:r>
      <w:r w:rsidR="00405C26" w:rsidRPr="00A144A3">
        <w:t xml:space="preserve"> </w:t>
      </w:r>
      <w:r w:rsidR="00925C27">
        <w:t xml:space="preserve">% letos, </w:t>
      </w:r>
      <w:r w:rsidR="00405C26" w:rsidRPr="00A144A3">
        <w:t>resp. 2</w:t>
      </w:r>
      <w:r w:rsidR="00520AEA" w:rsidRPr="00A144A3">
        <w:t xml:space="preserve"> </w:t>
      </w:r>
      <w:r w:rsidR="00405C26" w:rsidRPr="00A144A3">
        <w:t>% temp</w:t>
      </w:r>
      <w:r w:rsidR="00342882">
        <w:t>a</w:t>
      </w:r>
      <w:r w:rsidR="004E6615" w:rsidRPr="00A144A3">
        <w:t xml:space="preserve"> růstu investic</w:t>
      </w:r>
      <w:r w:rsidR="00405C26" w:rsidRPr="00A144A3">
        <w:t xml:space="preserve"> </w:t>
      </w:r>
      <w:r w:rsidR="00925C27">
        <w:t>napřesrok</w:t>
      </w:r>
      <w:r w:rsidR="00BD51B7" w:rsidRPr="00A144A3">
        <w:t xml:space="preserve"> poté, co </w:t>
      </w:r>
      <w:r w:rsidR="00925C27" w:rsidRPr="00A144A3">
        <w:t xml:space="preserve">v roce 2018 </w:t>
      </w:r>
      <w:r w:rsidR="00BD51B7" w:rsidRPr="00A144A3">
        <w:t>rostly přes 7 %</w:t>
      </w:r>
      <w:r w:rsidR="00405C26" w:rsidRPr="00A144A3">
        <w:t>)</w:t>
      </w:r>
      <w:r w:rsidR="008722D9" w:rsidRPr="00A144A3">
        <w:t>,</w:t>
      </w:r>
      <w:r w:rsidR="008722D9" w:rsidRPr="00D157A4">
        <w:t xml:space="preserve"> stejně jako tomu </w:t>
      </w:r>
      <w:r w:rsidR="00D87B97" w:rsidRPr="00D157A4">
        <w:t xml:space="preserve">je </w:t>
      </w:r>
      <w:r w:rsidR="008722D9" w:rsidRPr="00D157A4">
        <w:t xml:space="preserve">u </w:t>
      </w:r>
      <w:r w:rsidR="00D87B97" w:rsidRPr="00D157A4">
        <w:t xml:space="preserve">snižujícího se příspěvku </w:t>
      </w:r>
      <w:r w:rsidR="008722D9" w:rsidRPr="00D157A4">
        <w:t>vývozu</w:t>
      </w:r>
      <w:r w:rsidR="00D87B97" w:rsidRPr="00D157A4">
        <w:t xml:space="preserve"> k hospodářskému růstu ČR</w:t>
      </w:r>
      <w:r w:rsidRPr="00D157A4">
        <w:t xml:space="preserve">. </w:t>
      </w:r>
      <w:r w:rsidR="00AA24D9" w:rsidRPr="00D157A4">
        <w:t>Podniky pociťují problémy německé „lokomotivy“ a</w:t>
      </w:r>
      <w:r w:rsidR="00BD51B7" w:rsidRPr="00D157A4">
        <w:t xml:space="preserve"> zpomalování zpracovatelského průmyslu</w:t>
      </w:r>
      <w:r w:rsidR="00C31BC2">
        <w:t>,</w:t>
      </w:r>
      <w:r w:rsidR="00BD51B7" w:rsidRPr="00D157A4">
        <w:t xml:space="preserve"> </w:t>
      </w:r>
      <w:r w:rsidR="00C31BC2">
        <w:t xml:space="preserve">a proto </w:t>
      </w:r>
      <w:r w:rsidR="00BD51B7" w:rsidRPr="00D157A4">
        <w:t>obecně</w:t>
      </w:r>
      <w:r w:rsidR="00AA24D9" w:rsidRPr="00D157A4">
        <w:t xml:space="preserve"> s novými investicemi váhají.</w:t>
      </w:r>
      <w:r w:rsidR="00BD51B7" w:rsidRPr="00D157A4">
        <w:t xml:space="preserve"> K nejistotě přispívá bezesporu také nejistota kolem brexitu či obchodních válek.</w:t>
      </w:r>
      <w:r w:rsidR="00AA24D9" w:rsidRPr="00D157A4">
        <w:t xml:space="preserve"> Fiskální stimul ale má své meze a zejména prostor pro veřejné investice se bude se zvyšujícími se mandatorními výdaji odpovídajícím způsobem snižovat.</w:t>
      </w:r>
    </w:p>
    <w:p w14:paraId="23613DA7" w14:textId="1978B26E" w:rsidR="00B3003D" w:rsidRPr="00D157A4" w:rsidRDefault="00B3003D" w:rsidP="000E3A69">
      <w:r>
        <w:rPr>
          <w:noProof/>
        </w:rPr>
        <mc:AlternateContent>
          <mc:Choice Requires="wps">
            <w:drawing>
              <wp:anchor distT="45720" distB="45720" distL="114300" distR="114300" simplePos="0" relativeHeight="251693056" behindDoc="0" locked="0" layoutInCell="1" allowOverlap="1" wp14:anchorId="4661DBC2" wp14:editId="33388B5A">
                <wp:simplePos x="0" y="0"/>
                <wp:positionH relativeFrom="margin">
                  <wp:posOffset>0</wp:posOffset>
                </wp:positionH>
                <wp:positionV relativeFrom="paragraph">
                  <wp:posOffset>179070</wp:posOffset>
                </wp:positionV>
                <wp:extent cx="6477000" cy="819150"/>
                <wp:effectExtent l="0" t="0" r="19050" b="1905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19150"/>
                        </a:xfrm>
                        <a:prstGeom prst="rect">
                          <a:avLst/>
                        </a:prstGeom>
                        <a:solidFill>
                          <a:srgbClr val="FFFFFF"/>
                        </a:solidFill>
                        <a:ln w="9525">
                          <a:solidFill>
                            <a:srgbClr val="000000"/>
                          </a:solidFill>
                          <a:miter lim="800000"/>
                          <a:headEnd/>
                          <a:tailEnd/>
                        </a:ln>
                      </wps:spPr>
                      <wps:txbx>
                        <w:txbxContent>
                          <w:p w14:paraId="5A12714A" w14:textId="77777777" w:rsidR="00B3003D" w:rsidRPr="006E0634" w:rsidRDefault="00B3003D" w:rsidP="00B3003D">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1090FC00" w14:textId="77777777" w:rsidR="00B3003D" w:rsidRPr="006E0634" w:rsidRDefault="00B3003D" w:rsidP="00B3003D">
                            <w:pPr>
                              <w:rPr>
                                <w:b/>
                                <w:color w:val="007E79"/>
                                <w:szCs w:val="18"/>
                              </w:rPr>
                            </w:pPr>
                            <w:r>
                              <w:rPr>
                                <w:b/>
                                <w:color w:val="007E79"/>
                                <w:szCs w:val="18"/>
                              </w:rPr>
                              <w:t>Jakub Seidler</w:t>
                            </w:r>
                            <w:r w:rsidRPr="006E0634">
                              <w:rPr>
                                <w:b/>
                                <w:color w:val="007E79"/>
                                <w:szCs w:val="18"/>
                              </w:rPr>
                              <w:t xml:space="preserve">, </w:t>
                            </w:r>
                            <w:r>
                              <w:rPr>
                                <w:b/>
                                <w:color w:val="007E79"/>
                                <w:szCs w:val="18"/>
                              </w:rPr>
                              <w:t>hlavní ekonom ING Bank pro ČR</w:t>
                            </w:r>
                          </w:p>
                          <w:p w14:paraId="252056DB" w14:textId="1050FCB2" w:rsidR="00B3003D" w:rsidRPr="00577677" w:rsidRDefault="00B3003D" w:rsidP="00B3003D">
                            <w:pPr>
                              <w:rPr>
                                <w:rFonts w:ascii="Calibri" w:hAnsi="Calibri"/>
                                <w:i/>
                                <w:sz w:val="22"/>
                                <w:lang w:eastAsia="zh-TW"/>
                              </w:rPr>
                            </w:pPr>
                            <w:r w:rsidRPr="00577677">
                              <w:rPr>
                                <w:i/>
                                <w:lang w:eastAsia="en-US"/>
                              </w:rPr>
                              <w:t>„</w:t>
                            </w:r>
                            <w:r w:rsidRPr="00577677">
                              <w:rPr>
                                <w:i/>
                              </w:rPr>
                              <w:t xml:space="preserve">Letošní růst tuzemské ekonomiky je v kontextu vývoje v zahraničí příznivý, jelikož je tažen převážně domácí poptávkou a službami, zatímco zpracovatelský sektor vesměs stagnuje. Rizikem je jeho další zpomalování, zejména z titulu současného oslabování německé ekonomiky a tamního zpracovatelského průmyslu.“ </w:t>
                            </w:r>
                          </w:p>
                          <w:p w14:paraId="64B0D4A4" w14:textId="77777777" w:rsidR="00B3003D" w:rsidRPr="00B3003D" w:rsidRDefault="00B3003D" w:rsidP="00B3003D">
                            <w:pPr>
                              <w:rPr>
                                <w:i/>
                                <w:lang w:eastAsia="en-US"/>
                              </w:rPr>
                            </w:pPr>
                          </w:p>
                          <w:p w14:paraId="6EDA838C" w14:textId="77777777" w:rsidR="00B3003D" w:rsidRDefault="00B3003D" w:rsidP="00B3003D">
                            <w:pPr>
                              <w:rPr>
                                <w:i/>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1DBC2" id="Textové pole 1" o:spid="_x0000_s1029" type="#_x0000_t202" style="position:absolute;left:0;text-align:left;margin-left:0;margin-top:14.1pt;width:510pt;height:64.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hHMwIAAFAEAAAOAAAAZHJzL2Uyb0RvYy54bWysVF2O0zAQfkfiDpbfadLS7m6jpqulSxHS&#10;8iPtcgDHcRoL22Nst0m50Z6DizF22hIBT4g+WJ7MzOdvvpnp6rbXihyE8xJMSaeTnBJhONTS7Er6&#10;5Wn76oYSH5ipmQIjSnoUnt6uX75YdbYQM2hB1cIRBDG+6GxJ2xBskWWet0IzPwErDDobcJoFNN0u&#10;qx3rEF2rbJbnV1kHrrYOuPAev94PTrpO+E0jePjUNF4EokqK3EI6XTqreGbrFSt2jtlW8hMN9g8s&#10;NJMGH71A3bPAyN7JP6C05A48NGHCQWfQNJKLVANWM81/q+axZVakWlAcby8y+f8Hyz8ePjsia+wd&#10;JYZpbNGT6AMcfjwTC0qQaZSos77AyEeLsaF/A30Mj+V6+wD8qycGNi0zO3HnHHStYDVSTJnZKHXA&#10;8RGk6j5AjW+xfYAE1DdOR0BUhCA6tup4aQ/yIRw/Xs2vr/McXRx9N9PldJH6l7HinG2dD+8EaBIv&#10;JXXY/oTODg8+YB0Yeg5J7EHJeiuVSobbVRvlyIHhqGzTL5aOKX4cpgzpSrpczBaDAGOfH0Mg00j2&#10;LxBaBpx5JTVWcQliRZTtrakxgRWBSTXc8X1lkEbUMUo3iBj6qk9de31uTwX1EYV1MIw4riReWnDf&#10;KelwvEvqv+2ZE5So9wabs5zO53EfkjFfXM/QcGNPNfYwwxGqpIGS4boJaYciVQN32MRGJn0jy4HJ&#10;iTKObdLwtGJxL8Z2ivr1R7D+CQAA//8DAFBLAwQUAAYACAAAACEA/t8/4t0AAAAIAQAADwAAAGRy&#10;cy9kb3ducmV2LnhtbEyPwU7DMBBE70j8g7VIXBB1CNCGEKdCSCC4QVvB1Y23SYS9Drabhr9ne4Lb&#10;rmY086ZaTs6KEUPsPSm4mmUgkBpvemoVbNZPlwWImDQZbT2hgh+MsKxPTypdGn+gdxxXqRUcQrHU&#10;CrqUhlLK2HTodJz5AYm1nQ9OJ35DK03QBw53VuZZNpdO98QNnR7wscPma7V3Coqbl/Ezvl6/fTTz&#10;nb1LF4vx+TsodX42PdyDSDilPzMc8Rkdamba+j2ZKKwCHpIU5EUO4qhm3AZiy9ftIgdZV/L/gPoX&#10;AAD//wMAUEsBAi0AFAAGAAgAAAAhALaDOJL+AAAA4QEAABMAAAAAAAAAAAAAAAAAAAAAAFtDb250&#10;ZW50X1R5cGVzXS54bWxQSwECLQAUAAYACAAAACEAOP0h/9YAAACUAQAACwAAAAAAAAAAAAAAAAAv&#10;AQAAX3JlbHMvLnJlbHNQSwECLQAUAAYACAAAACEArg5YRzMCAABQBAAADgAAAAAAAAAAAAAAAAAu&#10;AgAAZHJzL2Uyb0RvYy54bWxQSwECLQAUAAYACAAAACEA/t8/4t0AAAAIAQAADwAAAAAAAAAAAAAA&#10;AACNBAAAZHJzL2Rvd25yZXYueG1sUEsFBgAAAAAEAAQA8wAAAJcFAAAAAA==&#10;">
                <v:textbox>
                  <w:txbxContent>
                    <w:p w14:paraId="5A12714A" w14:textId="77777777" w:rsidR="00B3003D" w:rsidRPr="006E0634" w:rsidRDefault="00B3003D" w:rsidP="00B3003D">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1090FC00" w14:textId="77777777" w:rsidR="00B3003D" w:rsidRPr="006E0634" w:rsidRDefault="00B3003D" w:rsidP="00B3003D">
                      <w:pPr>
                        <w:rPr>
                          <w:b/>
                          <w:color w:val="007E79"/>
                          <w:szCs w:val="18"/>
                        </w:rPr>
                      </w:pPr>
                      <w:r>
                        <w:rPr>
                          <w:b/>
                          <w:color w:val="007E79"/>
                          <w:szCs w:val="18"/>
                        </w:rPr>
                        <w:t>Jakub Seidler</w:t>
                      </w:r>
                      <w:r w:rsidRPr="006E0634">
                        <w:rPr>
                          <w:b/>
                          <w:color w:val="007E79"/>
                          <w:szCs w:val="18"/>
                        </w:rPr>
                        <w:t xml:space="preserve">, </w:t>
                      </w:r>
                      <w:r>
                        <w:rPr>
                          <w:b/>
                          <w:color w:val="007E79"/>
                          <w:szCs w:val="18"/>
                        </w:rPr>
                        <w:t>hlavní ekonom ING Bank pro ČR</w:t>
                      </w:r>
                    </w:p>
                    <w:p w14:paraId="252056DB" w14:textId="1050FCB2" w:rsidR="00B3003D" w:rsidRPr="00577677" w:rsidRDefault="00B3003D" w:rsidP="00B3003D">
                      <w:pPr>
                        <w:rPr>
                          <w:rFonts w:ascii="Calibri" w:hAnsi="Calibri"/>
                          <w:i/>
                          <w:sz w:val="22"/>
                          <w:lang w:eastAsia="zh-TW"/>
                        </w:rPr>
                      </w:pPr>
                      <w:r w:rsidRPr="00577677">
                        <w:rPr>
                          <w:i/>
                          <w:lang w:eastAsia="en-US"/>
                        </w:rPr>
                        <w:t>„</w:t>
                      </w:r>
                      <w:r w:rsidRPr="00577677">
                        <w:rPr>
                          <w:i/>
                        </w:rPr>
                        <w:t xml:space="preserve">Letošní růst tuzemské ekonomiky je v kontextu vývoje v zahraničí příznivý, jelikož je tažen převážně domácí poptávkou a službami, zatímco zpracovatelský sektor vesměs stagnuje. Rizikem je jeho další zpomalování, zejména z titulu současného oslabování německé ekonomiky a tamního zpracovatelského průmyslu.“ </w:t>
                      </w:r>
                    </w:p>
                    <w:p w14:paraId="64B0D4A4" w14:textId="77777777" w:rsidR="00B3003D" w:rsidRPr="00B3003D" w:rsidRDefault="00B3003D" w:rsidP="00B3003D">
                      <w:pPr>
                        <w:rPr>
                          <w:i/>
                          <w:lang w:eastAsia="en-US"/>
                        </w:rPr>
                      </w:pPr>
                    </w:p>
                    <w:p w14:paraId="6EDA838C" w14:textId="77777777" w:rsidR="00B3003D" w:rsidRDefault="00B3003D" w:rsidP="00B3003D">
                      <w:pPr>
                        <w:rPr>
                          <w:i/>
                          <w:lang w:eastAsia="en-US"/>
                        </w:rPr>
                      </w:pPr>
                    </w:p>
                  </w:txbxContent>
                </v:textbox>
                <w10:wrap type="square" anchorx="margin"/>
              </v:shape>
            </w:pict>
          </mc:Fallback>
        </mc:AlternateContent>
      </w:r>
    </w:p>
    <w:p w14:paraId="3DBC33BD" w14:textId="041952E1" w:rsidR="006478ED" w:rsidRPr="00D157A4" w:rsidRDefault="006478ED" w:rsidP="006478ED"/>
    <w:p w14:paraId="6861CF79" w14:textId="4F79F1C7" w:rsidR="002D12BD" w:rsidRPr="00D157A4" w:rsidRDefault="000E3A69" w:rsidP="006478ED">
      <w:pPr>
        <w:rPr>
          <w:b/>
          <w:color w:val="007E79"/>
          <w:sz w:val="20"/>
        </w:rPr>
      </w:pPr>
      <w:r w:rsidRPr="00D157A4">
        <w:rPr>
          <w:b/>
          <w:color w:val="007E79"/>
          <w:sz w:val="20"/>
        </w:rPr>
        <w:t xml:space="preserve">Napjatá situace </w:t>
      </w:r>
      <w:r w:rsidR="002D12BD" w:rsidRPr="00D157A4">
        <w:rPr>
          <w:b/>
          <w:color w:val="007E79"/>
          <w:sz w:val="20"/>
        </w:rPr>
        <w:t>na trhu práce</w:t>
      </w:r>
      <w:r w:rsidRPr="00D157A4">
        <w:rPr>
          <w:b/>
          <w:color w:val="007E79"/>
          <w:sz w:val="20"/>
        </w:rPr>
        <w:t xml:space="preserve"> přetrvává</w:t>
      </w:r>
    </w:p>
    <w:p w14:paraId="6B8B5F18" w14:textId="785A8382" w:rsidR="00CA6B72" w:rsidRDefault="00CA6B72" w:rsidP="000E3A69">
      <w:pPr>
        <w:rPr>
          <w:noProof/>
        </w:rPr>
      </w:pPr>
      <w:r w:rsidRPr="00D157A4">
        <w:rPr>
          <w:noProof/>
        </w:rPr>
        <w:t>Na to, že česká nezaměstnanost je ve srovnání s ostatními zeměmi Evropské unie</w:t>
      </w:r>
      <w:r w:rsidR="002D12BD" w:rsidRPr="00D157A4">
        <w:rPr>
          <w:noProof/>
        </w:rPr>
        <w:t xml:space="preserve"> </w:t>
      </w:r>
      <w:r w:rsidRPr="00D157A4">
        <w:rPr>
          <w:noProof/>
        </w:rPr>
        <w:t xml:space="preserve">nejnižší, jsme si </w:t>
      </w:r>
      <w:r w:rsidR="00C31BC2">
        <w:rPr>
          <w:noProof/>
        </w:rPr>
        <w:t>již</w:t>
      </w:r>
      <w:r w:rsidRPr="00D157A4">
        <w:rPr>
          <w:noProof/>
        </w:rPr>
        <w:t xml:space="preserve"> zvykli. Její absolutní úroveň ale zdá se už dosáhla dna, od kterého začne postupně stoupat. Výše a rychlost jejího nárůstu přitom bude přímo úměrná míře </w:t>
      </w:r>
      <w:r w:rsidR="00C31BC2">
        <w:rPr>
          <w:noProof/>
        </w:rPr>
        <w:t>naplnění</w:t>
      </w:r>
      <w:r w:rsidR="00C31BC2" w:rsidRPr="00D157A4">
        <w:rPr>
          <w:noProof/>
        </w:rPr>
        <w:t xml:space="preserve"> </w:t>
      </w:r>
      <w:r w:rsidRPr="00D157A4">
        <w:rPr>
          <w:noProof/>
        </w:rPr>
        <w:t>externích rizik a nepřímo úměrná jejich dopadu na růst. Pro tento a příští rok</w:t>
      </w:r>
      <w:r w:rsidR="00405C26" w:rsidRPr="00D157A4">
        <w:rPr>
          <w:noProof/>
        </w:rPr>
        <w:t xml:space="preserve"> odhadujeme míru nezaměstnanosti na 2,8 resp. 3,1 %. </w:t>
      </w:r>
      <w:r w:rsidR="00C7383D" w:rsidRPr="00D157A4">
        <w:rPr>
          <w:noProof/>
        </w:rPr>
        <w:t xml:space="preserve">Současný převis počtu volných pracovních míst nad počtem uchazečů (v srpnu 2019 firmy nabízely rekordních 350,6 tis. volných míst) se postupně začne – i když nepříliš vysokým tempem – snižovat. </w:t>
      </w:r>
      <w:r w:rsidRPr="00D157A4">
        <w:rPr>
          <w:noProof/>
        </w:rPr>
        <w:t>Stále přitom</w:t>
      </w:r>
      <w:r w:rsidR="00C7383D" w:rsidRPr="00D157A4">
        <w:rPr>
          <w:noProof/>
        </w:rPr>
        <w:t xml:space="preserve"> ale</w:t>
      </w:r>
      <w:r w:rsidRPr="00D157A4">
        <w:rPr>
          <w:noProof/>
        </w:rPr>
        <w:t xml:space="preserve"> platí</w:t>
      </w:r>
      <w:r w:rsidR="00C7383D" w:rsidRPr="00D157A4">
        <w:rPr>
          <w:noProof/>
        </w:rPr>
        <w:t xml:space="preserve">, že </w:t>
      </w:r>
      <w:r w:rsidRPr="00D157A4">
        <w:rPr>
          <w:noProof/>
        </w:rPr>
        <w:t xml:space="preserve">po značnou část predikovaného období budou firmy narážet na strukturální nesoulad mezi nabídkou a </w:t>
      </w:r>
      <w:r w:rsidR="00C7383D" w:rsidRPr="00D157A4">
        <w:rPr>
          <w:noProof/>
        </w:rPr>
        <w:t xml:space="preserve">poptávkou po konkrétních profesích. </w:t>
      </w:r>
    </w:p>
    <w:p w14:paraId="43F5BD58" w14:textId="77777777" w:rsidR="001914C2" w:rsidRDefault="008D5313" w:rsidP="006C6CFF">
      <w:pPr>
        <w:rPr>
          <w:b/>
          <w:color w:val="007E79"/>
          <w:sz w:val="20"/>
        </w:rPr>
      </w:pPr>
      <w:r>
        <w:rPr>
          <w:noProof/>
        </w:rPr>
        <mc:AlternateContent>
          <mc:Choice Requires="wps">
            <w:drawing>
              <wp:anchor distT="45720" distB="45720" distL="114300" distR="114300" simplePos="0" relativeHeight="251701248" behindDoc="0" locked="0" layoutInCell="1" allowOverlap="1" wp14:anchorId="33584A38" wp14:editId="5D24079B">
                <wp:simplePos x="0" y="0"/>
                <wp:positionH relativeFrom="margin">
                  <wp:posOffset>0</wp:posOffset>
                </wp:positionH>
                <wp:positionV relativeFrom="paragraph">
                  <wp:posOffset>174625</wp:posOffset>
                </wp:positionV>
                <wp:extent cx="6477000" cy="1036320"/>
                <wp:effectExtent l="0" t="0" r="19050" b="11430"/>
                <wp:wrapSquare wrapText="bothSides"/>
                <wp:docPr id="4"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36320"/>
                        </a:xfrm>
                        <a:prstGeom prst="rect">
                          <a:avLst/>
                        </a:prstGeom>
                        <a:solidFill>
                          <a:srgbClr val="FFFFFF"/>
                        </a:solidFill>
                        <a:ln w="9525">
                          <a:solidFill>
                            <a:srgbClr val="000000"/>
                          </a:solidFill>
                          <a:miter lim="800000"/>
                          <a:headEnd/>
                          <a:tailEnd/>
                        </a:ln>
                      </wps:spPr>
                      <wps:txbx>
                        <w:txbxContent>
                          <w:p w14:paraId="4A93E44D" w14:textId="77777777" w:rsidR="008D5313" w:rsidRPr="006E0634" w:rsidRDefault="008D5313" w:rsidP="008D5313">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26AA3710" w14:textId="77777777" w:rsidR="008D5313" w:rsidRPr="006E0634" w:rsidRDefault="008D5313" w:rsidP="008D5313">
                            <w:pPr>
                              <w:rPr>
                                <w:b/>
                                <w:color w:val="007E79"/>
                                <w:szCs w:val="18"/>
                              </w:rPr>
                            </w:pPr>
                            <w:r>
                              <w:rPr>
                                <w:b/>
                                <w:color w:val="007E79"/>
                                <w:szCs w:val="18"/>
                              </w:rPr>
                              <w:t>Helena Horská</w:t>
                            </w:r>
                            <w:r w:rsidRPr="006E0634">
                              <w:rPr>
                                <w:b/>
                                <w:color w:val="007E79"/>
                                <w:szCs w:val="18"/>
                              </w:rPr>
                              <w:t xml:space="preserve">, </w:t>
                            </w:r>
                            <w:r>
                              <w:rPr>
                                <w:b/>
                                <w:color w:val="007E79"/>
                                <w:szCs w:val="18"/>
                              </w:rPr>
                              <w:t>hlavní ekonomka Raiffeisenbank a.s.</w:t>
                            </w:r>
                          </w:p>
                          <w:p w14:paraId="6B0F3986" w14:textId="3EF32A84" w:rsidR="008D5313" w:rsidRPr="00577677" w:rsidRDefault="008D5313" w:rsidP="008D5313">
                            <w:pPr>
                              <w:rPr>
                                <w:rFonts w:ascii="Calibri" w:hAnsi="Calibri"/>
                                <w:i/>
                                <w:sz w:val="22"/>
                                <w:lang w:eastAsia="zh-TW"/>
                              </w:rPr>
                            </w:pPr>
                            <w:r w:rsidRPr="00577677">
                              <w:rPr>
                                <w:i/>
                                <w:lang w:eastAsia="en-US"/>
                              </w:rPr>
                              <w:t>„</w:t>
                            </w:r>
                            <w:r>
                              <w:rPr>
                                <w:i/>
                              </w:rPr>
                              <w:t>Vlivem ochlazení růstu české ekonomiky se situace na českém trhu práce začne pozvolna měnit.  Míra nezaměstnanosti se neudrží na historických minimech a začne pozvolna stoupat. Mzdy, které v každém hospodářském cyklu reagují s velkým zpožděním, dál porostou solidním tempem, který překoná 20letý průměr. Soukromý sektor bude i nadále čelit významnému růstu mzdových nákladů především z titulu vyšší minimální mzdy a potažmo zaručených mezd. Ziskovost firem bude dál klesat na nová historická minima</w:t>
                            </w:r>
                            <w:r w:rsidRPr="00577677">
                              <w:rPr>
                                <w:i/>
                              </w:rPr>
                              <w:t xml:space="preserve">.“ </w:t>
                            </w:r>
                          </w:p>
                          <w:p w14:paraId="421ECC48" w14:textId="77777777" w:rsidR="008D5313" w:rsidRPr="00B3003D" w:rsidRDefault="008D5313" w:rsidP="008D5313">
                            <w:pPr>
                              <w:rPr>
                                <w:i/>
                                <w:lang w:eastAsia="en-US"/>
                              </w:rPr>
                            </w:pPr>
                          </w:p>
                          <w:p w14:paraId="328FB0B6" w14:textId="77777777" w:rsidR="008D5313" w:rsidRDefault="008D5313" w:rsidP="008D5313">
                            <w:pPr>
                              <w:rPr>
                                <w:i/>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84A38" id="_x0000_s1030" type="#_x0000_t202" style="position:absolute;left:0;text-align:left;margin-left:0;margin-top:13.75pt;width:510pt;height:81.6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tnMwIAAFEEAAAOAAAAZHJzL2Uyb0RvYy54bWysVEtu2zAQ3RfoHQjua8mOP4lgOUiduiiQ&#10;foCkB6AoyiJKcliStuTeKOfoxTqkHMf9bYpqQZCcmcc3b2a0vO61InvhvART0vEop0QYDrU025J+&#10;fti8uqTEB2ZqpsCIkh6Ep9erly+WnS3EBFpQtXAEQYwvOlvSNgRbZJnnrdDMj8AKg8YGnGYBj26b&#10;1Y51iK5VNsnzedaBq60DLrzH29vBSFcJv2kEDx+bxotAVEmRW0irS2sV12y1ZMXWMdtKfqTB/oGF&#10;ZtLgoyeoWxYY2Tn5G5SW3IGHJow46AyaRnKRcsBsxvkv2dy3zIqUC4rj7Ukm//9g+Yf9J0dkXdIp&#10;JYZpLNGD6APsvz8SC0qQcZSos75Az3uLvqF/DT2WOqXr7R3wL54YWLfMbMWNc9C1gtVIMUVmZ6ED&#10;jo8gVfceanyL7QIkoL5xOuqHihBEx1IdTuVBPoTj5Xy6WOQ5mjjaxvnF/GKSCpix4incOh/eCtAk&#10;bkrqsP4Jnu3vfMBE0PXJJb7mQcl6I5VKB7et1sqRPcNe2aQv5o4hP7kpQ7qSXs0ms0GBv0Ig1cj2&#10;DxBaBmx6JXVJL09OrIi6vTE1BrAiMKmGPb6vDNKIQkbtBhVDX/XHsqF/tFVQH1BZB0OP40zipgX3&#10;jZIO+7uk/uuOOUGJemewOlfj6TQORDpMZwuUkrhzS3VuYYYjVEkDJcN2HdIQRaoGbrCKjUz6PjM5&#10;Usa+TRoeZywOxvk5eT3/CVY/AAAA//8DAFBLAwQUAAYACAAAACEAo2e3N94AAAAIAQAADwAAAGRy&#10;cy9kb3ducmV2LnhtbEyPwU7DMBBE70j8g7VIXFDrUKBpQ5wKIYHoDVoEVzfeJhH2OthuGv6e7Qlu&#10;u5rRzJtyNTorBgyx86TgepqBQKq96ahR8L59mixAxKTJaOsJFfxghFV1flbqwvgjveGwSY3gEIqF&#10;VtCm1BdSxrpFp+PU90is7X1wOvEbGmmCPnK4s3KWZXPpdEfc0OoeH1usvzYHp2Bx+zJ8xvXN60c9&#10;39tlusqH5++g1OXF+HAPIuGY/sxwwmd0qJhp5w9korAKeEhSMMvvQJzUjNtA7PhaZjnIqpT/B1S/&#10;AAAA//8DAFBLAQItABQABgAIAAAAIQC2gziS/gAAAOEBAAATAAAAAAAAAAAAAAAAAAAAAABbQ29u&#10;dGVudF9UeXBlc10ueG1sUEsBAi0AFAAGAAgAAAAhADj9If/WAAAAlAEAAAsAAAAAAAAAAAAAAAAA&#10;LwEAAF9yZWxzLy5yZWxzUEsBAi0AFAAGAAgAAAAhAJBlu2czAgAAUQQAAA4AAAAAAAAAAAAAAAAA&#10;LgIAAGRycy9lMm9Eb2MueG1sUEsBAi0AFAAGAAgAAAAhAKNntzfeAAAACAEAAA8AAAAAAAAAAAAA&#10;AAAAjQQAAGRycy9kb3ducmV2LnhtbFBLBQYAAAAABAAEAPMAAACYBQAAAAA=&#10;">
                <v:textbox>
                  <w:txbxContent>
                    <w:p w14:paraId="4A93E44D" w14:textId="77777777" w:rsidR="008D5313" w:rsidRPr="006E0634" w:rsidRDefault="008D5313" w:rsidP="008D5313">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26AA3710" w14:textId="77777777" w:rsidR="008D5313" w:rsidRPr="006E0634" w:rsidRDefault="008D5313" w:rsidP="008D5313">
                      <w:pPr>
                        <w:rPr>
                          <w:b/>
                          <w:color w:val="007E79"/>
                          <w:szCs w:val="18"/>
                        </w:rPr>
                      </w:pPr>
                      <w:r>
                        <w:rPr>
                          <w:b/>
                          <w:color w:val="007E79"/>
                          <w:szCs w:val="18"/>
                        </w:rPr>
                        <w:t>Helena Horská</w:t>
                      </w:r>
                      <w:r w:rsidRPr="006E0634">
                        <w:rPr>
                          <w:b/>
                          <w:color w:val="007E79"/>
                          <w:szCs w:val="18"/>
                        </w:rPr>
                        <w:t xml:space="preserve">, </w:t>
                      </w:r>
                      <w:r>
                        <w:rPr>
                          <w:b/>
                          <w:color w:val="007E79"/>
                          <w:szCs w:val="18"/>
                        </w:rPr>
                        <w:t>hlavní ekonomka Raiffeisenbank a.s.</w:t>
                      </w:r>
                    </w:p>
                    <w:p w14:paraId="6B0F3986" w14:textId="3EF32A84" w:rsidR="008D5313" w:rsidRPr="00577677" w:rsidRDefault="008D5313" w:rsidP="008D5313">
                      <w:pPr>
                        <w:rPr>
                          <w:rFonts w:ascii="Calibri" w:hAnsi="Calibri"/>
                          <w:i/>
                          <w:sz w:val="22"/>
                          <w:lang w:eastAsia="zh-TW"/>
                        </w:rPr>
                      </w:pPr>
                      <w:r w:rsidRPr="00577677">
                        <w:rPr>
                          <w:i/>
                          <w:lang w:eastAsia="en-US"/>
                        </w:rPr>
                        <w:t>„</w:t>
                      </w:r>
                      <w:r>
                        <w:rPr>
                          <w:i/>
                        </w:rPr>
                        <w:t>Vlivem ochlazení růstu české ekonomiky se situace na českém trhu práce začne pozvolna měnit.  Míra nezaměstnanosti se neudrží na historických minimech a začne pozvolna stoupat. Mzdy, které v každém hospodářském cyklu reagují s velkým zpožděním, dál porostou solidním tempem, který překoná 20letý průměr. Soukromý sektor bude i nadále čelit významnému růstu mzdových nákladů především z titulu vyšší minimální mzdy a potažmo zaručených mezd. Ziskovost firem bude dál klesat na nová historická minima</w:t>
                      </w:r>
                      <w:r w:rsidRPr="00577677">
                        <w:rPr>
                          <w:i/>
                        </w:rPr>
                        <w:t xml:space="preserve">.“ </w:t>
                      </w:r>
                    </w:p>
                    <w:p w14:paraId="421ECC48" w14:textId="77777777" w:rsidR="008D5313" w:rsidRPr="00B3003D" w:rsidRDefault="008D5313" w:rsidP="008D5313">
                      <w:pPr>
                        <w:rPr>
                          <w:i/>
                          <w:lang w:eastAsia="en-US"/>
                        </w:rPr>
                      </w:pPr>
                    </w:p>
                    <w:p w14:paraId="328FB0B6" w14:textId="77777777" w:rsidR="008D5313" w:rsidRDefault="008D5313" w:rsidP="008D5313">
                      <w:pPr>
                        <w:rPr>
                          <w:i/>
                          <w:lang w:eastAsia="en-US"/>
                        </w:rPr>
                      </w:pPr>
                    </w:p>
                  </w:txbxContent>
                </v:textbox>
                <w10:wrap type="square" anchorx="margin"/>
              </v:shape>
            </w:pict>
          </mc:Fallback>
        </mc:AlternateContent>
      </w:r>
    </w:p>
    <w:p w14:paraId="17B9ABDD" w14:textId="6F16422D" w:rsidR="006C6CFF" w:rsidRPr="00D157A4" w:rsidRDefault="002D12BD" w:rsidP="006C6CFF">
      <w:pPr>
        <w:rPr>
          <w:b/>
        </w:rPr>
      </w:pPr>
      <w:r w:rsidRPr="00D157A4">
        <w:rPr>
          <w:b/>
          <w:color w:val="007E79"/>
          <w:sz w:val="20"/>
        </w:rPr>
        <w:t>Veřejné finance</w:t>
      </w:r>
      <w:r w:rsidR="00125474" w:rsidRPr="00D157A4">
        <w:rPr>
          <w:b/>
          <w:color w:val="007E79"/>
          <w:sz w:val="20"/>
        </w:rPr>
        <w:t xml:space="preserve"> </w:t>
      </w:r>
      <w:r w:rsidR="000E3A69" w:rsidRPr="00D157A4">
        <w:rPr>
          <w:b/>
          <w:color w:val="007E79"/>
          <w:sz w:val="20"/>
        </w:rPr>
        <w:t>na hraně</w:t>
      </w:r>
    </w:p>
    <w:p w14:paraId="400DC954" w14:textId="08716FE9" w:rsidR="004C389E" w:rsidRPr="00D157A4" w:rsidRDefault="004C389E" w:rsidP="000E3A69">
      <w:r w:rsidRPr="001914C2">
        <w:t xml:space="preserve">Stále se rozšiřující seznam i výše mandatorních výdajů státního rozpočtu – navíc v zásadě uprostřed volebního </w:t>
      </w:r>
      <w:r w:rsidR="00263F96" w:rsidRPr="001914C2">
        <w:t>cyklu</w:t>
      </w:r>
      <w:r w:rsidRPr="001914C2">
        <w:t xml:space="preserve"> – nezavdáv</w:t>
      </w:r>
      <w:r w:rsidR="009430BD">
        <w:t>á</w:t>
      </w:r>
      <w:r w:rsidRPr="001914C2">
        <w:t xml:space="preserve"> mnoho důvodů pro optimismus ohledně vývoje veřejných financí ve středním období. </w:t>
      </w:r>
      <w:r w:rsidR="00320A31" w:rsidRPr="001914C2">
        <w:t>Přid</w:t>
      </w:r>
      <w:r w:rsidR="009430BD">
        <w:t>ají-li se</w:t>
      </w:r>
      <w:r w:rsidR="00320A31" w:rsidRPr="001914C2">
        <w:t xml:space="preserve"> k tomu stále neřešené strukturální problémy penzijního systému či financování zdravotní péče v ekonomice, jejíž základní demografickou charakteristikou je stárnutí populace, </w:t>
      </w:r>
      <w:r w:rsidR="00320A31" w:rsidRPr="003947A8">
        <w:t xml:space="preserve">o to </w:t>
      </w:r>
      <w:r w:rsidR="009430BD" w:rsidRPr="003947A8">
        <w:t xml:space="preserve">větší riziko neudržitelného vývoje hospodaření státu může nastat </w:t>
      </w:r>
      <w:r w:rsidR="00320A31" w:rsidRPr="003947A8">
        <w:t>v dlouhém období.</w:t>
      </w:r>
      <w:r w:rsidR="00320A31" w:rsidRPr="00D157A4">
        <w:t xml:space="preserve"> </w:t>
      </w:r>
    </w:p>
    <w:p w14:paraId="0A1BD5D9" w14:textId="68E790EA" w:rsidR="00C7383D" w:rsidRPr="00D157A4" w:rsidRDefault="00C7383D" w:rsidP="000E3A69"/>
    <w:p w14:paraId="16AF4BDC" w14:textId="1EB4B20C" w:rsidR="00C7383D" w:rsidRPr="00D157A4" w:rsidRDefault="00C7383D" w:rsidP="000E3A69">
      <w:r w:rsidRPr="00D157A4">
        <w:t xml:space="preserve">Současnou i predikovanou úrovní veřejného dluhu kolem 30 % patříme v EU mezi premianty, rychlost jeho snižování však byla dána především příznivou hospodářskou situací, nikoli vědomým úsilím o jeho snižování, ke kterému se konjunktura mohla a měla využít. </w:t>
      </w:r>
      <w:r w:rsidR="0066436B" w:rsidRPr="00D157A4">
        <w:t xml:space="preserve">Navíc už několik let </w:t>
      </w:r>
      <w:r w:rsidR="005D42A6" w:rsidRPr="00D157A4">
        <w:t xml:space="preserve">má </w:t>
      </w:r>
      <w:r w:rsidR="0066436B" w:rsidRPr="00D157A4">
        <w:t xml:space="preserve">státní rozpočet tendenci ke schodkovému hospodaření, které vyrovnávají či dokonce do mírného přebytku překlápějí rozpočty místní. </w:t>
      </w:r>
      <w:r w:rsidR="00614E76">
        <w:t>I</w:t>
      </w:r>
      <w:r w:rsidR="0066436B" w:rsidRPr="00D157A4">
        <w:t xml:space="preserve"> co se </w:t>
      </w:r>
      <w:r w:rsidR="00614E76" w:rsidRPr="00D157A4">
        <w:t>tý</w:t>
      </w:r>
      <w:r w:rsidR="00614E76">
        <w:t>če</w:t>
      </w:r>
      <w:r w:rsidR="00614E76" w:rsidRPr="00D157A4">
        <w:t xml:space="preserve"> </w:t>
      </w:r>
      <w:r w:rsidR="0066436B" w:rsidRPr="00D157A4">
        <w:t>salda hospodaření veřejných financí jako celku</w:t>
      </w:r>
      <w:r w:rsidR="00614E76">
        <w:t>, tak se zdá, že</w:t>
      </w:r>
      <w:r w:rsidR="0066436B" w:rsidRPr="00D157A4">
        <w:t xml:space="preserve"> už v nejbližších l</w:t>
      </w:r>
      <w:r w:rsidR="00F976F5">
        <w:t>e</w:t>
      </w:r>
      <w:r w:rsidR="0066436B" w:rsidRPr="00D157A4">
        <w:t>tech bude</w:t>
      </w:r>
      <w:r w:rsidR="007725F7">
        <w:t xml:space="preserve"> třeba</w:t>
      </w:r>
      <w:r w:rsidR="0066436B" w:rsidRPr="00D157A4">
        <w:t xml:space="preserve"> </w:t>
      </w:r>
      <w:r w:rsidR="007725F7">
        <w:t xml:space="preserve">přivyknout </w:t>
      </w:r>
      <w:r w:rsidR="0066436B" w:rsidRPr="00D157A4">
        <w:t>častějšímu výskytu znaménka minus</w:t>
      </w:r>
      <w:r w:rsidR="00263F96" w:rsidRPr="00D157A4">
        <w:t xml:space="preserve"> (po letošním v zásadě vyrovnaném hospodaření </w:t>
      </w:r>
      <w:r w:rsidR="007725F7" w:rsidRPr="00D157A4">
        <w:t>očekává</w:t>
      </w:r>
      <w:r w:rsidR="007725F7">
        <w:rPr>
          <w:rStyle w:val="Odkaznakoment"/>
        </w:rPr>
        <w:t xml:space="preserve"> </w:t>
      </w:r>
      <w:r w:rsidR="007725F7">
        <w:t xml:space="preserve">prognostický panel asociace </w:t>
      </w:r>
      <w:r w:rsidR="00614E76" w:rsidRPr="00D157A4">
        <w:t xml:space="preserve">v příštím roce </w:t>
      </w:r>
      <w:r w:rsidR="00263F96" w:rsidRPr="00D157A4">
        <w:t>mírný deficit ve výši -0,</w:t>
      </w:r>
      <w:r w:rsidR="00520AEA" w:rsidRPr="00D157A4">
        <w:t>3</w:t>
      </w:r>
      <w:r w:rsidR="00263F96" w:rsidRPr="00D157A4">
        <w:t xml:space="preserve"> % HDP)</w:t>
      </w:r>
      <w:r w:rsidR="0066436B" w:rsidRPr="00D157A4">
        <w:t>.</w:t>
      </w:r>
    </w:p>
    <w:p w14:paraId="2783A900" w14:textId="77777777" w:rsidR="004C389E" w:rsidRPr="00D157A4" w:rsidRDefault="004C389E" w:rsidP="000E3A69"/>
    <w:p w14:paraId="55C3D391" w14:textId="060C3121" w:rsidR="006C6CFF" w:rsidRPr="00D157A4" w:rsidRDefault="002D12BD" w:rsidP="006C6CFF">
      <w:pPr>
        <w:rPr>
          <w:b/>
          <w:color w:val="007E79"/>
          <w:sz w:val="20"/>
        </w:rPr>
      </w:pPr>
      <w:r w:rsidRPr="00D157A4">
        <w:rPr>
          <w:b/>
          <w:color w:val="007E79"/>
          <w:sz w:val="20"/>
        </w:rPr>
        <w:t>Měnová politika, inflace a měnový kurz</w:t>
      </w:r>
      <w:r w:rsidR="00125474" w:rsidRPr="00D157A4">
        <w:rPr>
          <w:b/>
          <w:color w:val="007E79"/>
          <w:sz w:val="20"/>
        </w:rPr>
        <w:t xml:space="preserve"> </w:t>
      </w:r>
    </w:p>
    <w:p w14:paraId="7519CF4C" w14:textId="4B38F07B" w:rsidR="00405C26" w:rsidRDefault="002D12BD" w:rsidP="000E3A69">
      <w:r w:rsidRPr="00D157A4">
        <w:t>V</w:t>
      </w:r>
      <w:r w:rsidR="00320A31" w:rsidRPr="00D157A4">
        <w:t xml:space="preserve"> průběhu letošního roku zatím i přes opatrně optimistická očekávání centrální banky inflace setrvává v blízkosti horního okraje tolerančního pásma, měnový kurz osciluje v poměrně úzkém koridoru 25,40 </w:t>
      </w:r>
      <w:r w:rsidR="00614E76">
        <w:t>až</w:t>
      </w:r>
      <w:r w:rsidR="00614E76" w:rsidRPr="00D157A4">
        <w:t xml:space="preserve"> </w:t>
      </w:r>
      <w:r w:rsidR="00320A31" w:rsidRPr="00D157A4">
        <w:t xml:space="preserve">25,90 CZK/EUR bez výraznější tendence k posilování či oslabování. Ačkoli výše uvedené by </w:t>
      </w:r>
      <w:r w:rsidR="00A732A1" w:rsidRPr="00D157A4">
        <w:t>za jiných okolností představovalo poměrně přesvědčivé argumenty pro další zvyšování měnově politických úrokových sazeb, došlo k němu letos v souladu s</w:t>
      </w:r>
      <w:r w:rsidR="00F976F5">
        <w:t> </w:t>
      </w:r>
      <w:r w:rsidR="00A732A1" w:rsidRPr="00D157A4">
        <w:t>očekáváním</w:t>
      </w:r>
      <w:r w:rsidR="00F976F5">
        <w:t xml:space="preserve"> prognostického panelu ČBA</w:t>
      </w:r>
      <w:r w:rsidR="00A732A1" w:rsidRPr="00D157A4">
        <w:t xml:space="preserve"> pouze jedinkrát a od května Bankovní rada ČNB s ohledem na přetrvávající vnější rizika k dalšímu </w:t>
      </w:r>
      <w:r w:rsidR="005D42A6" w:rsidRPr="00D157A4">
        <w:t xml:space="preserve">zvyšování </w:t>
      </w:r>
      <w:r w:rsidR="00A732A1" w:rsidRPr="00D157A4">
        <w:t>nepřistoupila. Podle vyjádření některých jejích členů jsou navíc rizika vychýlena oběma směry.</w:t>
      </w:r>
    </w:p>
    <w:p w14:paraId="3D5C495E" w14:textId="43C60DD6" w:rsidR="009430BD" w:rsidRDefault="009430BD" w:rsidP="000E3A69"/>
    <w:p w14:paraId="36F017B1" w14:textId="2E590D48" w:rsidR="009430BD" w:rsidRDefault="009430BD" w:rsidP="000E3A69"/>
    <w:p w14:paraId="5E8FF511" w14:textId="452D5C1E" w:rsidR="009430BD" w:rsidRDefault="009430BD" w:rsidP="000E3A69"/>
    <w:p w14:paraId="77A7D9D5" w14:textId="1A08D45E" w:rsidR="009430BD" w:rsidRDefault="009430BD" w:rsidP="000E3A69">
      <w:r>
        <w:rPr>
          <w:noProof/>
        </w:rPr>
        <w:lastRenderedPageBreak/>
        <mc:AlternateContent>
          <mc:Choice Requires="wps">
            <w:drawing>
              <wp:anchor distT="45720" distB="45720" distL="114300" distR="114300" simplePos="0" relativeHeight="251695104" behindDoc="0" locked="0" layoutInCell="1" allowOverlap="1" wp14:anchorId="36E3EFCA" wp14:editId="043D7069">
                <wp:simplePos x="0" y="0"/>
                <wp:positionH relativeFrom="margin">
                  <wp:posOffset>-6985</wp:posOffset>
                </wp:positionH>
                <wp:positionV relativeFrom="paragraph">
                  <wp:posOffset>116205</wp:posOffset>
                </wp:positionV>
                <wp:extent cx="6477000" cy="781050"/>
                <wp:effectExtent l="0" t="0" r="19050" b="1905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81050"/>
                        </a:xfrm>
                        <a:prstGeom prst="rect">
                          <a:avLst/>
                        </a:prstGeom>
                        <a:solidFill>
                          <a:srgbClr val="FFFFFF"/>
                        </a:solidFill>
                        <a:ln w="9525">
                          <a:solidFill>
                            <a:srgbClr val="000000"/>
                          </a:solidFill>
                          <a:miter lim="800000"/>
                          <a:headEnd/>
                          <a:tailEnd/>
                        </a:ln>
                      </wps:spPr>
                      <wps:txbx>
                        <w:txbxContent>
                          <w:p w14:paraId="364B1B63" w14:textId="77777777" w:rsidR="00577677" w:rsidRPr="006E0634" w:rsidRDefault="00577677" w:rsidP="00577677">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7A66859E" w14:textId="77777777" w:rsidR="00577677" w:rsidRPr="006E0634" w:rsidRDefault="00577677" w:rsidP="00577677">
                            <w:pPr>
                              <w:rPr>
                                <w:b/>
                                <w:color w:val="007E79"/>
                                <w:szCs w:val="18"/>
                              </w:rPr>
                            </w:pPr>
                            <w:r>
                              <w:rPr>
                                <w:b/>
                                <w:color w:val="007E79"/>
                                <w:szCs w:val="18"/>
                              </w:rPr>
                              <w:t>Jakub Seidler</w:t>
                            </w:r>
                            <w:r w:rsidRPr="006E0634">
                              <w:rPr>
                                <w:b/>
                                <w:color w:val="007E79"/>
                                <w:szCs w:val="18"/>
                              </w:rPr>
                              <w:t xml:space="preserve">, </w:t>
                            </w:r>
                            <w:r>
                              <w:rPr>
                                <w:b/>
                                <w:color w:val="007E79"/>
                                <w:szCs w:val="18"/>
                              </w:rPr>
                              <w:t>hlavní ekonom ING Bank pro ČR</w:t>
                            </w:r>
                          </w:p>
                          <w:p w14:paraId="4A210ABD" w14:textId="3275F3D2" w:rsidR="00577677" w:rsidRPr="00577677" w:rsidRDefault="00577677" w:rsidP="00577677">
                            <w:pPr>
                              <w:rPr>
                                <w:rFonts w:ascii="Calibri" w:hAnsi="Calibri"/>
                                <w:i/>
                                <w:sz w:val="22"/>
                                <w:lang w:eastAsia="zh-TW"/>
                              </w:rPr>
                            </w:pPr>
                            <w:r w:rsidRPr="00577677">
                              <w:rPr>
                                <w:i/>
                                <w:lang w:eastAsia="en-US"/>
                              </w:rPr>
                              <w:t>„</w:t>
                            </w:r>
                            <w:r w:rsidRPr="00577677">
                              <w:rPr>
                                <w:i/>
                              </w:rPr>
                              <w:t xml:space="preserve">Růst cen letos překvapil a celková inflace tak bude nejvyšší od roku 2012. Za růstem cen stály do velké míry služby, ale přidaly se také ceny spojené s bydlením včetně cen energií a tepla. Centrální banka však s dalším zvyšováním sazeb vyčkává, a to především z titulu nejistého vývoje v zahraničí.“ </w:t>
                            </w:r>
                          </w:p>
                          <w:p w14:paraId="70A5D6BD" w14:textId="77777777" w:rsidR="00577677" w:rsidRPr="00B3003D" w:rsidRDefault="00577677" w:rsidP="00577677">
                            <w:pPr>
                              <w:rPr>
                                <w:i/>
                                <w:lang w:eastAsia="en-US"/>
                              </w:rPr>
                            </w:pPr>
                          </w:p>
                          <w:p w14:paraId="252C07F3" w14:textId="77777777" w:rsidR="00577677" w:rsidRDefault="00577677" w:rsidP="00577677">
                            <w:pPr>
                              <w:rPr>
                                <w:i/>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3EFCA" id="_x0000_s1031" type="#_x0000_t202" style="position:absolute;left:0;text-align:left;margin-left:-.55pt;margin-top:9.15pt;width:510pt;height:6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wfMwIAAFAEAAAOAAAAZHJzL2Uyb0RvYy54bWysVNuO0zAQfUfiHyy/06RVu92Nmq6WLkVI&#10;y0Xa5QOmjtNYOB5ju03KH/Ed/Bhjpy1lES+IPliezPj4zDnjLm77VrO9dF6hKfl4lHMmjcBKmW3J&#10;Pz+tX11z5gOYCjQaWfKD9Px2+fLForOFnGCDupKOEYjxRWdL3oRgiyzzopEt+BFaaShZo2shUOi2&#10;WeWgI/RWZ5M8v8o6dJV1KKT39PV+SPJlwq9rKcLHuvYyMF1y4hbS6tK6iWu2XECxdWAbJY404B9Y&#10;tKAMXXqGuocAbOfUH1CtEg491mEksM2wrpWQqQfqZpw/6+axAStTLySOt2eZ/P+DFR/2nxxTVckn&#10;nBloyaIn2Qfc//jOLGrJJlGizvqCKh8t1Yb+NfZkdWrX2wcUXzwzuGrAbOWdc9g1EiqiOI4ns4uj&#10;A46PIJvuPVZ0F+wCJqC+dm3UjxRhhE5WHc72EB8m6OPVdD7Pc0oJys2vx/ks+ZdBcTptnQ9vJbYs&#10;bkruyP6EDvsHHyIbKE4l8TKPWlVrpXUK3Haz0o7tgUZlnX6pgWdl2rCu5DezyWwQ4K8QxDSSHW79&#10;7aZWBZp5rdqSX5+LoIiyvTEVHYAigNLDnihrc9QxSjeIGPpNn1ybnezZYHUgYR0OI05PkjYNum+c&#10;dTTeJfdfd+AkZ/qdIXNuxtNpfA8pmM7mEwrcZWZzmQEjCKrkgbNhuwrpDUWqBu/IxFolfaPbA5Mj&#10;ZRrbJPvxicV3cRmnql9/BMufAAAA//8DAFBLAwQUAAYACAAAACEAZY16NOAAAAAKAQAADwAAAGRy&#10;cy9kb3ducmV2LnhtbEyPzU7DMBCE70i8g7VIXFDrmFQlDXEqhASCGxTUXt14m0T4J9huGt6e7Qlu&#10;uzuj2W+q9WQNGzHE3jsJYp4BQ9d43btWwufH06wAFpNyWhnvUMIPRljXlxeVKrU/uXccN6llFOJi&#10;qSR0KQ0l57Hp0Ko49wM60g4+WJVoDS3XQZ0o3Bp+m2VLblXv6EOnBnzssPnaHK2EYvEy7uJr/rZt&#10;lgezSjd34/N3kPL6anq4B5ZwSn9mOOMTOtTEtPdHpyMzEmZCkJPuRQ7srGeiWAHb07QQOfC64v8r&#10;1L8AAAD//wMAUEsBAi0AFAAGAAgAAAAhALaDOJL+AAAA4QEAABMAAAAAAAAAAAAAAAAAAAAAAFtD&#10;b250ZW50X1R5cGVzXS54bWxQSwECLQAUAAYACAAAACEAOP0h/9YAAACUAQAACwAAAAAAAAAAAAAA&#10;AAAvAQAAX3JlbHMvLnJlbHNQSwECLQAUAAYACAAAACEAb748HzMCAABQBAAADgAAAAAAAAAAAAAA&#10;AAAuAgAAZHJzL2Uyb0RvYy54bWxQSwECLQAUAAYACAAAACEAZY16NOAAAAAKAQAADwAAAAAAAAAA&#10;AAAAAACNBAAAZHJzL2Rvd25yZXYueG1sUEsFBgAAAAAEAAQA8wAAAJoFAAAAAA==&#10;">
                <v:textbox>
                  <w:txbxContent>
                    <w:p w14:paraId="364B1B63" w14:textId="77777777" w:rsidR="00577677" w:rsidRPr="006E0634" w:rsidRDefault="00577677" w:rsidP="00577677">
                      <w:pPr>
                        <w:rPr>
                          <w:color w:val="007E79"/>
                          <w:szCs w:val="18"/>
                        </w:rPr>
                      </w:pPr>
                      <w:r w:rsidRPr="006E0634">
                        <w:rPr>
                          <w:color w:val="007E79"/>
                          <w:szCs w:val="18"/>
                        </w:rPr>
                        <w:t>KOMENTÁŘ</w:t>
                      </w:r>
                      <w:r>
                        <w:rPr>
                          <w:color w:val="007E79"/>
                          <w:szCs w:val="18"/>
                        </w:rPr>
                        <w:t>/CITACE k přímému použití</w:t>
                      </w:r>
                      <w:r w:rsidRPr="006E0634">
                        <w:rPr>
                          <w:color w:val="007E79"/>
                          <w:szCs w:val="18"/>
                        </w:rPr>
                        <w:t>:</w:t>
                      </w:r>
                    </w:p>
                    <w:p w14:paraId="7A66859E" w14:textId="77777777" w:rsidR="00577677" w:rsidRPr="006E0634" w:rsidRDefault="00577677" w:rsidP="00577677">
                      <w:pPr>
                        <w:rPr>
                          <w:b/>
                          <w:color w:val="007E79"/>
                          <w:szCs w:val="18"/>
                        </w:rPr>
                      </w:pPr>
                      <w:r>
                        <w:rPr>
                          <w:b/>
                          <w:color w:val="007E79"/>
                          <w:szCs w:val="18"/>
                        </w:rPr>
                        <w:t>Jakub Seidler</w:t>
                      </w:r>
                      <w:r w:rsidRPr="006E0634">
                        <w:rPr>
                          <w:b/>
                          <w:color w:val="007E79"/>
                          <w:szCs w:val="18"/>
                        </w:rPr>
                        <w:t xml:space="preserve">, </w:t>
                      </w:r>
                      <w:r>
                        <w:rPr>
                          <w:b/>
                          <w:color w:val="007E79"/>
                          <w:szCs w:val="18"/>
                        </w:rPr>
                        <w:t>hlavní ekonom ING Bank pro ČR</w:t>
                      </w:r>
                    </w:p>
                    <w:p w14:paraId="4A210ABD" w14:textId="3275F3D2" w:rsidR="00577677" w:rsidRPr="00577677" w:rsidRDefault="00577677" w:rsidP="00577677">
                      <w:pPr>
                        <w:rPr>
                          <w:rFonts w:ascii="Calibri" w:hAnsi="Calibri"/>
                          <w:i/>
                          <w:sz w:val="22"/>
                          <w:lang w:eastAsia="zh-TW"/>
                        </w:rPr>
                      </w:pPr>
                      <w:r w:rsidRPr="00577677">
                        <w:rPr>
                          <w:i/>
                          <w:lang w:eastAsia="en-US"/>
                        </w:rPr>
                        <w:t>„</w:t>
                      </w:r>
                      <w:r w:rsidRPr="00577677">
                        <w:rPr>
                          <w:i/>
                        </w:rPr>
                        <w:t xml:space="preserve">Růst cen letos překvapil a celková inflace tak bude nejvyšší od roku 2012. Za růstem cen stály do velké míry služby, ale přidaly se také ceny spojené s bydlením včetně cen energií a tepla. Centrální banka však s dalším zvyšováním sazeb vyčkává, a to především z titulu nejistého vývoje v zahraničí.“ </w:t>
                      </w:r>
                    </w:p>
                    <w:p w14:paraId="70A5D6BD" w14:textId="77777777" w:rsidR="00577677" w:rsidRPr="00B3003D" w:rsidRDefault="00577677" w:rsidP="00577677">
                      <w:pPr>
                        <w:rPr>
                          <w:i/>
                          <w:lang w:eastAsia="en-US"/>
                        </w:rPr>
                      </w:pPr>
                    </w:p>
                    <w:p w14:paraId="252C07F3" w14:textId="77777777" w:rsidR="00577677" w:rsidRDefault="00577677" w:rsidP="00577677">
                      <w:pPr>
                        <w:rPr>
                          <w:i/>
                          <w:lang w:eastAsia="en-US"/>
                        </w:rPr>
                      </w:pPr>
                    </w:p>
                  </w:txbxContent>
                </v:textbox>
                <w10:wrap type="square" anchorx="margin"/>
              </v:shape>
            </w:pict>
          </mc:Fallback>
        </mc:AlternateContent>
      </w:r>
    </w:p>
    <w:p w14:paraId="0545DA59" w14:textId="40441F1E" w:rsidR="006C6CFF" w:rsidRDefault="00405C26" w:rsidP="000E3A69">
      <w:r w:rsidRPr="00D157A4">
        <w:t xml:space="preserve">Konsensuální očekávání hlavních ekonomů bank se shoduje na postupném snižování míry spotřebitelské inflace </w:t>
      </w:r>
      <w:r w:rsidR="00D97A26" w:rsidRPr="00D157A4">
        <w:t xml:space="preserve">k cíli ČNB z cca </w:t>
      </w:r>
      <w:r w:rsidRPr="00D157A4">
        <w:t xml:space="preserve">2,7 % letos </w:t>
      </w:r>
      <w:r w:rsidR="00D97A26" w:rsidRPr="00D157A4">
        <w:t>n</w:t>
      </w:r>
      <w:r w:rsidRPr="00D157A4">
        <w:t>a 2,</w:t>
      </w:r>
      <w:r w:rsidR="00D20916" w:rsidRPr="00D157A4">
        <w:t>3</w:t>
      </w:r>
      <w:r w:rsidRPr="00D157A4">
        <w:t xml:space="preserve"> % napřesrok</w:t>
      </w:r>
      <w:r w:rsidR="009430BD">
        <w:t xml:space="preserve"> </w:t>
      </w:r>
      <w:r w:rsidR="009430BD" w:rsidRPr="009430BD">
        <w:t>a</w:t>
      </w:r>
      <w:r w:rsidR="00D97A26" w:rsidRPr="009430BD">
        <w:t xml:space="preserve"> ohledně měnového kurzu na jeho stabilitě v zásadě na současných hodnotách</w:t>
      </w:r>
      <w:r w:rsidR="00D97A26" w:rsidRPr="00D157A4">
        <w:t xml:space="preserve">. </w:t>
      </w:r>
      <w:r w:rsidR="00B97D6A" w:rsidRPr="00D157A4">
        <w:t>S tímto očekáváním je kompatibilní</w:t>
      </w:r>
      <w:r w:rsidR="002D12BD" w:rsidRPr="00D157A4">
        <w:t xml:space="preserve"> </w:t>
      </w:r>
      <w:r w:rsidR="00B97D6A" w:rsidRPr="00D157A4">
        <w:t xml:space="preserve">stabilita měnově politických sazeb v letošním roce a v zásadě i napřesrok. Samozřejmě i zde platí výhrada k formě brexitu </w:t>
      </w:r>
      <w:r w:rsidR="00DC4924" w:rsidRPr="00D157A4">
        <w:t>a dalším</w:t>
      </w:r>
      <w:r w:rsidR="003947A8">
        <w:t>u</w:t>
      </w:r>
      <w:r w:rsidR="00DC4924" w:rsidRPr="00D157A4">
        <w:t xml:space="preserve"> průběhu protekcionistických opatření. V případě odeznění rizik ve světové</w:t>
      </w:r>
      <w:r w:rsidR="00E10472" w:rsidRPr="00D157A4">
        <w:t xml:space="preserve"> ekonomice</w:t>
      </w:r>
      <w:r w:rsidR="00DC4924" w:rsidRPr="00D157A4">
        <w:t xml:space="preserve"> </w:t>
      </w:r>
      <w:r w:rsidR="00B97D6A" w:rsidRPr="00D157A4">
        <w:t>lze očekávat restart posilování koruny</w:t>
      </w:r>
      <w:r w:rsidR="00DC4924" w:rsidRPr="00D157A4">
        <w:t>. V současné situaci však prognóz</w:t>
      </w:r>
      <w:r w:rsidR="00E10472" w:rsidRPr="00D157A4">
        <w:t>a</w:t>
      </w:r>
      <w:r w:rsidR="00DC4924" w:rsidRPr="00D157A4">
        <w:t xml:space="preserve"> očekává vesměs je</w:t>
      </w:r>
      <w:r w:rsidR="00E10472" w:rsidRPr="00D157A4">
        <w:t>jí</w:t>
      </w:r>
      <w:r w:rsidR="00DC4924" w:rsidRPr="00D157A4">
        <w:t xml:space="preserve"> stabilitu, </w:t>
      </w:r>
      <w:r w:rsidR="009430BD">
        <w:t xml:space="preserve">kterou </w:t>
      </w:r>
      <w:r w:rsidR="006C44C8">
        <w:t>předpokládá</w:t>
      </w:r>
      <w:r w:rsidR="009430BD">
        <w:t xml:space="preserve"> </w:t>
      </w:r>
      <w:r w:rsidR="00DC4924" w:rsidRPr="00D157A4">
        <w:t xml:space="preserve">i v případě úrokových sazeb ČNB. </w:t>
      </w:r>
      <w:r w:rsidR="00555B91" w:rsidRPr="00D157A4">
        <w:t>Naopak v případě naplnění nepříznivých rizik by kurz české koruny čelil tlaku na další oslabení. Výrazn</w:t>
      </w:r>
      <w:bookmarkStart w:id="0" w:name="_GoBack"/>
      <w:bookmarkEnd w:id="0"/>
      <w:r w:rsidR="00555B91" w:rsidRPr="00D157A4">
        <w:t>ě méně příznivé inflační a růstové vyhlídky by za těchto okolností přiměly ČNB začít v příštím roce snižovat základní úrokovou sazbu.</w:t>
      </w:r>
    </w:p>
    <w:p w14:paraId="3FD7D066" w14:textId="77777777" w:rsidR="00F976F5" w:rsidRPr="00D157A4" w:rsidRDefault="00F976F5" w:rsidP="000E3A69"/>
    <w:p w14:paraId="7DAD91CA" w14:textId="421DD3A2" w:rsidR="002D12BD" w:rsidRPr="00D157A4" w:rsidRDefault="002D12BD" w:rsidP="002D12BD"/>
    <w:p w14:paraId="6A2F513C" w14:textId="77777777" w:rsidR="002D12BD" w:rsidRPr="00D157A4" w:rsidRDefault="002D12BD" w:rsidP="006478ED">
      <w:pPr>
        <w:rPr>
          <w:b/>
          <w:color w:val="007E79"/>
          <w:sz w:val="20"/>
        </w:rPr>
      </w:pPr>
      <w:r w:rsidRPr="00D157A4">
        <w:rPr>
          <w:b/>
          <w:color w:val="007E79"/>
          <w:sz w:val="20"/>
        </w:rPr>
        <w:t>Očekávaný vývoj vkladů a úvěrové emise</w:t>
      </w:r>
    </w:p>
    <w:p w14:paraId="701F6E49" w14:textId="3482AAF6" w:rsidR="002D12BD" w:rsidRDefault="002D12BD" w:rsidP="002D12BD">
      <w:r w:rsidRPr="00D157A4">
        <w:t xml:space="preserve">S prognózou je kompatibilní </w:t>
      </w:r>
      <w:r w:rsidR="004D5EDF" w:rsidRPr="00D157A4">
        <w:t xml:space="preserve">relativně solidní růst bankovních vkladů o letošních </w:t>
      </w:r>
      <w:r w:rsidR="0042113A" w:rsidRPr="00D157A4">
        <w:t>9</w:t>
      </w:r>
      <w:r w:rsidR="004D5EDF" w:rsidRPr="00D157A4">
        <w:t xml:space="preserve"> % a 5,</w:t>
      </w:r>
      <w:r w:rsidR="0042113A" w:rsidRPr="00D157A4">
        <w:t>3</w:t>
      </w:r>
      <w:r w:rsidR="004D5EDF" w:rsidRPr="00D157A4">
        <w:t xml:space="preserve"> % napřesrok. Ohledně vývoje bankovních úvěrů očekáváme jejich další růst o 5,</w:t>
      </w:r>
      <w:r w:rsidR="00520AEA" w:rsidRPr="00D157A4">
        <w:t>3</w:t>
      </w:r>
      <w:r w:rsidR="004D5EDF" w:rsidRPr="00D157A4">
        <w:t xml:space="preserve"> % v roce 2019 a o 4</w:t>
      </w:r>
      <w:r w:rsidR="00F976F5">
        <w:t xml:space="preserve"> </w:t>
      </w:r>
      <w:r w:rsidR="004D5EDF" w:rsidRPr="00D157A4">
        <w:t xml:space="preserve">% v roce 2020. Tyto hodnoty se pohybují – stejně jako v předchozí prognóze – na úrovních o cca dva, resp. tři procentní body nižších, než v roce 2018. Příliš se nemění </w:t>
      </w:r>
      <w:r w:rsidR="007725F7">
        <w:t xml:space="preserve">ani </w:t>
      </w:r>
      <w:r w:rsidR="004D5EDF" w:rsidRPr="00D157A4">
        <w:t>minulý odhad meziročního zpomalení míry růstu úvěrů domácnostem, zapříčiněný především kombinací nižší dostupnosti hypoték a vhodných nemovitostí. Úvěrová emise vůči nefinančním podnikům podle našeho odhadu v roce 2020 dále zpomalí.</w:t>
      </w:r>
    </w:p>
    <w:p w14:paraId="13E56774" w14:textId="77777777" w:rsidR="00F976F5" w:rsidRPr="00DD7BAE" w:rsidRDefault="00F976F5" w:rsidP="002D12BD"/>
    <w:p w14:paraId="0C81DE72" w14:textId="77777777" w:rsidR="002D12BD" w:rsidRDefault="002D12BD" w:rsidP="00C93158">
      <w:pPr>
        <w:rPr>
          <w:b/>
          <w:color w:val="007E79"/>
          <w:sz w:val="20"/>
        </w:rPr>
      </w:pPr>
    </w:p>
    <w:p w14:paraId="5B66FEF5" w14:textId="1749FD29" w:rsidR="00C93158" w:rsidRDefault="00C93158" w:rsidP="00C93158">
      <w:pPr>
        <w:rPr>
          <w:b/>
          <w:color w:val="007E79"/>
          <w:sz w:val="20"/>
        </w:rPr>
      </w:pPr>
      <w:r w:rsidRPr="00A020B8">
        <w:rPr>
          <w:b/>
          <w:color w:val="007E79"/>
          <w:sz w:val="20"/>
        </w:rPr>
        <w:t>Prognózy růstu reálného</w:t>
      </w:r>
      <w:r w:rsidRPr="00302451">
        <w:rPr>
          <w:b/>
          <w:color w:val="007E79"/>
          <w:sz w:val="20"/>
        </w:rPr>
        <w:t xml:space="preserve"> HDP:</w:t>
      </w:r>
    </w:p>
    <w:p w14:paraId="58D31F43" w14:textId="77777777" w:rsidR="00302451" w:rsidRPr="00302451" w:rsidRDefault="00302451" w:rsidP="00C93158">
      <w:pPr>
        <w:rPr>
          <w:b/>
          <w:color w:val="007E79"/>
          <w:sz w:val="20"/>
        </w:rPr>
      </w:pP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4"/>
        <w:gridCol w:w="1970"/>
        <w:gridCol w:w="1964"/>
      </w:tblGrid>
      <w:tr w:rsidR="00C93158" w:rsidRPr="00791240" w14:paraId="3241496F" w14:textId="77777777" w:rsidTr="0065675B">
        <w:trPr>
          <w:trHeight w:val="257"/>
        </w:trPr>
        <w:tc>
          <w:tcPr>
            <w:tcW w:w="6274" w:type="dxa"/>
            <w:shd w:val="clear" w:color="auto" w:fill="007E79"/>
          </w:tcPr>
          <w:p w14:paraId="194FECE0" w14:textId="77777777" w:rsidR="00C93158" w:rsidRPr="00791240" w:rsidRDefault="00C93158" w:rsidP="0065675B">
            <w:pPr>
              <w:autoSpaceDE/>
              <w:autoSpaceDN/>
              <w:adjustRightInd/>
              <w:spacing w:line="256" w:lineRule="auto"/>
              <w:textAlignment w:val="auto"/>
              <w:rPr>
                <w:rFonts w:cs="Arial"/>
                <w:b/>
                <w:color w:val="FFFFFF"/>
                <w:sz w:val="20"/>
                <w:szCs w:val="18"/>
              </w:rPr>
            </w:pPr>
            <w:r w:rsidRPr="0065675B">
              <w:rPr>
                <w:rFonts w:ascii="Calibri" w:hAnsi="Calibri" w:cs="Calibri"/>
                <w:b/>
                <w:bCs/>
                <w:color w:val="FFFFFF" w:themeColor="light1"/>
                <w:kern w:val="24"/>
                <w:sz w:val="20"/>
              </w:rPr>
              <w:t>Instituce (+ nejaktuálnější prognóza)</w:t>
            </w:r>
          </w:p>
        </w:tc>
        <w:tc>
          <w:tcPr>
            <w:tcW w:w="1970" w:type="dxa"/>
            <w:shd w:val="clear" w:color="auto" w:fill="007E79"/>
          </w:tcPr>
          <w:p w14:paraId="2A3F081F" w14:textId="77777777" w:rsidR="00C93158" w:rsidRPr="00791240" w:rsidRDefault="00C93158" w:rsidP="006133D9">
            <w:pPr>
              <w:rPr>
                <w:rFonts w:cs="Arial"/>
                <w:b/>
                <w:color w:val="FFFFFF"/>
                <w:sz w:val="20"/>
                <w:szCs w:val="18"/>
              </w:rPr>
            </w:pPr>
            <w:r w:rsidRPr="00791240">
              <w:rPr>
                <w:rFonts w:cs="Arial"/>
                <w:b/>
                <w:color w:val="FFFFFF"/>
                <w:sz w:val="20"/>
                <w:szCs w:val="18"/>
              </w:rPr>
              <w:t>2019</w:t>
            </w:r>
          </w:p>
        </w:tc>
        <w:tc>
          <w:tcPr>
            <w:tcW w:w="1964" w:type="dxa"/>
            <w:shd w:val="clear" w:color="auto" w:fill="007E79"/>
          </w:tcPr>
          <w:p w14:paraId="4F275052" w14:textId="77777777" w:rsidR="00C93158" w:rsidRPr="00791240" w:rsidRDefault="00C93158" w:rsidP="006133D9">
            <w:pPr>
              <w:rPr>
                <w:rFonts w:cs="Arial"/>
                <w:b/>
                <w:color w:val="FFFFFF"/>
                <w:sz w:val="20"/>
                <w:szCs w:val="18"/>
              </w:rPr>
            </w:pPr>
            <w:r>
              <w:rPr>
                <w:rFonts w:cs="Arial"/>
                <w:b/>
                <w:color w:val="FFFFFF"/>
                <w:sz w:val="20"/>
                <w:szCs w:val="18"/>
              </w:rPr>
              <w:t>2020</w:t>
            </w:r>
          </w:p>
        </w:tc>
      </w:tr>
      <w:tr w:rsidR="00C93158" w:rsidRPr="00251963" w14:paraId="48CA0C97" w14:textId="77777777" w:rsidTr="00302451">
        <w:trPr>
          <w:trHeight w:val="257"/>
        </w:trPr>
        <w:tc>
          <w:tcPr>
            <w:tcW w:w="6274" w:type="dxa"/>
            <w:shd w:val="clear" w:color="auto" w:fill="auto"/>
          </w:tcPr>
          <w:p w14:paraId="0DAAF388" w14:textId="0DFD5E13" w:rsidR="00C93158" w:rsidRPr="00251963" w:rsidRDefault="00C93158" w:rsidP="006133D9">
            <w:pPr>
              <w:rPr>
                <w:rFonts w:cs="Arial"/>
                <w:sz w:val="20"/>
                <w:szCs w:val="18"/>
              </w:rPr>
            </w:pPr>
            <w:r w:rsidRPr="00251963">
              <w:rPr>
                <w:rFonts w:cs="Arial"/>
                <w:sz w:val="20"/>
                <w:szCs w:val="18"/>
              </w:rPr>
              <w:t xml:space="preserve">ČNB (prognóza </w:t>
            </w:r>
            <w:r w:rsidR="000A086B">
              <w:rPr>
                <w:rFonts w:cs="Arial"/>
                <w:sz w:val="20"/>
                <w:szCs w:val="18"/>
              </w:rPr>
              <w:t>srpen</w:t>
            </w:r>
            <w:r w:rsidRPr="00251963">
              <w:rPr>
                <w:rFonts w:cs="Arial"/>
                <w:sz w:val="20"/>
                <w:szCs w:val="18"/>
              </w:rPr>
              <w:t xml:space="preserve"> 2019)           </w:t>
            </w:r>
          </w:p>
        </w:tc>
        <w:tc>
          <w:tcPr>
            <w:tcW w:w="1970" w:type="dxa"/>
            <w:shd w:val="clear" w:color="auto" w:fill="auto"/>
          </w:tcPr>
          <w:p w14:paraId="724D5177" w14:textId="42263595" w:rsidR="00C93158" w:rsidRPr="00251963" w:rsidRDefault="00C93158" w:rsidP="006133D9">
            <w:pPr>
              <w:jc w:val="right"/>
              <w:rPr>
                <w:rFonts w:cs="Arial"/>
                <w:sz w:val="20"/>
                <w:szCs w:val="18"/>
              </w:rPr>
            </w:pPr>
            <w:r w:rsidRPr="00251963">
              <w:rPr>
                <w:rFonts w:cs="Arial"/>
                <w:sz w:val="20"/>
                <w:szCs w:val="18"/>
              </w:rPr>
              <w:t>2,</w:t>
            </w:r>
            <w:r w:rsidR="00742971">
              <w:rPr>
                <w:rFonts w:cs="Arial"/>
                <w:sz w:val="20"/>
                <w:szCs w:val="18"/>
              </w:rPr>
              <w:t>6</w:t>
            </w:r>
            <w:r w:rsidRPr="00251963">
              <w:rPr>
                <w:rFonts w:cs="Arial"/>
                <w:sz w:val="20"/>
                <w:szCs w:val="18"/>
              </w:rPr>
              <w:t xml:space="preserve"> %</w:t>
            </w:r>
          </w:p>
        </w:tc>
        <w:tc>
          <w:tcPr>
            <w:tcW w:w="1964" w:type="dxa"/>
          </w:tcPr>
          <w:p w14:paraId="1B3B30C1" w14:textId="6068EA86" w:rsidR="00C93158" w:rsidRPr="00251963" w:rsidRDefault="00C01CB1" w:rsidP="006133D9">
            <w:pPr>
              <w:jc w:val="right"/>
              <w:rPr>
                <w:rFonts w:cs="Arial"/>
                <w:sz w:val="20"/>
                <w:szCs w:val="18"/>
              </w:rPr>
            </w:pPr>
            <w:r>
              <w:rPr>
                <w:rFonts w:cs="Arial"/>
                <w:sz w:val="20"/>
                <w:szCs w:val="18"/>
              </w:rPr>
              <w:t>2,</w:t>
            </w:r>
            <w:r w:rsidR="00742971">
              <w:rPr>
                <w:rFonts w:cs="Arial"/>
                <w:sz w:val="20"/>
                <w:szCs w:val="18"/>
              </w:rPr>
              <w:t>9</w:t>
            </w:r>
            <w:r w:rsidR="00C93158" w:rsidRPr="00251963">
              <w:rPr>
                <w:rFonts w:cs="Arial"/>
                <w:sz w:val="20"/>
                <w:szCs w:val="18"/>
              </w:rPr>
              <w:t xml:space="preserve"> %</w:t>
            </w:r>
          </w:p>
        </w:tc>
      </w:tr>
      <w:tr w:rsidR="00C93158" w:rsidRPr="00251963" w14:paraId="36CF2337" w14:textId="77777777" w:rsidTr="00302451">
        <w:trPr>
          <w:trHeight w:val="257"/>
        </w:trPr>
        <w:tc>
          <w:tcPr>
            <w:tcW w:w="6274" w:type="dxa"/>
            <w:shd w:val="clear" w:color="auto" w:fill="auto"/>
          </w:tcPr>
          <w:p w14:paraId="0A51EAB4" w14:textId="210513B4" w:rsidR="00C93158" w:rsidRPr="00251963" w:rsidRDefault="00C93158" w:rsidP="006133D9">
            <w:pPr>
              <w:rPr>
                <w:rFonts w:cs="Arial"/>
                <w:sz w:val="20"/>
                <w:szCs w:val="18"/>
              </w:rPr>
            </w:pPr>
            <w:r w:rsidRPr="00251963">
              <w:rPr>
                <w:rFonts w:cs="Arial"/>
                <w:sz w:val="20"/>
                <w:szCs w:val="18"/>
              </w:rPr>
              <w:t>Ministerstvo financí ČR (</w:t>
            </w:r>
            <w:r w:rsidR="00D17D09">
              <w:rPr>
                <w:rFonts w:cs="Arial"/>
                <w:sz w:val="20"/>
                <w:szCs w:val="18"/>
              </w:rPr>
              <w:t xml:space="preserve">aktualizace </w:t>
            </w:r>
            <w:r w:rsidRPr="00251963">
              <w:rPr>
                <w:rFonts w:cs="Arial"/>
                <w:sz w:val="20"/>
                <w:szCs w:val="18"/>
              </w:rPr>
              <w:t>prognóz</w:t>
            </w:r>
            <w:r w:rsidR="00D17D09">
              <w:rPr>
                <w:rFonts w:cs="Arial"/>
                <w:sz w:val="20"/>
                <w:szCs w:val="18"/>
              </w:rPr>
              <w:t>y</w:t>
            </w:r>
            <w:r w:rsidRPr="00251963">
              <w:rPr>
                <w:rFonts w:cs="Arial"/>
                <w:sz w:val="20"/>
                <w:szCs w:val="18"/>
              </w:rPr>
              <w:t xml:space="preserve"> </w:t>
            </w:r>
            <w:r w:rsidR="00D17D09">
              <w:rPr>
                <w:rFonts w:cs="Arial"/>
                <w:sz w:val="20"/>
                <w:szCs w:val="18"/>
              </w:rPr>
              <w:t>srpen</w:t>
            </w:r>
            <w:r w:rsidRPr="00251963">
              <w:rPr>
                <w:rFonts w:cs="Arial"/>
                <w:sz w:val="20"/>
                <w:szCs w:val="18"/>
              </w:rPr>
              <w:t xml:space="preserve"> 2019)             </w:t>
            </w:r>
          </w:p>
        </w:tc>
        <w:tc>
          <w:tcPr>
            <w:tcW w:w="1970" w:type="dxa"/>
            <w:shd w:val="clear" w:color="auto" w:fill="auto"/>
          </w:tcPr>
          <w:p w14:paraId="03A5B9CF" w14:textId="1D92FC4B" w:rsidR="00C93158" w:rsidRPr="00251963" w:rsidRDefault="00C93158" w:rsidP="006133D9">
            <w:pPr>
              <w:jc w:val="right"/>
              <w:rPr>
                <w:rFonts w:cs="Arial"/>
                <w:sz w:val="20"/>
                <w:szCs w:val="18"/>
              </w:rPr>
            </w:pPr>
            <w:r w:rsidRPr="00251963">
              <w:rPr>
                <w:rFonts w:cs="Arial"/>
                <w:sz w:val="20"/>
                <w:szCs w:val="18"/>
              </w:rPr>
              <w:t>2,</w:t>
            </w:r>
            <w:r w:rsidR="00D17D09">
              <w:rPr>
                <w:rFonts w:cs="Arial"/>
                <w:sz w:val="20"/>
                <w:szCs w:val="18"/>
              </w:rPr>
              <w:t>4</w:t>
            </w:r>
            <w:r w:rsidRPr="00251963">
              <w:rPr>
                <w:rFonts w:cs="Arial"/>
                <w:sz w:val="20"/>
                <w:szCs w:val="18"/>
              </w:rPr>
              <w:t xml:space="preserve"> %</w:t>
            </w:r>
          </w:p>
        </w:tc>
        <w:tc>
          <w:tcPr>
            <w:tcW w:w="1964" w:type="dxa"/>
          </w:tcPr>
          <w:p w14:paraId="07D5F971" w14:textId="41C62D2E" w:rsidR="00C93158" w:rsidRPr="00251963" w:rsidRDefault="00C93158" w:rsidP="006133D9">
            <w:pPr>
              <w:jc w:val="right"/>
              <w:rPr>
                <w:rFonts w:cs="Arial"/>
                <w:sz w:val="20"/>
                <w:szCs w:val="18"/>
              </w:rPr>
            </w:pPr>
            <w:r w:rsidRPr="00251963">
              <w:rPr>
                <w:rFonts w:cs="Arial"/>
                <w:sz w:val="20"/>
                <w:szCs w:val="18"/>
              </w:rPr>
              <w:t>2,</w:t>
            </w:r>
            <w:r w:rsidR="00D17D09">
              <w:rPr>
                <w:rFonts w:cs="Arial"/>
                <w:sz w:val="20"/>
                <w:szCs w:val="18"/>
              </w:rPr>
              <w:t>2</w:t>
            </w:r>
            <w:r w:rsidRPr="00251963">
              <w:rPr>
                <w:rFonts w:cs="Arial"/>
                <w:sz w:val="20"/>
                <w:szCs w:val="18"/>
              </w:rPr>
              <w:t xml:space="preserve"> %</w:t>
            </w:r>
          </w:p>
        </w:tc>
      </w:tr>
      <w:tr w:rsidR="00C93158" w:rsidRPr="00251963" w14:paraId="1841127B" w14:textId="77777777" w:rsidTr="00302451">
        <w:trPr>
          <w:trHeight w:val="257"/>
        </w:trPr>
        <w:tc>
          <w:tcPr>
            <w:tcW w:w="6274" w:type="dxa"/>
            <w:shd w:val="clear" w:color="auto" w:fill="auto"/>
          </w:tcPr>
          <w:p w14:paraId="4386D38A" w14:textId="5ECE338C" w:rsidR="00C93158" w:rsidRPr="00251963" w:rsidRDefault="00C93158" w:rsidP="006133D9">
            <w:pPr>
              <w:rPr>
                <w:rFonts w:cs="Arial"/>
                <w:sz w:val="20"/>
                <w:szCs w:val="18"/>
              </w:rPr>
            </w:pPr>
            <w:r w:rsidRPr="00251963">
              <w:rPr>
                <w:rFonts w:cs="Arial"/>
                <w:sz w:val="20"/>
                <w:szCs w:val="18"/>
              </w:rPr>
              <w:t>MMF (</w:t>
            </w:r>
            <w:proofErr w:type="spellStart"/>
            <w:r w:rsidR="009065D8">
              <w:rPr>
                <w:rFonts w:cs="Arial"/>
                <w:sz w:val="20"/>
                <w:szCs w:val="18"/>
              </w:rPr>
              <w:t>World</w:t>
            </w:r>
            <w:proofErr w:type="spellEnd"/>
            <w:r w:rsidR="009065D8">
              <w:rPr>
                <w:rFonts w:cs="Arial"/>
                <w:sz w:val="20"/>
                <w:szCs w:val="18"/>
              </w:rPr>
              <w:t xml:space="preserve"> </w:t>
            </w:r>
            <w:proofErr w:type="spellStart"/>
            <w:r w:rsidR="009065D8">
              <w:rPr>
                <w:rFonts w:cs="Arial"/>
                <w:sz w:val="20"/>
                <w:szCs w:val="18"/>
              </w:rPr>
              <w:t>Economic</w:t>
            </w:r>
            <w:proofErr w:type="spellEnd"/>
            <w:r w:rsidR="009065D8">
              <w:rPr>
                <w:rFonts w:cs="Arial"/>
                <w:sz w:val="20"/>
                <w:szCs w:val="18"/>
              </w:rPr>
              <w:t xml:space="preserve"> Outlook</w:t>
            </w:r>
            <w:r w:rsidR="00742971">
              <w:rPr>
                <w:rFonts w:cs="Arial"/>
                <w:sz w:val="20"/>
                <w:szCs w:val="18"/>
              </w:rPr>
              <w:t>,</w:t>
            </w:r>
            <w:r w:rsidRPr="00251963">
              <w:rPr>
                <w:rFonts w:cs="Arial"/>
                <w:sz w:val="20"/>
                <w:szCs w:val="18"/>
              </w:rPr>
              <w:t xml:space="preserve"> </w:t>
            </w:r>
            <w:r w:rsidR="009065D8">
              <w:rPr>
                <w:rFonts w:cs="Arial"/>
                <w:sz w:val="20"/>
                <w:szCs w:val="18"/>
              </w:rPr>
              <w:t>říjen</w:t>
            </w:r>
            <w:r w:rsidRPr="00251963">
              <w:rPr>
                <w:rFonts w:cs="Arial"/>
                <w:sz w:val="20"/>
                <w:szCs w:val="18"/>
              </w:rPr>
              <w:t xml:space="preserve"> 2019)    </w:t>
            </w:r>
          </w:p>
        </w:tc>
        <w:tc>
          <w:tcPr>
            <w:tcW w:w="1970" w:type="dxa"/>
            <w:shd w:val="clear" w:color="auto" w:fill="auto"/>
          </w:tcPr>
          <w:p w14:paraId="266E37D1" w14:textId="49B475B2" w:rsidR="00C93158" w:rsidRPr="00251963" w:rsidRDefault="00C93158" w:rsidP="006133D9">
            <w:pPr>
              <w:jc w:val="right"/>
              <w:rPr>
                <w:rFonts w:cs="Arial"/>
                <w:sz w:val="20"/>
                <w:szCs w:val="18"/>
              </w:rPr>
            </w:pPr>
            <w:r w:rsidRPr="00251963">
              <w:rPr>
                <w:rFonts w:cs="Arial"/>
                <w:sz w:val="20"/>
                <w:szCs w:val="18"/>
              </w:rPr>
              <w:t>2,</w:t>
            </w:r>
            <w:r w:rsidR="00742971">
              <w:rPr>
                <w:rFonts w:cs="Arial"/>
                <w:sz w:val="20"/>
                <w:szCs w:val="18"/>
              </w:rPr>
              <w:t>5</w:t>
            </w:r>
            <w:r w:rsidRPr="00251963">
              <w:rPr>
                <w:rFonts w:cs="Arial"/>
                <w:sz w:val="20"/>
                <w:szCs w:val="18"/>
              </w:rPr>
              <w:t xml:space="preserve"> %</w:t>
            </w:r>
          </w:p>
        </w:tc>
        <w:tc>
          <w:tcPr>
            <w:tcW w:w="1964" w:type="dxa"/>
          </w:tcPr>
          <w:p w14:paraId="6D6008DE" w14:textId="3CE07579" w:rsidR="00C93158" w:rsidRPr="00251963" w:rsidRDefault="00C93158" w:rsidP="006133D9">
            <w:pPr>
              <w:jc w:val="right"/>
              <w:rPr>
                <w:rFonts w:cs="Arial"/>
                <w:sz w:val="20"/>
                <w:szCs w:val="18"/>
              </w:rPr>
            </w:pPr>
            <w:r w:rsidRPr="00251963">
              <w:rPr>
                <w:rFonts w:cs="Arial"/>
                <w:sz w:val="20"/>
                <w:szCs w:val="18"/>
              </w:rPr>
              <w:t>2,</w:t>
            </w:r>
            <w:r w:rsidR="00742971">
              <w:rPr>
                <w:rFonts w:cs="Arial"/>
                <w:sz w:val="20"/>
                <w:szCs w:val="18"/>
              </w:rPr>
              <w:t>6</w:t>
            </w:r>
            <w:r w:rsidRPr="00251963">
              <w:rPr>
                <w:rFonts w:cs="Arial"/>
                <w:sz w:val="20"/>
                <w:szCs w:val="18"/>
              </w:rPr>
              <w:t xml:space="preserve"> %</w:t>
            </w:r>
          </w:p>
        </w:tc>
      </w:tr>
      <w:tr w:rsidR="00C93158" w:rsidRPr="00D06DE3" w14:paraId="04F9D0FF" w14:textId="77777777" w:rsidTr="00302451">
        <w:trPr>
          <w:trHeight w:val="242"/>
        </w:trPr>
        <w:tc>
          <w:tcPr>
            <w:tcW w:w="6274" w:type="dxa"/>
            <w:shd w:val="clear" w:color="auto" w:fill="auto"/>
          </w:tcPr>
          <w:p w14:paraId="136EA678" w14:textId="468A64A6" w:rsidR="00C93158" w:rsidRPr="00251963" w:rsidRDefault="00C93158" w:rsidP="006133D9">
            <w:pPr>
              <w:rPr>
                <w:rFonts w:cs="Arial"/>
                <w:sz w:val="20"/>
                <w:szCs w:val="18"/>
              </w:rPr>
            </w:pPr>
            <w:r w:rsidRPr="00251963">
              <w:rPr>
                <w:rFonts w:cs="Arial"/>
                <w:color w:val="FF0000"/>
                <w:sz w:val="20"/>
                <w:szCs w:val="18"/>
              </w:rPr>
              <w:t xml:space="preserve">ČBA (prognóza </w:t>
            </w:r>
            <w:r w:rsidR="00BF58BD">
              <w:rPr>
                <w:rFonts w:cs="Arial"/>
                <w:color w:val="FF0000"/>
                <w:sz w:val="20"/>
                <w:szCs w:val="18"/>
              </w:rPr>
              <w:t>říjen</w:t>
            </w:r>
            <w:r w:rsidRPr="00251963">
              <w:rPr>
                <w:rFonts w:cs="Arial"/>
                <w:color w:val="FF0000"/>
                <w:sz w:val="20"/>
                <w:szCs w:val="18"/>
              </w:rPr>
              <w:t xml:space="preserve"> 2019)       </w:t>
            </w:r>
          </w:p>
        </w:tc>
        <w:tc>
          <w:tcPr>
            <w:tcW w:w="1970" w:type="dxa"/>
            <w:shd w:val="clear" w:color="auto" w:fill="auto"/>
            <w:vAlign w:val="bottom"/>
          </w:tcPr>
          <w:p w14:paraId="16F4FC66" w14:textId="29C3A570" w:rsidR="00C93158" w:rsidRPr="00251963" w:rsidRDefault="004D5EDF" w:rsidP="006133D9">
            <w:pPr>
              <w:pStyle w:val="Normlnweb"/>
              <w:spacing w:before="0" w:beforeAutospacing="0" w:after="0" w:afterAutospacing="0"/>
              <w:jc w:val="right"/>
              <w:textAlignment w:val="bottom"/>
              <w:rPr>
                <w:rFonts w:ascii="Arial" w:hAnsi="Arial" w:cs="Arial"/>
                <w:color w:val="FF0000"/>
                <w:sz w:val="20"/>
                <w:szCs w:val="20"/>
              </w:rPr>
            </w:pPr>
            <w:r>
              <w:rPr>
                <w:rFonts w:ascii="Arial" w:hAnsi="Arial" w:cs="Arial"/>
                <w:color w:val="FF0000"/>
                <w:sz w:val="20"/>
                <w:szCs w:val="20"/>
              </w:rPr>
              <w:t>2,</w:t>
            </w:r>
            <w:r w:rsidR="00A020B8">
              <w:rPr>
                <w:rFonts w:ascii="Arial" w:hAnsi="Arial" w:cs="Arial"/>
                <w:color w:val="FF0000"/>
                <w:sz w:val="20"/>
                <w:szCs w:val="20"/>
              </w:rPr>
              <w:t>5</w:t>
            </w:r>
            <w:r>
              <w:rPr>
                <w:rFonts w:ascii="Arial" w:hAnsi="Arial" w:cs="Arial"/>
                <w:color w:val="FF0000"/>
                <w:sz w:val="20"/>
                <w:szCs w:val="20"/>
              </w:rPr>
              <w:t xml:space="preserve"> </w:t>
            </w:r>
            <w:r w:rsidR="00C93158" w:rsidRPr="00251963">
              <w:rPr>
                <w:rFonts w:ascii="Arial" w:hAnsi="Arial" w:cs="Arial"/>
                <w:color w:val="FF0000"/>
                <w:sz w:val="20"/>
                <w:szCs w:val="20"/>
              </w:rPr>
              <w:t>%</w:t>
            </w:r>
          </w:p>
        </w:tc>
        <w:tc>
          <w:tcPr>
            <w:tcW w:w="1964" w:type="dxa"/>
            <w:vAlign w:val="bottom"/>
          </w:tcPr>
          <w:p w14:paraId="4F838E60" w14:textId="407A479A" w:rsidR="00C93158" w:rsidRPr="00251963" w:rsidRDefault="004D5EDF" w:rsidP="006133D9">
            <w:pPr>
              <w:pStyle w:val="Normlnweb"/>
              <w:spacing w:before="0" w:beforeAutospacing="0" w:after="0" w:afterAutospacing="0"/>
              <w:jc w:val="right"/>
              <w:textAlignment w:val="bottom"/>
              <w:rPr>
                <w:rFonts w:ascii="Arial" w:hAnsi="Arial" w:cs="Arial"/>
                <w:color w:val="FF0000"/>
                <w:sz w:val="20"/>
                <w:szCs w:val="20"/>
              </w:rPr>
            </w:pPr>
            <w:r>
              <w:rPr>
                <w:rFonts w:ascii="Arial" w:hAnsi="Arial" w:cs="Arial"/>
                <w:color w:val="FF0000"/>
                <w:sz w:val="20"/>
                <w:szCs w:val="20"/>
              </w:rPr>
              <w:t>2,0</w:t>
            </w:r>
            <w:r w:rsidR="00C93158" w:rsidRPr="00251963">
              <w:rPr>
                <w:rFonts w:ascii="Arial" w:hAnsi="Arial" w:cs="Arial"/>
                <w:color w:val="FF0000"/>
                <w:sz w:val="20"/>
                <w:szCs w:val="20"/>
              </w:rPr>
              <w:t xml:space="preserve"> %</w:t>
            </w:r>
          </w:p>
        </w:tc>
      </w:tr>
    </w:tbl>
    <w:p w14:paraId="4693D087" w14:textId="77777777" w:rsidR="00FA3413" w:rsidRDefault="00FA3413" w:rsidP="00C93158">
      <w:pPr>
        <w:rPr>
          <w:b/>
          <w:color w:val="007E79"/>
          <w:sz w:val="20"/>
        </w:rPr>
      </w:pPr>
    </w:p>
    <w:p w14:paraId="578F6E2D" w14:textId="77777777" w:rsidR="00F976F5" w:rsidRDefault="00F976F5">
      <w:pPr>
        <w:overflowPunct/>
        <w:autoSpaceDE/>
        <w:autoSpaceDN/>
        <w:adjustRightInd/>
        <w:spacing w:after="160" w:line="259" w:lineRule="auto"/>
        <w:jc w:val="left"/>
        <w:textAlignment w:val="auto"/>
        <w:rPr>
          <w:b/>
          <w:color w:val="007E79"/>
          <w:sz w:val="20"/>
        </w:rPr>
      </w:pPr>
      <w:r>
        <w:rPr>
          <w:b/>
          <w:color w:val="007E79"/>
          <w:sz w:val="20"/>
        </w:rPr>
        <w:br w:type="page"/>
      </w:r>
    </w:p>
    <w:p w14:paraId="0FC19613" w14:textId="79373F97" w:rsidR="00C93158" w:rsidRPr="00302451" w:rsidRDefault="00C93158" w:rsidP="00C93158">
      <w:pPr>
        <w:rPr>
          <w:b/>
          <w:color w:val="007E79"/>
          <w:sz w:val="20"/>
        </w:rPr>
      </w:pPr>
      <w:r w:rsidRPr="00302451">
        <w:rPr>
          <w:b/>
          <w:color w:val="007E79"/>
          <w:sz w:val="20"/>
        </w:rPr>
        <w:lastRenderedPageBreak/>
        <w:t>Makroekonomická prognóza ČBA v číslech:</w:t>
      </w:r>
    </w:p>
    <w:p w14:paraId="10A71CAA" w14:textId="5C88FB90" w:rsidR="00C93158" w:rsidRDefault="00C93158" w:rsidP="00C93158">
      <w:pPr>
        <w:rPr>
          <w:rFonts w:cs="Arial"/>
          <w:sz w:val="20"/>
          <w:szCs w:val="18"/>
        </w:rPr>
      </w:pPr>
    </w:p>
    <w:tbl>
      <w:tblPr>
        <w:tblW w:w="10196" w:type="dxa"/>
        <w:tblCellMar>
          <w:left w:w="0" w:type="dxa"/>
          <w:right w:w="0" w:type="dxa"/>
        </w:tblCellMar>
        <w:tblLook w:val="04A0" w:firstRow="1" w:lastRow="0" w:firstColumn="1" w:lastColumn="0" w:noHBand="0" w:noVBand="1"/>
      </w:tblPr>
      <w:tblGrid>
        <w:gridCol w:w="3747"/>
        <w:gridCol w:w="2055"/>
        <w:gridCol w:w="1985"/>
        <w:gridCol w:w="2409"/>
      </w:tblGrid>
      <w:tr w:rsidR="0065675B" w:rsidRPr="0065675B" w14:paraId="4B1594D4" w14:textId="77777777" w:rsidTr="0065675B">
        <w:trPr>
          <w:trHeight w:val="88"/>
        </w:trPr>
        <w:tc>
          <w:tcPr>
            <w:tcW w:w="3747"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411568ED"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Ukazatel</w:t>
            </w:r>
          </w:p>
        </w:tc>
        <w:tc>
          <w:tcPr>
            <w:tcW w:w="2055"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6D672449"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2018 (skutečnost)</w:t>
            </w:r>
          </w:p>
        </w:tc>
        <w:tc>
          <w:tcPr>
            <w:tcW w:w="1985"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28E7FCB5"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2019 (prognóza)</w:t>
            </w:r>
          </w:p>
        </w:tc>
        <w:tc>
          <w:tcPr>
            <w:tcW w:w="2409"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66D66CB7"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2020 (prognóza)</w:t>
            </w:r>
          </w:p>
        </w:tc>
      </w:tr>
      <w:tr w:rsidR="0065675B" w:rsidRPr="0065675B" w14:paraId="6C6060CF" w14:textId="77777777" w:rsidTr="004D5EDF">
        <w:trPr>
          <w:trHeight w:val="87"/>
        </w:trPr>
        <w:tc>
          <w:tcPr>
            <w:tcW w:w="3747" w:type="dxa"/>
            <w:tcBorders>
              <w:top w:val="single" w:sz="24"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5FB5585"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reálného HDP (%)</w:t>
            </w:r>
          </w:p>
        </w:tc>
        <w:tc>
          <w:tcPr>
            <w:tcW w:w="2055"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660C9440" w14:textId="40BD1282" w:rsidR="0065675B" w:rsidRPr="0065675B" w:rsidRDefault="0007096D" w:rsidP="0065675B">
            <w:pPr>
              <w:overflowPunct/>
              <w:autoSpaceDE/>
              <w:autoSpaceDN/>
              <w:adjustRightInd/>
              <w:spacing w:line="256" w:lineRule="auto"/>
              <w:jc w:val="right"/>
              <w:textAlignment w:val="bottom"/>
              <w:rPr>
                <w:rFonts w:cs="Arial"/>
                <w:sz w:val="36"/>
                <w:szCs w:val="36"/>
              </w:rPr>
            </w:pPr>
            <w:r w:rsidRPr="0007096D">
              <w:rPr>
                <w:rFonts w:ascii="Calibri" w:eastAsia="PMingLiU" w:hAnsi="Calibri"/>
                <w:b/>
                <w:bCs/>
                <w:color w:val="000000"/>
                <w:kern w:val="24"/>
                <w:sz w:val="22"/>
                <w:szCs w:val="22"/>
              </w:rPr>
              <w:t>3,0</w:t>
            </w:r>
          </w:p>
        </w:tc>
        <w:tc>
          <w:tcPr>
            <w:tcW w:w="1985"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BA0394A" w14:textId="4EA88834"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w:t>
            </w:r>
            <w:r w:rsidR="00520AEA">
              <w:rPr>
                <w:rFonts w:ascii="Calibri" w:eastAsia="PMingLiU" w:hAnsi="Calibri"/>
                <w:b/>
                <w:bCs/>
                <w:color w:val="000000"/>
                <w:kern w:val="24"/>
                <w:sz w:val="22"/>
                <w:szCs w:val="22"/>
              </w:rPr>
              <w:t>5</w:t>
            </w:r>
          </w:p>
        </w:tc>
        <w:tc>
          <w:tcPr>
            <w:tcW w:w="2409"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CC27DCA" w14:textId="71146CD4"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2,0</w:t>
            </w:r>
          </w:p>
        </w:tc>
      </w:tr>
      <w:tr w:rsidR="0065675B" w:rsidRPr="0065675B" w14:paraId="646474FC" w14:textId="77777777" w:rsidTr="004D5EDF">
        <w:trPr>
          <w:trHeight w:val="91"/>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486EC867"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Podíl nezaměstnaných osob (MPSV): průměr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5D0B0423" w14:textId="1B37C034"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w:t>
            </w:r>
            <w:r w:rsidR="0007096D">
              <w:rPr>
                <w:rFonts w:ascii="Calibri" w:eastAsia="PMingLiU" w:hAnsi="Calibri"/>
                <w:b/>
                <w:bCs/>
                <w:color w:val="000000"/>
                <w:kern w:val="24"/>
                <w:sz w:val="22"/>
                <w:szCs w:val="22"/>
              </w:rPr>
              <w:t>2</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AAAA210" w14:textId="2E03A57C"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2,8</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4F17F024" w14:textId="2B744A41"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3,1</w:t>
            </w:r>
          </w:p>
        </w:tc>
      </w:tr>
      <w:tr w:rsidR="0065675B" w:rsidRPr="0065675B" w14:paraId="636D37C4"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7CE8D490"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Průměrná nominální mzda (růst v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B2FA388" w14:textId="46BE196A" w:rsidR="0065675B" w:rsidRPr="00C01CB1" w:rsidRDefault="0007096D"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7,5</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DA15EC4" w14:textId="31B951AD"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6,8</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72BD4E2E" w14:textId="219324B0"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5,3</w:t>
            </w:r>
          </w:p>
        </w:tc>
      </w:tr>
      <w:tr w:rsidR="0065675B" w:rsidRPr="0065675B" w14:paraId="3BA814CF"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70013A2F"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Míra inflace: CPI (%) průměr</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7A22110F"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2,1</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7F5738C" w14:textId="6E1DC92F"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2,7</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6E5E8884" w14:textId="5E241AD5"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2,3</w:t>
            </w:r>
          </w:p>
        </w:tc>
      </w:tr>
      <w:tr w:rsidR="0065675B" w:rsidRPr="0065675B" w14:paraId="521233EC"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3A330F8F"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Vládní deficit/přebytek (% HDP)</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53E8A9EE"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0,9</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FCBE628" w14:textId="2BE2EF44"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0,</w:t>
            </w:r>
            <w:r w:rsidR="00520AEA">
              <w:rPr>
                <w:rFonts w:ascii="Calibri" w:eastAsia="PMingLiU" w:hAnsi="Calibri"/>
                <w:b/>
                <w:bCs/>
                <w:color w:val="000000"/>
                <w:kern w:val="24"/>
                <w:sz w:val="22"/>
                <w:szCs w:val="22"/>
              </w:rPr>
              <w:t>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6C494613" w14:textId="5A09CB38" w:rsidR="0065675B" w:rsidRPr="00520AEA" w:rsidRDefault="00D20916" w:rsidP="00520AEA">
            <w:pPr>
              <w:pStyle w:val="Odstavecseseznamem"/>
              <w:numPr>
                <w:ilvl w:val="0"/>
                <w:numId w:val="7"/>
              </w:numPr>
              <w:overflowPunct/>
              <w:autoSpaceDE/>
              <w:autoSpaceDN/>
              <w:adjustRightInd/>
              <w:spacing w:line="256" w:lineRule="auto"/>
              <w:jc w:val="right"/>
              <w:textAlignment w:val="bottom"/>
              <w:rPr>
                <w:rFonts w:ascii="Calibri" w:eastAsia="PMingLiU" w:hAnsi="Calibri"/>
                <w:b/>
                <w:bCs/>
                <w:color w:val="000000"/>
                <w:kern w:val="24"/>
                <w:sz w:val="22"/>
                <w:szCs w:val="22"/>
              </w:rPr>
            </w:pPr>
            <w:r w:rsidRPr="00520AEA">
              <w:rPr>
                <w:rFonts w:ascii="Calibri" w:eastAsia="PMingLiU" w:hAnsi="Calibri"/>
                <w:b/>
                <w:bCs/>
                <w:color w:val="000000"/>
                <w:kern w:val="24"/>
                <w:sz w:val="22"/>
                <w:szCs w:val="22"/>
              </w:rPr>
              <w:t>0,</w:t>
            </w:r>
            <w:r w:rsidR="00520AEA" w:rsidRPr="00520AEA">
              <w:rPr>
                <w:rFonts w:ascii="Calibri" w:eastAsia="PMingLiU" w:hAnsi="Calibri"/>
                <w:b/>
                <w:bCs/>
                <w:color w:val="000000"/>
                <w:kern w:val="24"/>
                <w:sz w:val="22"/>
                <w:szCs w:val="22"/>
              </w:rPr>
              <w:t>3</w:t>
            </w:r>
          </w:p>
        </w:tc>
      </w:tr>
      <w:tr w:rsidR="0065675B" w:rsidRPr="0065675B" w14:paraId="14378C53"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F5EC9AA"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 xml:space="preserve">Vládní dluh (% HDP)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26B4BF0"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32,6</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94CED1C" w14:textId="151A7856"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31</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57312A7B" w14:textId="47E6977B"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30,5</w:t>
            </w:r>
          </w:p>
        </w:tc>
      </w:tr>
      <w:tr w:rsidR="0065675B" w:rsidRPr="0065675B" w14:paraId="552BE0D0"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320F0540"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spotřeby domácností (%) reálně</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5492B77"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3,3</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63152515" w14:textId="2BAE3EAC"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2,7</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D3C80F4" w14:textId="509284B8"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2,3</w:t>
            </w:r>
          </w:p>
        </w:tc>
      </w:tr>
      <w:tr w:rsidR="0065675B" w:rsidRPr="0065675B" w14:paraId="1648A5F3"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0F5C730B"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vládní spotřeby (%) reálně</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68B61A8D"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4,0</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2D257DD9" w14:textId="5AA0E4A9"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3,0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259B385" w14:textId="63CCE79F"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w:t>
            </w:r>
            <w:r w:rsidR="00520AEA">
              <w:rPr>
                <w:rFonts w:ascii="Calibri" w:eastAsia="PMingLiU" w:hAnsi="Calibri"/>
                <w:b/>
                <w:bCs/>
                <w:color w:val="000000"/>
                <w:kern w:val="24"/>
                <w:sz w:val="22"/>
                <w:szCs w:val="22"/>
              </w:rPr>
              <w:t>0</w:t>
            </w:r>
          </w:p>
        </w:tc>
      </w:tr>
      <w:tr w:rsidR="0065675B" w:rsidRPr="0065675B" w14:paraId="4EA7D3E3"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7C130A54"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investic (%) reálně</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1803B6B"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7,2</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2F7437F0" w14:textId="783980B3"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1,5</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892B148" w14:textId="6826145C"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w:t>
            </w:r>
            <w:r w:rsidR="00520AEA">
              <w:rPr>
                <w:rFonts w:ascii="Calibri" w:eastAsia="PMingLiU" w:hAnsi="Calibri"/>
                <w:b/>
                <w:bCs/>
                <w:color w:val="000000"/>
                <w:kern w:val="24"/>
                <w:sz w:val="22"/>
                <w:szCs w:val="22"/>
              </w:rPr>
              <w:t>0</w:t>
            </w:r>
          </w:p>
        </w:tc>
      </w:tr>
      <w:tr w:rsidR="0065675B" w:rsidRPr="0065675B" w14:paraId="6F4CA3D3"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7787A8E"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reálného HDP v eurozóně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04025588"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1,9</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689801DE" w14:textId="75B39114"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1,2</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2A8C9C15" w14:textId="66F3F79F"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1,0</w:t>
            </w:r>
          </w:p>
        </w:tc>
      </w:tr>
      <w:tr w:rsidR="0065675B" w:rsidRPr="0065675B" w14:paraId="60142AA4"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6A35B974"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Směnný kurz CZK/EUR: průměr</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A18953F"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25,64</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C226044" w14:textId="14C70C24"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25,70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DD3C408" w14:textId="3AC4774B" w:rsidR="0065675B" w:rsidRPr="0042113A" w:rsidRDefault="00D20916"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25,5</w:t>
            </w:r>
            <w:r w:rsidR="00520AEA">
              <w:rPr>
                <w:rFonts w:ascii="Calibri" w:eastAsia="PMingLiU" w:hAnsi="Calibri"/>
                <w:b/>
                <w:bCs/>
                <w:color w:val="000000"/>
                <w:kern w:val="24"/>
                <w:sz w:val="22"/>
                <w:szCs w:val="22"/>
              </w:rPr>
              <w:t>0</w:t>
            </w:r>
          </w:p>
        </w:tc>
      </w:tr>
      <w:tr w:rsidR="0065675B" w:rsidRPr="0065675B" w14:paraId="445C4C94"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00B4B737"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Ceny ropy (USD za barel): brent průměr</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FE56018" w14:textId="77777777" w:rsidR="0065675B" w:rsidRPr="0065675B" w:rsidRDefault="0065675B" w:rsidP="0065675B">
            <w:pPr>
              <w:overflowPunct/>
              <w:autoSpaceDE/>
              <w:autoSpaceDN/>
              <w:adjustRightInd/>
              <w:spacing w:line="254" w:lineRule="auto"/>
              <w:jc w:val="right"/>
              <w:textAlignment w:val="bottom"/>
              <w:rPr>
                <w:rFonts w:cs="Arial"/>
                <w:sz w:val="36"/>
                <w:szCs w:val="36"/>
              </w:rPr>
            </w:pPr>
            <w:r w:rsidRPr="0065675B">
              <w:rPr>
                <w:rFonts w:ascii="Calibri" w:eastAsia="PMingLiU" w:hAnsi="Calibri"/>
                <w:b/>
                <w:bCs/>
                <w:color w:val="000000"/>
                <w:kern w:val="24"/>
                <w:sz w:val="22"/>
                <w:szCs w:val="22"/>
              </w:rPr>
              <w:t xml:space="preserve">      71,70</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DA44B85" w14:textId="2CAF7621"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65,0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72F1E147" w14:textId="527E10D1" w:rsidR="0065675B" w:rsidRPr="0042113A" w:rsidRDefault="00520AE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60,0</w:t>
            </w:r>
          </w:p>
        </w:tc>
      </w:tr>
      <w:tr w:rsidR="0065675B" w:rsidRPr="0065675B" w14:paraId="23861021"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23F29BAA"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 xml:space="preserve">Základní sazba ČNB </w:t>
            </w:r>
            <w:proofErr w:type="gramStart"/>
            <w:r w:rsidRPr="0065675B">
              <w:rPr>
                <w:rFonts w:ascii="Calibri" w:hAnsi="Calibri" w:cs="Calibri"/>
                <w:b/>
                <w:bCs/>
                <w:color w:val="FFFFFF" w:themeColor="light1"/>
                <w:kern w:val="24"/>
                <w:sz w:val="20"/>
              </w:rPr>
              <w:t>2T</w:t>
            </w:r>
            <w:proofErr w:type="gramEnd"/>
            <w:r w:rsidRPr="0065675B">
              <w:rPr>
                <w:rFonts w:ascii="Calibri" w:hAnsi="Calibri" w:cs="Calibri"/>
                <w:b/>
                <w:bCs/>
                <w:color w:val="FFFFFF" w:themeColor="light1"/>
                <w:kern w:val="24"/>
                <w:sz w:val="20"/>
              </w:rPr>
              <w:t xml:space="preserve"> REPO (%): konec období</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2D4A90B1" w14:textId="77777777" w:rsidR="0065675B" w:rsidRPr="0065675B" w:rsidRDefault="0065675B" w:rsidP="0065675B">
            <w:pPr>
              <w:overflowPunct/>
              <w:autoSpaceDE/>
              <w:autoSpaceDN/>
              <w:adjustRightInd/>
              <w:spacing w:line="254" w:lineRule="auto"/>
              <w:jc w:val="right"/>
              <w:textAlignment w:val="bottom"/>
              <w:rPr>
                <w:rFonts w:cs="Arial"/>
                <w:sz w:val="36"/>
                <w:szCs w:val="36"/>
              </w:rPr>
            </w:pPr>
            <w:r w:rsidRPr="0065675B">
              <w:rPr>
                <w:rFonts w:ascii="Calibri" w:eastAsia="PMingLiU" w:hAnsi="Calibri"/>
                <w:b/>
                <w:bCs/>
                <w:color w:val="000000"/>
                <w:kern w:val="24"/>
                <w:sz w:val="22"/>
                <w:szCs w:val="22"/>
              </w:rPr>
              <w:t>1,75</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209D982A" w14:textId="40C4E603"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58E35022" w14:textId="62DA4722"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2,0</w:t>
            </w:r>
          </w:p>
        </w:tc>
      </w:tr>
      <w:tr w:rsidR="0065675B" w:rsidRPr="0065675B" w14:paraId="32A294F8"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69258B6A"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Základní sazba ECB (%): konec období</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60626202"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0,0</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956D446" w14:textId="1FC8C545"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0,0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531A4A56" w14:textId="60F65691"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0,0</w:t>
            </w:r>
          </w:p>
        </w:tc>
      </w:tr>
      <w:tr w:rsidR="0065675B" w:rsidRPr="0065675B" w14:paraId="72155F13"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2239ABC3"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3M-PRIBOR (%): průměr</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197F1E20"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1,27</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CB373A3" w14:textId="517FA1BA"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2,1</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4B680F07" w14:textId="6CF4D149"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2,1</w:t>
            </w:r>
          </w:p>
        </w:tc>
      </w:tr>
      <w:tr w:rsidR="0065675B" w:rsidRPr="0065675B" w14:paraId="50544107" w14:textId="77777777" w:rsidTr="0042113A">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38ED4C72"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bankovních úvěrů klientských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29A84AA" w14:textId="6CCC5800"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7,2</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7CE019AA" w14:textId="22C5F3F7"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5,3</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C457989" w14:textId="29B2C30A"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4,0</w:t>
            </w:r>
          </w:p>
        </w:tc>
      </w:tr>
      <w:tr w:rsidR="0065675B" w:rsidRPr="0065675B" w14:paraId="32076E5F" w14:textId="77777777" w:rsidTr="004D5EDF">
        <w:trPr>
          <w:trHeight w:val="87"/>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4B4F9597"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bankovních úvěrů domácnostem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472A98D9"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7,9</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48369240" w14:textId="5449E6F4"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6,6</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70957DC9" w14:textId="409ED484"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5,0</w:t>
            </w:r>
          </w:p>
        </w:tc>
      </w:tr>
      <w:tr w:rsidR="0065675B" w:rsidRPr="0065675B" w14:paraId="418E71CA" w14:textId="77777777" w:rsidTr="004D5EDF">
        <w:trPr>
          <w:trHeight w:val="84"/>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62221125"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bankovních úvěrů (nefinančním) podnikům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4FF8A217"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5,7</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06F2A8B" w14:textId="31A88BA6"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4,3</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3BFD657" w14:textId="76CE4951"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3,0</w:t>
            </w:r>
          </w:p>
        </w:tc>
      </w:tr>
      <w:tr w:rsidR="0065675B" w:rsidRPr="0065675B" w14:paraId="1C64EB0D" w14:textId="77777777" w:rsidTr="004D5EDF">
        <w:trPr>
          <w:trHeight w:val="84"/>
        </w:trPr>
        <w:tc>
          <w:tcPr>
            <w:tcW w:w="3747"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0B03657" w14:textId="77777777" w:rsidR="0065675B" w:rsidRPr="0065675B" w:rsidRDefault="0065675B" w:rsidP="0065675B">
            <w:pPr>
              <w:autoSpaceDE/>
              <w:autoSpaceDN/>
              <w:adjustRightInd/>
              <w:spacing w:line="256" w:lineRule="auto"/>
              <w:textAlignment w:val="auto"/>
              <w:rPr>
                <w:rFonts w:cs="Arial"/>
                <w:sz w:val="36"/>
                <w:szCs w:val="36"/>
              </w:rPr>
            </w:pPr>
            <w:r w:rsidRPr="0065675B">
              <w:rPr>
                <w:rFonts w:ascii="Calibri" w:hAnsi="Calibri" w:cs="Calibri"/>
                <w:b/>
                <w:bCs/>
                <w:color w:val="FFFFFF" w:themeColor="light1"/>
                <w:kern w:val="24"/>
                <w:sz w:val="20"/>
              </w:rPr>
              <w:t>Růst bankovních vkladů klientských celkem (%)</w:t>
            </w:r>
          </w:p>
        </w:tc>
        <w:tc>
          <w:tcPr>
            <w:tcW w:w="205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hideMark/>
          </w:tcPr>
          <w:p w14:paraId="532166EB" w14:textId="77777777" w:rsidR="0065675B" w:rsidRPr="0065675B" w:rsidRDefault="0065675B" w:rsidP="0065675B">
            <w:pPr>
              <w:overflowPunct/>
              <w:autoSpaceDE/>
              <w:autoSpaceDN/>
              <w:adjustRightInd/>
              <w:spacing w:line="256" w:lineRule="auto"/>
              <w:jc w:val="right"/>
              <w:textAlignment w:val="bottom"/>
              <w:rPr>
                <w:rFonts w:cs="Arial"/>
                <w:sz w:val="36"/>
                <w:szCs w:val="36"/>
              </w:rPr>
            </w:pPr>
            <w:r w:rsidRPr="0065675B">
              <w:rPr>
                <w:rFonts w:ascii="Calibri" w:eastAsia="PMingLiU" w:hAnsi="Calibri"/>
                <w:b/>
                <w:bCs/>
                <w:color w:val="000000"/>
                <w:kern w:val="24"/>
                <w:sz w:val="22"/>
                <w:szCs w:val="22"/>
              </w:rPr>
              <w:t>6,6</w:t>
            </w:r>
          </w:p>
        </w:tc>
        <w:tc>
          <w:tcPr>
            <w:tcW w:w="198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437631DE" w14:textId="0AD5BAD0"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9,0</w:t>
            </w:r>
          </w:p>
        </w:tc>
        <w:tc>
          <w:tcPr>
            <w:tcW w:w="240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2863EC17" w14:textId="658217DB" w:rsidR="0065675B" w:rsidRPr="0042113A" w:rsidRDefault="0042113A" w:rsidP="0065675B">
            <w:pPr>
              <w:overflowPunct/>
              <w:autoSpaceDE/>
              <w:autoSpaceDN/>
              <w:adjustRightInd/>
              <w:spacing w:line="256" w:lineRule="auto"/>
              <w:jc w:val="right"/>
              <w:textAlignment w:val="bottom"/>
              <w:rPr>
                <w:rFonts w:ascii="Calibri" w:eastAsia="PMingLiU" w:hAnsi="Calibri"/>
                <w:b/>
                <w:bCs/>
                <w:color w:val="000000"/>
                <w:kern w:val="24"/>
                <w:sz w:val="22"/>
                <w:szCs w:val="22"/>
              </w:rPr>
            </w:pPr>
            <w:r w:rsidRPr="0042113A">
              <w:rPr>
                <w:rFonts w:ascii="Calibri" w:eastAsia="PMingLiU" w:hAnsi="Calibri"/>
                <w:b/>
                <w:bCs/>
                <w:color w:val="000000"/>
                <w:kern w:val="24"/>
                <w:sz w:val="22"/>
                <w:szCs w:val="22"/>
              </w:rPr>
              <w:t>5,3</w:t>
            </w:r>
          </w:p>
        </w:tc>
      </w:tr>
    </w:tbl>
    <w:p w14:paraId="42C0318C" w14:textId="77777777" w:rsidR="00F976F5" w:rsidRDefault="00F976F5" w:rsidP="00F67E6A">
      <w:pPr>
        <w:rPr>
          <w:rFonts w:eastAsiaTheme="minorEastAsia" w:cs="Arial"/>
        </w:rPr>
      </w:pPr>
    </w:p>
    <w:p w14:paraId="58228004" w14:textId="77777777" w:rsidR="00F976F5" w:rsidRDefault="00F976F5" w:rsidP="00F67E6A">
      <w:pPr>
        <w:rPr>
          <w:rFonts w:eastAsiaTheme="minorEastAsia" w:cs="Arial"/>
        </w:rPr>
      </w:pPr>
    </w:p>
    <w:p w14:paraId="1D0A4EBC" w14:textId="77777777" w:rsidR="00F976F5" w:rsidRDefault="00F976F5" w:rsidP="00F67E6A">
      <w:pPr>
        <w:rPr>
          <w:rFonts w:eastAsiaTheme="minorEastAsia" w:cs="Arial"/>
        </w:rPr>
      </w:pPr>
    </w:p>
    <w:p w14:paraId="27518181" w14:textId="77777777" w:rsidR="00F976F5" w:rsidRDefault="00F976F5" w:rsidP="00F67E6A">
      <w:pPr>
        <w:rPr>
          <w:rFonts w:eastAsiaTheme="minorEastAsia" w:cs="Arial"/>
        </w:rPr>
      </w:pPr>
    </w:p>
    <w:p w14:paraId="05DC7618" w14:textId="77777777" w:rsidR="00F976F5" w:rsidRDefault="00F976F5" w:rsidP="00F67E6A">
      <w:pPr>
        <w:rPr>
          <w:rFonts w:eastAsiaTheme="minorEastAsia" w:cs="Arial"/>
        </w:rPr>
      </w:pPr>
    </w:p>
    <w:p w14:paraId="4261D321" w14:textId="77777777" w:rsidR="00F976F5" w:rsidRDefault="00F976F5" w:rsidP="00F67E6A">
      <w:pPr>
        <w:rPr>
          <w:rFonts w:eastAsiaTheme="minorEastAsia" w:cs="Arial"/>
        </w:rPr>
      </w:pPr>
    </w:p>
    <w:p w14:paraId="59B6FC8C" w14:textId="77777777" w:rsidR="00F976F5" w:rsidRDefault="00F976F5" w:rsidP="00F67E6A">
      <w:pPr>
        <w:rPr>
          <w:rFonts w:eastAsiaTheme="minorEastAsia" w:cs="Arial"/>
        </w:rPr>
      </w:pPr>
    </w:p>
    <w:p w14:paraId="0BCC203C" w14:textId="77777777" w:rsidR="00F976F5" w:rsidRDefault="00F976F5" w:rsidP="00F67E6A">
      <w:pPr>
        <w:rPr>
          <w:rFonts w:eastAsiaTheme="minorEastAsia" w:cs="Arial"/>
        </w:rPr>
      </w:pPr>
    </w:p>
    <w:p w14:paraId="7F635046" w14:textId="77777777" w:rsidR="00F976F5" w:rsidRDefault="00F976F5" w:rsidP="00F67E6A">
      <w:pPr>
        <w:rPr>
          <w:rFonts w:eastAsiaTheme="minorEastAsia" w:cs="Arial"/>
        </w:rPr>
      </w:pPr>
    </w:p>
    <w:p w14:paraId="74CFA268" w14:textId="77777777" w:rsidR="00F976F5" w:rsidRDefault="00F976F5" w:rsidP="00F67E6A">
      <w:pPr>
        <w:rPr>
          <w:rFonts w:eastAsiaTheme="minorEastAsia" w:cs="Arial"/>
        </w:rPr>
      </w:pPr>
    </w:p>
    <w:p w14:paraId="1AE6FC8E" w14:textId="1AC9C1F6" w:rsidR="005C1943" w:rsidRPr="00517111" w:rsidRDefault="00F976F5" w:rsidP="00F67E6A">
      <w:pPr>
        <w:rPr>
          <w:rFonts w:eastAsiaTheme="minorEastAsia" w:cs="Arial"/>
        </w:rPr>
      </w:pPr>
      <w:r w:rsidRPr="005A44FF">
        <w:rPr>
          <w:rFonts w:eastAsiaTheme="minorEastAsia" w:cs="Arial"/>
          <w:noProof/>
        </w:rPr>
        <mc:AlternateContent>
          <mc:Choice Requires="wps">
            <w:drawing>
              <wp:anchor distT="0" distB="0" distL="114300" distR="114300" simplePos="0" relativeHeight="251686912" behindDoc="0" locked="0" layoutInCell="1" allowOverlap="1" wp14:anchorId="12989396" wp14:editId="2900FF2A">
                <wp:simplePos x="0" y="0"/>
                <wp:positionH relativeFrom="margin">
                  <wp:posOffset>0</wp:posOffset>
                </wp:positionH>
                <wp:positionV relativeFrom="paragraph">
                  <wp:posOffset>134163</wp:posOffset>
                </wp:positionV>
                <wp:extent cx="4111625" cy="1637665"/>
                <wp:effectExtent l="0" t="0" r="3175" b="635"/>
                <wp:wrapSquare wrapText="bothSides"/>
                <wp:docPr id="199" name="Obdélník 199"/>
                <wp:cNvGraphicFramePr/>
                <a:graphic xmlns:a="http://schemas.openxmlformats.org/drawingml/2006/main">
                  <a:graphicData uri="http://schemas.microsoft.com/office/word/2010/wordprocessingShape">
                    <wps:wsp>
                      <wps:cNvSpPr/>
                      <wps:spPr>
                        <a:xfrm>
                          <a:off x="0" y="0"/>
                          <a:ext cx="4111625" cy="16376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160DE" w14:textId="77777777" w:rsidR="00044002" w:rsidRPr="005A44FF" w:rsidRDefault="00044002" w:rsidP="00044002">
                            <w:pPr>
                              <w:pStyle w:val="Standard"/>
                              <w:spacing w:line="276" w:lineRule="auto"/>
                              <w:jc w:val="left"/>
                              <w:rPr>
                                <w:rFonts w:cs="Arial"/>
                                <w:b/>
                                <w:sz w:val="20"/>
                                <w:szCs w:val="18"/>
                              </w:rPr>
                            </w:pPr>
                            <w:r w:rsidRPr="005A44FF">
                              <w:rPr>
                                <w:rFonts w:cs="Arial"/>
                                <w:b/>
                                <w:sz w:val="20"/>
                                <w:szCs w:val="18"/>
                              </w:rPr>
                              <w:t>O České bankovní asociaci</w:t>
                            </w:r>
                          </w:p>
                          <w:p w14:paraId="51BDEFCD" w14:textId="77777777" w:rsidR="00044002" w:rsidRPr="00F67E6A" w:rsidRDefault="00044002" w:rsidP="00044002">
                            <w:pPr>
                              <w:pStyle w:val="Standard"/>
                              <w:spacing w:line="276" w:lineRule="auto"/>
                              <w:ind w:left="28" w:hanging="28"/>
                              <w:jc w:val="left"/>
                              <w:rPr>
                                <w:rFonts w:cs="Arial"/>
                                <w:szCs w:val="18"/>
                              </w:rPr>
                            </w:pPr>
                            <w:r w:rsidRPr="003D3951">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89396" id="Obdélník 199" o:spid="_x0000_s1032" style="position:absolute;left:0;text-align:left;margin-left:0;margin-top:10.55pt;width:323.75pt;height:128.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xTrgIAAMIFAAAOAAAAZHJzL2Uyb0RvYy54bWysVM1O3DAQvlfqO1i+lyTbssCKLFqBqCpR&#10;QIWKs9dxNlFtj2t7N9m+EYc+BS/WsZ0NXYp6qHpJZsYz3/zP6VmvJNkI61rQJS0OckqE5lC1elXS&#10;r/eX744pcZ7piknQoqRb4ejZ/O2b087MxAQakJWwBEG0m3WmpI33ZpZljjdCMXcARmh8rMEq5pG1&#10;q6yyrEN0JbNJnk+zDmxlLHDhHEov0iOdR/y6Ftzf1LUTnsiSYmw+fm38LsM3m5+y2coy07R8CIP9&#10;QxSKtRqdjlAXzDOytu0fUKrlFhzU/oCDyqCuWy5iDphNkb/I5q5hRsRcsDjOjGVy/w+WX29uLWkr&#10;7N3JCSWaKWzSzbJ6epT66ec3EqRYo864GaremVs7cA7JkHBfWxX+mArpY123Y11F7wlH4YeiKKaT&#10;Q0o4vhXT90fT6WFAzZ7NjXX+owBFAlFSi42L9WSbK+eT6k4leHMg2+qylTIyYVjEubRkw7DNy1UR&#10;TeVafYYqyY4O8zw2G13G2QrqMYA9JKkDnoaAnJwGSRayT/lGym+lCHpSfxE11g4znESPI3JyyjgX&#10;2qdgXMMqkcQhlNdjiYABuUb/I/YAsJ/kDjtFOegHUxGHfjTO/xZYMh4tomfQfjRWrQb7GoDErAbP&#10;SX9XpFSaUCXfL/s4V9Pd/Cyh2uKsWUhL6Ay/bLHZV8z5W2Zx63A/8ZL4G/zUErqSwkBR0oD98Zo8&#10;6OMy4CslHW5xSd33NbOCEvlJ45oU+XEoNvF7nN3jlnucXqtzwCkq8G4ZHkm0t17uyNqCesCjswie&#10;8Ylpjv5L6nfkuU/3BY8WF4tFVMJlN8xf6TvDA3SodBjn+/6BWTPMvMd1uYbdzrPZi9FPusFSw2Lt&#10;oW7jXoRap8oOPcBDEQd7OGrhEv3OR63n0zv/BQAA//8DAFBLAwQUAAYACAAAACEArhhwa9sAAAAH&#10;AQAADwAAAGRycy9kb3ducmV2LnhtbEyPzU7DMBCE70i8g7VI3KidQPoT4lQIiQsnKBXiuE22SUS8&#10;DrGbhrdnOcFxdlYz3xTb2fVqojF0ni0kCwOKuPJ1x42F/dvTzRpUiMg19p7JwjcF2JaXFwXmtT/z&#10;K0272CgJ4ZCjhTbGIdc6VC05DAs/EIt39KPDKHJsdD3iWcJdr1Njltphx9LQ4kCPLVWfu5OT3nV4&#10;+Up5un1+32P2gXrQJmbWXl/ND/egIs3x7xl+8QUdSmE6+BPXQfUWZEi0kCYJKHGXd6sM1EEOq40B&#10;XRb6P3/5AwAA//8DAFBLAQItABQABgAIAAAAIQC2gziS/gAAAOEBAAATAAAAAAAAAAAAAAAAAAAA&#10;AABbQ29udGVudF9UeXBlc10ueG1sUEsBAi0AFAAGAAgAAAAhADj9If/WAAAAlAEAAAsAAAAAAAAA&#10;AAAAAAAALwEAAF9yZWxzLy5yZWxzUEsBAi0AFAAGAAgAAAAhAC82bFOuAgAAwgUAAA4AAAAAAAAA&#10;AAAAAAAALgIAAGRycy9lMm9Eb2MueG1sUEsBAi0AFAAGAAgAAAAhAK4YcGvbAAAABwEAAA8AAAAA&#10;AAAAAAAAAAAACAUAAGRycy9kb3ducmV2LnhtbFBLBQYAAAAABAAEAPMAAAAQBgAAAAA=&#10;" fillcolor="#bfbfbf [2412]" stroked="f" strokeweight="1pt">
                <v:textbox inset="3mm,3mm,3mm,3mm">
                  <w:txbxContent>
                    <w:p w14:paraId="4C1160DE" w14:textId="77777777" w:rsidR="00044002" w:rsidRPr="005A44FF" w:rsidRDefault="00044002" w:rsidP="00044002">
                      <w:pPr>
                        <w:pStyle w:val="Standard"/>
                        <w:spacing w:line="276" w:lineRule="auto"/>
                        <w:jc w:val="left"/>
                        <w:rPr>
                          <w:rFonts w:cs="Arial"/>
                          <w:b/>
                          <w:sz w:val="20"/>
                          <w:szCs w:val="18"/>
                        </w:rPr>
                      </w:pPr>
                      <w:r w:rsidRPr="005A44FF">
                        <w:rPr>
                          <w:rFonts w:cs="Arial"/>
                          <w:b/>
                          <w:sz w:val="20"/>
                          <w:szCs w:val="18"/>
                        </w:rPr>
                        <w:t>O České bankovní asociaci</w:t>
                      </w:r>
                    </w:p>
                    <w:p w14:paraId="51BDEFCD" w14:textId="77777777" w:rsidR="00044002" w:rsidRPr="00F67E6A" w:rsidRDefault="00044002" w:rsidP="00044002">
                      <w:pPr>
                        <w:pStyle w:val="Standard"/>
                        <w:spacing w:line="276" w:lineRule="auto"/>
                        <w:ind w:left="28" w:hanging="28"/>
                        <w:jc w:val="left"/>
                        <w:rPr>
                          <w:rFonts w:cs="Arial"/>
                          <w:szCs w:val="18"/>
                        </w:rPr>
                      </w:pPr>
                      <w:r w:rsidRPr="003D3951">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txbxContent>
                </v:textbox>
                <w10:wrap type="square" anchorx="margin"/>
              </v:rect>
            </w:pict>
          </mc:Fallback>
        </mc:AlternateContent>
      </w:r>
      <w:r w:rsidRPr="005A44FF">
        <w:rPr>
          <w:rFonts w:eastAsiaTheme="minorEastAsia" w:cs="Arial"/>
          <w:noProof/>
        </w:rPr>
        <mc:AlternateContent>
          <mc:Choice Requires="wps">
            <w:drawing>
              <wp:anchor distT="0" distB="0" distL="114300" distR="114300" simplePos="0" relativeHeight="251688960" behindDoc="0" locked="0" layoutInCell="1" allowOverlap="1" wp14:anchorId="351A5361" wp14:editId="4922BF87">
                <wp:simplePos x="0" y="0"/>
                <wp:positionH relativeFrom="margin">
                  <wp:posOffset>4244898</wp:posOffset>
                </wp:positionH>
                <wp:positionV relativeFrom="paragraph">
                  <wp:posOffset>1448232</wp:posOffset>
                </wp:positionV>
                <wp:extent cx="2181225" cy="1637665"/>
                <wp:effectExtent l="0" t="0" r="9525" b="635"/>
                <wp:wrapSquare wrapText="bothSides"/>
                <wp:docPr id="200" name="Obdélník 200"/>
                <wp:cNvGraphicFramePr/>
                <a:graphic xmlns:a="http://schemas.openxmlformats.org/drawingml/2006/main">
                  <a:graphicData uri="http://schemas.microsoft.com/office/word/2010/wordprocessingShape">
                    <wps:wsp>
                      <wps:cNvSpPr/>
                      <wps:spPr>
                        <a:xfrm>
                          <a:off x="0" y="0"/>
                          <a:ext cx="2181225" cy="1637665"/>
                        </a:xfrm>
                        <a:prstGeom prst="rect">
                          <a:avLst/>
                        </a:prstGeom>
                        <a:solidFill>
                          <a:srgbClr val="007E79">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95292"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 xml:space="preserve">Další informace </w:t>
                            </w:r>
                          </w:p>
                          <w:p w14:paraId="187194D7"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obdržíte na adrese:</w:t>
                            </w:r>
                          </w:p>
                          <w:p w14:paraId="5867C1DD" w14:textId="77777777" w:rsidR="00044002" w:rsidRPr="003D3951" w:rsidRDefault="00044002" w:rsidP="00044002">
                            <w:pPr>
                              <w:spacing w:line="276" w:lineRule="auto"/>
                              <w:jc w:val="left"/>
                              <w:rPr>
                                <w:rFonts w:cs="Arial"/>
                                <w:b/>
                                <w:szCs w:val="18"/>
                              </w:rPr>
                            </w:pPr>
                          </w:p>
                          <w:p w14:paraId="1F85193F" w14:textId="77777777" w:rsidR="00044002" w:rsidRPr="005A44FF" w:rsidRDefault="00044002" w:rsidP="00044002">
                            <w:pPr>
                              <w:spacing w:line="276" w:lineRule="auto"/>
                              <w:jc w:val="left"/>
                              <w:rPr>
                                <w:rFonts w:cs="Arial"/>
                                <w:noProof/>
                                <w:szCs w:val="18"/>
                              </w:rPr>
                            </w:pPr>
                            <w:r w:rsidRPr="005A44FF">
                              <w:rPr>
                                <w:rFonts w:cs="Arial"/>
                                <w:noProof/>
                                <w:szCs w:val="18"/>
                              </w:rPr>
                              <w:t xml:space="preserve">Monika Petrásková, </w:t>
                            </w:r>
                          </w:p>
                          <w:p w14:paraId="5026572F" w14:textId="77777777" w:rsidR="00044002" w:rsidRPr="005A44FF" w:rsidRDefault="00044002" w:rsidP="00044002">
                            <w:pPr>
                              <w:spacing w:line="276" w:lineRule="auto"/>
                              <w:jc w:val="left"/>
                              <w:rPr>
                                <w:rFonts w:cs="Arial"/>
                                <w:szCs w:val="18"/>
                              </w:rPr>
                            </w:pPr>
                            <w:r w:rsidRPr="005A44FF">
                              <w:rPr>
                                <w:rFonts w:cs="Arial"/>
                                <w:noProof/>
                                <w:szCs w:val="18"/>
                              </w:rPr>
                              <w:t>m</w:t>
                            </w:r>
                            <w:proofErr w:type="spellStart"/>
                            <w:r w:rsidRPr="005A44FF">
                              <w:rPr>
                                <w:rFonts w:cs="Arial"/>
                                <w:szCs w:val="18"/>
                              </w:rPr>
                              <w:t>anažerka</w:t>
                            </w:r>
                            <w:proofErr w:type="spellEnd"/>
                            <w:r w:rsidRPr="005A44FF">
                              <w:rPr>
                                <w:rFonts w:cs="Arial"/>
                                <w:szCs w:val="18"/>
                              </w:rPr>
                              <w:t xml:space="preserve"> PR a komunikace ČBA</w:t>
                            </w:r>
                          </w:p>
                          <w:p w14:paraId="69EB82FC" w14:textId="77777777" w:rsidR="00044002" w:rsidRPr="005A44FF" w:rsidRDefault="00044002" w:rsidP="00044002">
                            <w:pPr>
                              <w:spacing w:line="276" w:lineRule="auto"/>
                              <w:jc w:val="left"/>
                              <w:rPr>
                                <w:rFonts w:cs="Arial"/>
                                <w:szCs w:val="18"/>
                              </w:rPr>
                            </w:pPr>
                            <w:r w:rsidRPr="005A44FF">
                              <w:rPr>
                                <w:rFonts w:cs="Arial"/>
                                <w:szCs w:val="18"/>
                              </w:rPr>
                              <w:t>petraskova@czech-ba.cz</w:t>
                            </w:r>
                          </w:p>
                          <w:p w14:paraId="0B0CE061" w14:textId="77777777" w:rsidR="00044002" w:rsidRPr="005A44FF" w:rsidRDefault="00044002" w:rsidP="00044002">
                            <w:pPr>
                              <w:spacing w:line="276" w:lineRule="auto"/>
                              <w:jc w:val="left"/>
                              <w:rPr>
                                <w:rFonts w:cs="Arial"/>
                                <w:szCs w:val="18"/>
                              </w:rPr>
                            </w:pPr>
                            <w:r w:rsidRPr="005A44FF">
                              <w:rPr>
                                <w:rFonts w:cs="Arial"/>
                                <w:szCs w:val="18"/>
                              </w:rPr>
                              <w:t>tel: + 420 733 130 282</w:t>
                            </w:r>
                          </w:p>
                          <w:p w14:paraId="0808B31F" w14:textId="77777777" w:rsidR="00044002" w:rsidRDefault="00044002" w:rsidP="00044002">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5361" id="Obdélník 200" o:spid="_x0000_s1033" style="position:absolute;left:0;text-align:left;margin-left:334.25pt;margin-top:114.05pt;width:171.75pt;height:128.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SCtQIAAMAFAAAOAAAAZHJzL2Uyb0RvYy54bWysVMFu2zAMvQ/YPwi6r7azNkmDOkXQrsOA&#10;oi3WDj0rshwbkyVNUmJnf7TDvqI/NlKy3aUrdhiWg0NK5CP5RPLsvGsk2Qnraq1ymh2llAjFdVGr&#10;TU6/PFy9m1PiPFMFk1qJnO6Fo+fLt2/OWrMQE11pWQhLAES5RWtyWnlvFknieCUa5o60EQouS20b&#10;5kG1m6SwrAX0RiaTNJ0mrbaFsZoL5+D0Ml7SZcAvS8H9bVk64YnMKeTmw9eG7xq/yfKMLTaWmarm&#10;fRrsH7JoWK0g6Ah1yTwjW1v/AdXU3GqnS3/EdZPosqy5CDVANVn6opr7ihkRagFynBlpcv8Plt/s&#10;7iypi5wCm5Qo1sAj3a6Lpx9SPf38SvAUOGqNW4DpvbmzveZAxIK70jb4D6WQLvC6H3kVnSccDifZ&#10;PJtMTijhcJdN38+m0xNETZ7djXX+o9ANQSGnFh4u8Ml2185H08EEozkt6+KqljIodrO+kJbsGD5y&#10;OvswO42+0lQsnh6fztPjPqSL5iH8AY5UiKY04saQeJJg7bHaIPm9FGgn1WdRAnNYXwgXelaMiTDO&#10;hfJZvKpYIWImJyn8hkywy9Ej5BIAEbmE+CN2DzBYRpABO2bZ26OrCC0/Oqd/Syw6jx4hslZ+dG5q&#10;pe1rABKq6iNH+4GkSA2y5Lt1F7pqhpZ4stbFHjrN6jiCzvCrGp76mjl/xyzMHHQf7BF/C59S6jan&#10;upcoqbT9/to52sMowC0lLcxwTt23LbOCEvlJwZBk6RzJJv5Aswfa+kBT2+ZCQxdlsLUMDyL4Wy8H&#10;sbS6eYSVs8LIcMUUh/g59YN44eN2gZXFxWoVjGDUDfPX6t5whEamsZkfukdmTd/xHoblRg8TzxYv&#10;Gj/aoqfSq63XZR2m4pnZ/g1gTYRm6lca7qHf9WD1vHiXvwAAAP//AwBQSwMEFAAGAAgAAAAhAGdI&#10;5l3hAAAADAEAAA8AAABkcnMvZG93bnJldi54bWxMj8FqwzAQRO+F/oPYQm+NZJMY41oOIRAolLY0&#10;ce6ytLVNrJWxlMT5+yqn9rjsY+ZNuZ7twC44+d6RhGQhgCFpZ3pqJdSH3UsOzAdFRg2OUMINPayr&#10;x4dSFcZd6Rsv+9CyGEK+UBK6EMaCc687tMov3IgUfz9usirEc2q5mdQ1htuBp0Jk3KqeYkOnRtx2&#10;qE/7s5Ww2d6Gz3q5eq93+u3U8MNRf3wdpXx+mjevwALO4Q+Gu35Uhyo6Ne5MxrNBQpblq4hKSNM8&#10;AXYnRJLGeY2EZZ4J4FXJ/4+ofgEAAP//AwBQSwECLQAUAAYACAAAACEAtoM4kv4AAADhAQAAEwAA&#10;AAAAAAAAAAAAAAAAAAAAW0NvbnRlbnRfVHlwZXNdLnhtbFBLAQItABQABgAIAAAAIQA4/SH/1gAA&#10;AJQBAAALAAAAAAAAAAAAAAAAAC8BAABfcmVscy8ucmVsc1BLAQItABQABgAIAAAAIQA0U5SCtQIA&#10;AMAFAAAOAAAAAAAAAAAAAAAAAC4CAABkcnMvZTJvRG9jLnhtbFBLAQItABQABgAIAAAAIQBnSOZd&#10;4QAAAAwBAAAPAAAAAAAAAAAAAAAAAA8FAABkcnMvZG93bnJldi54bWxQSwUGAAAAAAQABADzAAAA&#10;HQYAAAAA&#10;" fillcolor="#007e79" stroked="f" strokeweight="1pt">
                <v:fill opacity="32639f"/>
                <v:textbox inset="3mm,3mm,3mm,3mm">
                  <w:txbxContent>
                    <w:p w14:paraId="7AC95292"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 xml:space="preserve">Další informace </w:t>
                      </w:r>
                    </w:p>
                    <w:p w14:paraId="187194D7"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obdržíte na adrese:</w:t>
                      </w:r>
                    </w:p>
                    <w:p w14:paraId="5867C1DD" w14:textId="77777777" w:rsidR="00044002" w:rsidRPr="003D3951" w:rsidRDefault="00044002" w:rsidP="00044002">
                      <w:pPr>
                        <w:spacing w:line="276" w:lineRule="auto"/>
                        <w:jc w:val="left"/>
                        <w:rPr>
                          <w:rFonts w:cs="Arial"/>
                          <w:b/>
                          <w:szCs w:val="18"/>
                        </w:rPr>
                      </w:pPr>
                    </w:p>
                    <w:p w14:paraId="1F85193F" w14:textId="77777777" w:rsidR="00044002" w:rsidRPr="005A44FF" w:rsidRDefault="00044002" w:rsidP="00044002">
                      <w:pPr>
                        <w:spacing w:line="276" w:lineRule="auto"/>
                        <w:jc w:val="left"/>
                        <w:rPr>
                          <w:rFonts w:cs="Arial"/>
                          <w:noProof/>
                          <w:szCs w:val="18"/>
                        </w:rPr>
                      </w:pPr>
                      <w:r w:rsidRPr="005A44FF">
                        <w:rPr>
                          <w:rFonts w:cs="Arial"/>
                          <w:noProof/>
                          <w:szCs w:val="18"/>
                        </w:rPr>
                        <w:t xml:space="preserve">Monika Petrásková, </w:t>
                      </w:r>
                    </w:p>
                    <w:p w14:paraId="5026572F" w14:textId="77777777" w:rsidR="00044002" w:rsidRPr="005A44FF" w:rsidRDefault="00044002" w:rsidP="00044002">
                      <w:pPr>
                        <w:spacing w:line="276" w:lineRule="auto"/>
                        <w:jc w:val="left"/>
                        <w:rPr>
                          <w:rFonts w:cs="Arial"/>
                          <w:szCs w:val="18"/>
                        </w:rPr>
                      </w:pPr>
                      <w:r w:rsidRPr="005A44FF">
                        <w:rPr>
                          <w:rFonts w:cs="Arial"/>
                          <w:noProof/>
                          <w:szCs w:val="18"/>
                        </w:rPr>
                        <w:t>m</w:t>
                      </w:r>
                      <w:proofErr w:type="spellStart"/>
                      <w:r w:rsidRPr="005A44FF">
                        <w:rPr>
                          <w:rFonts w:cs="Arial"/>
                          <w:szCs w:val="18"/>
                        </w:rPr>
                        <w:t>anažerka</w:t>
                      </w:r>
                      <w:proofErr w:type="spellEnd"/>
                      <w:r w:rsidRPr="005A44FF">
                        <w:rPr>
                          <w:rFonts w:cs="Arial"/>
                          <w:szCs w:val="18"/>
                        </w:rPr>
                        <w:t xml:space="preserve"> PR a komunikace ČBA</w:t>
                      </w:r>
                    </w:p>
                    <w:p w14:paraId="69EB82FC" w14:textId="77777777" w:rsidR="00044002" w:rsidRPr="005A44FF" w:rsidRDefault="00044002" w:rsidP="00044002">
                      <w:pPr>
                        <w:spacing w:line="276" w:lineRule="auto"/>
                        <w:jc w:val="left"/>
                        <w:rPr>
                          <w:rFonts w:cs="Arial"/>
                          <w:szCs w:val="18"/>
                        </w:rPr>
                      </w:pPr>
                      <w:r w:rsidRPr="005A44FF">
                        <w:rPr>
                          <w:rFonts w:cs="Arial"/>
                          <w:szCs w:val="18"/>
                        </w:rPr>
                        <w:t>petraskova@czech-ba.cz</w:t>
                      </w:r>
                    </w:p>
                    <w:p w14:paraId="0B0CE061" w14:textId="77777777" w:rsidR="00044002" w:rsidRPr="005A44FF" w:rsidRDefault="00044002" w:rsidP="00044002">
                      <w:pPr>
                        <w:spacing w:line="276" w:lineRule="auto"/>
                        <w:jc w:val="left"/>
                        <w:rPr>
                          <w:rFonts w:cs="Arial"/>
                          <w:szCs w:val="18"/>
                        </w:rPr>
                      </w:pPr>
                      <w:r w:rsidRPr="005A44FF">
                        <w:rPr>
                          <w:rFonts w:cs="Arial"/>
                          <w:szCs w:val="18"/>
                        </w:rPr>
                        <w:t>tel: + 420 733 130 282</w:t>
                      </w:r>
                    </w:p>
                    <w:p w14:paraId="0808B31F" w14:textId="77777777" w:rsidR="00044002" w:rsidRDefault="00044002" w:rsidP="00044002">
                      <w:pPr>
                        <w:jc w:val="left"/>
                      </w:pPr>
                    </w:p>
                  </w:txbxContent>
                </v:textbox>
                <w10:wrap type="square" anchorx="margin"/>
              </v:rect>
            </w:pict>
          </mc:Fallback>
        </mc:AlternateContent>
      </w:r>
    </w:p>
    <w:sectPr w:rsidR="005C1943" w:rsidRPr="00517111" w:rsidSect="00D36FE1">
      <w:headerReference w:type="default" r:id="rId8"/>
      <w:footerReference w:type="default" r:id="rId9"/>
      <w:pgSz w:w="11906" w:h="16838"/>
      <w:pgMar w:top="2552" w:right="851"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66DD" w14:textId="77777777" w:rsidR="00FB115F" w:rsidRDefault="00FB115F" w:rsidP="00F573F1">
      <w:r>
        <w:separator/>
      </w:r>
    </w:p>
  </w:endnote>
  <w:endnote w:type="continuationSeparator" w:id="0">
    <w:p w14:paraId="2B08CA52" w14:textId="77777777" w:rsidR="00FB115F" w:rsidRDefault="00FB115F"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4"/>
      </w:rPr>
      <w:id w:val="-915778797"/>
      <w:docPartObj>
        <w:docPartGallery w:val="Page Numbers (Bottom of Page)"/>
        <w:docPartUnique/>
      </w:docPartObj>
    </w:sdtPr>
    <w:sdtEndPr/>
    <w:sdtContent>
      <w:p w14:paraId="13CE44BD" w14:textId="77777777" w:rsidR="00FB4A1C" w:rsidRPr="00FB4A1C" w:rsidRDefault="00FB4A1C">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00DC4924">
          <w:rPr>
            <w:noProof/>
            <w:color w:val="A6A6A6" w:themeColor="background1" w:themeShade="A6"/>
            <w:sz w:val="14"/>
          </w:rPr>
          <w:t>3</w:t>
        </w:r>
        <w:r w:rsidRPr="00FB4A1C">
          <w:rPr>
            <w:color w:val="A6A6A6" w:themeColor="background1" w:themeShade="A6"/>
            <w:sz w:val="14"/>
          </w:rPr>
          <w:fldChar w:fldCharType="end"/>
        </w:r>
      </w:p>
    </w:sdtContent>
  </w:sdt>
  <w:p w14:paraId="6B2FBE8E" w14:textId="77777777" w:rsidR="00FB4A1C" w:rsidRPr="00FB4A1C" w:rsidRDefault="00FB4A1C"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3C3D1" w14:textId="77777777" w:rsidR="00FB115F" w:rsidRDefault="00FB115F" w:rsidP="00F573F1">
      <w:r>
        <w:separator/>
      </w:r>
    </w:p>
  </w:footnote>
  <w:footnote w:type="continuationSeparator" w:id="0">
    <w:p w14:paraId="667AD3F1" w14:textId="77777777" w:rsidR="00FB115F" w:rsidRDefault="00FB115F"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06E3" w14:textId="52D82906" w:rsidR="00F573F1" w:rsidRDefault="00F573F1">
    <w:pPr>
      <w:pStyle w:val="Zhlav"/>
    </w:pPr>
    <w:r>
      <w:rPr>
        <w:noProof/>
      </w:rPr>
      <w:drawing>
        <wp:anchor distT="0" distB="0" distL="114300" distR="114300" simplePos="0" relativeHeight="251659264" behindDoc="1" locked="0" layoutInCell="1" allowOverlap="1" wp14:anchorId="08F9921F" wp14:editId="696766EE">
          <wp:simplePos x="0" y="0"/>
          <wp:positionH relativeFrom="page">
            <wp:posOffset>112395</wp:posOffset>
          </wp:positionH>
          <wp:positionV relativeFrom="paragraph">
            <wp:posOffset>-413385</wp:posOffset>
          </wp:positionV>
          <wp:extent cx="3196206" cy="1612900"/>
          <wp:effectExtent l="0" t="0" r="4445" b="635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12C4DCE"/>
    <w:multiLevelType w:val="hybridMultilevel"/>
    <w:tmpl w:val="D4D47A08"/>
    <w:lvl w:ilvl="0" w:tplc="F062A1E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786F60"/>
    <w:multiLevelType w:val="hybridMultilevel"/>
    <w:tmpl w:val="3232EEBE"/>
    <w:lvl w:ilvl="0" w:tplc="491E844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C57BCF"/>
    <w:multiLevelType w:val="hybridMultilevel"/>
    <w:tmpl w:val="3554269C"/>
    <w:lvl w:ilvl="0" w:tplc="F52C1D16">
      <w:numFmt w:val="bullet"/>
      <w:lvlText w:val="-"/>
      <w:lvlJc w:val="left"/>
      <w:pPr>
        <w:ind w:left="720" w:hanging="360"/>
      </w:pPr>
      <w:rPr>
        <w:rFonts w:ascii="Calibri" w:eastAsia="PMingLiU"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84F41FF"/>
    <w:multiLevelType w:val="hybridMultilevel"/>
    <w:tmpl w:val="06ECF1A8"/>
    <w:lvl w:ilvl="0" w:tplc="7216123C">
      <w:start w:val="1"/>
      <w:numFmt w:val="bullet"/>
      <w:lvlText w:val="-"/>
      <w:lvlJc w:val="left"/>
      <w:pPr>
        <w:tabs>
          <w:tab w:val="num" w:pos="720"/>
        </w:tabs>
        <w:ind w:left="720" w:hanging="360"/>
      </w:pPr>
      <w:rPr>
        <w:rFonts w:ascii="Arial" w:hAnsi="Arial" w:hint="default"/>
      </w:rPr>
    </w:lvl>
    <w:lvl w:ilvl="1" w:tplc="D4D69B72" w:tentative="1">
      <w:start w:val="1"/>
      <w:numFmt w:val="bullet"/>
      <w:lvlText w:val="-"/>
      <w:lvlJc w:val="left"/>
      <w:pPr>
        <w:tabs>
          <w:tab w:val="num" w:pos="1440"/>
        </w:tabs>
        <w:ind w:left="1440" w:hanging="360"/>
      </w:pPr>
      <w:rPr>
        <w:rFonts w:ascii="Arial" w:hAnsi="Arial" w:hint="default"/>
      </w:rPr>
    </w:lvl>
    <w:lvl w:ilvl="2" w:tplc="F4A4DA8A" w:tentative="1">
      <w:start w:val="1"/>
      <w:numFmt w:val="bullet"/>
      <w:lvlText w:val="-"/>
      <w:lvlJc w:val="left"/>
      <w:pPr>
        <w:tabs>
          <w:tab w:val="num" w:pos="2160"/>
        </w:tabs>
        <w:ind w:left="2160" w:hanging="360"/>
      </w:pPr>
      <w:rPr>
        <w:rFonts w:ascii="Arial" w:hAnsi="Arial" w:hint="default"/>
      </w:rPr>
    </w:lvl>
    <w:lvl w:ilvl="3" w:tplc="992E1B1C" w:tentative="1">
      <w:start w:val="1"/>
      <w:numFmt w:val="bullet"/>
      <w:lvlText w:val="-"/>
      <w:lvlJc w:val="left"/>
      <w:pPr>
        <w:tabs>
          <w:tab w:val="num" w:pos="2880"/>
        </w:tabs>
        <w:ind w:left="2880" w:hanging="360"/>
      </w:pPr>
      <w:rPr>
        <w:rFonts w:ascii="Arial" w:hAnsi="Arial" w:hint="default"/>
      </w:rPr>
    </w:lvl>
    <w:lvl w:ilvl="4" w:tplc="87344526" w:tentative="1">
      <w:start w:val="1"/>
      <w:numFmt w:val="bullet"/>
      <w:lvlText w:val="-"/>
      <w:lvlJc w:val="left"/>
      <w:pPr>
        <w:tabs>
          <w:tab w:val="num" w:pos="3600"/>
        </w:tabs>
        <w:ind w:left="3600" w:hanging="360"/>
      </w:pPr>
      <w:rPr>
        <w:rFonts w:ascii="Arial" w:hAnsi="Arial" w:hint="default"/>
      </w:rPr>
    </w:lvl>
    <w:lvl w:ilvl="5" w:tplc="48FEB5AE" w:tentative="1">
      <w:start w:val="1"/>
      <w:numFmt w:val="bullet"/>
      <w:lvlText w:val="-"/>
      <w:lvlJc w:val="left"/>
      <w:pPr>
        <w:tabs>
          <w:tab w:val="num" w:pos="4320"/>
        </w:tabs>
        <w:ind w:left="4320" w:hanging="360"/>
      </w:pPr>
      <w:rPr>
        <w:rFonts w:ascii="Arial" w:hAnsi="Arial" w:hint="default"/>
      </w:rPr>
    </w:lvl>
    <w:lvl w:ilvl="6" w:tplc="53A2F4D2" w:tentative="1">
      <w:start w:val="1"/>
      <w:numFmt w:val="bullet"/>
      <w:lvlText w:val="-"/>
      <w:lvlJc w:val="left"/>
      <w:pPr>
        <w:tabs>
          <w:tab w:val="num" w:pos="5040"/>
        </w:tabs>
        <w:ind w:left="5040" w:hanging="360"/>
      </w:pPr>
      <w:rPr>
        <w:rFonts w:ascii="Arial" w:hAnsi="Arial" w:hint="default"/>
      </w:rPr>
    </w:lvl>
    <w:lvl w:ilvl="7" w:tplc="AEA686B4" w:tentative="1">
      <w:start w:val="1"/>
      <w:numFmt w:val="bullet"/>
      <w:lvlText w:val="-"/>
      <w:lvlJc w:val="left"/>
      <w:pPr>
        <w:tabs>
          <w:tab w:val="num" w:pos="5760"/>
        </w:tabs>
        <w:ind w:left="5760" w:hanging="360"/>
      </w:pPr>
      <w:rPr>
        <w:rFonts w:ascii="Arial" w:hAnsi="Arial" w:hint="default"/>
      </w:rPr>
    </w:lvl>
    <w:lvl w:ilvl="8" w:tplc="0F3A89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419CA"/>
    <w:rsid w:val="00044002"/>
    <w:rsid w:val="00055376"/>
    <w:rsid w:val="0007096D"/>
    <w:rsid w:val="00092ACE"/>
    <w:rsid w:val="000A086B"/>
    <w:rsid w:val="000A337A"/>
    <w:rsid w:val="000D1977"/>
    <w:rsid w:val="000D5D2B"/>
    <w:rsid w:val="000E3A69"/>
    <w:rsid w:val="00100B73"/>
    <w:rsid w:val="00105C84"/>
    <w:rsid w:val="0011443F"/>
    <w:rsid w:val="00125474"/>
    <w:rsid w:val="001262D3"/>
    <w:rsid w:val="00186E9F"/>
    <w:rsid w:val="001914C2"/>
    <w:rsid w:val="00195C6D"/>
    <w:rsid w:val="001C0DF4"/>
    <w:rsid w:val="001C1EFA"/>
    <w:rsid w:val="001C297A"/>
    <w:rsid w:val="001D5BB9"/>
    <w:rsid w:val="00251963"/>
    <w:rsid w:val="00263F96"/>
    <w:rsid w:val="00267ACA"/>
    <w:rsid w:val="002878FD"/>
    <w:rsid w:val="002D12BD"/>
    <w:rsid w:val="002D1376"/>
    <w:rsid w:val="002F477C"/>
    <w:rsid w:val="00302451"/>
    <w:rsid w:val="00316A23"/>
    <w:rsid w:val="00320A31"/>
    <w:rsid w:val="00327407"/>
    <w:rsid w:val="00330682"/>
    <w:rsid w:val="00342882"/>
    <w:rsid w:val="00360F61"/>
    <w:rsid w:val="00370F35"/>
    <w:rsid w:val="00373D9D"/>
    <w:rsid w:val="00380C99"/>
    <w:rsid w:val="00391FA6"/>
    <w:rsid w:val="003947A8"/>
    <w:rsid w:val="003952ED"/>
    <w:rsid w:val="003C3D7F"/>
    <w:rsid w:val="003D104A"/>
    <w:rsid w:val="003E3DCB"/>
    <w:rsid w:val="003F1CB9"/>
    <w:rsid w:val="003F7F31"/>
    <w:rsid w:val="0040072F"/>
    <w:rsid w:val="00401322"/>
    <w:rsid w:val="00405C26"/>
    <w:rsid w:val="00416028"/>
    <w:rsid w:val="0042113A"/>
    <w:rsid w:val="00437589"/>
    <w:rsid w:val="0049113D"/>
    <w:rsid w:val="004A1724"/>
    <w:rsid w:val="004C389E"/>
    <w:rsid w:val="004D5EDF"/>
    <w:rsid w:val="004E1AC6"/>
    <w:rsid w:val="004E6615"/>
    <w:rsid w:val="00517111"/>
    <w:rsid w:val="00520AEA"/>
    <w:rsid w:val="00527C61"/>
    <w:rsid w:val="005354AE"/>
    <w:rsid w:val="00555B91"/>
    <w:rsid w:val="005642DD"/>
    <w:rsid w:val="00577677"/>
    <w:rsid w:val="005A2501"/>
    <w:rsid w:val="005A44FF"/>
    <w:rsid w:val="005C1943"/>
    <w:rsid w:val="005C6D52"/>
    <w:rsid w:val="005C6DB6"/>
    <w:rsid w:val="005D0910"/>
    <w:rsid w:val="005D42A6"/>
    <w:rsid w:val="005E58E1"/>
    <w:rsid w:val="00604274"/>
    <w:rsid w:val="0060552B"/>
    <w:rsid w:val="00611C5C"/>
    <w:rsid w:val="00614E76"/>
    <w:rsid w:val="006454CC"/>
    <w:rsid w:val="006478ED"/>
    <w:rsid w:val="0065675B"/>
    <w:rsid w:val="006642E5"/>
    <w:rsid w:val="0066436B"/>
    <w:rsid w:val="006669D1"/>
    <w:rsid w:val="00675D0C"/>
    <w:rsid w:val="006963D2"/>
    <w:rsid w:val="006B19D1"/>
    <w:rsid w:val="006B2F86"/>
    <w:rsid w:val="006B60A6"/>
    <w:rsid w:val="006B7DE5"/>
    <w:rsid w:val="006C44C8"/>
    <w:rsid w:val="006C6CFF"/>
    <w:rsid w:val="006C6D8D"/>
    <w:rsid w:val="006D23EF"/>
    <w:rsid w:val="006D7467"/>
    <w:rsid w:val="006E0634"/>
    <w:rsid w:val="00730B38"/>
    <w:rsid w:val="00742971"/>
    <w:rsid w:val="00744504"/>
    <w:rsid w:val="00746582"/>
    <w:rsid w:val="007725F7"/>
    <w:rsid w:val="007B02A8"/>
    <w:rsid w:val="007C2F0D"/>
    <w:rsid w:val="007C4C83"/>
    <w:rsid w:val="007D4025"/>
    <w:rsid w:val="007E0D70"/>
    <w:rsid w:val="007F40D6"/>
    <w:rsid w:val="00801132"/>
    <w:rsid w:val="00803E55"/>
    <w:rsid w:val="00807F85"/>
    <w:rsid w:val="00811FE2"/>
    <w:rsid w:val="008404DA"/>
    <w:rsid w:val="00854190"/>
    <w:rsid w:val="00864495"/>
    <w:rsid w:val="00870102"/>
    <w:rsid w:val="008722D9"/>
    <w:rsid w:val="00872847"/>
    <w:rsid w:val="0088279B"/>
    <w:rsid w:val="008857AA"/>
    <w:rsid w:val="00897332"/>
    <w:rsid w:val="008D5313"/>
    <w:rsid w:val="009065D8"/>
    <w:rsid w:val="009139AF"/>
    <w:rsid w:val="00925C27"/>
    <w:rsid w:val="009430BD"/>
    <w:rsid w:val="00944D10"/>
    <w:rsid w:val="00950AD8"/>
    <w:rsid w:val="00977317"/>
    <w:rsid w:val="009A5048"/>
    <w:rsid w:val="00A020B8"/>
    <w:rsid w:val="00A144A3"/>
    <w:rsid w:val="00A2430B"/>
    <w:rsid w:val="00A36E62"/>
    <w:rsid w:val="00A41BA7"/>
    <w:rsid w:val="00A42EAA"/>
    <w:rsid w:val="00A6286E"/>
    <w:rsid w:val="00A7019E"/>
    <w:rsid w:val="00A7149F"/>
    <w:rsid w:val="00A732A1"/>
    <w:rsid w:val="00A8750A"/>
    <w:rsid w:val="00A90878"/>
    <w:rsid w:val="00AA24D9"/>
    <w:rsid w:val="00B03E8F"/>
    <w:rsid w:val="00B27646"/>
    <w:rsid w:val="00B3003D"/>
    <w:rsid w:val="00B506AC"/>
    <w:rsid w:val="00B95673"/>
    <w:rsid w:val="00B97579"/>
    <w:rsid w:val="00B97D6A"/>
    <w:rsid w:val="00BC15D2"/>
    <w:rsid w:val="00BC61FC"/>
    <w:rsid w:val="00BD51B7"/>
    <w:rsid w:val="00BF58BD"/>
    <w:rsid w:val="00C01CB1"/>
    <w:rsid w:val="00C17244"/>
    <w:rsid w:val="00C31BC2"/>
    <w:rsid w:val="00C50104"/>
    <w:rsid w:val="00C7383D"/>
    <w:rsid w:val="00C74048"/>
    <w:rsid w:val="00C93158"/>
    <w:rsid w:val="00C975C9"/>
    <w:rsid w:val="00CA6B72"/>
    <w:rsid w:val="00CA7866"/>
    <w:rsid w:val="00CB6EC2"/>
    <w:rsid w:val="00CB79A1"/>
    <w:rsid w:val="00CC7510"/>
    <w:rsid w:val="00CD214E"/>
    <w:rsid w:val="00CD7450"/>
    <w:rsid w:val="00CE1014"/>
    <w:rsid w:val="00D10717"/>
    <w:rsid w:val="00D157A4"/>
    <w:rsid w:val="00D17D09"/>
    <w:rsid w:val="00D20916"/>
    <w:rsid w:val="00D2261D"/>
    <w:rsid w:val="00D36FE1"/>
    <w:rsid w:val="00D7566D"/>
    <w:rsid w:val="00D77C73"/>
    <w:rsid w:val="00D87B97"/>
    <w:rsid w:val="00D97A26"/>
    <w:rsid w:val="00D97E49"/>
    <w:rsid w:val="00DC328A"/>
    <w:rsid w:val="00DC4924"/>
    <w:rsid w:val="00E10053"/>
    <w:rsid w:val="00E10472"/>
    <w:rsid w:val="00E23E0B"/>
    <w:rsid w:val="00E3317B"/>
    <w:rsid w:val="00E3386F"/>
    <w:rsid w:val="00E4270B"/>
    <w:rsid w:val="00E52EE1"/>
    <w:rsid w:val="00E77101"/>
    <w:rsid w:val="00E8787F"/>
    <w:rsid w:val="00E92D8C"/>
    <w:rsid w:val="00EA05BA"/>
    <w:rsid w:val="00EA4EAF"/>
    <w:rsid w:val="00ED452D"/>
    <w:rsid w:val="00F20F0C"/>
    <w:rsid w:val="00F32F3A"/>
    <w:rsid w:val="00F52FD1"/>
    <w:rsid w:val="00F545AC"/>
    <w:rsid w:val="00F573F1"/>
    <w:rsid w:val="00F6767A"/>
    <w:rsid w:val="00F67E6A"/>
    <w:rsid w:val="00F976F5"/>
    <w:rsid w:val="00FA3413"/>
    <w:rsid w:val="00FB115F"/>
    <w:rsid w:val="00FB4A1C"/>
    <w:rsid w:val="00FD12DB"/>
    <w:rsid w:val="00FD57E2"/>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3594D"/>
  <w15:chartTrackingRefBased/>
  <w15:docId w15:val="{2593DE48-8079-4E48-8F14-09991C41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744504"/>
    <w:rPr>
      <w:sz w:val="16"/>
      <w:szCs w:val="16"/>
    </w:rPr>
  </w:style>
  <w:style w:type="paragraph" w:styleId="Textkomente">
    <w:name w:val="annotation text"/>
    <w:basedOn w:val="Normln"/>
    <w:link w:val="TextkomenteChar"/>
    <w:uiPriority w:val="99"/>
    <w:semiHidden/>
    <w:unhideWhenUsed/>
    <w:rsid w:val="00744504"/>
    <w:rPr>
      <w:sz w:val="20"/>
    </w:rPr>
  </w:style>
  <w:style w:type="character" w:customStyle="1" w:styleId="TextkomenteChar">
    <w:name w:val="Text komentáře Char"/>
    <w:basedOn w:val="Standardnpsmoodstavce"/>
    <w:link w:val="Textkomente"/>
    <w:uiPriority w:val="99"/>
    <w:semiHidden/>
    <w:rsid w:val="0074450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4504"/>
    <w:rPr>
      <w:b/>
      <w:bCs/>
    </w:rPr>
  </w:style>
  <w:style w:type="character" w:customStyle="1" w:styleId="PedmtkomenteChar">
    <w:name w:val="Předmět komentáře Char"/>
    <w:basedOn w:val="TextkomenteChar"/>
    <w:link w:val="Pedmtkomente"/>
    <w:uiPriority w:val="99"/>
    <w:semiHidden/>
    <w:rsid w:val="00744504"/>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258">
      <w:bodyDiv w:val="1"/>
      <w:marLeft w:val="0"/>
      <w:marRight w:val="0"/>
      <w:marTop w:val="0"/>
      <w:marBottom w:val="0"/>
      <w:divBdr>
        <w:top w:val="none" w:sz="0" w:space="0" w:color="auto"/>
        <w:left w:val="none" w:sz="0" w:space="0" w:color="auto"/>
        <w:bottom w:val="none" w:sz="0" w:space="0" w:color="auto"/>
        <w:right w:val="none" w:sz="0" w:space="0" w:color="auto"/>
      </w:divBdr>
    </w:div>
    <w:div w:id="235168362">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389623159">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350253804">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509517607">
      <w:bodyDiv w:val="1"/>
      <w:marLeft w:val="0"/>
      <w:marRight w:val="0"/>
      <w:marTop w:val="0"/>
      <w:marBottom w:val="0"/>
      <w:divBdr>
        <w:top w:val="none" w:sz="0" w:space="0" w:color="auto"/>
        <w:left w:val="none" w:sz="0" w:space="0" w:color="auto"/>
        <w:bottom w:val="none" w:sz="0" w:space="0" w:color="auto"/>
        <w:right w:val="none" w:sz="0" w:space="0" w:color="auto"/>
      </w:divBdr>
    </w:div>
    <w:div w:id="1615551508">
      <w:bodyDiv w:val="1"/>
      <w:marLeft w:val="0"/>
      <w:marRight w:val="0"/>
      <w:marTop w:val="0"/>
      <w:marBottom w:val="0"/>
      <w:divBdr>
        <w:top w:val="none" w:sz="0" w:space="0" w:color="auto"/>
        <w:left w:val="none" w:sz="0" w:space="0" w:color="auto"/>
        <w:bottom w:val="none" w:sz="0" w:space="0" w:color="auto"/>
        <w:right w:val="none" w:sz="0" w:space="0" w:color="auto"/>
      </w:divBdr>
    </w:div>
    <w:div w:id="1775709910">
      <w:bodyDiv w:val="1"/>
      <w:marLeft w:val="0"/>
      <w:marRight w:val="0"/>
      <w:marTop w:val="0"/>
      <w:marBottom w:val="0"/>
      <w:divBdr>
        <w:top w:val="none" w:sz="0" w:space="0" w:color="auto"/>
        <w:left w:val="none" w:sz="0" w:space="0" w:color="auto"/>
        <w:bottom w:val="none" w:sz="0" w:space="0" w:color="auto"/>
        <w:right w:val="none" w:sz="0" w:space="0" w:color="auto"/>
      </w:divBdr>
      <w:divsChild>
        <w:div w:id="1008944210">
          <w:marLeft w:val="547"/>
          <w:marRight w:val="0"/>
          <w:marTop w:val="0"/>
          <w:marBottom w:val="0"/>
          <w:divBdr>
            <w:top w:val="none" w:sz="0" w:space="0" w:color="auto"/>
            <w:left w:val="none" w:sz="0" w:space="0" w:color="auto"/>
            <w:bottom w:val="none" w:sz="0" w:space="0" w:color="auto"/>
            <w:right w:val="none" w:sz="0" w:space="0" w:color="auto"/>
          </w:divBdr>
        </w:div>
      </w:divsChild>
    </w:div>
    <w:div w:id="1777214021">
      <w:bodyDiv w:val="1"/>
      <w:marLeft w:val="0"/>
      <w:marRight w:val="0"/>
      <w:marTop w:val="0"/>
      <w:marBottom w:val="0"/>
      <w:divBdr>
        <w:top w:val="none" w:sz="0" w:space="0" w:color="auto"/>
        <w:left w:val="none" w:sz="0" w:space="0" w:color="auto"/>
        <w:bottom w:val="none" w:sz="0" w:space="0" w:color="auto"/>
        <w:right w:val="none" w:sz="0" w:space="0" w:color="auto"/>
      </w:divBdr>
    </w:div>
    <w:div w:id="1863548730">
      <w:bodyDiv w:val="1"/>
      <w:marLeft w:val="0"/>
      <w:marRight w:val="0"/>
      <w:marTop w:val="0"/>
      <w:marBottom w:val="0"/>
      <w:divBdr>
        <w:top w:val="none" w:sz="0" w:space="0" w:color="auto"/>
        <w:left w:val="none" w:sz="0" w:space="0" w:color="auto"/>
        <w:bottom w:val="none" w:sz="0" w:space="0" w:color="auto"/>
        <w:right w:val="none" w:sz="0" w:space="0" w:color="auto"/>
      </w:divBdr>
    </w:div>
    <w:div w:id="18827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B176-5B98-4AFC-B29D-C91C781B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1475</Words>
  <Characters>8706</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vlachova</dc:creator>
  <cp:keywords/>
  <dc:description/>
  <cp:lastModifiedBy>Andrea Trudičová</cp:lastModifiedBy>
  <cp:revision>12</cp:revision>
  <cp:lastPrinted>2019-04-29T10:21:00Z</cp:lastPrinted>
  <dcterms:created xsi:type="dcterms:W3CDTF">2019-10-23T08:52:00Z</dcterms:created>
  <dcterms:modified xsi:type="dcterms:W3CDTF">2019-10-23T14:48:00Z</dcterms:modified>
</cp:coreProperties>
</file>