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692" w:rsidRPr="00A848E4" w:rsidRDefault="00222692" w:rsidP="00222692">
      <w:pPr>
        <w:spacing w:after="120" w:line="276" w:lineRule="auto"/>
        <w:contextualSpacing/>
        <w:rPr>
          <w:rFonts w:cs="Arial"/>
          <w:b/>
          <w:color w:val="007E79"/>
          <w:sz w:val="28"/>
          <w:szCs w:val="28"/>
        </w:rPr>
      </w:pPr>
      <w:r w:rsidRPr="00A848E4">
        <w:rPr>
          <w:rFonts w:cs="Arial"/>
          <w:b/>
          <w:color w:val="007E79"/>
          <w:sz w:val="28"/>
          <w:szCs w:val="28"/>
        </w:rPr>
        <w:t xml:space="preserve">Finanční gramotnost Čechům stále nic neříká, zlepšili jsme se o jediný bod. Z našetřených peněz nevyžijeme ani čtvrt roku   </w:t>
      </w:r>
    </w:p>
    <w:p w:rsidR="00222692" w:rsidRPr="00A848E4" w:rsidRDefault="00222692" w:rsidP="00222692">
      <w:pPr>
        <w:spacing w:after="120" w:line="276" w:lineRule="auto"/>
        <w:contextualSpacing/>
        <w:rPr>
          <w:rFonts w:cs="Arial"/>
          <w:szCs w:val="18"/>
        </w:rPr>
      </w:pPr>
    </w:p>
    <w:p w:rsidR="00D13EDA" w:rsidRPr="00A848E4" w:rsidRDefault="00222692" w:rsidP="002B4617">
      <w:pPr>
        <w:spacing w:after="120" w:line="276" w:lineRule="auto"/>
        <w:contextualSpacing/>
        <w:rPr>
          <w:rFonts w:cs="Arial"/>
          <w:b/>
          <w:color w:val="007E79"/>
          <w:sz w:val="20"/>
        </w:rPr>
      </w:pPr>
      <w:r w:rsidRPr="00A848E4">
        <w:rPr>
          <w:rFonts w:cs="Arial"/>
          <w:b/>
          <w:color w:val="007E79"/>
          <w:sz w:val="20"/>
        </w:rPr>
        <w:t>Praha, 1</w:t>
      </w:r>
      <w:r w:rsidR="00E66736">
        <w:rPr>
          <w:rFonts w:cs="Arial"/>
          <w:b/>
          <w:color w:val="007E79"/>
          <w:sz w:val="20"/>
        </w:rPr>
        <w:t>8</w:t>
      </w:r>
      <w:r w:rsidRPr="00A848E4">
        <w:rPr>
          <w:rFonts w:cs="Arial"/>
          <w:b/>
          <w:color w:val="007E79"/>
          <w:sz w:val="20"/>
        </w:rPr>
        <w:t>. září 2019 – Přestože úroveň finanční gramotnosti v Česku bod po bodu stoupá, stále jsme ve znalostech na průměrných hodnotách. Index finanční gramotnosti, který každoročně měří Česká bankovní asociace (ČBA), letos dosáhl jen 57 %, což je pouze bodové zlepšení oproti loňskému roku. Dobrá zpráva je, že si Češi začali více odkládat „stranou“, z našetřených peněz však třetina lidí nevyžije déle než tři měsíce, každý pátý Čech pak zvládne maximálně měsíc.</w:t>
      </w:r>
    </w:p>
    <w:p w:rsidR="00222692" w:rsidRPr="00A848E4" w:rsidRDefault="00222692" w:rsidP="002B4617">
      <w:pPr>
        <w:spacing w:after="120" w:line="276" w:lineRule="auto"/>
        <w:contextualSpacing/>
        <w:rPr>
          <w:rFonts w:cs="Arial"/>
          <w:sz w:val="20"/>
        </w:rPr>
      </w:pPr>
    </w:p>
    <w:p w:rsidR="00222692" w:rsidRPr="00A848E4" w:rsidRDefault="00222692" w:rsidP="00222692">
      <w:pPr>
        <w:rPr>
          <w:rFonts w:cs="Arial"/>
          <w:sz w:val="20"/>
          <w:szCs w:val="18"/>
        </w:rPr>
      </w:pPr>
      <w:r w:rsidRPr="00A848E4">
        <w:rPr>
          <w:rFonts w:cs="Arial"/>
          <w:sz w:val="20"/>
          <w:szCs w:val="18"/>
        </w:rPr>
        <w:t xml:space="preserve">Naprostá většina českých občanů si myslí, že jsou jejich znalosti v oblasti financí dostačující. Přesto ale velká část z nich přiznává, že se často raději poradí – ať už s odborníkem, známým nebo si vyhledají informace na internetu. Jen 15 % naší populace je přesvědčeno, že jsou schopni své finance ukočírovat bez jakékoliv pomoci okolí. </w:t>
      </w:r>
      <w:r w:rsidR="00340BDC" w:rsidRPr="00A848E4">
        <w:rPr>
          <w:rFonts w:cs="Arial"/>
          <w:sz w:val="20"/>
          <w:szCs w:val="18"/>
        </w:rPr>
        <w:t>J</w:t>
      </w:r>
      <w:r w:rsidRPr="00A848E4">
        <w:rPr>
          <w:rFonts w:cs="Arial"/>
          <w:sz w:val="20"/>
          <w:szCs w:val="18"/>
        </w:rPr>
        <w:t>sou</w:t>
      </w:r>
      <w:r w:rsidR="00340BDC" w:rsidRPr="00A848E4">
        <w:rPr>
          <w:rFonts w:cs="Arial"/>
          <w:sz w:val="20"/>
          <w:szCs w:val="18"/>
        </w:rPr>
        <w:t xml:space="preserve"> to</w:t>
      </w:r>
      <w:r w:rsidRPr="00A848E4">
        <w:rPr>
          <w:rFonts w:cs="Arial"/>
          <w:sz w:val="20"/>
          <w:szCs w:val="18"/>
        </w:rPr>
        <w:t xml:space="preserve"> nejčastěji vysokoškoláci a lidé ve věku 50-64 let. </w:t>
      </w:r>
      <w:r w:rsidRPr="00A848E4">
        <w:rPr>
          <w:rFonts w:cs="Arial"/>
          <w:i/>
          <w:iCs/>
          <w:sz w:val="20"/>
          <w:szCs w:val="18"/>
        </w:rPr>
        <w:t>„S věkem totiž rostou zkušenosti i důvěra ve vlastní znalosti,“</w:t>
      </w:r>
      <w:r w:rsidRPr="00A848E4">
        <w:rPr>
          <w:rFonts w:cs="Arial"/>
          <w:sz w:val="20"/>
          <w:szCs w:val="18"/>
        </w:rPr>
        <w:t xml:space="preserve"> vysvětluje Helena Brychová, vedoucí vzdělávacích projektů ČBA. Na druhé straně si 10 % lidí často nebo vůbec neví s financemi rady.  </w:t>
      </w:r>
    </w:p>
    <w:p w:rsidR="00222692" w:rsidRPr="00A848E4" w:rsidRDefault="00222692" w:rsidP="00222692">
      <w:pPr>
        <w:rPr>
          <w:rFonts w:cs="Arial"/>
          <w:sz w:val="20"/>
          <w:szCs w:val="18"/>
        </w:rPr>
      </w:pPr>
    </w:p>
    <w:p w:rsidR="00222692" w:rsidRPr="00A848E4" w:rsidRDefault="00222692" w:rsidP="00222692">
      <w:pPr>
        <w:rPr>
          <w:rFonts w:cs="Arial"/>
          <w:i/>
          <w:iCs/>
          <w:sz w:val="20"/>
          <w:szCs w:val="18"/>
        </w:rPr>
      </w:pPr>
      <w:r w:rsidRPr="00A848E4">
        <w:rPr>
          <w:rFonts w:cs="Arial"/>
          <w:i/>
          <w:iCs/>
          <w:sz w:val="20"/>
          <w:szCs w:val="18"/>
        </w:rPr>
        <w:t>„Oproti předchozím letům není letos významnější rozdíl mezi znalostmi</w:t>
      </w:r>
      <w:r w:rsidR="00340BDC" w:rsidRPr="00A848E4">
        <w:rPr>
          <w:rFonts w:cs="Arial"/>
          <w:i/>
          <w:iCs/>
          <w:sz w:val="20"/>
          <w:szCs w:val="18"/>
        </w:rPr>
        <w:t xml:space="preserve">, které má </w:t>
      </w:r>
      <w:r w:rsidRPr="00A848E4">
        <w:rPr>
          <w:rFonts w:cs="Arial"/>
          <w:i/>
          <w:iCs/>
          <w:sz w:val="20"/>
          <w:szCs w:val="18"/>
        </w:rPr>
        <w:t>starší a mlad</w:t>
      </w:r>
      <w:r w:rsidR="00340BDC" w:rsidRPr="00A848E4">
        <w:rPr>
          <w:rFonts w:cs="Arial"/>
          <w:i/>
          <w:iCs/>
          <w:sz w:val="20"/>
          <w:szCs w:val="18"/>
        </w:rPr>
        <w:t>ší</w:t>
      </w:r>
      <w:r w:rsidRPr="00A848E4">
        <w:rPr>
          <w:rFonts w:cs="Arial"/>
          <w:i/>
          <w:iCs/>
          <w:sz w:val="20"/>
          <w:szCs w:val="18"/>
        </w:rPr>
        <w:t xml:space="preserve"> generac</w:t>
      </w:r>
      <w:r w:rsidR="00340BDC" w:rsidRPr="00A848E4">
        <w:rPr>
          <w:rFonts w:cs="Arial"/>
          <w:i/>
          <w:iCs/>
          <w:sz w:val="20"/>
          <w:szCs w:val="18"/>
        </w:rPr>
        <w:t>e</w:t>
      </w:r>
      <w:r w:rsidRPr="00A848E4">
        <w:rPr>
          <w:rFonts w:cs="Arial"/>
          <w:i/>
          <w:iCs/>
          <w:sz w:val="20"/>
          <w:szCs w:val="18"/>
        </w:rPr>
        <w:t xml:space="preserve">. Míra úspěšnosti </w:t>
      </w:r>
      <w:r w:rsidR="00340BDC" w:rsidRPr="00A848E4">
        <w:rPr>
          <w:rFonts w:cs="Arial"/>
          <w:i/>
          <w:iCs/>
          <w:sz w:val="20"/>
          <w:szCs w:val="18"/>
        </w:rPr>
        <w:t xml:space="preserve">však </w:t>
      </w:r>
      <w:r w:rsidRPr="00A848E4">
        <w:rPr>
          <w:rFonts w:cs="Arial"/>
          <w:i/>
          <w:iCs/>
          <w:sz w:val="20"/>
          <w:szCs w:val="18"/>
        </w:rPr>
        <w:t>zřetelně souvisí se vzděláním. Zatímco lidé se základním vzděláním nebo výučním listem dosáhli v</w:t>
      </w:r>
      <w:r w:rsidR="00340BDC" w:rsidRPr="00A848E4">
        <w:rPr>
          <w:rFonts w:cs="Arial"/>
          <w:i/>
          <w:iCs/>
          <w:sz w:val="20"/>
          <w:szCs w:val="18"/>
        </w:rPr>
        <w:t xml:space="preserve"> indexu finanční gramotnosti </w:t>
      </w:r>
      <w:r w:rsidRPr="00A848E4">
        <w:rPr>
          <w:rFonts w:cs="Arial"/>
          <w:i/>
          <w:iCs/>
          <w:sz w:val="20"/>
          <w:szCs w:val="18"/>
        </w:rPr>
        <w:t>průměru 49</w:t>
      </w:r>
      <w:r w:rsidR="00804827">
        <w:rPr>
          <w:rFonts w:cs="Arial"/>
          <w:i/>
          <w:iCs/>
          <w:sz w:val="20"/>
          <w:szCs w:val="18"/>
        </w:rPr>
        <w:t xml:space="preserve"> </w:t>
      </w:r>
      <w:r w:rsidR="00804827" w:rsidRPr="00A848E4">
        <w:rPr>
          <w:rFonts w:cs="Arial"/>
          <w:sz w:val="20"/>
          <w:szCs w:val="18"/>
        </w:rPr>
        <w:t>%</w:t>
      </w:r>
      <w:r w:rsidRPr="00A848E4">
        <w:rPr>
          <w:rFonts w:cs="Arial"/>
          <w:i/>
          <w:iCs/>
          <w:sz w:val="20"/>
          <w:szCs w:val="18"/>
        </w:rPr>
        <w:t xml:space="preserve">, lidé s maturitou jsou na </w:t>
      </w:r>
      <w:r w:rsidR="00806914">
        <w:rPr>
          <w:rFonts w:cs="Arial"/>
          <w:i/>
          <w:iCs/>
          <w:sz w:val="20"/>
          <w:szCs w:val="18"/>
        </w:rPr>
        <w:t>58 %</w:t>
      </w:r>
      <w:r w:rsidRPr="00A848E4">
        <w:rPr>
          <w:rFonts w:cs="Arial"/>
          <w:i/>
          <w:iCs/>
          <w:sz w:val="20"/>
          <w:szCs w:val="18"/>
        </w:rPr>
        <w:t xml:space="preserve">. Lidé s VŠ </w:t>
      </w:r>
      <w:r w:rsidR="00340BDC" w:rsidRPr="00A848E4">
        <w:rPr>
          <w:rFonts w:cs="Arial"/>
          <w:i/>
          <w:iCs/>
          <w:sz w:val="20"/>
          <w:szCs w:val="18"/>
        </w:rPr>
        <w:t xml:space="preserve">dosahují průměrně </w:t>
      </w:r>
      <w:r w:rsidRPr="00A848E4">
        <w:rPr>
          <w:rFonts w:cs="Arial"/>
          <w:i/>
          <w:iCs/>
          <w:sz w:val="20"/>
          <w:szCs w:val="18"/>
        </w:rPr>
        <w:t xml:space="preserve">66 </w:t>
      </w:r>
      <w:r w:rsidR="00804827" w:rsidRPr="00A848E4">
        <w:rPr>
          <w:rFonts w:cs="Arial"/>
          <w:sz w:val="20"/>
          <w:szCs w:val="18"/>
        </w:rPr>
        <w:t>%</w:t>
      </w:r>
      <w:r w:rsidRPr="00A848E4">
        <w:rPr>
          <w:rFonts w:cs="Arial"/>
          <w:i/>
          <w:iCs/>
          <w:sz w:val="20"/>
          <w:szCs w:val="18"/>
        </w:rPr>
        <w:t xml:space="preserve">. Předpokládáme, že to </w:t>
      </w:r>
      <w:r w:rsidR="00340BDC" w:rsidRPr="00A848E4">
        <w:rPr>
          <w:rFonts w:cs="Arial"/>
          <w:i/>
          <w:iCs/>
          <w:sz w:val="20"/>
          <w:szCs w:val="18"/>
        </w:rPr>
        <w:t xml:space="preserve">může být </w:t>
      </w:r>
      <w:r w:rsidRPr="00A848E4">
        <w:rPr>
          <w:rFonts w:cs="Arial"/>
          <w:i/>
          <w:iCs/>
          <w:sz w:val="20"/>
          <w:szCs w:val="18"/>
        </w:rPr>
        <w:t xml:space="preserve">i díky </w:t>
      </w:r>
      <w:r w:rsidR="00340BDC" w:rsidRPr="00A848E4">
        <w:rPr>
          <w:rFonts w:cs="Arial"/>
          <w:i/>
          <w:iCs/>
          <w:sz w:val="20"/>
          <w:szCs w:val="18"/>
        </w:rPr>
        <w:t>tomu, že vysokoškoláci získávají zkušenosti s hospodařením s penězi a samostatným bydlením postupně</w:t>
      </w:r>
      <w:r w:rsidR="0059042F" w:rsidRPr="00A848E4">
        <w:rPr>
          <w:rFonts w:cs="Arial"/>
          <w:i/>
          <w:iCs/>
          <w:sz w:val="20"/>
          <w:szCs w:val="18"/>
        </w:rPr>
        <w:t>,</w:t>
      </w:r>
      <w:r w:rsidR="00340BDC" w:rsidRPr="00A848E4">
        <w:rPr>
          <w:rFonts w:cs="Arial"/>
          <w:i/>
          <w:iCs/>
          <w:sz w:val="20"/>
          <w:szCs w:val="18"/>
        </w:rPr>
        <w:t xml:space="preserve"> </w:t>
      </w:r>
      <w:r w:rsidR="0059042F" w:rsidRPr="00A848E4">
        <w:rPr>
          <w:rFonts w:cs="Arial"/>
          <w:i/>
          <w:iCs/>
          <w:sz w:val="20"/>
          <w:szCs w:val="18"/>
        </w:rPr>
        <w:t xml:space="preserve">většinou </w:t>
      </w:r>
      <w:r w:rsidR="00340BDC" w:rsidRPr="00A848E4">
        <w:rPr>
          <w:rFonts w:cs="Arial"/>
          <w:i/>
          <w:iCs/>
          <w:sz w:val="20"/>
          <w:szCs w:val="18"/>
        </w:rPr>
        <w:t xml:space="preserve">ještě při studiu, zatímco ostatní jsou </w:t>
      </w:r>
      <w:r w:rsidR="0059042F" w:rsidRPr="00A848E4">
        <w:rPr>
          <w:rFonts w:cs="Arial"/>
          <w:i/>
          <w:iCs/>
          <w:sz w:val="20"/>
          <w:szCs w:val="18"/>
        </w:rPr>
        <w:t xml:space="preserve">často </w:t>
      </w:r>
      <w:r w:rsidR="00340BDC" w:rsidRPr="00A848E4">
        <w:rPr>
          <w:rFonts w:cs="Arial"/>
          <w:i/>
          <w:iCs/>
          <w:sz w:val="20"/>
          <w:szCs w:val="18"/>
        </w:rPr>
        <w:t>ze školních lavic hozeni rovnou do praxe</w:t>
      </w:r>
      <w:r w:rsidR="0059042F" w:rsidRPr="00A848E4">
        <w:rPr>
          <w:rFonts w:cs="Arial"/>
          <w:i/>
          <w:iCs/>
          <w:sz w:val="20"/>
          <w:szCs w:val="18"/>
        </w:rPr>
        <w:t xml:space="preserve"> bez jakýchkoli zkušeností</w:t>
      </w:r>
      <w:r w:rsidRPr="00A848E4">
        <w:rPr>
          <w:rFonts w:cs="Arial"/>
          <w:i/>
          <w:iCs/>
          <w:sz w:val="20"/>
          <w:szCs w:val="18"/>
        </w:rPr>
        <w:t>,“</w:t>
      </w:r>
      <w:r w:rsidRPr="00A848E4">
        <w:rPr>
          <w:rFonts w:cs="Arial"/>
          <w:sz w:val="20"/>
          <w:szCs w:val="18"/>
        </w:rPr>
        <w:t xml:space="preserve"> říká Brychová. </w:t>
      </w:r>
    </w:p>
    <w:p w:rsidR="00222692" w:rsidRPr="00A848E4" w:rsidRDefault="00222692" w:rsidP="00222692">
      <w:pPr>
        <w:rPr>
          <w:rFonts w:cs="Arial"/>
          <w:sz w:val="20"/>
          <w:szCs w:val="18"/>
        </w:rPr>
      </w:pPr>
    </w:p>
    <w:p w:rsidR="00EE3CDA" w:rsidRPr="00A848E4" w:rsidRDefault="00222692" w:rsidP="00222692">
      <w:pPr>
        <w:rPr>
          <w:rFonts w:cs="Arial"/>
          <w:sz w:val="20"/>
          <w:szCs w:val="18"/>
        </w:rPr>
      </w:pPr>
      <w:r w:rsidRPr="00A848E4">
        <w:rPr>
          <w:rFonts w:cs="Arial"/>
          <w:sz w:val="20"/>
          <w:szCs w:val="18"/>
        </w:rPr>
        <w:t xml:space="preserve">Pokud si lidé ohledně financí nejsou jistí, obrací se v drtivé většině na svou banku a bankovního poradce. Druhou instancí je pak internet, na kterém sice nemají problém najít potřebné </w:t>
      </w:r>
      <w:r w:rsidR="0059042F" w:rsidRPr="00A848E4">
        <w:rPr>
          <w:rFonts w:cs="Arial"/>
          <w:sz w:val="20"/>
          <w:szCs w:val="18"/>
        </w:rPr>
        <w:t xml:space="preserve">i objektivní </w:t>
      </w:r>
      <w:r w:rsidRPr="00A848E4">
        <w:rPr>
          <w:rFonts w:cs="Arial"/>
          <w:sz w:val="20"/>
          <w:szCs w:val="18"/>
        </w:rPr>
        <w:t>informace, často jim však dělá problém se v nich vyznat a pochopit je. Jednoznačně nejméně se přitom Češi orientují v investicích.</w:t>
      </w:r>
    </w:p>
    <w:p w:rsidR="00222692" w:rsidRPr="00A848E4" w:rsidRDefault="00222692" w:rsidP="00222692">
      <w:pPr>
        <w:rPr>
          <w:rFonts w:cs="Arial"/>
          <w:szCs w:val="16"/>
        </w:rPr>
      </w:pPr>
    </w:p>
    <w:p w:rsidR="00222692" w:rsidRPr="00A848E4" w:rsidRDefault="00222692" w:rsidP="00222692">
      <w:pPr>
        <w:rPr>
          <w:rFonts w:cs="Arial"/>
          <w:szCs w:val="16"/>
        </w:rPr>
      </w:pPr>
      <w:r w:rsidRPr="00A848E4">
        <w:rPr>
          <w:rFonts w:cs="Arial"/>
          <w:noProof/>
          <w:sz w:val="22"/>
          <w:szCs w:val="22"/>
        </w:rPr>
        <w:drawing>
          <wp:anchor distT="0" distB="0" distL="114300" distR="114300" simplePos="0" relativeHeight="251694080" behindDoc="0" locked="0" layoutInCell="1" allowOverlap="1" wp14:anchorId="64E34698" wp14:editId="7E182B61">
            <wp:simplePos x="0" y="0"/>
            <wp:positionH relativeFrom="margin">
              <wp:align>center</wp:align>
            </wp:positionH>
            <wp:positionV relativeFrom="paragraph">
              <wp:posOffset>197485</wp:posOffset>
            </wp:positionV>
            <wp:extent cx="4457700" cy="2672715"/>
            <wp:effectExtent l="0" t="0" r="0" b="0"/>
            <wp:wrapTopAndBottom/>
            <wp:docPr id="8" name="Graf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26F32" w:rsidRPr="00A848E4" w:rsidRDefault="00226F32" w:rsidP="00BD483C">
      <w:pPr>
        <w:spacing w:after="120" w:line="276" w:lineRule="auto"/>
        <w:contextualSpacing/>
        <w:rPr>
          <w:rFonts w:cs="Arial"/>
          <w:sz w:val="16"/>
          <w:szCs w:val="16"/>
        </w:rPr>
      </w:pPr>
    </w:p>
    <w:p w:rsidR="00226F32" w:rsidRPr="00A848E4" w:rsidRDefault="00222692" w:rsidP="00BD483C">
      <w:pPr>
        <w:spacing w:after="120" w:line="276" w:lineRule="auto"/>
        <w:contextualSpacing/>
        <w:rPr>
          <w:rFonts w:cs="Arial"/>
          <w:sz w:val="20"/>
          <w:szCs w:val="18"/>
        </w:rPr>
      </w:pPr>
      <w:r w:rsidRPr="00A848E4">
        <w:rPr>
          <w:rFonts w:cs="Arial"/>
          <w:i/>
          <w:iCs/>
          <w:sz w:val="20"/>
          <w:szCs w:val="18"/>
        </w:rPr>
        <w:t>„</w:t>
      </w:r>
      <w:r w:rsidR="0059042F" w:rsidRPr="00A848E4">
        <w:rPr>
          <w:rFonts w:cs="Arial"/>
          <w:i/>
          <w:iCs/>
          <w:sz w:val="20"/>
          <w:szCs w:val="18"/>
        </w:rPr>
        <w:t>Ne</w:t>
      </w:r>
      <w:r w:rsidRPr="00A848E4">
        <w:rPr>
          <w:rFonts w:cs="Arial"/>
          <w:i/>
          <w:iCs/>
          <w:sz w:val="20"/>
          <w:szCs w:val="18"/>
        </w:rPr>
        <w:t xml:space="preserve">bát </w:t>
      </w:r>
      <w:r w:rsidR="0059042F" w:rsidRPr="00A848E4">
        <w:rPr>
          <w:rFonts w:cs="Arial"/>
          <w:i/>
          <w:iCs/>
          <w:sz w:val="20"/>
          <w:szCs w:val="18"/>
        </w:rPr>
        <w:t xml:space="preserve">se </w:t>
      </w:r>
      <w:r w:rsidRPr="00A848E4">
        <w:rPr>
          <w:rFonts w:cs="Arial"/>
          <w:i/>
          <w:iCs/>
          <w:sz w:val="20"/>
          <w:szCs w:val="18"/>
        </w:rPr>
        <w:t>zeptat a</w:t>
      </w:r>
      <w:r w:rsidR="0059042F" w:rsidRPr="00A848E4">
        <w:rPr>
          <w:rFonts w:cs="Arial"/>
          <w:i/>
          <w:iCs/>
          <w:sz w:val="20"/>
          <w:szCs w:val="18"/>
        </w:rPr>
        <w:t xml:space="preserve"> vyžadovat odpovědi</w:t>
      </w:r>
      <w:r w:rsidRPr="00A848E4">
        <w:rPr>
          <w:rFonts w:cs="Arial"/>
          <w:i/>
          <w:iCs/>
          <w:sz w:val="20"/>
          <w:szCs w:val="18"/>
        </w:rPr>
        <w:t xml:space="preserve">, dokud </w:t>
      </w:r>
      <w:r w:rsidR="0059042F" w:rsidRPr="00A848E4">
        <w:rPr>
          <w:rFonts w:cs="Arial"/>
          <w:i/>
          <w:iCs/>
          <w:sz w:val="20"/>
          <w:szCs w:val="18"/>
        </w:rPr>
        <w:t>si opravdu nebudeme jisti, že rozumíme,“</w:t>
      </w:r>
      <w:r w:rsidR="0059042F" w:rsidRPr="00A848E4">
        <w:rPr>
          <w:rFonts w:cs="Arial"/>
          <w:sz w:val="20"/>
          <w:szCs w:val="18"/>
        </w:rPr>
        <w:t xml:space="preserve"> to radí Brychová</w:t>
      </w:r>
      <w:r w:rsidRPr="00A848E4">
        <w:rPr>
          <w:rFonts w:cs="Arial"/>
          <w:i/>
          <w:iCs/>
          <w:sz w:val="20"/>
          <w:szCs w:val="18"/>
        </w:rPr>
        <w:t xml:space="preserve">. </w:t>
      </w:r>
      <w:r w:rsidR="0059042F" w:rsidRPr="00A848E4">
        <w:rPr>
          <w:rFonts w:cs="Arial"/>
          <w:i/>
          <w:iCs/>
          <w:sz w:val="20"/>
          <w:szCs w:val="18"/>
        </w:rPr>
        <w:t>„</w:t>
      </w:r>
      <w:r w:rsidRPr="00A848E4">
        <w:rPr>
          <w:rFonts w:cs="Arial"/>
          <w:i/>
          <w:iCs/>
          <w:sz w:val="20"/>
          <w:szCs w:val="18"/>
        </w:rPr>
        <w:t>Jde o peníze, které k</w:t>
      </w:r>
      <w:r w:rsidR="0059042F" w:rsidRPr="00A848E4">
        <w:rPr>
          <w:rFonts w:cs="Arial"/>
          <w:i/>
          <w:iCs/>
          <w:sz w:val="20"/>
          <w:szCs w:val="18"/>
        </w:rPr>
        <w:t xml:space="preserve"> dnešnímu </w:t>
      </w:r>
      <w:r w:rsidRPr="00A848E4">
        <w:rPr>
          <w:rFonts w:cs="Arial"/>
          <w:i/>
          <w:iCs/>
          <w:sz w:val="20"/>
          <w:szCs w:val="18"/>
        </w:rPr>
        <w:t xml:space="preserve">životu </w:t>
      </w:r>
      <w:r w:rsidR="0059042F" w:rsidRPr="00A848E4">
        <w:rPr>
          <w:rFonts w:cs="Arial"/>
          <w:i/>
          <w:iCs/>
          <w:sz w:val="20"/>
          <w:szCs w:val="18"/>
        </w:rPr>
        <w:t xml:space="preserve">ve společnosti </w:t>
      </w:r>
      <w:r w:rsidRPr="00A848E4">
        <w:rPr>
          <w:rFonts w:cs="Arial"/>
          <w:i/>
          <w:iCs/>
          <w:sz w:val="20"/>
          <w:szCs w:val="18"/>
        </w:rPr>
        <w:t>potřebujeme</w:t>
      </w:r>
      <w:r w:rsidR="0092288F" w:rsidRPr="00A848E4">
        <w:rPr>
          <w:rFonts w:cs="Arial"/>
          <w:i/>
          <w:iCs/>
          <w:sz w:val="20"/>
          <w:szCs w:val="18"/>
        </w:rPr>
        <w:t>,</w:t>
      </w:r>
      <w:r w:rsidR="0059042F" w:rsidRPr="00A848E4">
        <w:rPr>
          <w:rFonts w:cs="Arial"/>
          <w:i/>
          <w:iCs/>
          <w:sz w:val="20"/>
          <w:szCs w:val="18"/>
        </w:rPr>
        <w:t xml:space="preserve"> a problémy, s nimiž se setkáváme všichni</w:t>
      </w:r>
      <w:r w:rsidRPr="00A848E4">
        <w:rPr>
          <w:rFonts w:cs="Arial"/>
          <w:i/>
          <w:iCs/>
          <w:sz w:val="20"/>
          <w:szCs w:val="18"/>
        </w:rPr>
        <w:t xml:space="preserve">, proto na dotazech ohledně financí není nic trapného. </w:t>
      </w:r>
      <w:r w:rsidR="0059042F" w:rsidRPr="00A848E4">
        <w:rPr>
          <w:rFonts w:cs="Arial"/>
          <w:i/>
          <w:iCs/>
          <w:sz w:val="20"/>
          <w:szCs w:val="18"/>
        </w:rPr>
        <w:t>P</w:t>
      </w:r>
      <w:r w:rsidRPr="00A848E4">
        <w:rPr>
          <w:rFonts w:cs="Arial"/>
          <w:i/>
          <w:iCs/>
          <w:sz w:val="20"/>
          <w:szCs w:val="18"/>
        </w:rPr>
        <w:t>okud se přeci jen nechceme s někým radit tváří v tvář, existují různé online poradny a specializované chaty,”</w:t>
      </w:r>
      <w:r w:rsidRPr="00A848E4">
        <w:rPr>
          <w:rFonts w:cs="Arial"/>
          <w:sz w:val="20"/>
          <w:szCs w:val="18"/>
        </w:rPr>
        <w:t xml:space="preserve"> </w:t>
      </w:r>
      <w:r w:rsidR="0059042F" w:rsidRPr="00A848E4">
        <w:rPr>
          <w:rFonts w:cs="Arial"/>
          <w:sz w:val="20"/>
          <w:szCs w:val="18"/>
        </w:rPr>
        <w:t>dodává</w:t>
      </w:r>
      <w:r w:rsidRPr="00A848E4">
        <w:rPr>
          <w:rFonts w:cs="Arial"/>
          <w:sz w:val="20"/>
          <w:szCs w:val="18"/>
        </w:rPr>
        <w:t xml:space="preserve"> Helena Brychová z ČBA.</w:t>
      </w:r>
    </w:p>
    <w:p w:rsidR="00BA1F8A" w:rsidRPr="00A848E4" w:rsidRDefault="00962CB7" w:rsidP="00962CB7">
      <w:pPr>
        <w:tabs>
          <w:tab w:val="left" w:pos="3660"/>
        </w:tabs>
        <w:spacing w:after="120" w:line="276" w:lineRule="auto"/>
        <w:contextualSpacing/>
        <w:rPr>
          <w:rFonts w:cs="Arial"/>
          <w:szCs w:val="18"/>
        </w:rPr>
      </w:pPr>
      <w:r w:rsidRPr="00A848E4">
        <w:rPr>
          <w:rFonts w:cs="Arial"/>
          <w:szCs w:val="18"/>
        </w:rPr>
        <w:tab/>
      </w:r>
    </w:p>
    <w:p w:rsidR="00804827" w:rsidRDefault="00804827" w:rsidP="00222692">
      <w:pPr>
        <w:overflowPunct/>
        <w:autoSpaceDE/>
        <w:autoSpaceDN/>
        <w:adjustRightInd/>
        <w:jc w:val="left"/>
        <w:textAlignment w:val="auto"/>
        <w:rPr>
          <w:rFonts w:cs="Arial"/>
          <w:b/>
          <w:color w:val="007E79"/>
          <w:sz w:val="20"/>
        </w:rPr>
      </w:pPr>
    </w:p>
    <w:p w:rsidR="00804827" w:rsidRDefault="00804827" w:rsidP="00222692">
      <w:pPr>
        <w:overflowPunct/>
        <w:autoSpaceDE/>
        <w:autoSpaceDN/>
        <w:adjustRightInd/>
        <w:jc w:val="left"/>
        <w:textAlignment w:val="auto"/>
        <w:rPr>
          <w:rFonts w:cs="Arial"/>
          <w:b/>
          <w:color w:val="007E79"/>
          <w:sz w:val="20"/>
        </w:rPr>
      </w:pPr>
    </w:p>
    <w:p w:rsidR="00222692" w:rsidRPr="00A848E4" w:rsidRDefault="00222692" w:rsidP="00222692">
      <w:pPr>
        <w:overflowPunct/>
        <w:autoSpaceDE/>
        <w:autoSpaceDN/>
        <w:adjustRightInd/>
        <w:jc w:val="left"/>
        <w:textAlignment w:val="auto"/>
        <w:rPr>
          <w:rFonts w:cs="Arial"/>
          <w:b/>
          <w:color w:val="007E79"/>
          <w:sz w:val="20"/>
        </w:rPr>
      </w:pPr>
      <w:r w:rsidRPr="00A848E4">
        <w:rPr>
          <w:rFonts w:cs="Arial"/>
          <w:b/>
          <w:color w:val="007E79"/>
          <w:sz w:val="20"/>
        </w:rPr>
        <w:lastRenderedPageBreak/>
        <w:t>Z našetřených peněz moc dlouho nevydržíme</w:t>
      </w:r>
    </w:p>
    <w:p w:rsidR="00222692" w:rsidRPr="00A848E4" w:rsidRDefault="00222692" w:rsidP="00222692">
      <w:pPr>
        <w:overflowPunct/>
        <w:autoSpaceDE/>
        <w:autoSpaceDN/>
        <w:adjustRightInd/>
        <w:jc w:val="left"/>
        <w:textAlignment w:val="auto"/>
        <w:rPr>
          <w:rFonts w:cs="Arial"/>
          <w:b/>
          <w:color w:val="007E79"/>
          <w:sz w:val="20"/>
        </w:rPr>
      </w:pPr>
    </w:p>
    <w:p w:rsidR="00222692" w:rsidRPr="00A848E4" w:rsidRDefault="00222692" w:rsidP="00222692">
      <w:pPr>
        <w:overflowPunct/>
        <w:autoSpaceDE/>
        <w:autoSpaceDN/>
        <w:adjustRightInd/>
        <w:jc w:val="left"/>
        <w:textAlignment w:val="auto"/>
        <w:rPr>
          <w:rFonts w:cs="Arial"/>
          <w:i/>
          <w:iCs/>
          <w:sz w:val="20"/>
          <w:szCs w:val="18"/>
        </w:rPr>
      </w:pPr>
      <w:r w:rsidRPr="00A848E4">
        <w:rPr>
          <w:rFonts w:cs="Arial"/>
          <w:sz w:val="20"/>
          <w:szCs w:val="18"/>
        </w:rPr>
        <w:t>Stranou si z výplaty odkládá alespoň malý obnos naprostá většina Čechů, nejčastěji jde o částku mezi tisícem a dvou a půl tisíci korunami. Téměř dvě pětiny lidí si přitom tvoří rezervu primárně pro případ nečekané události. Podstatné však je, jak dlouho by vydrželi při náhlém výpadku příjmů. Každý pátý člověk totiž přiznává, že by z našetřených peněz vyžil maximálně měsíc, další třetina by zvládla čtvrt roku.</w:t>
      </w:r>
      <w:r w:rsidRPr="00A848E4">
        <w:rPr>
          <w:rFonts w:cs="Arial"/>
          <w:i/>
          <w:iCs/>
          <w:sz w:val="20"/>
          <w:szCs w:val="18"/>
        </w:rPr>
        <w:t xml:space="preserve"> „Odborníci přitom radí, aby výše rezervy byla alespoň ve výši šesti</w:t>
      </w:r>
      <w:r w:rsidR="008234C1" w:rsidRPr="00A848E4">
        <w:rPr>
          <w:rFonts w:cs="Arial"/>
          <w:i/>
          <w:iCs/>
          <w:sz w:val="20"/>
          <w:szCs w:val="18"/>
        </w:rPr>
        <w:t>násobku</w:t>
      </w:r>
      <w:r w:rsidRPr="00A848E4">
        <w:rPr>
          <w:rFonts w:cs="Arial"/>
          <w:i/>
          <w:iCs/>
          <w:sz w:val="20"/>
          <w:szCs w:val="18"/>
        </w:rPr>
        <w:t xml:space="preserve"> měsíčních výdajů domácnosti</w:t>
      </w:r>
      <w:r w:rsidR="008234C1" w:rsidRPr="00A848E4">
        <w:rPr>
          <w:rFonts w:cs="Arial"/>
          <w:i/>
          <w:iCs/>
          <w:sz w:val="20"/>
          <w:szCs w:val="18"/>
        </w:rPr>
        <w:t>. Právě půl roku</w:t>
      </w:r>
      <w:r w:rsidRPr="00A848E4">
        <w:rPr>
          <w:rFonts w:cs="Arial"/>
          <w:i/>
          <w:iCs/>
          <w:sz w:val="20"/>
          <w:szCs w:val="18"/>
        </w:rPr>
        <w:t xml:space="preserve"> je </w:t>
      </w:r>
      <w:r w:rsidR="008234C1" w:rsidRPr="00A848E4">
        <w:rPr>
          <w:rFonts w:cs="Arial"/>
          <w:i/>
          <w:iCs/>
          <w:sz w:val="20"/>
          <w:szCs w:val="18"/>
        </w:rPr>
        <w:t>zpravidla dostatečná</w:t>
      </w:r>
      <w:r w:rsidRPr="00A848E4">
        <w:rPr>
          <w:rFonts w:cs="Arial"/>
          <w:i/>
          <w:iCs/>
          <w:sz w:val="20"/>
          <w:szCs w:val="18"/>
        </w:rPr>
        <w:t xml:space="preserve"> doba </w:t>
      </w:r>
      <w:r w:rsidR="008234C1" w:rsidRPr="00A848E4">
        <w:rPr>
          <w:rFonts w:cs="Arial"/>
          <w:i/>
          <w:iCs/>
          <w:sz w:val="20"/>
          <w:szCs w:val="18"/>
        </w:rPr>
        <w:t>proto, abychom se v případě nové situace, úrazu, ztráty zaměstnání atp. rozkoukali a nebyli nuceni činit pod tlakem žádná unáhlená rozhodnutí</w:t>
      </w:r>
      <w:r w:rsidRPr="00A848E4">
        <w:rPr>
          <w:rFonts w:cs="Arial"/>
          <w:i/>
          <w:iCs/>
          <w:sz w:val="20"/>
          <w:szCs w:val="18"/>
        </w:rPr>
        <w:t xml:space="preserve">,” </w:t>
      </w:r>
      <w:r w:rsidRPr="00A848E4">
        <w:rPr>
          <w:rFonts w:cs="Arial"/>
          <w:sz w:val="20"/>
          <w:szCs w:val="18"/>
        </w:rPr>
        <w:t xml:space="preserve">varuje Brychová. </w:t>
      </w:r>
    </w:p>
    <w:p w:rsidR="00662C23" w:rsidRPr="00A848E4" w:rsidRDefault="007363B8" w:rsidP="002C2C2B">
      <w:pPr>
        <w:spacing w:after="120" w:line="276" w:lineRule="auto"/>
        <w:rPr>
          <w:rFonts w:cs="Arial"/>
          <w:b/>
          <w:color w:val="007E79"/>
          <w:sz w:val="16"/>
          <w:szCs w:val="16"/>
        </w:rPr>
      </w:pPr>
      <w:bookmarkStart w:id="0" w:name="_GoBack"/>
      <w:r w:rsidRPr="00A848E4">
        <w:rPr>
          <w:rFonts w:cs="Arial"/>
          <w:noProof/>
          <w:sz w:val="22"/>
          <w:szCs w:val="22"/>
        </w:rPr>
        <w:drawing>
          <wp:anchor distT="0" distB="0" distL="114300" distR="114300" simplePos="0" relativeHeight="251696128" behindDoc="0" locked="0" layoutInCell="1" allowOverlap="1" wp14:anchorId="1E5CB646" wp14:editId="65C96B14">
            <wp:simplePos x="0" y="0"/>
            <wp:positionH relativeFrom="margin">
              <wp:posOffset>511175</wp:posOffset>
            </wp:positionH>
            <wp:positionV relativeFrom="paragraph">
              <wp:posOffset>264160</wp:posOffset>
            </wp:positionV>
            <wp:extent cx="5394960" cy="2351405"/>
            <wp:effectExtent l="0" t="0" r="0" b="0"/>
            <wp:wrapTopAndBottom/>
            <wp:docPr id="1"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bookmarkEnd w:id="0"/>
    </w:p>
    <w:p w:rsidR="00662C23" w:rsidRPr="00A848E4" w:rsidRDefault="00662C23" w:rsidP="002C2C2B">
      <w:pPr>
        <w:spacing w:after="120" w:line="276" w:lineRule="auto"/>
        <w:rPr>
          <w:rFonts w:cs="Arial"/>
          <w:b/>
          <w:color w:val="007E79"/>
          <w:sz w:val="16"/>
          <w:szCs w:val="16"/>
        </w:rPr>
      </w:pPr>
    </w:p>
    <w:p w:rsidR="007363B8" w:rsidRPr="00A848E4" w:rsidRDefault="007363B8" w:rsidP="007363B8">
      <w:pPr>
        <w:spacing w:after="120" w:line="276" w:lineRule="auto"/>
        <w:rPr>
          <w:rFonts w:cs="Arial"/>
          <w:b/>
          <w:color w:val="007E79"/>
          <w:sz w:val="20"/>
        </w:rPr>
      </w:pPr>
      <w:r w:rsidRPr="00A848E4">
        <w:rPr>
          <w:rFonts w:cs="Arial"/>
          <w:b/>
          <w:color w:val="007E79"/>
          <w:sz w:val="20"/>
        </w:rPr>
        <w:t xml:space="preserve">Zajištění na stáří hraje prim, pro mladší ročníky je </w:t>
      </w:r>
      <w:r w:rsidR="0092288F" w:rsidRPr="00A848E4">
        <w:rPr>
          <w:rFonts w:cs="Arial"/>
          <w:b/>
          <w:color w:val="007E79"/>
          <w:sz w:val="20"/>
        </w:rPr>
        <w:t xml:space="preserve">však </w:t>
      </w:r>
      <w:r w:rsidRPr="00A848E4">
        <w:rPr>
          <w:rFonts w:cs="Arial"/>
          <w:b/>
          <w:color w:val="007E79"/>
          <w:sz w:val="20"/>
        </w:rPr>
        <w:t>důchod nekonečně vzdálený</w:t>
      </w:r>
    </w:p>
    <w:p w:rsidR="007363B8" w:rsidRPr="00A848E4" w:rsidRDefault="007363B8" w:rsidP="007363B8">
      <w:pPr>
        <w:spacing w:after="120" w:line="276" w:lineRule="auto"/>
        <w:rPr>
          <w:rFonts w:cs="Arial"/>
          <w:b/>
          <w:color w:val="007E79"/>
          <w:sz w:val="20"/>
        </w:rPr>
      </w:pPr>
      <w:r w:rsidRPr="00A848E4">
        <w:rPr>
          <w:rFonts w:cs="Arial"/>
          <w:sz w:val="20"/>
          <w:szCs w:val="18"/>
        </w:rPr>
        <w:t xml:space="preserve">Z dlouhodobějších forem spoření rozhodně vyhrává zajištění na stáří – existuje jen minimum Čechů, kteří by si nešetřili na důchod. Je to dáno příznivou ekonomickou situací a rostoucími příjmy. Nejčastěji spoříme na důchod do 1 000 Kč měsíčně. </w:t>
      </w:r>
      <w:r w:rsidRPr="00A848E4">
        <w:rPr>
          <w:rFonts w:cs="Arial"/>
          <w:i/>
          <w:iCs/>
          <w:sz w:val="20"/>
          <w:szCs w:val="18"/>
        </w:rPr>
        <w:t>„Správná částka však neexistuje. Záleží, jak si své stáří představujete,“</w:t>
      </w:r>
      <w:r w:rsidRPr="00A848E4">
        <w:rPr>
          <w:rFonts w:cs="Arial"/>
          <w:sz w:val="20"/>
          <w:szCs w:val="18"/>
        </w:rPr>
        <w:t xml:space="preserve"> uvažuje Helena Brychová s tím, že také záleží na tom, jestli budete bydlet ve vlastním nebo v nájmu. Kromě finančního spoření totiž můžeme zvolit i hmotné zajištění na stáří, které převažuje u lidí nad 35 let – jde tedy například o zmíněné nemovitosti. Mladší ročníky si pak spíš jen zjišťují možnosti spoření, pro většinu z nich je totiž vidina důchodu zatím nekonečně vzdálená. </w:t>
      </w:r>
    </w:p>
    <w:p w:rsidR="007363B8" w:rsidRPr="00A848E4" w:rsidRDefault="007363B8" w:rsidP="007363B8">
      <w:pPr>
        <w:spacing w:after="120" w:line="276" w:lineRule="auto"/>
        <w:rPr>
          <w:rFonts w:cs="Arial"/>
          <w:b/>
          <w:color w:val="007E79"/>
          <w:sz w:val="20"/>
        </w:rPr>
      </w:pPr>
      <w:r w:rsidRPr="00A848E4">
        <w:rPr>
          <w:rFonts w:cs="Arial"/>
          <w:b/>
          <w:color w:val="007E79"/>
          <w:sz w:val="20"/>
        </w:rPr>
        <w:t>Finanční gramotnost by měla začínat ve škole a v rodině, letos opět pomáhá i bankovní asociace</w:t>
      </w:r>
    </w:p>
    <w:p w:rsidR="00D36238" w:rsidRPr="00A848E4" w:rsidRDefault="007363B8" w:rsidP="007363B8">
      <w:pPr>
        <w:rPr>
          <w:rFonts w:cs="Arial"/>
          <w:sz w:val="20"/>
          <w:szCs w:val="18"/>
        </w:rPr>
      </w:pPr>
      <w:r w:rsidRPr="00A848E4">
        <w:rPr>
          <w:rFonts w:cs="Arial"/>
          <w:sz w:val="20"/>
          <w:szCs w:val="18"/>
        </w:rPr>
        <w:t>Mladí se k informacím o finan</w:t>
      </w:r>
      <w:r w:rsidR="0092288F" w:rsidRPr="00A848E4">
        <w:rPr>
          <w:rFonts w:cs="Arial"/>
          <w:sz w:val="20"/>
          <w:szCs w:val="18"/>
        </w:rPr>
        <w:t>cích</w:t>
      </w:r>
      <w:r w:rsidRPr="00A848E4">
        <w:rPr>
          <w:rFonts w:cs="Arial"/>
          <w:sz w:val="20"/>
          <w:szCs w:val="18"/>
        </w:rPr>
        <w:t xml:space="preserve"> dostávají </w:t>
      </w:r>
      <w:r w:rsidR="0092288F" w:rsidRPr="00A848E4">
        <w:rPr>
          <w:rFonts w:cs="Arial"/>
          <w:sz w:val="20"/>
          <w:szCs w:val="18"/>
        </w:rPr>
        <w:t>samozřejmě především</w:t>
      </w:r>
      <w:r w:rsidRPr="00A848E4">
        <w:rPr>
          <w:rFonts w:cs="Arial"/>
          <w:sz w:val="20"/>
          <w:szCs w:val="18"/>
        </w:rPr>
        <w:t xml:space="preserve"> v</w:t>
      </w:r>
      <w:r w:rsidR="0092288F" w:rsidRPr="00A848E4">
        <w:rPr>
          <w:rFonts w:cs="Arial"/>
          <w:sz w:val="20"/>
          <w:szCs w:val="18"/>
        </w:rPr>
        <w:t> </w:t>
      </w:r>
      <w:r w:rsidRPr="00A848E4">
        <w:rPr>
          <w:rFonts w:cs="Arial"/>
          <w:sz w:val="20"/>
          <w:szCs w:val="18"/>
        </w:rPr>
        <w:t>rodině</w:t>
      </w:r>
      <w:r w:rsidR="0092288F" w:rsidRPr="00A848E4">
        <w:rPr>
          <w:rFonts w:cs="Arial"/>
          <w:sz w:val="20"/>
          <w:szCs w:val="18"/>
        </w:rPr>
        <w:t>, a současně jsou prvky finanční gramotnosti i součástí rámcových vzdělávacích programů</w:t>
      </w:r>
      <w:r w:rsidRPr="00A848E4">
        <w:rPr>
          <w:rFonts w:cs="Arial"/>
          <w:sz w:val="20"/>
          <w:szCs w:val="18"/>
        </w:rPr>
        <w:t xml:space="preserve">. </w:t>
      </w:r>
      <w:r w:rsidR="0092288F" w:rsidRPr="00A848E4">
        <w:rPr>
          <w:rFonts w:cs="Arial"/>
          <w:sz w:val="20"/>
          <w:szCs w:val="18"/>
        </w:rPr>
        <w:t xml:space="preserve">S věkem pak </w:t>
      </w:r>
      <w:r w:rsidRPr="00A848E4">
        <w:rPr>
          <w:rFonts w:cs="Arial"/>
          <w:sz w:val="20"/>
          <w:szCs w:val="18"/>
        </w:rPr>
        <w:t>nab</w:t>
      </w:r>
      <w:r w:rsidR="0092288F" w:rsidRPr="00A848E4">
        <w:rPr>
          <w:rFonts w:cs="Arial"/>
          <w:sz w:val="20"/>
          <w:szCs w:val="18"/>
        </w:rPr>
        <w:t>íráme</w:t>
      </w:r>
      <w:r w:rsidRPr="00A848E4">
        <w:rPr>
          <w:rFonts w:cs="Arial"/>
          <w:sz w:val="20"/>
          <w:szCs w:val="18"/>
        </w:rPr>
        <w:t xml:space="preserve"> informace vlastními zkušenostmi. Lidé mají zato, že na finančním vzdělávání by se měl stejnoměrně podílet stát prostřednictvím základní a středních škol, důležitou roli ale hraje i rodina. </w:t>
      </w:r>
      <w:r w:rsidRPr="00A848E4">
        <w:rPr>
          <w:rFonts w:cs="Arial"/>
          <w:i/>
          <w:iCs/>
          <w:sz w:val="20"/>
          <w:szCs w:val="18"/>
        </w:rPr>
        <w:t xml:space="preserve">„I když se polovina rodin pravidelně a záměrně </w:t>
      </w:r>
      <w:r w:rsidR="00004CDE" w:rsidRPr="00A848E4">
        <w:rPr>
          <w:rFonts w:cs="Arial"/>
          <w:i/>
          <w:iCs/>
          <w:sz w:val="20"/>
          <w:szCs w:val="18"/>
        </w:rPr>
        <w:t xml:space="preserve">tématům spojeným s </w:t>
      </w:r>
      <w:r w:rsidRPr="00A848E4">
        <w:rPr>
          <w:rFonts w:cs="Arial"/>
          <w:i/>
          <w:iCs/>
          <w:sz w:val="20"/>
          <w:szCs w:val="18"/>
        </w:rPr>
        <w:t>finan</w:t>
      </w:r>
      <w:r w:rsidR="00004CDE" w:rsidRPr="00A848E4">
        <w:rPr>
          <w:rFonts w:cs="Arial"/>
          <w:i/>
          <w:iCs/>
          <w:sz w:val="20"/>
          <w:szCs w:val="18"/>
        </w:rPr>
        <w:t>cemi</w:t>
      </w:r>
      <w:r w:rsidRPr="00A848E4">
        <w:rPr>
          <w:rFonts w:cs="Arial"/>
          <w:i/>
          <w:iCs/>
          <w:sz w:val="20"/>
          <w:szCs w:val="18"/>
        </w:rPr>
        <w:t xml:space="preserve"> doma věnuje, je stále mnoho těch, co </w:t>
      </w:r>
      <w:r w:rsidR="00004CDE" w:rsidRPr="00A848E4">
        <w:rPr>
          <w:rFonts w:cs="Arial"/>
          <w:i/>
          <w:iCs/>
          <w:sz w:val="20"/>
          <w:szCs w:val="18"/>
        </w:rPr>
        <w:t xml:space="preserve">naopak </w:t>
      </w:r>
      <w:r w:rsidRPr="00A848E4">
        <w:rPr>
          <w:rFonts w:cs="Arial"/>
          <w:i/>
          <w:iCs/>
          <w:sz w:val="20"/>
          <w:szCs w:val="18"/>
        </w:rPr>
        <w:t>vůbec. Přitom právě chování rodičů je pro děti častým vzorem,</w:t>
      </w:r>
      <w:r w:rsidR="0092288F" w:rsidRPr="00A848E4">
        <w:rPr>
          <w:rFonts w:cs="Arial"/>
          <w:i/>
          <w:iCs/>
          <w:sz w:val="20"/>
          <w:szCs w:val="18"/>
        </w:rPr>
        <w:t xml:space="preserve"> takže i když se o financích záměrně nebavíme, děti sami vypozorují, jaký je náš vztah k penězům a jak s nimi nakládáme,</w:t>
      </w:r>
      <w:r w:rsidRPr="00A848E4">
        <w:rPr>
          <w:rFonts w:cs="Arial"/>
          <w:i/>
          <w:iCs/>
          <w:sz w:val="20"/>
          <w:szCs w:val="18"/>
        </w:rPr>
        <w:t>“</w:t>
      </w:r>
      <w:r w:rsidRPr="00A848E4">
        <w:rPr>
          <w:rFonts w:cs="Arial"/>
          <w:sz w:val="20"/>
          <w:szCs w:val="18"/>
        </w:rPr>
        <w:t xml:space="preserve"> uvádí Brychová.</w:t>
      </w:r>
    </w:p>
    <w:p w:rsidR="007363B8" w:rsidRPr="00A848E4" w:rsidRDefault="007363B8" w:rsidP="007363B8">
      <w:pPr>
        <w:rPr>
          <w:rFonts w:cs="Arial"/>
          <w:sz w:val="20"/>
          <w:szCs w:val="18"/>
        </w:rPr>
      </w:pPr>
      <w:r w:rsidRPr="00A848E4">
        <w:rPr>
          <w:rFonts w:cs="Arial"/>
          <w:i/>
          <w:iCs/>
          <w:noProof/>
          <w:sz w:val="20"/>
        </w:rPr>
        <w:lastRenderedPageBreak/>
        <w:drawing>
          <wp:anchor distT="0" distB="0" distL="114300" distR="114300" simplePos="0" relativeHeight="251698176" behindDoc="0" locked="0" layoutInCell="1" allowOverlap="1" wp14:anchorId="41945D0E" wp14:editId="73C2B10F">
            <wp:simplePos x="0" y="0"/>
            <wp:positionH relativeFrom="margin">
              <wp:posOffset>983615</wp:posOffset>
            </wp:positionH>
            <wp:positionV relativeFrom="paragraph">
              <wp:posOffset>222250</wp:posOffset>
            </wp:positionV>
            <wp:extent cx="4335780" cy="2404745"/>
            <wp:effectExtent l="0" t="0" r="7620" b="0"/>
            <wp:wrapTopAndBottom/>
            <wp:docPr id="11" name="Graf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7363B8" w:rsidRPr="00A848E4" w:rsidRDefault="007363B8" w:rsidP="007363B8">
      <w:pPr>
        <w:rPr>
          <w:rFonts w:cs="Arial"/>
          <w:sz w:val="20"/>
          <w:szCs w:val="18"/>
        </w:rPr>
      </w:pPr>
      <w:r w:rsidRPr="00A848E4">
        <w:rPr>
          <w:rFonts w:cs="Arial"/>
          <w:sz w:val="20"/>
          <w:szCs w:val="18"/>
        </w:rPr>
        <w:t>Češi očekávají</w:t>
      </w:r>
      <w:r w:rsidR="0092288F" w:rsidRPr="00A848E4">
        <w:rPr>
          <w:rFonts w:cs="Arial"/>
          <w:sz w:val="20"/>
          <w:szCs w:val="18"/>
        </w:rPr>
        <w:t>, že se do finančního vzdělávání budou zapojovat</w:t>
      </w:r>
      <w:r w:rsidRPr="00A848E4">
        <w:rPr>
          <w:rFonts w:cs="Arial"/>
          <w:sz w:val="20"/>
          <w:szCs w:val="18"/>
        </w:rPr>
        <w:t xml:space="preserve"> i odborní</w:t>
      </w:r>
      <w:r w:rsidR="0092288F" w:rsidRPr="00A848E4">
        <w:rPr>
          <w:rFonts w:cs="Arial"/>
          <w:sz w:val="20"/>
          <w:szCs w:val="18"/>
        </w:rPr>
        <w:t>ci</w:t>
      </w:r>
      <w:r w:rsidRPr="00A848E4">
        <w:rPr>
          <w:rFonts w:cs="Arial"/>
          <w:sz w:val="20"/>
          <w:szCs w:val="18"/>
        </w:rPr>
        <w:t>, například bankovních poradc</w:t>
      </w:r>
      <w:r w:rsidR="0092288F" w:rsidRPr="00A848E4">
        <w:rPr>
          <w:rFonts w:cs="Arial"/>
          <w:sz w:val="20"/>
          <w:szCs w:val="18"/>
        </w:rPr>
        <w:t>i</w:t>
      </w:r>
      <w:r w:rsidRPr="00A848E4">
        <w:rPr>
          <w:rFonts w:cs="Arial"/>
          <w:sz w:val="20"/>
          <w:szCs w:val="18"/>
        </w:rPr>
        <w:t xml:space="preserve">. </w:t>
      </w:r>
      <w:r w:rsidR="0092288F" w:rsidRPr="00A848E4">
        <w:rPr>
          <w:rFonts w:cs="Arial"/>
          <w:sz w:val="20"/>
          <w:szCs w:val="18"/>
        </w:rPr>
        <w:t xml:space="preserve">Pro banky tohle zjištění ale není žádná novinka, spíše odraz praxe. Např. </w:t>
      </w:r>
      <w:r w:rsidRPr="00A848E4">
        <w:rPr>
          <w:rFonts w:cs="Arial"/>
          <w:sz w:val="20"/>
          <w:szCs w:val="18"/>
        </w:rPr>
        <w:t>ČBA</w:t>
      </w:r>
      <w:r w:rsidR="0092288F" w:rsidRPr="00A848E4">
        <w:rPr>
          <w:rFonts w:cs="Arial"/>
          <w:sz w:val="20"/>
          <w:szCs w:val="18"/>
        </w:rPr>
        <w:t xml:space="preserve"> se zvyšování úrovně finanční gramotnosti napříč celou veřejností věnuje systematicky a dlouhodobě</w:t>
      </w:r>
      <w:r w:rsidRPr="00A848E4">
        <w:rPr>
          <w:rFonts w:cs="Arial"/>
          <w:sz w:val="20"/>
          <w:szCs w:val="18"/>
        </w:rPr>
        <w:t xml:space="preserve">. </w:t>
      </w:r>
      <w:r w:rsidRPr="00A848E4">
        <w:rPr>
          <w:rFonts w:cs="Arial"/>
          <w:i/>
          <w:iCs/>
          <w:sz w:val="20"/>
          <w:szCs w:val="18"/>
        </w:rPr>
        <w:t>„Finanční vzdělávání patří mezi hlavní aktivity České bankovní asociace. Právě spouštíme projekt vzdělávacích videí s Jankem Rubešem s názvem Jak na peníze, který cílí na generaci mladých, která je ve věku, kdy se osamostatňuje a také hodně cestuje,“</w:t>
      </w:r>
      <w:r w:rsidRPr="00A848E4">
        <w:rPr>
          <w:rFonts w:cs="Arial"/>
          <w:sz w:val="20"/>
          <w:szCs w:val="18"/>
        </w:rPr>
        <w:t xml:space="preserve"> popisuje vedoucí vzdělávacích projektů a dodává: </w:t>
      </w:r>
      <w:r w:rsidRPr="00A848E4">
        <w:rPr>
          <w:rFonts w:cs="Arial"/>
          <w:i/>
          <w:iCs/>
          <w:sz w:val="20"/>
          <w:szCs w:val="18"/>
        </w:rPr>
        <w:t>„i letos organizujeme projekt Bankéři do škol, do kterého se zapojí téměř 150 bankéřů ve školách po celé republice. Letos se program rozšíří o téma Letem finančním světem, takže se do našich vzdělávacích aktivit mohou zapojit opravdu všichni bankéři, a ne pouze ti, kteří se zaměřují jen na kyberbezpečnost, jako tomu bylo v minulých letech.“</w:t>
      </w:r>
    </w:p>
    <w:p w:rsidR="007363B8" w:rsidRPr="00A848E4" w:rsidRDefault="007363B8" w:rsidP="007363B8">
      <w:pPr>
        <w:rPr>
          <w:rFonts w:cs="Arial"/>
          <w:sz w:val="20"/>
          <w:szCs w:val="18"/>
        </w:rPr>
      </w:pPr>
    </w:p>
    <w:p w:rsidR="00D36238" w:rsidRPr="00A848E4" w:rsidRDefault="001F5CF7" w:rsidP="002C2C2B">
      <w:pPr>
        <w:spacing w:after="120" w:line="276" w:lineRule="auto"/>
        <w:rPr>
          <w:rFonts w:cs="Arial"/>
          <w:b/>
          <w:color w:val="007E79"/>
          <w:sz w:val="16"/>
          <w:szCs w:val="16"/>
        </w:rPr>
      </w:pPr>
      <w:r w:rsidRPr="00A848E4">
        <w:rPr>
          <w:rFonts w:eastAsiaTheme="minorEastAsia" w:cs="Arial"/>
          <w:noProof/>
          <w:sz w:val="16"/>
          <w:szCs w:val="18"/>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154306</wp:posOffset>
                </wp:positionV>
                <wp:extent cx="6574790" cy="1449677"/>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4496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24E" w:rsidRDefault="0065124E" w:rsidP="00F8461A">
                            <w:pPr>
                              <w:spacing w:after="120" w:line="276" w:lineRule="auto"/>
                              <w:contextualSpacing/>
                              <w:rPr>
                                <w:rFonts w:cs="Arial"/>
                                <w:b/>
                                <w:szCs w:val="18"/>
                              </w:rPr>
                            </w:pPr>
                            <w:r>
                              <w:rPr>
                                <w:rFonts w:cs="Arial"/>
                                <w:b/>
                                <w:szCs w:val="18"/>
                              </w:rPr>
                              <w:t xml:space="preserve">O </w:t>
                            </w:r>
                            <w:r w:rsidR="00222692">
                              <w:rPr>
                                <w:rFonts w:cs="Arial"/>
                                <w:b/>
                                <w:szCs w:val="18"/>
                              </w:rPr>
                              <w:t>průzkumu</w:t>
                            </w:r>
                          </w:p>
                          <w:p w:rsidR="007363B8" w:rsidRPr="003028DC" w:rsidRDefault="007363B8" w:rsidP="00F8461A">
                            <w:pPr>
                              <w:spacing w:after="120" w:line="276" w:lineRule="auto"/>
                              <w:contextualSpacing/>
                              <w:rPr>
                                <w:rFonts w:cs="Arial"/>
                                <w:szCs w:val="18"/>
                              </w:rPr>
                            </w:pPr>
                            <w:r w:rsidRPr="00C8360D">
                              <w:rPr>
                                <w:rFonts w:cs="Arial"/>
                                <w:szCs w:val="18"/>
                              </w:rPr>
                              <w:t xml:space="preserve">Průzkumu se zúčastnilo </w:t>
                            </w:r>
                            <w:r>
                              <w:rPr>
                                <w:rFonts w:cs="Arial"/>
                                <w:szCs w:val="18"/>
                              </w:rPr>
                              <w:t>1 0</w:t>
                            </w:r>
                            <w:r w:rsidR="00B210A7">
                              <w:rPr>
                                <w:rFonts w:cs="Arial"/>
                                <w:szCs w:val="18"/>
                              </w:rPr>
                              <w:t>87</w:t>
                            </w:r>
                            <w:r w:rsidRPr="00C8360D">
                              <w:rPr>
                                <w:rFonts w:cs="Arial"/>
                                <w:szCs w:val="18"/>
                              </w:rPr>
                              <w:t xml:space="preserve"> respond</w:t>
                            </w:r>
                            <w:r>
                              <w:rPr>
                                <w:rFonts w:cs="Arial"/>
                                <w:szCs w:val="18"/>
                              </w:rPr>
                              <w:t xml:space="preserve">entů z celé ČR starších 18 let. </w:t>
                            </w:r>
                            <w:r w:rsidRPr="00C8360D">
                              <w:rPr>
                                <w:rFonts w:cs="Arial"/>
                                <w:szCs w:val="18"/>
                              </w:rPr>
                              <w:t>Pro ČBA jej realizovala agentura SC&amp;C</w:t>
                            </w:r>
                            <w:r>
                              <w:rPr>
                                <w:rFonts w:cs="Arial"/>
                                <w:szCs w:val="18"/>
                              </w:rPr>
                              <w:t xml:space="preserve"> ve dnech </w:t>
                            </w:r>
                            <w:r w:rsidR="00B210A7">
                              <w:rPr>
                                <w:rFonts w:cs="Arial"/>
                                <w:szCs w:val="18"/>
                              </w:rPr>
                              <w:t>15</w:t>
                            </w:r>
                            <w:r w:rsidRPr="00B03069">
                              <w:rPr>
                                <w:rFonts w:cs="Arial"/>
                                <w:szCs w:val="18"/>
                              </w:rPr>
                              <w:t xml:space="preserve">. </w:t>
                            </w:r>
                            <w:r w:rsidR="00B210A7">
                              <w:rPr>
                                <w:rFonts w:cs="Arial"/>
                                <w:szCs w:val="18"/>
                              </w:rPr>
                              <w:t>července</w:t>
                            </w:r>
                            <w:r w:rsidRPr="00B03069">
                              <w:rPr>
                                <w:rFonts w:cs="Arial"/>
                                <w:szCs w:val="18"/>
                              </w:rPr>
                              <w:t xml:space="preserve"> </w:t>
                            </w:r>
                            <w:r w:rsidR="00B210A7">
                              <w:rPr>
                                <w:rFonts w:cs="Arial"/>
                                <w:szCs w:val="18"/>
                              </w:rPr>
                              <w:t>- 27</w:t>
                            </w:r>
                            <w:r w:rsidRPr="00B03069">
                              <w:rPr>
                                <w:rFonts w:cs="Arial"/>
                                <w:szCs w:val="18"/>
                              </w:rPr>
                              <w:t xml:space="preserve">. </w:t>
                            </w:r>
                            <w:r w:rsidR="00B210A7">
                              <w:rPr>
                                <w:rFonts w:cs="Arial"/>
                                <w:szCs w:val="18"/>
                              </w:rPr>
                              <w:t>srpna</w:t>
                            </w:r>
                            <w:r>
                              <w:rPr>
                                <w:rFonts w:cs="Arial"/>
                                <w:szCs w:val="18"/>
                              </w:rPr>
                              <w:t xml:space="preserve"> 201</w:t>
                            </w:r>
                            <w:r w:rsidR="00B210A7">
                              <w:rPr>
                                <w:rFonts w:cs="Arial"/>
                                <w:szCs w:val="18"/>
                              </w:rPr>
                              <w:t>9</w:t>
                            </w:r>
                            <w:r>
                              <w:rPr>
                                <w:rFonts w:cs="Arial"/>
                                <w:szCs w:val="18"/>
                              </w:rPr>
                              <w:t>. Test finanční gramotnosti vypracovala v roce 2016 ČBA</w:t>
                            </w:r>
                            <w:r w:rsidRPr="00C8360D">
                              <w:rPr>
                                <w:rFonts w:cs="Arial"/>
                                <w:szCs w:val="18"/>
                              </w:rPr>
                              <w:t xml:space="preserve"> za přispění společností CEFIG, Finanční gramotnost do škol a Poradna při finanční tísni.</w:t>
                            </w:r>
                            <w:r>
                              <w:rPr>
                                <w:rFonts w:cs="Arial"/>
                                <w:szCs w:val="18"/>
                              </w:rPr>
                              <w:t xml:space="preserve"> </w:t>
                            </w:r>
                            <w:r w:rsidRPr="00C8360D">
                              <w:rPr>
                                <w:rFonts w:cs="Arial"/>
                                <w:szCs w:val="18"/>
                              </w:rPr>
                              <w:t xml:space="preserve">Respondenti odpovídali na 11 kvízových otázek, </w:t>
                            </w:r>
                            <w:r>
                              <w:rPr>
                                <w:rFonts w:cs="Arial"/>
                                <w:szCs w:val="18"/>
                              </w:rPr>
                              <w:t>I</w:t>
                            </w:r>
                            <w:r w:rsidRPr="00C8360D">
                              <w:rPr>
                                <w:rFonts w:cs="Arial"/>
                                <w:szCs w:val="18"/>
                              </w:rPr>
                              <w:t>ndex finanční gramotnosti</w:t>
                            </w:r>
                            <w:r>
                              <w:rPr>
                                <w:rFonts w:cs="Arial"/>
                                <w:szCs w:val="18"/>
                              </w:rPr>
                              <w:t xml:space="preserve"> ČBA</w:t>
                            </w:r>
                            <w:r w:rsidRPr="00C8360D">
                              <w:rPr>
                                <w:rFonts w:cs="Arial"/>
                                <w:szCs w:val="18"/>
                              </w:rPr>
                              <w:t xml:space="preserve"> byl stanoven podle úspěšnosti odpovědí na jednotlivé otázky (čím větší podíl správných odpovědí, tím lehčí otázka a méně bodů za správnou odpověď). V každé otázce je za správnou odpověď </w:t>
                            </w:r>
                            <w:r>
                              <w:rPr>
                                <w:rFonts w:cs="Arial"/>
                                <w:szCs w:val="18"/>
                              </w:rPr>
                              <w:t xml:space="preserve">udělena </w:t>
                            </w:r>
                            <w:r w:rsidRPr="00C8360D">
                              <w:rPr>
                                <w:rFonts w:cs="Arial"/>
                                <w:szCs w:val="18"/>
                              </w:rPr>
                              <w:t>hodnota 1 mínus celkový podíl správných odpovědí, za špatnou odpověď je 0 bodů. Platí, že čím náročnější otázka, tím více bodů za správnou odpověď. Vše je pak převedeno na škálu 0-100. Index tak přesně zohledňuje náročnost jednotlivých otázek.</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 o:spid="_x0000_s1026" style="position:absolute;left:0;text-align:left;margin-left:0;margin-top:12.15pt;width:517.7pt;height:114.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" fillcolor="#bfbfbf [2412]" stroked="f" strokeweight="1pt">
                <v:textbox inset="3mm,3mm,3mm,3mm">
                  <w:txbxContent>
                    <w:p w14:paraId="3C761CE2" w14:textId="77777777" w:rsidR="0065124E" w:rsidRDefault="0065124E" w:rsidP="00F8461A">
                      <w:pPr>
                        <w:spacing w:after="120" w:line="276" w:lineRule="auto"/>
                        <w:contextualSpacing/>
                        <w:rPr>
                          <w:rFonts w:cs="Arial"/>
                          <w:b/>
                          <w:szCs w:val="18"/>
                        </w:rPr>
                      </w:pPr>
                      <w:r>
                        <w:rPr>
                          <w:rFonts w:cs="Arial"/>
                          <w:b/>
                          <w:szCs w:val="18"/>
                        </w:rPr>
                        <w:t xml:space="preserve">O </w:t>
                      </w:r>
                      <w:r w:rsidR="00222692">
                        <w:rPr>
                          <w:rFonts w:cs="Arial"/>
                          <w:b/>
                          <w:szCs w:val="18"/>
                        </w:rPr>
                        <w:t>průzkumu</w:t>
                      </w:r>
                    </w:p>
                    <w:p w14:paraId="1A3ECC91" w14:textId="77777777" w:rsidR="007363B8" w:rsidRPr="003028DC" w:rsidRDefault="007363B8" w:rsidP="00F8461A">
                      <w:pPr>
                        <w:spacing w:after="120" w:line="276" w:lineRule="auto"/>
                        <w:contextualSpacing/>
                        <w:rPr>
                          <w:rFonts w:cs="Arial"/>
                          <w:szCs w:val="18"/>
                        </w:rPr>
                      </w:pPr>
                      <w:r w:rsidRPr="00C8360D">
                        <w:rPr>
                          <w:rFonts w:cs="Arial"/>
                          <w:szCs w:val="18"/>
                        </w:rPr>
                        <w:t xml:space="preserve">Průzkumu se zúčastnilo </w:t>
                      </w:r>
                      <w:r>
                        <w:rPr>
                          <w:rFonts w:cs="Arial"/>
                          <w:szCs w:val="18"/>
                        </w:rPr>
                        <w:t>1 0</w:t>
                      </w:r>
                      <w:r w:rsidR="00B210A7">
                        <w:rPr>
                          <w:rFonts w:cs="Arial"/>
                          <w:szCs w:val="18"/>
                        </w:rPr>
                        <w:t>87</w:t>
                      </w:r>
                      <w:r w:rsidRPr="00C8360D">
                        <w:rPr>
                          <w:rFonts w:cs="Arial"/>
                          <w:szCs w:val="18"/>
                        </w:rPr>
                        <w:t xml:space="preserve"> respond</w:t>
                      </w:r>
                      <w:r>
                        <w:rPr>
                          <w:rFonts w:cs="Arial"/>
                          <w:szCs w:val="18"/>
                        </w:rPr>
                        <w:t xml:space="preserve">entů z celé ČR starších 18 let. </w:t>
                      </w:r>
                      <w:r w:rsidRPr="00C8360D">
                        <w:rPr>
                          <w:rFonts w:cs="Arial"/>
                          <w:szCs w:val="18"/>
                        </w:rPr>
                        <w:t>Pro ČBA jej realizovala agentura SC&amp;C</w:t>
                      </w:r>
                      <w:r>
                        <w:rPr>
                          <w:rFonts w:cs="Arial"/>
                          <w:szCs w:val="18"/>
                        </w:rPr>
                        <w:t xml:space="preserve"> ve dnech </w:t>
                      </w:r>
                      <w:r w:rsidR="00B210A7">
                        <w:rPr>
                          <w:rFonts w:cs="Arial"/>
                          <w:szCs w:val="18"/>
                        </w:rPr>
                        <w:t>15</w:t>
                      </w:r>
                      <w:r w:rsidRPr="00B03069">
                        <w:rPr>
                          <w:rFonts w:cs="Arial"/>
                          <w:szCs w:val="18"/>
                        </w:rPr>
                        <w:t xml:space="preserve">. </w:t>
                      </w:r>
                      <w:r w:rsidR="00B210A7">
                        <w:rPr>
                          <w:rFonts w:cs="Arial"/>
                          <w:szCs w:val="18"/>
                        </w:rPr>
                        <w:t>července</w:t>
                      </w:r>
                      <w:r w:rsidRPr="00B03069">
                        <w:rPr>
                          <w:rFonts w:cs="Arial"/>
                          <w:szCs w:val="18"/>
                        </w:rPr>
                        <w:t xml:space="preserve"> </w:t>
                      </w:r>
                      <w:r w:rsidR="00B210A7">
                        <w:rPr>
                          <w:rFonts w:cs="Arial"/>
                          <w:szCs w:val="18"/>
                        </w:rPr>
                        <w:t>- 27</w:t>
                      </w:r>
                      <w:r w:rsidRPr="00B03069">
                        <w:rPr>
                          <w:rFonts w:cs="Arial"/>
                          <w:szCs w:val="18"/>
                        </w:rPr>
                        <w:t xml:space="preserve">. </w:t>
                      </w:r>
                      <w:r w:rsidR="00B210A7">
                        <w:rPr>
                          <w:rFonts w:cs="Arial"/>
                          <w:szCs w:val="18"/>
                        </w:rPr>
                        <w:t>srpna</w:t>
                      </w:r>
                      <w:r>
                        <w:rPr>
                          <w:rFonts w:cs="Arial"/>
                          <w:szCs w:val="18"/>
                        </w:rPr>
                        <w:t xml:space="preserve"> 201</w:t>
                      </w:r>
                      <w:r w:rsidR="00B210A7">
                        <w:rPr>
                          <w:rFonts w:cs="Arial"/>
                          <w:szCs w:val="18"/>
                        </w:rPr>
                        <w:t>9</w:t>
                      </w:r>
                      <w:r>
                        <w:rPr>
                          <w:rFonts w:cs="Arial"/>
                          <w:szCs w:val="18"/>
                        </w:rPr>
                        <w:t>. Test finanční gramotnosti vypracovala v roce 2016 ČBA</w:t>
                      </w:r>
                      <w:r w:rsidRPr="00C8360D">
                        <w:rPr>
                          <w:rFonts w:cs="Arial"/>
                          <w:szCs w:val="18"/>
                        </w:rPr>
                        <w:t xml:space="preserve"> za přispění společností CEFIG, Finanční gramotnost do škol a Poradna při finanční tísni.</w:t>
                      </w:r>
                      <w:r>
                        <w:rPr>
                          <w:rFonts w:cs="Arial"/>
                          <w:szCs w:val="18"/>
                        </w:rPr>
                        <w:t xml:space="preserve"> </w:t>
                      </w:r>
                      <w:r w:rsidRPr="00C8360D">
                        <w:rPr>
                          <w:rFonts w:cs="Arial"/>
                          <w:szCs w:val="18"/>
                        </w:rPr>
                        <w:t xml:space="preserve">Respondenti odpovídali na 11 kvízových otázek, </w:t>
                      </w:r>
                      <w:r>
                        <w:rPr>
                          <w:rFonts w:cs="Arial"/>
                          <w:szCs w:val="18"/>
                        </w:rPr>
                        <w:t>I</w:t>
                      </w:r>
                      <w:r w:rsidRPr="00C8360D">
                        <w:rPr>
                          <w:rFonts w:cs="Arial"/>
                          <w:szCs w:val="18"/>
                        </w:rPr>
                        <w:t>ndex finanční gramotnosti</w:t>
                      </w:r>
                      <w:r>
                        <w:rPr>
                          <w:rFonts w:cs="Arial"/>
                          <w:szCs w:val="18"/>
                        </w:rPr>
                        <w:t xml:space="preserve"> ČBA</w:t>
                      </w:r>
                      <w:r w:rsidRPr="00C8360D">
                        <w:rPr>
                          <w:rFonts w:cs="Arial"/>
                          <w:szCs w:val="18"/>
                        </w:rPr>
                        <w:t xml:space="preserve"> byl stanoven podle úspěšnosti odpovědí na jednotlivé otázky (čím větší podíl správných odpovědí, tím lehčí otázka a méně bodů za správnou odpověď). V každé otázce je za správnou odpověď </w:t>
                      </w:r>
                      <w:r>
                        <w:rPr>
                          <w:rFonts w:cs="Arial"/>
                          <w:szCs w:val="18"/>
                        </w:rPr>
                        <w:t xml:space="preserve">udělena </w:t>
                      </w:r>
                      <w:r w:rsidRPr="00C8360D">
                        <w:rPr>
                          <w:rFonts w:cs="Arial"/>
                          <w:szCs w:val="18"/>
                        </w:rPr>
                        <w:t>hodnota 1 mínus celkový podíl správných odpovědí, za špatnou odpověď je 0 bodů. Platí, že čím náročnější otázka, tím více bodů za správnou odpověď. Vše je pak převedeno na škálu 0-100. Index tak přesně zohledňuje náročnost jednotlivých otázek.</w:t>
                      </w:r>
                    </w:p>
                  </w:txbxContent>
                </v:textbox>
                <w10:wrap anchorx="margin"/>
              </v:rect>
            </w:pict>
          </mc:Fallback>
        </mc:AlternateContent>
      </w:r>
    </w:p>
    <w:p w:rsidR="00D36238" w:rsidRPr="00A848E4" w:rsidRDefault="00D36238" w:rsidP="002C2C2B">
      <w:pPr>
        <w:spacing w:after="120" w:line="276" w:lineRule="auto"/>
        <w:rPr>
          <w:rFonts w:cs="Arial"/>
          <w:b/>
          <w:color w:val="007E79"/>
          <w:sz w:val="16"/>
          <w:szCs w:val="16"/>
        </w:rPr>
      </w:pPr>
    </w:p>
    <w:p w:rsidR="00662C23" w:rsidRPr="00A848E4" w:rsidRDefault="00662C23" w:rsidP="002C2C2B">
      <w:pPr>
        <w:spacing w:after="120" w:line="276" w:lineRule="auto"/>
        <w:rPr>
          <w:rFonts w:cs="Arial"/>
          <w:b/>
          <w:color w:val="007E79"/>
          <w:sz w:val="16"/>
          <w:szCs w:val="16"/>
        </w:rPr>
      </w:pPr>
    </w:p>
    <w:p w:rsidR="00AB0ED1" w:rsidRPr="00A848E4" w:rsidRDefault="00AB0ED1" w:rsidP="008B1C16">
      <w:pPr>
        <w:spacing w:line="276" w:lineRule="auto"/>
        <w:contextualSpacing/>
        <w:rPr>
          <w:rFonts w:cs="Arial"/>
          <w:sz w:val="16"/>
          <w:szCs w:val="16"/>
        </w:rPr>
      </w:pPr>
    </w:p>
    <w:p w:rsidR="00FF052C" w:rsidRPr="00A848E4" w:rsidRDefault="00FF052C" w:rsidP="008B1C16">
      <w:pPr>
        <w:spacing w:line="276" w:lineRule="auto"/>
        <w:contextualSpacing/>
        <w:rPr>
          <w:rFonts w:cs="Arial"/>
          <w:sz w:val="16"/>
          <w:szCs w:val="16"/>
        </w:rPr>
      </w:pPr>
    </w:p>
    <w:p w:rsidR="00FF052C" w:rsidRPr="00A848E4" w:rsidRDefault="00FF052C" w:rsidP="008B1C16">
      <w:pPr>
        <w:spacing w:line="276" w:lineRule="auto"/>
        <w:contextualSpacing/>
        <w:rPr>
          <w:rFonts w:cs="Arial"/>
          <w:sz w:val="16"/>
          <w:szCs w:val="16"/>
        </w:rPr>
      </w:pPr>
    </w:p>
    <w:p w:rsidR="00FF052C" w:rsidRPr="00A848E4" w:rsidRDefault="00FF052C" w:rsidP="008B1C16">
      <w:pPr>
        <w:spacing w:line="276" w:lineRule="auto"/>
        <w:contextualSpacing/>
        <w:rPr>
          <w:rFonts w:cs="Arial"/>
          <w:sz w:val="16"/>
          <w:szCs w:val="16"/>
        </w:rPr>
      </w:pPr>
    </w:p>
    <w:p w:rsidR="00FF052C" w:rsidRPr="00A848E4" w:rsidRDefault="00FF052C" w:rsidP="008B1C16">
      <w:pPr>
        <w:spacing w:line="276" w:lineRule="auto"/>
        <w:contextualSpacing/>
        <w:rPr>
          <w:rFonts w:cs="Arial"/>
          <w:sz w:val="16"/>
          <w:szCs w:val="16"/>
        </w:rPr>
      </w:pPr>
    </w:p>
    <w:p w:rsidR="00FF052C" w:rsidRPr="00A848E4" w:rsidRDefault="00FF052C" w:rsidP="008B1C16">
      <w:pPr>
        <w:spacing w:line="276" w:lineRule="auto"/>
        <w:contextualSpacing/>
        <w:rPr>
          <w:rFonts w:cs="Arial"/>
          <w:sz w:val="16"/>
          <w:szCs w:val="16"/>
        </w:rPr>
      </w:pPr>
    </w:p>
    <w:p w:rsidR="00FF052C" w:rsidRPr="00A848E4" w:rsidRDefault="00FF052C" w:rsidP="008B1C16">
      <w:pPr>
        <w:spacing w:line="276" w:lineRule="auto"/>
        <w:contextualSpacing/>
        <w:rPr>
          <w:rFonts w:cs="Arial"/>
          <w:sz w:val="16"/>
          <w:szCs w:val="16"/>
        </w:rPr>
      </w:pPr>
    </w:p>
    <w:p w:rsidR="00E373B4" w:rsidRPr="00E27F2F" w:rsidRDefault="007363B8" w:rsidP="008B1C16">
      <w:pPr>
        <w:spacing w:line="276" w:lineRule="auto"/>
        <w:contextualSpacing/>
        <w:rPr>
          <w:rFonts w:cs="Arial"/>
          <w:sz w:val="16"/>
          <w:szCs w:val="16"/>
        </w:rPr>
      </w:pPr>
      <w:r w:rsidRPr="00A848E4">
        <w:rPr>
          <w:rFonts w:eastAsiaTheme="minorEastAsia" w:cs="Arial"/>
          <w:noProof/>
          <w:sz w:val="16"/>
          <w:szCs w:val="18"/>
        </w:rPr>
        <mc:AlternateContent>
          <mc:Choice Requires="wps">
            <w:drawing>
              <wp:anchor distT="0" distB="0" distL="114300" distR="114300" simplePos="0" relativeHeight="251688960" behindDoc="0" locked="0" layoutInCell="1" allowOverlap="1">
                <wp:simplePos x="0" y="0"/>
                <wp:positionH relativeFrom="margin">
                  <wp:posOffset>4378684</wp:posOffset>
                </wp:positionH>
                <wp:positionV relativeFrom="paragraph">
                  <wp:posOffset>84234</wp:posOffset>
                </wp:positionV>
                <wp:extent cx="2198370" cy="1557655"/>
                <wp:effectExtent l="0" t="2540" r="1905" b="1905"/>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57655"/>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rsidR="0065124E" w:rsidRPr="00F2719D" w:rsidRDefault="0065124E" w:rsidP="00044002">
                            <w:pPr>
                              <w:spacing w:line="276" w:lineRule="auto"/>
                              <w:jc w:val="left"/>
                              <w:rPr>
                                <w:rFonts w:cs="Arial"/>
                                <w:b/>
                                <w:color w:val="FFFFFF" w:themeColor="background1"/>
                                <w:szCs w:val="18"/>
                              </w:rPr>
                            </w:pPr>
                          </w:p>
                          <w:p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r w:rsidRPr="00F2719D">
                              <w:rPr>
                                <w:rFonts w:cs="Arial"/>
                                <w:color w:val="FFFFFF" w:themeColor="background1"/>
                                <w:szCs w:val="18"/>
                              </w:rPr>
                              <w:t>anažerka PR a komunikace ČBA</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petraskova@czech-ba.cz</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rsidR="0065124E" w:rsidRDefault="0065124E" w:rsidP="00044002">
                            <w:pPr>
                              <w:jc w:val="left"/>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id="Obdélník 200" o:spid="_x0000_s1027" style="position:absolute;left:0;text-align:left;margin-left:344.8pt;margin-top:6.65pt;width:173.1pt;height:1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" fillcolor="#007e79" stroked="f" strokeweight="1pt">
                <v:fill opacity="56283f"/>
                <v:textbox inset="3mm,3mm,3mm,3mm">
                  <w:txbxContent>
                    <w:p w14:paraId="3F7C6436"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221D381F"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55FEC232" w14:textId="77777777" w:rsidR="0065124E" w:rsidRPr="00F2719D" w:rsidRDefault="0065124E" w:rsidP="00044002">
                      <w:pPr>
                        <w:spacing w:line="276" w:lineRule="auto"/>
                        <w:jc w:val="left"/>
                        <w:rPr>
                          <w:rFonts w:cs="Arial"/>
                          <w:b/>
                          <w:color w:val="FFFFFF" w:themeColor="background1"/>
                          <w:szCs w:val="18"/>
                        </w:rPr>
                      </w:pPr>
                    </w:p>
                    <w:p w14:paraId="296CD633"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4F623ACB"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proofErr w:type="spellStart"/>
                      <w:r w:rsidRPr="00F2719D">
                        <w:rPr>
                          <w:rFonts w:cs="Arial"/>
                          <w:color w:val="FFFFFF" w:themeColor="background1"/>
                          <w:szCs w:val="18"/>
                        </w:rPr>
                        <w:t>anažerka</w:t>
                      </w:r>
                      <w:proofErr w:type="spellEnd"/>
                      <w:r w:rsidRPr="00F2719D">
                        <w:rPr>
                          <w:rFonts w:cs="Arial"/>
                          <w:color w:val="FFFFFF" w:themeColor="background1"/>
                          <w:szCs w:val="18"/>
                        </w:rPr>
                        <w:t xml:space="preserve"> PR a komunikace ČBA</w:t>
                      </w:r>
                    </w:p>
                    <w:p w14:paraId="0676568A"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petraskova@czech-ba.cz</w:t>
                      </w:r>
                    </w:p>
                    <w:p w14:paraId="04E2A8FB"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0679452F" w14:textId="77777777" w:rsidR="0065124E" w:rsidRDefault="0065124E" w:rsidP="00044002">
                      <w:pPr>
                        <w:jc w:val="left"/>
                      </w:pPr>
                    </w:p>
                  </w:txbxContent>
                </v:textbox>
                <w10:wrap anchorx="margin"/>
              </v:rect>
            </w:pict>
          </mc:Fallback>
        </mc:AlternateContent>
      </w:r>
      <w:r w:rsidRPr="00A848E4">
        <w:rPr>
          <w:rFonts w:eastAsiaTheme="minorEastAsia" w:cs="Arial"/>
          <w:noProof/>
          <w:sz w:val="16"/>
          <w:szCs w:val="18"/>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74378</wp:posOffset>
                </wp:positionV>
                <wp:extent cx="4322445" cy="1558290"/>
                <wp:effectExtent l="0" t="0" r="1905" b="381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58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99" o:spid="_x0000_s1028" style="position:absolute;left:0;text-align:left;margin-left:0;margin-top:5.85pt;width:340.35pt;height:122.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" fillcolor="#bfbfbf [2412]" stroked="f" strokeweight="1pt">
                <v:textbox inset="3mm,3mm,3mm,3mm">
                  <w:txbxContent>
                    <w:p w14:paraId="752362FD"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69998A41" w14:textId="77777777"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v:textbox>
                <w10:wrap anchorx="margin"/>
              </v:rect>
            </w:pict>
          </mc:Fallback>
        </mc:AlternateContent>
      </w:r>
    </w:p>
    <w:p w:rsidR="004F6EA8" w:rsidRPr="00E27F2F" w:rsidRDefault="004F6EA8" w:rsidP="008B1C16">
      <w:pPr>
        <w:spacing w:line="276" w:lineRule="auto"/>
        <w:contextualSpacing/>
        <w:jc w:val="center"/>
        <w:rPr>
          <w:rFonts w:cs="Arial"/>
          <w:sz w:val="16"/>
          <w:szCs w:val="16"/>
        </w:rPr>
      </w:pPr>
    </w:p>
    <w:p w:rsidR="00B15438" w:rsidRPr="00E27F2F" w:rsidRDefault="00B15438" w:rsidP="008B1C16">
      <w:pPr>
        <w:spacing w:line="276" w:lineRule="auto"/>
        <w:contextualSpacing/>
        <w:rPr>
          <w:rFonts w:cs="Arial"/>
          <w:sz w:val="16"/>
          <w:szCs w:val="16"/>
        </w:rPr>
      </w:pPr>
      <w:r w:rsidRPr="00E27F2F">
        <w:rPr>
          <w:rFonts w:cs="Arial"/>
          <w:sz w:val="16"/>
          <w:szCs w:val="16"/>
        </w:rPr>
        <w:t xml:space="preserve"> </w:t>
      </w:r>
    </w:p>
    <w:p w:rsidR="00F8461A" w:rsidRPr="00E27F2F" w:rsidRDefault="00F8461A" w:rsidP="008B1C16">
      <w:pPr>
        <w:spacing w:line="276" w:lineRule="auto"/>
        <w:contextualSpacing/>
        <w:rPr>
          <w:rFonts w:cs="Arial"/>
          <w:sz w:val="16"/>
          <w:szCs w:val="16"/>
        </w:rPr>
      </w:pPr>
    </w:p>
    <w:p w:rsidR="00F8461A" w:rsidRPr="00E27F2F" w:rsidRDefault="00F8461A" w:rsidP="008B1C16">
      <w:pPr>
        <w:spacing w:line="276" w:lineRule="auto"/>
        <w:contextualSpacing/>
        <w:rPr>
          <w:rFonts w:cs="Arial"/>
          <w:sz w:val="16"/>
          <w:szCs w:val="16"/>
        </w:rPr>
      </w:pPr>
    </w:p>
    <w:p w:rsidR="00F8461A" w:rsidRPr="00E27F2F" w:rsidRDefault="00F8461A" w:rsidP="008B1C16">
      <w:pPr>
        <w:spacing w:line="276" w:lineRule="auto"/>
        <w:contextualSpacing/>
        <w:rPr>
          <w:rFonts w:cs="Arial"/>
          <w:sz w:val="16"/>
          <w:szCs w:val="16"/>
        </w:rPr>
      </w:pPr>
    </w:p>
    <w:p w:rsidR="00F8461A" w:rsidRPr="00E27F2F" w:rsidRDefault="00F8461A" w:rsidP="008B1C16">
      <w:pPr>
        <w:spacing w:line="276" w:lineRule="auto"/>
        <w:contextualSpacing/>
        <w:rPr>
          <w:rFonts w:cs="Arial"/>
          <w:sz w:val="16"/>
          <w:szCs w:val="16"/>
        </w:rPr>
      </w:pPr>
    </w:p>
    <w:p w:rsidR="00B85546" w:rsidRPr="00E27F2F" w:rsidRDefault="00B85546" w:rsidP="008B1C16">
      <w:pPr>
        <w:spacing w:line="276" w:lineRule="auto"/>
        <w:contextualSpacing/>
        <w:rPr>
          <w:rFonts w:eastAsiaTheme="minorEastAsia" w:cs="Arial"/>
          <w:sz w:val="16"/>
          <w:szCs w:val="18"/>
        </w:rPr>
      </w:pPr>
    </w:p>
    <w:sectPr w:rsidR="00B85546" w:rsidRPr="00E27F2F" w:rsidSect="00F83EEA">
      <w:headerReference w:type="default" r:id="rId11"/>
      <w:footerReference w:type="default" r:id="rId12"/>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A8F" w:rsidRDefault="00A77A8F" w:rsidP="00F573F1">
      <w:r>
        <w:separator/>
      </w:r>
    </w:p>
  </w:endnote>
  <w:endnote w:type="continuationSeparator" w:id="0">
    <w:p w:rsidR="00A77A8F" w:rsidRDefault="00A77A8F"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4"/>
      </w:rPr>
      <w:id w:val="211002874"/>
      <w:docPartObj>
        <w:docPartGallery w:val="Page Numbers (Bottom of Page)"/>
        <w:docPartUnique/>
      </w:docPartObj>
    </w:sdtPr>
    <w:sdtEndPr/>
    <w:sdtContent>
      <w:p w:rsidR="0065124E" w:rsidRPr="00FB4A1C" w:rsidRDefault="0065124E">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C21CA1">
          <w:rPr>
            <w:noProof/>
            <w:color w:val="A6A6A6" w:themeColor="background1" w:themeShade="A6"/>
            <w:sz w:val="14"/>
          </w:rPr>
          <w:t>4</w:t>
        </w:r>
        <w:r w:rsidRPr="00FB4A1C">
          <w:rPr>
            <w:color w:val="A6A6A6" w:themeColor="background1" w:themeShade="A6"/>
            <w:sz w:val="14"/>
          </w:rPr>
          <w:fldChar w:fldCharType="end"/>
        </w:r>
      </w:p>
    </w:sdtContent>
  </w:sdt>
  <w:p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A8F" w:rsidRDefault="00A77A8F" w:rsidP="00F573F1">
      <w:r>
        <w:separator/>
      </w:r>
    </w:p>
  </w:footnote>
  <w:footnote w:type="continuationSeparator" w:id="0">
    <w:p w:rsidR="00A77A8F" w:rsidRDefault="00A77A8F"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4E" w:rsidRDefault="0065124E">
    <w:pPr>
      <w:pStyle w:val="Zhlav"/>
    </w:pPr>
    <w:r>
      <w:rPr>
        <w:noProof/>
      </w:rPr>
      <w:drawing>
        <wp:anchor distT="0" distB="0" distL="114300" distR="114300" simplePos="0" relativeHeight="251659264" behindDoc="1" locked="0" layoutInCell="1" allowOverlap="1">
          <wp:simplePos x="0" y="0"/>
          <wp:positionH relativeFrom="page">
            <wp:posOffset>112395</wp:posOffset>
          </wp:positionH>
          <wp:positionV relativeFrom="paragraph">
            <wp:posOffset>-413385</wp:posOffset>
          </wp:positionV>
          <wp:extent cx="3196206" cy="1612900"/>
          <wp:effectExtent l="0" t="0" r="4445"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6"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8"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1"/>
  </w:num>
  <w:num w:numId="4">
    <w:abstractNumId w:val="11"/>
  </w:num>
  <w:num w:numId="5">
    <w:abstractNumId w:val="3"/>
  </w:num>
  <w:num w:numId="6">
    <w:abstractNumId w:val="19"/>
  </w:num>
  <w:num w:numId="7">
    <w:abstractNumId w:val="5"/>
  </w:num>
  <w:num w:numId="8">
    <w:abstractNumId w:val="23"/>
  </w:num>
  <w:num w:numId="9">
    <w:abstractNumId w:val="4"/>
  </w:num>
  <w:num w:numId="10">
    <w:abstractNumId w:val="20"/>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7"/>
  </w:num>
  <w:num w:numId="17">
    <w:abstractNumId w:val="9"/>
  </w:num>
  <w:num w:numId="18">
    <w:abstractNumId w:val="14"/>
  </w:num>
  <w:num w:numId="19">
    <w:abstractNumId w:val="16"/>
  </w:num>
  <w:num w:numId="20">
    <w:abstractNumId w:val="8"/>
  </w:num>
  <w:num w:numId="21">
    <w:abstractNumId w:val="0"/>
  </w:num>
  <w:num w:numId="22">
    <w:abstractNumId w:val="18"/>
  </w:num>
  <w:num w:numId="23">
    <w:abstractNumId w:val="22"/>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4CDE"/>
    <w:rsid w:val="000054D2"/>
    <w:rsid w:val="00010564"/>
    <w:rsid w:val="000118C2"/>
    <w:rsid w:val="00015933"/>
    <w:rsid w:val="000159E5"/>
    <w:rsid w:val="00020581"/>
    <w:rsid w:val="000213CC"/>
    <w:rsid w:val="00023E9F"/>
    <w:rsid w:val="00037707"/>
    <w:rsid w:val="00043889"/>
    <w:rsid w:val="00044002"/>
    <w:rsid w:val="00051A5B"/>
    <w:rsid w:val="000559DE"/>
    <w:rsid w:val="00057396"/>
    <w:rsid w:val="00060D7F"/>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D2B"/>
    <w:rsid w:val="000E2B4E"/>
    <w:rsid w:val="000E4ABC"/>
    <w:rsid w:val="000E563F"/>
    <w:rsid w:val="000F70CA"/>
    <w:rsid w:val="0010268F"/>
    <w:rsid w:val="0010277A"/>
    <w:rsid w:val="001126B2"/>
    <w:rsid w:val="0011443F"/>
    <w:rsid w:val="00116F4B"/>
    <w:rsid w:val="00123FF9"/>
    <w:rsid w:val="00131E94"/>
    <w:rsid w:val="00144D53"/>
    <w:rsid w:val="00146F46"/>
    <w:rsid w:val="0015125A"/>
    <w:rsid w:val="0015295E"/>
    <w:rsid w:val="001622C2"/>
    <w:rsid w:val="00165DDC"/>
    <w:rsid w:val="0017441E"/>
    <w:rsid w:val="00175A85"/>
    <w:rsid w:val="00176C20"/>
    <w:rsid w:val="00195C6D"/>
    <w:rsid w:val="001A2623"/>
    <w:rsid w:val="001A46CC"/>
    <w:rsid w:val="001A6304"/>
    <w:rsid w:val="001C091C"/>
    <w:rsid w:val="001C2261"/>
    <w:rsid w:val="001C6945"/>
    <w:rsid w:val="001C7F88"/>
    <w:rsid w:val="001D5BB9"/>
    <w:rsid w:val="001E15FD"/>
    <w:rsid w:val="001E27B8"/>
    <w:rsid w:val="001E6F5D"/>
    <w:rsid w:val="001F3DF4"/>
    <w:rsid w:val="001F5CF7"/>
    <w:rsid w:val="002045A5"/>
    <w:rsid w:val="002137B0"/>
    <w:rsid w:val="00217881"/>
    <w:rsid w:val="0022075B"/>
    <w:rsid w:val="00221FF5"/>
    <w:rsid w:val="00222692"/>
    <w:rsid w:val="00225F51"/>
    <w:rsid w:val="0022648E"/>
    <w:rsid w:val="00226F32"/>
    <w:rsid w:val="00227ACD"/>
    <w:rsid w:val="002375B2"/>
    <w:rsid w:val="002443DF"/>
    <w:rsid w:val="00244923"/>
    <w:rsid w:val="002472A6"/>
    <w:rsid w:val="00247512"/>
    <w:rsid w:val="0025305E"/>
    <w:rsid w:val="00253D09"/>
    <w:rsid w:val="002567A3"/>
    <w:rsid w:val="00262B7F"/>
    <w:rsid w:val="00266980"/>
    <w:rsid w:val="00267ACA"/>
    <w:rsid w:val="00283681"/>
    <w:rsid w:val="00290498"/>
    <w:rsid w:val="002A31A1"/>
    <w:rsid w:val="002A6290"/>
    <w:rsid w:val="002B4617"/>
    <w:rsid w:val="002C2C2B"/>
    <w:rsid w:val="002C30D4"/>
    <w:rsid w:val="002C513E"/>
    <w:rsid w:val="002D1376"/>
    <w:rsid w:val="002D49FB"/>
    <w:rsid w:val="002E1390"/>
    <w:rsid w:val="002E5E57"/>
    <w:rsid w:val="002F1752"/>
    <w:rsid w:val="002F477C"/>
    <w:rsid w:val="002F557F"/>
    <w:rsid w:val="003028DC"/>
    <w:rsid w:val="00315F32"/>
    <w:rsid w:val="00327407"/>
    <w:rsid w:val="00335341"/>
    <w:rsid w:val="00340BDC"/>
    <w:rsid w:val="00341D86"/>
    <w:rsid w:val="003472AF"/>
    <w:rsid w:val="003508FE"/>
    <w:rsid w:val="00351369"/>
    <w:rsid w:val="003608FD"/>
    <w:rsid w:val="0036420C"/>
    <w:rsid w:val="00366057"/>
    <w:rsid w:val="003677E2"/>
    <w:rsid w:val="00370F35"/>
    <w:rsid w:val="003739F0"/>
    <w:rsid w:val="00376918"/>
    <w:rsid w:val="00376F07"/>
    <w:rsid w:val="00380788"/>
    <w:rsid w:val="003847A3"/>
    <w:rsid w:val="00391C4B"/>
    <w:rsid w:val="00391FA6"/>
    <w:rsid w:val="003952ED"/>
    <w:rsid w:val="00396F9D"/>
    <w:rsid w:val="00397430"/>
    <w:rsid w:val="003A5636"/>
    <w:rsid w:val="003B0433"/>
    <w:rsid w:val="003B04C1"/>
    <w:rsid w:val="003B2C84"/>
    <w:rsid w:val="003B4F01"/>
    <w:rsid w:val="003B5E6F"/>
    <w:rsid w:val="003C373E"/>
    <w:rsid w:val="003C3D7F"/>
    <w:rsid w:val="003C6326"/>
    <w:rsid w:val="003D079C"/>
    <w:rsid w:val="003D224C"/>
    <w:rsid w:val="003E14DF"/>
    <w:rsid w:val="003E3DCB"/>
    <w:rsid w:val="003E4ADE"/>
    <w:rsid w:val="003E5891"/>
    <w:rsid w:val="003F021E"/>
    <w:rsid w:val="003F03DF"/>
    <w:rsid w:val="003F1CB9"/>
    <w:rsid w:val="003F7F31"/>
    <w:rsid w:val="00402FA1"/>
    <w:rsid w:val="00403744"/>
    <w:rsid w:val="0041521E"/>
    <w:rsid w:val="00425B3B"/>
    <w:rsid w:val="004325D3"/>
    <w:rsid w:val="00437589"/>
    <w:rsid w:val="00445609"/>
    <w:rsid w:val="004476C2"/>
    <w:rsid w:val="00451368"/>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7ECE"/>
    <w:rsid w:val="004C0A56"/>
    <w:rsid w:val="004C50BF"/>
    <w:rsid w:val="004C751A"/>
    <w:rsid w:val="004D4333"/>
    <w:rsid w:val="004D6531"/>
    <w:rsid w:val="004E011D"/>
    <w:rsid w:val="004E1AC6"/>
    <w:rsid w:val="004E4B5B"/>
    <w:rsid w:val="004F6CFB"/>
    <w:rsid w:val="004F6EA8"/>
    <w:rsid w:val="004F70A7"/>
    <w:rsid w:val="005069C2"/>
    <w:rsid w:val="0051164C"/>
    <w:rsid w:val="00512176"/>
    <w:rsid w:val="00517111"/>
    <w:rsid w:val="005208BD"/>
    <w:rsid w:val="00521FF6"/>
    <w:rsid w:val="0053589B"/>
    <w:rsid w:val="00537D95"/>
    <w:rsid w:val="00546646"/>
    <w:rsid w:val="00552694"/>
    <w:rsid w:val="0055377C"/>
    <w:rsid w:val="00554717"/>
    <w:rsid w:val="00556DE6"/>
    <w:rsid w:val="00561ED7"/>
    <w:rsid w:val="005642DD"/>
    <w:rsid w:val="00564453"/>
    <w:rsid w:val="005666D7"/>
    <w:rsid w:val="00571BEE"/>
    <w:rsid w:val="00571C08"/>
    <w:rsid w:val="00573F62"/>
    <w:rsid w:val="00576C13"/>
    <w:rsid w:val="00576CF4"/>
    <w:rsid w:val="00584718"/>
    <w:rsid w:val="00587350"/>
    <w:rsid w:val="0059042F"/>
    <w:rsid w:val="0059556C"/>
    <w:rsid w:val="005A0C34"/>
    <w:rsid w:val="005A2501"/>
    <w:rsid w:val="005A34B6"/>
    <w:rsid w:val="005A3E34"/>
    <w:rsid w:val="005A44FF"/>
    <w:rsid w:val="005A51C6"/>
    <w:rsid w:val="005A5BAB"/>
    <w:rsid w:val="005B3439"/>
    <w:rsid w:val="005B5E17"/>
    <w:rsid w:val="005C1943"/>
    <w:rsid w:val="005C6D52"/>
    <w:rsid w:val="005C7858"/>
    <w:rsid w:val="005D11A5"/>
    <w:rsid w:val="005D4BC8"/>
    <w:rsid w:val="005D55D6"/>
    <w:rsid w:val="005D593D"/>
    <w:rsid w:val="005D769A"/>
    <w:rsid w:val="005E092E"/>
    <w:rsid w:val="005E1DD8"/>
    <w:rsid w:val="005E58E1"/>
    <w:rsid w:val="005E5F8B"/>
    <w:rsid w:val="005F73A6"/>
    <w:rsid w:val="00600D9B"/>
    <w:rsid w:val="0060308F"/>
    <w:rsid w:val="0060552B"/>
    <w:rsid w:val="00606E04"/>
    <w:rsid w:val="00611C5C"/>
    <w:rsid w:val="006131E9"/>
    <w:rsid w:val="0061392C"/>
    <w:rsid w:val="0062336F"/>
    <w:rsid w:val="0063314F"/>
    <w:rsid w:val="006445A3"/>
    <w:rsid w:val="00650724"/>
    <w:rsid w:val="0065124E"/>
    <w:rsid w:val="006513A0"/>
    <w:rsid w:val="00654F37"/>
    <w:rsid w:val="00661C43"/>
    <w:rsid w:val="00662C23"/>
    <w:rsid w:val="00676326"/>
    <w:rsid w:val="006777C7"/>
    <w:rsid w:val="006839E8"/>
    <w:rsid w:val="00685F12"/>
    <w:rsid w:val="006963D2"/>
    <w:rsid w:val="006A0B4A"/>
    <w:rsid w:val="006A0F4A"/>
    <w:rsid w:val="006A1D16"/>
    <w:rsid w:val="006A398A"/>
    <w:rsid w:val="006B120F"/>
    <w:rsid w:val="006B2EBD"/>
    <w:rsid w:val="006B2F86"/>
    <w:rsid w:val="006B37A6"/>
    <w:rsid w:val="006D0EE8"/>
    <w:rsid w:val="006D23EF"/>
    <w:rsid w:val="006D61DA"/>
    <w:rsid w:val="006E0941"/>
    <w:rsid w:val="006E1DC5"/>
    <w:rsid w:val="006E3420"/>
    <w:rsid w:val="006E3FA9"/>
    <w:rsid w:val="006F2196"/>
    <w:rsid w:val="006F2B29"/>
    <w:rsid w:val="00702D07"/>
    <w:rsid w:val="007078D6"/>
    <w:rsid w:val="007133E9"/>
    <w:rsid w:val="00714837"/>
    <w:rsid w:val="00717B00"/>
    <w:rsid w:val="00720DE3"/>
    <w:rsid w:val="00722F2C"/>
    <w:rsid w:val="00727012"/>
    <w:rsid w:val="0072723A"/>
    <w:rsid w:val="00730A28"/>
    <w:rsid w:val="00733C05"/>
    <w:rsid w:val="007363B8"/>
    <w:rsid w:val="007402C2"/>
    <w:rsid w:val="00743577"/>
    <w:rsid w:val="007609D5"/>
    <w:rsid w:val="007813D1"/>
    <w:rsid w:val="0078687A"/>
    <w:rsid w:val="00786BB9"/>
    <w:rsid w:val="00786FE5"/>
    <w:rsid w:val="007953B5"/>
    <w:rsid w:val="007964DC"/>
    <w:rsid w:val="007A3BFB"/>
    <w:rsid w:val="007B02A8"/>
    <w:rsid w:val="007B5E3D"/>
    <w:rsid w:val="007B6B28"/>
    <w:rsid w:val="007B7B44"/>
    <w:rsid w:val="007C4C83"/>
    <w:rsid w:val="007D275E"/>
    <w:rsid w:val="007D4025"/>
    <w:rsid w:val="007E1035"/>
    <w:rsid w:val="007E18D1"/>
    <w:rsid w:val="007F166D"/>
    <w:rsid w:val="007F1EDF"/>
    <w:rsid w:val="007F40D6"/>
    <w:rsid w:val="007F742B"/>
    <w:rsid w:val="007F7CBC"/>
    <w:rsid w:val="00802F9F"/>
    <w:rsid w:val="00803E55"/>
    <w:rsid w:val="00804827"/>
    <w:rsid w:val="00804F92"/>
    <w:rsid w:val="00806914"/>
    <w:rsid w:val="00807F85"/>
    <w:rsid w:val="00811FE2"/>
    <w:rsid w:val="00820A66"/>
    <w:rsid w:val="008234C1"/>
    <w:rsid w:val="00826371"/>
    <w:rsid w:val="0082668B"/>
    <w:rsid w:val="00830214"/>
    <w:rsid w:val="00830902"/>
    <w:rsid w:val="00833059"/>
    <w:rsid w:val="00834366"/>
    <w:rsid w:val="008363D1"/>
    <w:rsid w:val="00842443"/>
    <w:rsid w:val="00843285"/>
    <w:rsid w:val="00843386"/>
    <w:rsid w:val="008466C4"/>
    <w:rsid w:val="008522B5"/>
    <w:rsid w:val="00854190"/>
    <w:rsid w:val="00854682"/>
    <w:rsid w:val="00857A3C"/>
    <w:rsid w:val="00860613"/>
    <w:rsid w:val="008612B4"/>
    <w:rsid w:val="0086454A"/>
    <w:rsid w:val="00870102"/>
    <w:rsid w:val="00872847"/>
    <w:rsid w:val="00872C9B"/>
    <w:rsid w:val="008825CE"/>
    <w:rsid w:val="0088460D"/>
    <w:rsid w:val="008857AA"/>
    <w:rsid w:val="00890B66"/>
    <w:rsid w:val="008A6398"/>
    <w:rsid w:val="008B19B7"/>
    <w:rsid w:val="008B1C16"/>
    <w:rsid w:val="008C1507"/>
    <w:rsid w:val="008C5671"/>
    <w:rsid w:val="008E2336"/>
    <w:rsid w:val="008E66A3"/>
    <w:rsid w:val="008F047E"/>
    <w:rsid w:val="008F2959"/>
    <w:rsid w:val="008F399F"/>
    <w:rsid w:val="009038F9"/>
    <w:rsid w:val="00905AAB"/>
    <w:rsid w:val="009139AF"/>
    <w:rsid w:val="0092288F"/>
    <w:rsid w:val="009234FD"/>
    <w:rsid w:val="00924258"/>
    <w:rsid w:val="00924973"/>
    <w:rsid w:val="00931E42"/>
    <w:rsid w:val="00935EAC"/>
    <w:rsid w:val="00944529"/>
    <w:rsid w:val="00944D10"/>
    <w:rsid w:val="009454B6"/>
    <w:rsid w:val="00946929"/>
    <w:rsid w:val="00962CB7"/>
    <w:rsid w:val="00963AA3"/>
    <w:rsid w:val="00963B80"/>
    <w:rsid w:val="00966080"/>
    <w:rsid w:val="009664DD"/>
    <w:rsid w:val="00975439"/>
    <w:rsid w:val="00977317"/>
    <w:rsid w:val="00980C11"/>
    <w:rsid w:val="0098257D"/>
    <w:rsid w:val="00987232"/>
    <w:rsid w:val="00991B95"/>
    <w:rsid w:val="00992840"/>
    <w:rsid w:val="00994CC4"/>
    <w:rsid w:val="009976E7"/>
    <w:rsid w:val="009A11ED"/>
    <w:rsid w:val="009A1795"/>
    <w:rsid w:val="009A1CB0"/>
    <w:rsid w:val="009A35FD"/>
    <w:rsid w:val="009A65F0"/>
    <w:rsid w:val="009A7026"/>
    <w:rsid w:val="009B393A"/>
    <w:rsid w:val="009B7972"/>
    <w:rsid w:val="009C0DD6"/>
    <w:rsid w:val="009C1B29"/>
    <w:rsid w:val="009D0E88"/>
    <w:rsid w:val="009D24D7"/>
    <w:rsid w:val="009D2DB6"/>
    <w:rsid w:val="009D2F47"/>
    <w:rsid w:val="009D7835"/>
    <w:rsid w:val="009E172B"/>
    <w:rsid w:val="009E39C0"/>
    <w:rsid w:val="009E5367"/>
    <w:rsid w:val="009F1E76"/>
    <w:rsid w:val="009F3268"/>
    <w:rsid w:val="009F6C56"/>
    <w:rsid w:val="00A0323B"/>
    <w:rsid w:val="00A05E56"/>
    <w:rsid w:val="00A13F1D"/>
    <w:rsid w:val="00A155ED"/>
    <w:rsid w:val="00A15F37"/>
    <w:rsid w:val="00A163E3"/>
    <w:rsid w:val="00A22A52"/>
    <w:rsid w:val="00A425BA"/>
    <w:rsid w:val="00A4316F"/>
    <w:rsid w:val="00A45FC0"/>
    <w:rsid w:val="00A5314F"/>
    <w:rsid w:val="00A54B25"/>
    <w:rsid w:val="00A569E0"/>
    <w:rsid w:val="00A60546"/>
    <w:rsid w:val="00A7149F"/>
    <w:rsid w:val="00A72FF3"/>
    <w:rsid w:val="00A7410C"/>
    <w:rsid w:val="00A77A8F"/>
    <w:rsid w:val="00A832BA"/>
    <w:rsid w:val="00A848E4"/>
    <w:rsid w:val="00A85048"/>
    <w:rsid w:val="00A8750A"/>
    <w:rsid w:val="00A90878"/>
    <w:rsid w:val="00A950F4"/>
    <w:rsid w:val="00A97F5A"/>
    <w:rsid w:val="00AB0ED1"/>
    <w:rsid w:val="00AB23B0"/>
    <w:rsid w:val="00AB365A"/>
    <w:rsid w:val="00AB4CFC"/>
    <w:rsid w:val="00AB58F2"/>
    <w:rsid w:val="00AC6C46"/>
    <w:rsid w:val="00AD20AF"/>
    <w:rsid w:val="00AD3BBF"/>
    <w:rsid w:val="00AE2387"/>
    <w:rsid w:val="00AE6E19"/>
    <w:rsid w:val="00AF09A0"/>
    <w:rsid w:val="00AF18CA"/>
    <w:rsid w:val="00AF58F3"/>
    <w:rsid w:val="00B05777"/>
    <w:rsid w:val="00B15438"/>
    <w:rsid w:val="00B210A7"/>
    <w:rsid w:val="00B2310C"/>
    <w:rsid w:val="00B24E54"/>
    <w:rsid w:val="00B27646"/>
    <w:rsid w:val="00B44EAC"/>
    <w:rsid w:val="00B506AC"/>
    <w:rsid w:val="00B50E2C"/>
    <w:rsid w:val="00B54F8C"/>
    <w:rsid w:val="00B60C22"/>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CB8"/>
    <w:rsid w:val="00BC1B82"/>
    <w:rsid w:val="00BC5978"/>
    <w:rsid w:val="00BD0100"/>
    <w:rsid w:val="00BD297C"/>
    <w:rsid w:val="00BD483C"/>
    <w:rsid w:val="00BD7A55"/>
    <w:rsid w:val="00BE00E4"/>
    <w:rsid w:val="00BE21A8"/>
    <w:rsid w:val="00BE2827"/>
    <w:rsid w:val="00BE48B7"/>
    <w:rsid w:val="00BE53BC"/>
    <w:rsid w:val="00BE5574"/>
    <w:rsid w:val="00BE74B4"/>
    <w:rsid w:val="00BF0B84"/>
    <w:rsid w:val="00BF5F81"/>
    <w:rsid w:val="00C04F50"/>
    <w:rsid w:val="00C05E06"/>
    <w:rsid w:val="00C12AFA"/>
    <w:rsid w:val="00C17244"/>
    <w:rsid w:val="00C2020E"/>
    <w:rsid w:val="00C21CA1"/>
    <w:rsid w:val="00C3654D"/>
    <w:rsid w:val="00C44924"/>
    <w:rsid w:val="00C461EB"/>
    <w:rsid w:val="00C520D7"/>
    <w:rsid w:val="00C57869"/>
    <w:rsid w:val="00C627A3"/>
    <w:rsid w:val="00C64C2F"/>
    <w:rsid w:val="00C6528A"/>
    <w:rsid w:val="00C7375A"/>
    <w:rsid w:val="00C74048"/>
    <w:rsid w:val="00C74654"/>
    <w:rsid w:val="00C8685C"/>
    <w:rsid w:val="00C87795"/>
    <w:rsid w:val="00C9786B"/>
    <w:rsid w:val="00CA7866"/>
    <w:rsid w:val="00CB1580"/>
    <w:rsid w:val="00CB4072"/>
    <w:rsid w:val="00CB517A"/>
    <w:rsid w:val="00CC5AF3"/>
    <w:rsid w:val="00CC68BF"/>
    <w:rsid w:val="00CC7C45"/>
    <w:rsid w:val="00CF4CD4"/>
    <w:rsid w:val="00CF72AC"/>
    <w:rsid w:val="00D004E5"/>
    <w:rsid w:val="00D0142A"/>
    <w:rsid w:val="00D0150B"/>
    <w:rsid w:val="00D038D7"/>
    <w:rsid w:val="00D10717"/>
    <w:rsid w:val="00D13EDA"/>
    <w:rsid w:val="00D2261D"/>
    <w:rsid w:val="00D24515"/>
    <w:rsid w:val="00D324DA"/>
    <w:rsid w:val="00D32A14"/>
    <w:rsid w:val="00D32B43"/>
    <w:rsid w:val="00D357A4"/>
    <w:rsid w:val="00D36238"/>
    <w:rsid w:val="00D477C3"/>
    <w:rsid w:val="00D55406"/>
    <w:rsid w:val="00D670D3"/>
    <w:rsid w:val="00D67470"/>
    <w:rsid w:val="00D67FC9"/>
    <w:rsid w:val="00D775D2"/>
    <w:rsid w:val="00D8118D"/>
    <w:rsid w:val="00D85155"/>
    <w:rsid w:val="00D93EB9"/>
    <w:rsid w:val="00D97E49"/>
    <w:rsid w:val="00DA1274"/>
    <w:rsid w:val="00DA4875"/>
    <w:rsid w:val="00DA4917"/>
    <w:rsid w:val="00DB67E5"/>
    <w:rsid w:val="00DC13F9"/>
    <w:rsid w:val="00DC545A"/>
    <w:rsid w:val="00DC585F"/>
    <w:rsid w:val="00DD4F3E"/>
    <w:rsid w:val="00DF431A"/>
    <w:rsid w:val="00DF6D21"/>
    <w:rsid w:val="00E02136"/>
    <w:rsid w:val="00E03E17"/>
    <w:rsid w:val="00E06813"/>
    <w:rsid w:val="00E10053"/>
    <w:rsid w:val="00E148D1"/>
    <w:rsid w:val="00E27F2F"/>
    <w:rsid w:val="00E315D6"/>
    <w:rsid w:val="00E3317B"/>
    <w:rsid w:val="00E3386F"/>
    <w:rsid w:val="00E350BD"/>
    <w:rsid w:val="00E373B4"/>
    <w:rsid w:val="00E528C6"/>
    <w:rsid w:val="00E54596"/>
    <w:rsid w:val="00E56000"/>
    <w:rsid w:val="00E56378"/>
    <w:rsid w:val="00E642DC"/>
    <w:rsid w:val="00E64F71"/>
    <w:rsid w:val="00E66736"/>
    <w:rsid w:val="00E67590"/>
    <w:rsid w:val="00E703B1"/>
    <w:rsid w:val="00E7045C"/>
    <w:rsid w:val="00E718EA"/>
    <w:rsid w:val="00E71A6E"/>
    <w:rsid w:val="00E72E55"/>
    <w:rsid w:val="00E77101"/>
    <w:rsid w:val="00E82DCF"/>
    <w:rsid w:val="00E8561A"/>
    <w:rsid w:val="00E85DE8"/>
    <w:rsid w:val="00E900CF"/>
    <w:rsid w:val="00E9372A"/>
    <w:rsid w:val="00E979A5"/>
    <w:rsid w:val="00EA5747"/>
    <w:rsid w:val="00EB3F96"/>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303C"/>
    <w:rsid w:val="00F15E8D"/>
    <w:rsid w:val="00F175AF"/>
    <w:rsid w:val="00F247BC"/>
    <w:rsid w:val="00F2719D"/>
    <w:rsid w:val="00F313E8"/>
    <w:rsid w:val="00F36405"/>
    <w:rsid w:val="00F53132"/>
    <w:rsid w:val="00F5456A"/>
    <w:rsid w:val="00F545FC"/>
    <w:rsid w:val="00F573F1"/>
    <w:rsid w:val="00F57CAC"/>
    <w:rsid w:val="00F66320"/>
    <w:rsid w:val="00F6767A"/>
    <w:rsid w:val="00F67E6A"/>
    <w:rsid w:val="00F7568A"/>
    <w:rsid w:val="00F81073"/>
    <w:rsid w:val="00F83EEA"/>
    <w:rsid w:val="00F8461A"/>
    <w:rsid w:val="00F87FA4"/>
    <w:rsid w:val="00F90063"/>
    <w:rsid w:val="00F91222"/>
    <w:rsid w:val="00F9267B"/>
    <w:rsid w:val="00F94AE5"/>
    <w:rsid w:val="00F970A7"/>
    <w:rsid w:val="00F9738D"/>
    <w:rsid w:val="00FA2228"/>
    <w:rsid w:val="00FA59C6"/>
    <w:rsid w:val="00FB4A1C"/>
    <w:rsid w:val="00FB60CC"/>
    <w:rsid w:val="00FB60FB"/>
    <w:rsid w:val="00FC23C7"/>
    <w:rsid w:val="00FC5A6D"/>
    <w:rsid w:val="00FC5B2A"/>
    <w:rsid w:val="00FD12DB"/>
    <w:rsid w:val="00FD1306"/>
    <w:rsid w:val="00FD3713"/>
    <w:rsid w:val="00FD57E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FB5D8"/>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solidFill>
                  <a:srgbClr val="13576B"/>
                </a:solidFill>
                <a:latin typeface="Arial" panose="020B0604020202020204" pitchFamily="34" charset="0"/>
                <a:cs typeface="Arial" panose="020B0604020202020204" pitchFamily="34" charset="0"/>
              </a:defRPr>
            </a:pPr>
            <a:r>
              <a:rPr lang="cs-CZ" sz="1050">
                <a:solidFill>
                  <a:srgbClr val="13576B"/>
                </a:solidFill>
                <a:latin typeface="Arial" panose="020B0604020202020204" pitchFamily="34" charset="0"/>
                <a:cs typeface="Arial" panose="020B0604020202020204" pitchFamily="34" charset="0"/>
              </a:rPr>
              <a:t>V případě, že</a:t>
            </a:r>
            <a:r>
              <a:rPr lang="cs-CZ" sz="1050" baseline="0">
                <a:solidFill>
                  <a:srgbClr val="13576B"/>
                </a:solidFill>
                <a:latin typeface="Arial" panose="020B0604020202020204" pitchFamily="34" charset="0"/>
                <a:cs typeface="Arial" panose="020B0604020202020204" pitchFamily="34" charset="0"/>
              </a:rPr>
              <a:t> něco z oblasti financí nevíte, co uděláte?</a:t>
            </a:r>
            <a:endParaRPr lang="cs-CZ" sz="1050">
              <a:solidFill>
                <a:srgbClr val="13576B"/>
              </a:solidFill>
              <a:latin typeface="Arial" panose="020B0604020202020204" pitchFamily="34" charset="0"/>
              <a:cs typeface="Arial" panose="020B0604020202020204" pitchFamily="34" charset="0"/>
            </a:endParaRPr>
          </a:p>
        </c:rich>
      </c:tx>
      <c:overlay val="0"/>
    </c:title>
    <c:autoTitleDeleted val="0"/>
    <c:plotArea>
      <c:layout/>
      <c:barChart>
        <c:barDir val="bar"/>
        <c:grouping val="clustered"/>
        <c:varyColors val="0"/>
        <c:ser>
          <c:idx val="0"/>
          <c:order val="0"/>
          <c:spPr>
            <a:solidFill>
              <a:srgbClr val="13576B"/>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List2!$A$32:$A$37</c:f>
              <c:strCache>
                <c:ptCount val="6"/>
                <c:pt idx="0">
                  <c:v>Zeptám se na diskuzním fórum / sociálních sítí.  </c:v>
                </c:pt>
                <c:pt idx="1">
                  <c:v>Obrátím se na externího poradce.  </c:v>
                </c:pt>
                <c:pt idx="2">
                  <c:v>Zeptám se a nechám si poradit od přátel.  </c:v>
                </c:pt>
                <c:pt idx="3">
                  <c:v>Zeptám se a nechám si poradit od rodiny  </c:v>
                </c:pt>
                <c:pt idx="4">
                  <c:v>Vyhledám si informace na internetu.  </c:v>
                </c:pt>
                <c:pt idx="5">
                  <c:v>Obrátím se na svou banku a svého bankovního poradce.  </c:v>
                </c:pt>
              </c:strCache>
            </c:strRef>
          </c:cat>
          <c:val>
            <c:numRef>
              <c:f>List2!$B$32:$B$37</c:f>
              <c:numCache>
                <c:formatCode>0%</c:formatCode>
                <c:ptCount val="6"/>
                <c:pt idx="0">
                  <c:v>0.12413841511382537</c:v>
                </c:pt>
                <c:pt idx="1">
                  <c:v>0.30954925680430723</c:v>
                </c:pt>
                <c:pt idx="2">
                  <c:v>0.5033501730155242</c:v>
                </c:pt>
                <c:pt idx="3">
                  <c:v>0.59585421588520271</c:v>
                </c:pt>
                <c:pt idx="4">
                  <c:v>0.79369553420248151</c:v>
                </c:pt>
                <c:pt idx="5">
                  <c:v>0.79634133081807446</c:v>
                </c:pt>
              </c:numCache>
            </c:numRef>
          </c:val>
          <c:extLst>
            <c:ext xmlns:c16="http://schemas.microsoft.com/office/drawing/2014/chart" uri="{C3380CC4-5D6E-409C-BE32-E72D297353CC}">
              <c16:uniqueId val="{00000000-02DB-46EA-B612-0F8136C96189}"/>
            </c:ext>
          </c:extLst>
        </c:ser>
        <c:dLbls>
          <c:showLegendKey val="0"/>
          <c:showVal val="0"/>
          <c:showCatName val="0"/>
          <c:showSerName val="0"/>
          <c:showPercent val="0"/>
          <c:showBubbleSize val="0"/>
        </c:dLbls>
        <c:gapWidth val="182"/>
        <c:axId val="195474032"/>
        <c:axId val="1"/>
      </c:barChart>
      <c:catAx>
        <c:axId val="195474032"/>
        <c:scaling>
          <c:orientation val="minMax"/>
        </c:scaling>
        <c:delete val="0"/>
        <c:axPos val="l"/>
        <c:numFmt formatCode="General" sourceLinked="1"/>
        <c:majorTickMark val="none"/>
        <c:minorTickMark val="none"/>
        <c:tickLblPos val="nextTo"/>
        <c:spPr>
          <a:noFill/>
          <a:ln w="9509"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cs-CZ"/>
          </a:p>
        </c:txPr>
        <c:crossAx val="1"/>
        <c:crosses val="autoZero"/>
        <c:auto val="1"/>
        <c:lblAlgn val="ctr"/>
        <c:lblOffset val="100"/>
        <c:noMultiLvlLbl val="0"/>
      </c:catAx>
      <c:valAx>
        <c:axId val="1"/>
        <c:scaling>
          <c:orientation val="minMax"/>
        </c:scaling>
        <c:delete val="1"/>
        <c:axPos val="b"/>
        <c:numFmt formatCode="0%" sourceLinked="1"/>
        <c:majorTickMark val="out"/>
        <c:minorTickMark val="none"/>
        <c:tickLblPos val="nextTo"/>
        <c:crossAx val="195474032"/>
        <c:crosses val="autoZero"/>
        <c:crossBetween val="between"/>
      </c:valAx>
      <c:spPr>
        <a:noFill/>
        <a:ln w="25359">
          <a:noFill/>
        </a:ln>
      </c:spPr>
    </c:plotArea>
    <c:plotVisOnly val="1"/>
    <c:dispBlanksAs val="gap"/>
    <c:showDLblsOverMax val="0"/>
  </c:chart>
  <c:spPr>
    <a:noFill/>
    <a:ln>
      <a:noFill/>
    </a:ln>
    <a:effectLst/>
  </c:spPr>
  <c:txPr>
    <a:bodyPr/>
    <a:lstStyle/>
    <a:p>
      <a:pPr>
        <a:defRPr sz="1597"/>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solidFill>
                  <a:srgbClr val="13576B"/>
                </a:solidFill>
                <a:latin typeface="Arial" panose="020B0604020202020204" pitchFamily="34" charset="0"/>
                <a:cs typeface="Arial" panose="020B0604020202020204" pitchFamily="34" charset="0"/>
              </a:defRPr>
            </a:pPr>
            <a:r>
              <a:rPr lang="cs-CZ" sz="1000" b="1">
                <a:solidFill>
                  <a:srgbClr val="13576B"/>
                </a:solidFill>
                <a:effectLst/>
                <a:latin typeface="Arial" panose="020B0604020202020204" pitchFamily="34" charset="0"/>
                <a:cs typeface="Arial" panose="020B0604020202020204" pitchFamily="34" charset="0"/>
              </a:rPr>
              <a:t>Pokud byste přestali pracovat nebo byste o práci přišli, jak dlouho by Vám Vaše finanční rezerva umožnila nadále žít na stejné úrovni?</a:t>
            </a:r>
            <a:endParaRPr lang="cs-CZ" sz="800">
              <a:solidFill>
                <a:srgbClr val="13576B"/>
              </a:solidFill>
              <a:effectLst/>
              <a:latin typeface="Arial" panose="020B0604020202020204" pitchFamily="34" charset="0"/>
              <a:cs typeface="Arial" panose="020B0604020202020204" pitchFamily="34" charset="0"/>
            </a:endParaRPr>
          </a:p>
        </c:rich>
      </c:tx>
      <c:layout>
        <c:manualLayout>
          <c:xMode val="edge"/>
          <c:yMode val="edge"/>
          <c:x val="0.11660493827160494"/>
          <c:y val="5.7206949477336105E-3"/>
        </c:manualLayout>
      </c:layout>
      <c:overlay val="0"/>
    </c:title>
    <c:autoTitleDeleted val="0"/>
    <c:plotArea>
      <c:layout>
        <c:manualLayout>
          <c:layoutTarget val="inner"/>
          <c:xMode val="edge"/>
          <c:yMode val="edge"/>
          <c:x val="2.8901734104046241E-3"/>
          <c:y val="5.9163776550615485E-2"/>
          <c:w val="0.94865810968494746"/>
          <c:h val="0.828353501266887"/>
        </c:manualLayout>
      </c:layout>
      <c:barChart>
        <c:barDir val="col"/>
        <c:grouping val="clustered"/>
        <c:varyColors val="0"/>
        <c:ser>
          <c:idx val="0"/>
          <c:order val="0"/>
          <c:tx>
            <c:strRef>
              <c:f>List1!$B$893</c:f>
              <c:strCache>
                <c:ptCount val="1"/>
                <c:pt idx="0">
                  <c:v>Celkem</c:v>
                </c:pt>
              </c:strCache>
            </c:strRef>
          </c:tx>
          <c:spPr>
            <a:solidFill>
              <a:srgbClr val="92D050"/>
            </a:solidFill>
            <a:ln>
              <a:noFill/>
            </a:ln>
            <a:effectLst/>
          </c:spPr>
          <c:invertIfNegative val="0"/>
          <c:dPt>
            <c:idx val="0"/>
            <c:invertIfNegative val="0"/>
            <c:bubble3D val="0"/>
            <c:spPr>
              <a:solidFill>
                <a:srgbClr val="13576B"/>
              </a:solidFill>
              <a:ln>
                <a:noFill/>
              </a:ln>
              <a:effectLst/>
            </c:spPr>
            <c:extLst>
              <c:ext xmlns:c16="http://schemas.microsoft.com/office/drawing/2014/chart" uri="{C3380CC4-5D6E-409C-BE32-E72D297353CC}">
                <c16:uniqueId val="{00000001-5069-4DD3-AFDA-2F0EF154EB82}"/>
              </c:ext>
            </c:extLst>
          </c:dPt>
          <c:dPt>
            <c:idx val="1"/>
            <c:invertIfNegative val="0"/>
            <c:bubble3D val="0"/>
            <c:spPr>
              <a:solidFill>
                <a:srgbClr val="13576B"/>
              </a:solidFill>
              <a:ln>
                <a:noFill/>
              </a:ln>
              <a:effectLst/>
            </c:spPr>
            <c:extLst>
              <c:ext xmlns:c16="http://schemas.microsoft.com/office/drawing/2014/chart" uri="{C3380CC4-5D6E-409C-BE32-E72D297353CC}">
                <c16:uniqueId val="{00000002-5069-4DD3-AFDA-2F0EF154EB82}"/>
              </c:ext>
            </c:extLst>
          </c:dPt>
          <c:dPt>
            <c:idx val="2"/>
            <c:invertIfNegative val="0"/>
            <c:bubble3D val="0"/>
            <c:spPr>
              <a:solidFill>
                <a:srgbClr val="13576B"/>
              </a:solidFill>
              <a:ln>
                <a:noFill/>
              </a:ln>
              <a:effectLst/>
            </c:spPr>
            <c:extLst>
              <c:ext xmlns:c16="http://schemas.microsoft.com/office/drawing/2014/chart" uri="{C3380CC4-5D6E-409C-BE32-E72D297353CC}">
                <c16:uniqueId val="{00000003-5069-4DD3-AFDA-2F0EF154EB82}"/>
              </c:ext>
            </c:extLst>
          </c:dPt>
          <c:dPt>
            <c:idx val="3"/>
            <c:invertIfNegative val="0"/>
            <c:bubble3D val="0"/>
            <c:spPr>
              <a:solidFill>
                <a:srgbClr val="13576B"/>
              </a:solidFill>
              <a:ln>
                <a:noFill/>
              </a:ln>
              <a:effectLst/>
            </c:spPr>
            <c:extLst>
              <c:ext xmlns:c16="http://schemas.microsoft.com/office/drawing/2014/chart" uri="{C3380CC4-5D6E-409C-BE32-E72D297353CC}">
                <c16:uniqueId val="{00000004-5069-4DD3-AFDA-2F0EF154EB82}"/>
              </c:ext>
            </c:extLst>
          </c:dPt>
          <c:dPt>
            <c:idx val="4"/>
            <c:invertIfNegative val="0"/>
            <c:bubble3D val="0"/>
            <c:spPr>
              <a:solidFill>
                <a:srgbClr val="13576B"/>
              </a:solidFill>
              <a:ln>
                <a:noFill/>
              </a:ln>
              <a:effectLst/>
            </c:spPr>
            <c:extLst>
              <c:ext xmlns:c16="http://schemas.microsoft.com/office/drawing/2014/chart" uri="{C3380CC4-5D6E-409C-BE32-E72D297353CC}">
                <c16:uniqueId val="{00000005-5069-4DD3-AFDA-2F0EF154EB82}"/>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List1!$D$892:$H$892</c:f>
              <c:strCache>
                <c:ptCount val="5"/>
                <c:pt idx="0">
                  <c:v>Maximálně 1 měsíc.</c:v>
                </c:pt>
                <c:pt idx="1">
                  <c:v>Zhruba 3 měsíce.</c:v>
                </c:pt>
                <c:pt idx="2">
                  <c:v>Zhruba 6 měsíců.</c:v>
                </c:pt>
                <c:pt idx="3">
                  <c:v>Zhruba rok.</c:v>
                </c:pt>
                <c:pt idx="4">
                  <c:v>Více než rok.</c:v>
                </c:pt>
              </c:strCache>
            </c:strRef>
          </c:cat>
          <c:val>
            <c:numRef>
              <c:f>List1!$D$893:$H$893</c:f>
              <c:numCache>
                <c:formatCode>0%</c:formatCode>
                <c:ptCount val="5"/>
                <c:pt idx="0">
                  <c:v>0.19888348216365206</c:v>
                </c:pt>
                <c:pt idx="1">
                  <c:v>0.28891458711784418</c:v>
                </c:pt>
                <c:pt idx="2">
                  <c:v>0.22823382415138865</c:v>
                </c:pt>
                <c:pt idx="3">
                  <c:v>0.13734189466370467</c:v>
                </c:pt>
                <c:pt idx="4">
                  <c:v>0.1466262119034083</c:v>
                </c:pt>
              </c:numCache>
            </c:numRef>
          </c:val>
          <c:extLst>
            <c:ext xmlns:c16="http://schemas.microsoft.com/office/drawing/2014/chart" uri="{C3380CC4-5D6E-409C-BE32-E72D297353CC}">
              <c16:uniqueId val="{00000000-5069-4DD3-AFDA-2F0EF154EB82}"/>
            </c:ext>
          </c:extLst>
        </c:ser>
        <c:dLbls>
          <c:showLegendKey val="0"/>
          <c:showVal val="0"/>
          <c:showCatName val="0"/>
          <c:showSerName val="0"/>
          <c:showPercent val="0"/>
          <c:showBubbleSize val="0"/>
        </c:dLbls>
        <c:gapWidth val="219"/>
        <c:overlap val="-27"/>
        <c:axId val="199357480"/>
        <c:axId val="1"/>
      </c:barChart>
      <c:catAx>
        <c:axId val="199357480"/>
        <c:scaling>
          <c:orientation val="minMax"/>
        </c:scaling>
        <c:delete val="0"/>
        <c:axPos val="b"/>
        <c:numFmt formatCode="General" sourceLinked="1"/>
        <c:majorTickMark val="none"/>
        <c:minorTickMark val="none"/>
        <c:tickLblPos val="nextTo"/>
        <c:spPr>
          <a:noFill/>
          <a:ln w="9511"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cs-CZ"/>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199357480"/>
        <c:crosses val="autoZero"/>
        <c:crossBetween val="between"/>
      </c:valAx>
      <c:spPr>
        <a:noFill/>
        <a:ln w="25362">
          <a:noFill/>
        </a:ln>
      </c:spPr>
    </c:plotArea>
    <c:plotVisOnly val="1"/>
    <c:dispBlanksAs val="gap"/>
    <c:showDLblsOverMax val="0"/>
  </c:chart>
  <c:spPr>
    <a:noFill/>
    <a:ln>
      <a:noFill/>
    </a:ln>
    <a:effectLst/>
  </c:spPr>
  <c:txPr>
    <a:bodyPr/>
    <a:lstStyle/>
    <a:p>
      <a:pPr>
        <a:defRPr sz="1598"/>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13576B"/>
                </a:solidFill>
                <a:latin typeface="Arial" panose="020B0604020202020204" pitchFamily="34" charset="0"/>
                <a:cs typeface="Arial" panose="020B0604020202020204" pitchFamily="34" charset="0"/>
              </a:defRPr>
            </a:pPr>
            <a:r>
              <a:rPr lang="cs-CZ" sz="1050" b="1">
                <a:solidFill>
                  <a:srgbClr val="13576B"/>
                </a:solidFill>
                <a:effectLst/>
                <a:latin typeface="Arial" panose="020B0604020202020204" pitchFamily="34" charset="0"/>
                <a:cs typeface="Arial" panose="020B0604020202020204" pitchFamily="34" charset="0"/>
              </a:rPr>
              <a:t>Věnujete se nebo jste se věnovali otázkám spojených</a:t>
            </a:r>
            <a:br>
              <a:rPr lang="cs-CZ" sz="1050" b="1">
                <a:solidFill>
                  <a:srgbClr val="13576B"/>
                </a:solidFill>
                <a:effectLst/>
                <a:latin typeface="Arial" panose="020B0604020202020204" pitchFamily="34" charset="0"/>
                <a:cs typeface="Arial" panose="020B0604020202020204" pitchFamily="34" charset="0"/>
              </a:rPr>
            </a:br>
            <a:r>
              <a:rPr lang="cs-CZ" sz="1050" b="1">
                <a:solidFill>
                  <a:srgbClr val="13576B"/>
                </a:solidFill>
                <a:effectLst/>
                <a:latin typeface="Arial" panose="020B0604020202020204" pitchFamily="34" charset="0"/>
                <a:cs typeface="Arial" panose="020B0604020202020204" pitchFamily="34" charset="0"/>
              </a:rPr>
              <a:t>s finanční gramotností svých dětí či vnoučat?</a:t>
            </a:r>
            <a:endParaRPr lang="cs-CZ" sz="1050">
              <a:solidFill>
                <a:srgbClr val="13576B"/>
              </a:solidFill>
              <a:effectLst/>
              <a:latin typeface="Arial" panose="020B0604020202020204" pitchFamily="34" charset="0"/>
              <a:cs typeface="Arial" panose="020B0604020202020204" pitchFamily="34" charset="0"/>
            </a:endParaRPr>
          </a:p>
        </c:rich>
      </c:tx>
      <c:layout>
        <c:manualLayout>
          <c:xMode val="edge"/>
          <c:yMode val="edge"/>
          <c:x val="0.15014084507042252"/>
          <c:y val="0"/>
        </c:manualLayout>
      </c:layout>
      <c:overlay val="0"/>
    </c:title>
    <c:autoTitleDeleted val="0"/>
    <c:plotArea>
      <c:layout>
        <c:manualLayout>
          <c:layoutTarget val="inner"/>
          <c:xMode val="edge"/>
          <c:yMode val="edge"/>
          <c:x val="1.6025778467832368E-2"/>
          <c:y val="0.16239227028229605"/>
          <c:w val="0.96437553591294067"/>
          <c:h val="0.65291926011201906"/>
        </c:manualLayout>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13576B"/>
              </a:solidFill>
              <a:ln>
                <a:noFill/>
              </a:ln>
              <a:effectLst/>
            </c:spPr>
            <c:extLst>
              <c:ext xmlns:c16="http://schemas.microsoft.com/office/drawing/2014/chart" uri="{C3380CC4-5D6E-409C-BE32-E72D297353CC}">
                <c16:uniqueId val="{00000003-A9D2-4166-A118-D75050298A95}"/>
              </c:ext>
            </c:extLst>
          </c:dPt>
          <c:dPt>
            <c:idx val="1"/>
            <c:invertIfNegative val="0"/>
            <c:bubble3D val="0"/>
            <c:spPr>
              <a:solidFill>
                <a:srgbClr val="13576B"/>
              </a:solidFill>
              <a:ln>
                <a:noFill/>
              </a:ln>
              <a:effectLst/>
            </c:spPr>
            <c:extLst>
              <c:ext xmlns:c16="http://schemas.microsoft.com/office/drawing/2014/chart" uri="{C3380CC4-5D6E-409C-BE32-E72D297353CC}">
                <c16:uniqueId val="{00000004-A9D2-4166-A118-D75050298A95}"/>
              </c:ext>
            </c:extLst>
          </c:dPt>
          <c:dPt>
            <c:idx val="2"/>
            <c:invertIfNegative val="0"/>
            <c:bubble3D val="0"/>
            <c:spPr>
              <a:solidFill>
                <a:srgbClr val="13576B"/>
              </a:solidFill>
              <a:ln>
                <a:noFill/>
              </a:ln>
              <a:effectLst/>
            </c:spPr>
            <c:extLst>
              <c:ext xmlns:c16="http://schemas.microsoft.com/office/drawing/2014/chart" uri="{C3380CC4-5D6E-409C-BE32-E72D297353CC}">
                <c16:uniqueId val="{00000005-A9D2-4166-A118-D75050298A95}"/>
              </c:ext>
            </c:extLst>
          </c:dPt>
          <c:dPt>
            <c:idx val="3"/>
            <c:invertIfNegative val="0"/>
            <c:bubble3D val="0"/>
            <c:spPr>
              <a:solidFill>
                <a:srgbClr val="13576B"/>
              </a:solidFill>
              <a:ln>
                <a:noFill/>
              </a:ln>
              <a:effectLst/>
            </c:spPr>
            <c:extLst>
              <c:ext xmlns:c16="http://schemas.microsoft.com/office/drawing/2014/chart" uri="{C3380CC4-5D6E-409C-BE32-E72D297353CC}">
                <c16:uniqueId val="{00000006-A9D2-4166-A118-D75050298A95}"/>
              </c:ext>
            </c:extLst>
          </c:dPt>
          <c:dPt>
            <c:idx val="4"/>
            <c:invertIfNegative val="0"/>
            <c:bubble3D val="0"/>
            <c:spPr>
              <a:solidFill>
                <a:srgbClr val="13576B"/>
              </a:solidFill>
              <a:ln>
                <a:noFill/>
              </a:ln>
              <a:effectLst/>
            </c:spPr>
            <c:extLst>
              <c:ext xmlns:c16="http://schemas.microsoft.com/office/drawing/2014/chart" uri="{C3380CC4-5D6E-409C-BE32-E72D297353CC}">
                <c16:uniqueId val="{00000007-A9D2-4166-A118-D75050298A95}"/>
              </c:ext>
            </c:extLst>
          </c:dPt>
          <c:dPt>
            <c:idx val="5"/>
            <c:invertIfNegative val="0"/>
            <c:bubble3D val="0"/>
            <c:spPr>
              <a:solidFill>
                <a:schemeClr val="bg1">
                  <a:lumMod val="75000"/>
                </a:schemeClr>
              </a:solidFill>
              <a:ln>
                <a:noFill/>
              </a:ln>
              <a:effectLst/>
            </c:spPr>
            <c:extLst>
              <c:ext xmlns:c16="http://schemas.microsoft.com/office/drawing/2014/chart" uri="{C3380CC4-5D6E-409C-BE32-E72D297353CC}">
                <c16:uniqueId val="{00000001-A9D2-4166-A118-D75050298A9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List1!$D$810:$I$810</c:f>
              <c:strCache>
                <c:ptCount val="6"/>
                <c:pt idx="0">
                  <c:v>Ano, pravidelně a záměrně</c:v>
                </c:pt>
                <c:pt idx="1">
                  <c:v>Ano, ale jen pokud se děti výslovně zeptají</c:v>
                </c:pt>
                <c:pt idx="2">
                  <c:v>Ano, ale zcela výjimečně</c:v>
                </c:pt>
                <c:pt idx="3">
                  <c:v>Ne, protože to nechávám na školní výuce</c:v>
                </c:pt>
                <c:pt idx="4">
                  <c:v>Ne, protože sám si nevím rady</c:v>
                </c:pt>
                <c:pt idx="5">
                  <c:v>Ne, nemám děti</c:v>
                </c:pt>
              </c:strCache>
            </c:strRef>
          </c:cat>
          <c:val>
            <c:numRef>
              <c:f>List1!$D$811:$I$811</c:f>
              <c:numCache>
                <c:formatCode>0%</c:formatCode>
                <c:ptCount val="6"/>
                <c:pt idx="0">
                  <c:v>0.43098197608947603</c:v>
                </c:pt>
                <c:pt idx="1">
                  <c:v>0.18281916449690797</c:v>
                </c:pt>
                <c:pt idx="2">
                  <c:v>0.13155970550300367</c:v>
                </c:pt>
                <c:pt idx="3">
                  <c:v>2.3704377443308656E-2</c:v>
                </c:pt>
                <c:pt idx="4">
                  <c:v>1.5515612754211207E-2</c:v>
                </c:pt>
                <c:pt idx="5">
                  <c:v>0.21541916371308914</c:v>
                </c:pt>
              </c:numCache>
            </c:numRef>
          </c:val>
          <c:extLst>
            <c:ext xmlns:c16="http://schemas.microsoft.com/office/drawing/2014/chart" uri="{C3380CC4-5D6E-409C-BE32-E72D297353CC}">
              <c16:uniqueId val="{00000002-A9D2-4166-A118-D75050298A95}"/>
            </c:ext>
          </c:extLst>
        </c:ser>
        <c:dLbls>
          <c:showLegendKey val="0"/>
          <c:showVal val="0"/>
          <c:showCatName val="0"/>
          <c:showSerName val="0"/>
          <c:showPercent val="0"/>
          <c:showBubbleSize val="0"/>
        </c:dLbls>
        <c:gapWidth val="219"/>
        <c:overlap val="-27"/>
        <c:axId val="239131448"/>
        <c:axId val="1"/>
      </c:barChart>
      <c:catAx>
        <c:axId val="239131448"/>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cs-CZ"/>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239131448"/>
        <c:crosses val="autoZero"/>
        <c:crossBetween val="between"/>
      </c:valAx>
      <c:spPr>
        <a:noFill/>
        <a:ln w="25379">
          <a:noFill/>
        </a:ln>
      </c:spPr>
    </c:plotArea>
    <c:plotVisOnly val="1"/>
    <c:dispBlanksAs val="gap"/>
    <c:showDLblsOverMax val="0"/>
  </c:chart>
  <c:spPr>
    <a:noFill/>
    <a:ln>
      <a:noFill/>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F9D2B-A159-454F-B4E5-1F4C5DF3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845</Words>
  <Characters>4986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7</cp:revision>
  <cp:lastPrinted>2019-08-27T11:23:00Z</cp:lastPrinted>
  <dcterms:created xsi:type="dcterms:W3CDTF">2019-09-13T13:23:00Z</dcterms:created>
  <dcterms:modified xsi:type="dcterms:W3CDTF">2019-09-17T07:33:00Z</dcterms:modified>
</cp:coreProperties>
</file>