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CCA83" w14:textId="77777777" w:rsidR="008B0F22" w:rsidRDefault="008B0F22" w:rsidP="008B0F22">
      <w:pPr>
        <w:pStyle w:val="Standard"/>
        <w:spacing w:line="276" w:lineRule="auto"/>
        <w:rPr>
          <w:rFonts w:cs="Arial"/>
          <w:sz w:val="20"/>
        </w:rPr>
      </w:pPr>
    </w:p>
    <w:p w14:paraId="1C51F3FC" w14:textId="77777777" w:rsidR="00C02D78" w:rsidRDefault="00C02D78" w:rsidP="008B0F22">
      <w:pPr>
        <w:pStyle w:val="Standard"/>
        <w:spacing w:line="276" w:lineRule="auto"/>
        <w:rPr>
          <w:rFonts w:cs="Arial"/>
          <w:sz w:val="20"/>
        </w:rPr>
      </w:pPr>
    </w:p>
    <w:p w14:paraId="0F09CFB6" w14:textId="77777777" w:rsidR="00C02D78" w:rsidRPr="00495BE2" w:rsidRDefault="00C02D78" w:rsidP="00C02D78">
      <w:pPr>
        <w:rPr>
          <w:rFonts w:cs="Arial"/>
          <w:b/>
          <w:color w:val="57B167"/>
          <w:kern w:val="3"/>
          <w:sz w:val="32"/>
          <w:szCs w:val="32"/>
          <w:lang w:eastAsia="zh-CN" w:bidi="hi-IN"/>
        </w:rPr>
      </w:pPr>
      <w:r w:rsidRPr="00495BE2">
        <w:rPr>
          <w:rFonts w:cs="Arial"/>
          <w:b/>
          <w:color w:val="57B167"/>
          <w:kern w:val="3"/>
          <w:sz w:val="32"/>
          <w:szCs w:val="32"/>
          <w:lang w:eastAsia="zh-CN" w:bidi="hi-IN"/>
        </w:rPr>
        <w:t>Ekonomika za vrcholem cyklu</w:t>
      </w:r>
      <w:bookmarkStart w:id="0" w:name="_GoBack"/>
      <w:bookmarkEnd w:id="0"/>
    </w:p>
    <w:p w14:paraId="06721F56" w14:textId="77777777" w:rsidR="00C02D78" w:rsidRPr="00241928" w:rsidRDefault="00C02D78" w:rsidP="00C02D78">
      <w:pPr>
        <w:rPr>
          <w:b/>
        </w:rPr>
      </w:pPr>
    </w:p>
    <w:p w14:paraId="2F1E9192" w14:textId="0E5CCA88" w:rsidR="00C02D78" w:rsidRDefault="00495BE2" w:rsidP="00C02D78">
      <w:pPr>
        <w:spacing w:line="276" w:lineRule="auto"/>
      </w:pPr>
      <w:r w:rsidRPr="00495BE2">
        <w:rPr>
          <w:b/>
        </w:rPr>
        <w:t>Praha 2</w:t>
      </w:r>
      <w:r w:rsidRPr="00495BE2">
        <w:rPr>
          <w:b/>
        </w:rPr>
        <w:t>5</w:t>
      </w:r>
      <w:r w:rsidRPr="00495BE2">
        <w:rPr>
          <w:b/>
        </w:rPr>
        <w:t xml:space="preserve">. </w:t>
      </w:r>
      <w:r w:rsidRPr="00495BE2">
        <w:rPr>
          <w:b/>
        </w:rPr>
        <w:t>4</w:t>
      </w:r>
      <w:r w:rsidRPr="00495BE2">
        <w:rPr>
          <w:b/>
        </w:rPr>
        <w:t>. 201</w:t>
      </w:r>
      <w:r w:rsidRPr="00495BE2">
        <w:rPr>
          <w:b/>
        </w:rPr>
        <w:t>8</w:t>
      </w:r>
      <w:r w:rsidRPr="00495BE2">
        <w:t xml:space="preserve"> -</w:t>
      </w:r>
      <w:r>
        <w:rPr>
          <w:rFonts w:cs="Arial"/>
          <w:b/>
          <w:sz w:val="20"/>
        </w:rPr>
        <w:t xml:space="preserve"> </w:t>
      </w:r>
      <w:r w:rsidR="00C02D78">
        <w:t xml:space="preserve">Období od zveřejnění minulé prognózy České bankovní asociace v lednu 2018 potvrdilo, že ekonomika setrvává ve velmi dobré kondici, ale posunula se za vrchol cyklu. Vnitřní napětí na trhu práce dále zesílilo, investiční poptávce ve firemním sektoru přestává kapacitně stačit nabídka. Souhrou zejména vnějších faktorů zůstává ekonomické prostředí </w:t>
      </w:r>
      <w:proofErr w:type="spellStart"/>
      <w:r w:rsidR="00C02D78">
        <w:t>nízkoinflační</w:t>
      </w:r>
      <w:proofErr w:type="spellEnd"/>
      <w:r w:rsidR="00C02D78">
        <w:t xml:space="preserve">, domácí proinflační tlaky přicházejí ze strany dynamického mzdového vývoje a jeho průsaku zejména do cen služeb. </w:t>
      </w:r>
      <w:r w:rsidR="00C02D78">
        <w:rPr>
          <w:i/>
        </w:rPr>
        <w:t xml:space="preserve">„Výhled zůstává v zásadě příznivý, ale nelze přehlédnout rizika, která jsou s prognózou spojena a která momentálně </w:t>
      </w:r>
      <w:r w:rsidR="00C02D78" w:rsidRPr="00C02D78">
        <w:rPr>
          <w:i/>
        </w:rPr>
        <w:t>spatřujeme v dalším vývoji světového hospodářského cyklu a v jeho možném dopadu na velmi otevřenou českou ekonomiku“</w:t>
      </w:r>
      <w:r w:rsidR="00C02D78">
        <w:t xml:space="preserve"> říká Helena Horská, hlavní ekonomka </w:t>
      </w:r>
      <w:proofErr w:type="spellStart"/>
      <w:r w:rsidR="00C02D78">
        <w:t>Raiffeisenbank</w:t>
      </w:r>
      <w:proofErr w:type="spellEnd"/>
      <w:r w:rsidR="00C02D78">
        <w:t>.</w:t>
      </w:r>
    </w:p>
    <w:p w14:paraId="42C366AE" w14:textId="77777777" w:rsidR="00C02D78" w:rsidRDefault="00C02D78" w:rsidP="00C02D78">
      <w:pPr>
        <w:spacing w:line="276" w:lineRule="auto"/>
        <w:rPr>
          <w:i/>
        </w:rPr>
      </w:pPr>
    </w:p>
    <w:p w14:paraId="5D46F67A" w14:textId="77777777" w:rsidR="00C02D78" w:rsidRDefault="00C02D78" w:rsidP="00C02D78">
      <w:pPr>
        <w:spacing w:line="276" w:lineRule="auto"/>
        <w:rPr>
          <w:i/>
        </w:rPr>
      </w:pPr>
    </w:p>
    <w:p w14:paraId="066A9B4A" w14:textId="77777777" w:rsidR="00C02D78" w:rsidRDefault="00C02D78" w:rsidP="00C02D78">
      <w:pPr>
        <w:spacing w:line="276" w:lineRule="auto"/>
        <w:rPr>
          <w:i/>
        </w:rPr>
      </w:pPr>
      <w:r w:rsidRPr="00AE194C">
        <w:rPr>
          <w:i/>
        </w:rPr>
        <w:t>Rok 2018</w:t>
      </w:r>
      <w:r>
        <w:rPr>
          <w:i/>
        </w:rPr>
        <w:t>: mírné ochlazení, ekonomika však zůstává dynamická</w:t>
      </w:r>
    </w:p>
    <w:p w14:paraId="42D407C0" w14:textId="77777777" w:rsidR="00C02D78" w:rsidRDefault="00C02D78" w:rsidP="00C02D78">
      <w:pPr>
        <w:spacing w:line="276" w:lineRule="auto"/>
        <w:rPr>
          <w:i/>
        </w:rPr>
      </w:pPr>
    </w:p>
    <w:p w14:paraId="5B3A2E7C" w14:textId="77777777" w:rsidR="00C02D78" w:rsidRDefault="00C02D78" w:rsidP="00C02D78">
      <w:pPr>
        <w:spacing w:line="276" w:lineRule="auto"/>
      </w:pPr>
      <w:r>
        <w:t xml:space="preserve">Výsledky roku 2017 překonaly očekávání a staly se faktorem spíše pozitivního výhledu pro nejbližší období. I přes postupné zmírňování tempa se ekonomický výkon bude pohybovat na hodnotách, které budou vyšší než například v eurozóně. Silnou stránkou zůstane v zásadě vyvážený příspěvek všech složek růstu, ať už se jedná o spotřebu domácností, investice nebo exportní výkon ekonomiky. </w:t>
      </w:r>
    </w:p>
    <w:p w14:paraId="62162DCD" w14:textId="77777777" w:rsidR="00C02D78" w:rsidRPr="00C02D78" w:rsidRDefault="00C02D78" w:rsidP="00C02D78">
      <w:pPr>
        <w:spacing w:line="276" w:lineRule="auto"/>
        <w:rPr>
          <w:i/>
        </w:rPr>
      </w:pPr>
    </w:p>
    <w:p w14:paraId="07E7FAC0" w14:textId="77777777" w:rsidR="00C02D78" w:rsidRDefault="00C02D78" w:rsidP="00C02D78">
      <w:pPr>
        <w:spacing w:line="276" w:lineRule="auto"/>
      </w:pPr>
      <w:r>
        <w:rPr>
          <w:i/>
        </w:rPr>
        <w:t>„</w:t>
      </w:r>
      <w:r w:rsidRPr="00C02D78">
        <w:rPr>
          <w:i/>
        </w:rPr>
        <w:t>Ekonomika vykazuje syndromy ekonomického přehřátí. Týká se to především trhu práce, kde je potenciál volných pracovních sil prakticky vyčerpán</w:t>
      </w:r>
      <w:r w:rsidRPr="00C02D78">
        <w:t xml:space="preserve">“ konstatuje </w:t>
      </w:r>
      <w:r w:rsidRPr="00C02D78">
        <w:rPr>
          <w:rFonts w:cs="Arial"/>
          <w:szCs w:val="18"/>
        </w:rPr>
        <w:t>Petr Gapko</w:t>
      </w:r>
      <w:r w:rsidR="00270D7D">
        <w:rPr>
          <w:rFonts w:cs="Arial"/>
          <w:szCs w:val="18"/>
        </w:rPr>
        <w:t>, hlavní ekonom</w:t>
      </w:r>
      <w:r w:rsidRPr="00C02D78">
        <w:rPr>
          <w:rFonts w:cs="Arial"/>
          <w:szCs w:val="18"/>
        </w:rPr>
        <w:t xml:space="preserve"> MONETA Money Bank</w:t>
      </w:r>
      <w:r w:rsidR="00270D7D">
        <w:rPr>
          <w:rFonts w:cs="Arial"/>
          <w:szCs w:val="18"/>
        </w:rPr>
        <w:t>. Znamená to, že situace na trhu práce bude n</w:t>
      </w:r>
      <w:r>
        <w:t xml:space="preserve">adále vyvolávat mzdově inflační tlaky. </w:t>
      </w:r>
    </w:p>
    <w:p w14:paraId="698B5317" w14:textId="77777777" w:rsidR="00C02D78" w:rsidRDefault="00C02D78" w:rsidP="00C02D78">
      <w:pPr>
        <w:spacing w:line="276" w:lineRule="auto"/>
      </w:pPr>
    </w:p>
    <w:p w14:paraId="20FF942A" w14:textId="0AB1D1D5" w:rsidR="00C02D78" w:rsidRDefault="00C02D78" w:rsidP="00C02D78">
      <w:pPr>
        <w:spacing w:line="276" w:lineRule="auto"/>
      </w:pPr>
      <w:r>
        <w:t xml:space="preserve">Oproti minulé prognóze prakticky neměníme odhad meziročního růstu HDP a zvyšujeme jej o </w:t>
      </w:r>
      <w:r w:rsidR="008D7449" w:rsidRPr="00846C78">
        <w:t>0,3</w:t>
      </w:r>
      <w:r>
        <w:t>procentního bodu na</w:t>
      </w:r>
      <w:r w:rsidRPr="00846C78">
        <w:t xml:space="preserve"> </w:t>
      </w:r>
      <w:r w:rsidR="008D7449" w:rsidRPr="00846C78">
        <w:t>3,6</w:t>
      </w:r>
      <w:r w:rsidRPr="00846C78">
        <w:t xml:space="preserve"> </w:t>
      </w:r>
      <w:r>
        <w:t>%. Neměníme zásadně ani odhad míry nezaměstnanosti, která zůstane na velmi nízkých hodnotách. Kombinace dynamického růstu reálných příjmů obyvatelstva a přetrvávajícího optimistického pohledu spotřebitelů na budoucnost podpoří rychlý nárůst soukromé spotřeby o</w:t>
      </w:r>
      <w:r w:rsidRPr="00846C78">
        <w:t xml:space="preserve"> </w:t>
      </w:r>
      <w:r w:rsidR="008D7449" w:rsidRPr="00846C78">
        <w:t>4,2</w:t>
      </w:r>
      <w:r w:rsidRPr="00846C78">
        <w:t xml:space="preserve"> </w:t>
      </w:r>
      <w:r>
        <w:t>%. Odhad dynamického růstu nominálních mezd o bezmála 8 % je při nízké inflaci jistě příznivou zprávou z pohledu zaměstnanců. Současně se ale stává nepřehlédnutelným činitelem růstu nákladů podniků, tlačícím proti jejich konkurenceschopnosti.</w:t>
      </w:r>
    </w:p>
    <w:p w14:paraId="07E3DDF0" w14:textId="77777777" w:rsidR="00C02D78" w:rsidRDefault="00C02D78" w:rsidP="00C02D78">
      <w:pPr>
        <w:spacing w:line="276" w:lineRule="auto"/>
      </w:pPr>
    </w:p>
    <w:p w14:paraId="4BC5E906" w14:textId="77777777" w:rsidR="00C02D78" w:rsidRDefault="00C02D78" w:rsidP="00C02D78">
      <w:pPr>
        <w:spacing w:line="276" w:lineRule="auto"/>
      </w:pPr>
      <w:r>
        <w:t>Prognóza předpokládá, že vývoj na exportních trzích zůstane příznivý, eurozóna a v ní Německo budou pokračovat v dlouho neviděných tempech růstu. Nicméně právě v otázce dynamiky exportu se názory jednotlivých členů prognostického týmu mezi sebou lišily velmi výrazně od velmi optimistického pohledu až po očekávání výrazného zpomalení či dokonce stagnace. To souvisí s rozdílnými pohledy na vývoj konjunktury na světových trzích a na časování a průběh příštího hospodářského poklesu.</w:t>
      </w:r>
    </w:p>
    <w:p w14:paraId="028964CC" w14:textId="77777777" w:rsidR="00C02D78" w:rsidRDefault="00C02D78" w:rsidP="00C02D78">
      <w:pPr>
        <w:spacing w:line="276" w:lineRule="auto"/>
      </w:pPr>
    </w:p>
    <w:p w14:paraId="6BECA2E0" w14:textId="50B28BA1" w:rsidR="00C02D78" w:rsidRDefault="00C02D78" w:rsidP="00C02D78">
      <w:pPr>
        <w:spacing w:line="276" w:lineRule="auto"/>
      </w:pPr>
      <w:r>
        <w:t xml:space="preserve">Pokud jde o investice, na straně veřejného sektoru by měly být spíše vyšší, například do municipální infrastruktury. V podnikové sféře bude investiční aktivita nadále spojena s nákupem strojů a technologií, spojená s plným zakázkovým kalendářem a kombinovaná s nedostatkem pracovních sil, nutícím firmy investovat do automatizace a robotizace výroby. </w:t>
      </w:r>
      <w:r w:rsidR="00270D7D">
        <w:t>„</w:t>
      </w:r>
      <w:r w:rsidRPr="00270D7D">
        <w:rPr>
          <w:i/>
        </w:rPr>
        <w:t>Snaha firemního sektoru kompenzovat nedostatek pracovních sil investováním do automatizace a robotizace ale bude stále více narážet na nabídkovou bariéru</w:t>
      </w:r>
      <w:r w:rsidR="00270D7D">
        <w:rPr>
          <w:i/>
        </w:rPr>
        <w:t xml:space="preserve">“ </w:t>
      </w:r>
      <w:r w:rsidR="00270D7D" w:rsidRPr="00270D7D">
        <w:t>upozorňuje Helena Horská</w:t>
      </w:r>
      <w:r w:rsidRPr="00270D7D">
        <w:t>.</w:t>
      </w:r>
      <w:r>
        <w:t xml:space="preserve"> </w:t>
      </w:r>
    </w:p>
    <w:p w14:paraId="70315121" w14:textId="77777777" w:rsidR="00C02D78" w:rsidRDefault="00C02D78" w:rsidP="00C02D78">
      <w:pPr>
        <w:spacing w:line="276" w:lineRule="auto"/>
      </w:pPr>
    </w:p>
    <w:p w14:paraId="2F02432B" w14:textId="4B1DF540" w:rsidR="00C02D78" w:rsidRDefault="00270D7D" w:rsidP="00C02D78">
      <w:pPr>
        <w:spacing w:line="276" w:lineRule="auto"/>
      </w:pPr>
      <w:r>
        <w:rPr>
          <w:i/>
        </w:rPr>
        <w:t>„</w:t>
      </w:r>
      <w:r w:rsidR="00C02D78" w:rsidRPr="00270D7D">
        <w:rPr>
          <w:i/>
        </w:rPr>
        <w:t>Hospodaření veřejných rozpočtů zůstane stabilizujícím prvkem ekonomického prostředí a z pohledu poměrového ukazatele vládního dluhu vůči hrubému domácímu produktu zůstane země mezi premianty Evropy</w:t>
      </w:r>
      <w:r>
        <w:rPr>
          <w:i/>
        </w:rPr>
        <w:t xml:space="preserve">“ </w:t>
      </w:r>
      <w:r>
        <w:t>konstatuje Petr Gapko.</w:t>
      </w:r>
      <w:r w:rsidR="00C02D78">
        <w:t xml:space="preserve"> Přesto čekáme nižší pozitivní saldo vládních rozpočtů pro letošní rok v porovnání s prognózami jiných pracovišť</w:t>
      </w:r>
      <w:r w:rsidR="008D7449">
        <w:t>,</w:t>
      </w:r>
      <w:r w:rsidR="00C02D78">
        <w:t xml:space="preserve"> a tedy jejich větší příspěvek k celkovému hospodářskému růstu. Souviset to bude s tlakem na větší čerpání evropských strukturálních fondů v roce 2018 v polovině evropského rozpočtového programového období.</w:t>
      </w:r>
    </w:p>
    <w:p w14:paraId="04D79CEB" w14:textId="77777777" w:rsidR="00C02D78" w:rsidRDefault="00C02D78" w:rsidP="00C02D78">
      <w:pPr>
        <w:spacing w:line="276" w:lineRule="auto"/>
      </w:pPr>
    </w:p>
    <w:p w14:paraId="5EABA41C" w14:textId="5CD2A596" w:rsidR="00C02D78" w:rsidRDefault="00C02D78" w:rsidP="00C02D78">
      <w:pPr>
        <w:spacing w:line="276" w:lineRule="auto"/>
      </w:pPr>
      <w:r>
        <w:t>V případě měnové politiky pracuje prognóza s předpokladem, že letos dojde k</w:t>
      </w:r>
      <w:r w:rsidR="00423339">
        <w:t> </w:t>
      </w:r>
      <w:r>
        <w:t>d</w:t>
      </w:r>
      <w:r w:rsidR="00423339">
        <w:t xml:space="preserve">ruhému </w:t>
      </w:r>
      <w:r>
        <w:t>mírnému zvýšení řídící sazby měnové politiky, nejspíše až v samotném závěru roku. Neměníme zásadně předpoklad vývoje devizového kurzu, který by se v průměru roku měl pohybovat okolo úrovně 25,20 korun za euro a bude tak v podstatě stabilní.</w:t>
      </w:r>
    </w:p>
    <w:p w14:paraId="79C39D9C" w14:textId="77777777" w:rsidR="00C02D78" w:rsidRDefault="00C02D78" w:rsidP="00C02D78">
      <w:pPr>
        <w:spacing w:line="276" w:lineRule="auto"/>
      </w:pPr>
    </w:p>
    <w:p w14:paraId="34F7EB49" w14:textId="77777777" w:rsidR="00F249E2" w:rsidRDefault="00F249E2" w:rsidP="00C02D78">
      <w:pPr>
        <w:spacing w:line="276" w:lineRule="auto"/>
      </w:pPr>
    </w:p>
    <w:p w14:paraId="6C0D20AE" w14:textId="77777777" w:rsidR="00F249E2" w:rsidRDefault="00F249E2" w:rsidP="00C02D78">
      <w:pPr>
        <w:spacing w:line="276" w:lineRule="auto"/>
      </w:pPr>
    </w:p>
    <w:p w14:paraId="2C64F760" w14:textId="77777777" w:rsidR="00F249E2" w:rsidRDefault="00F249E2" w:rsidP="00C02D78">
      <w:pPr>
        <w:spacing w:line="276" w:lineRule="auto"/>
      </w:pPr>
    </w:p>
    <w:p w14:paraId="2D485CA5" w14:textId="77777777" w:rsidR="00F249E2" w:rsidRDefault="00F249E2" w:rsidP="00C02D78">
      <w:pPr>
        <w:spacing w:line="276" w:lineRule="auto"/>
      </w:pPr>
    </w:p>
    <w:p w14:paraId="28BB94B4" w14:textId="77777777" w:rsidR="00F249E2" w:rsidRDefault="00F249E2" w:rsidP="00C02D78">
      <w:pPr>
        <w:spacing w:line="276" w:lineRule="auto"/>
      </w:pPr>
    </w:p>
    <w:p w14:paraId="404E9EF3" w14:textId="77777777" w:rsidR="00F249E2" w:rsidRDefault="00F249E2" w:rsidP="00C02D78">
      <w:pPr>
        <w:spacing w:line="276" w:lineRule="auto"/>
      </w:pPr>
    </w:p>
    <w:p w14:paraId="608268E6" w14:textId="2334A4F3" w:rsidR="00C02D78" w:rsidRDefault="00C02D78" w:rsidP="00C02D78">
      <w:pPr>
        <w:spacing w:line="276" w:lineRule="auto"/>
      </w:pPr>
      <w:r>
        <w:t xml:space="preserve">Příznivé ekonomické podmínky umožní bankám nadále pokračovat v dynamické úvěrové emisi, a to přesto, že čekáme spíše zpřísňování úvěrových podmínek pro poskytování úvěrů jak domácnostem, tak podnikům. Kvalita bankovního úvěrového portfolia zůstane na vysoké úrovni, podíl </w:t>
      </w:r>
      <w:r w:rsidR="00E118B2">
        <w:t>pohledávek v selhání</w:t>
      </w:r>
      <w:r>
        <w:t xml:space="preserve"> setrvá na velmi nízkých úrovních.</w:t>
      </w:r>
    </w:p>
    <w:p w14:paraId="05FF29E2" w14:textId="77777777" w:rsidR="00C02D78" w:rsidRDefault="00C02D78" w:rsidP="00C02D78">
      <w:pPr>
        <w:spacing w:line="276" w:lineRule="auto"/>
        <w:rPr>
          <w:i/>
        </w:rPr>
      </w:pPr>
    </w:p>
    <w:p w14:paraId="54DFEF4B" w14:textId="77777777" w:rsidR="00423339" w:rsidRDefault="00423339" w:rsidP="00C02D78">
      <w:pPr>
        <w:spacing w:line="276" w:lineRule="auto"/>
        <w:rPr>
          <w:i/>
        </w:rPr>
      </w:pPr>
    </w:p>
    <w:p w14:paraId="28F66CEA" w14:textId="6CA36ED6" w:rsidR="00C02D78" w:rsidRDefault="00C02D78" w:rsidP="00C02D78">
      <w:pPr>
        <w:spacing w:line="276" w:lineRule="auto"/>
        <w:rPr>
          <w:i/>
        </w:rPr>
      </w:pPr>
      <w:r w:rsidRPr="00B309C5">
        <w:rPr>
          <w:i/>
        </w:rPr>
        <w:t>Rok 2019</w:t>
      </w:r>
      <w:r>
        <w:rPr>
          <w:i/>
        </w:rPr>
        <w:t>: vyrovnaný příspěvek všech složek růstu zůstane silnou stránkou ekonomiky, rizik přibývá</w:t>
      </w:r>
    </w:p>
    <w:p w14:paraId="10BD0E20" w14:textId="77777777" w:rsidR="00C02D78" w:rsidRDefault="00C02D78" w:rsidP="00C02D78">
      <w:pPr>
        <w:spacing w:line="276" w:lineRule="auto"/>
        <w:rPr>
          <w:i/>
        </w:rPr>
      </w:pPr>
    </w:p>
    <w:p w14:paraId="3FD38F2F" w14:textId="7D48CBA8" w:rsidR="00C02D78" w:rsidRDefault="00270D7D" w:rsidP="00C02D78">
      <w:pPr>
        <w:spacing w:line="276" w:lineRule="auto"/>
      </w:pPr>
      <w:r>
        <w:rPr>
          <w:i/>
        </w:rPr>
        <w:t>„</w:t>
      </w:r>
      <w:r w:rsidR="00C02D78" w:rsidRPr="00270D7D">
        <w:rPr>
          <w:i/>
        </w:rPr>
        <w:t>Dynamika hospodářského růstu v roce 2019 dále zpomalí, avšak celkově zůstane na úrovni, potvrzující pokračování ekonomické konvergence Česka směrem</w:t>
      </w:r>
      <w:r w:rsidR="00076380">
        <w:rPr>
          <w:i/>
        </w:rPr>
        <w:t xml:space="preserve"> k</w:t>
      </w:r>
      <w:r w:rsidR="00C02D78" w:rsidRPr="00270D7D">
        <w:rPr>
          <w:i/>
        </w:rPr>
        <w:t xml:space="preserve"> eurozóně</w:t>
      </w:r>
      <w:r>
        <w:rPr>
          <w:i/>
        </w:rPr>
        <w:t>“</w:t>
      </w:r>
      <w:r>
        <w:t xml:space="preserve"> uvádí Helena Horská</w:t>
      </w:r>
      <w:r w:rsidR="00C02D78">
        <w:t>. Odhadujeme růst HDP ve výši</w:t>
      </w:r>
      <w:r w:rsidR="00C02D78" w:rsidRPr="00846C78">
        <w:t xml:space="preserve"> </w:t>
      </w:r>
      <w:r w:rsidR="008D7449" w:rsidRPr="00846C78">
        <w:t>2,8</w:t>
      </w:r>
      <w:r w:rsidR="00C02D78" w:rsidRPr="00846C78">
        <w:t xml:space="preserve"> </w:t>
      </w:r>
      <w:r w:rsidR="00C02D78">
        <w:t xml:space="preserve">%, tj. prakticky stejně jako v předchozí lednové prognóze. Stejně tak se prakticky nemění výhled nezaměstnanosti, resp. čekáme její další velmi mírné snížení. Tahounem růstu zůstanou ve vyvážené proporci všechny faktory, které jej ovlivňovaly </w:t>
      </w:r>
      <w:r w:rsidR="00C02D78" w:rsidRPr="00423339">
        <w:t>v</w:t>
      </w:r>
      <w:r w:rsidR="00423339">
        <w:t> předchozích dvou letech</w:t>
      </w:r>
      <w:r w:rsidR="00423339" w:rsidRPr="00423339">
        <w:t xml:space="preserve">.  </w:t>
      </w:r>
      <w:r w:rsidR="00C02D78">
        <w:t xml:space="preserve">Soukromá spotřeba bude tažena pokračujícím rychlým růstem mezd, který dosáhne v příštím roce hodnoty </w:t>
      </w:r>
      <w:r w:rsidR="008D7449" w:rsidRPr="00846C78">
        <w:t>5,8</w:t>
      </w:r>
      <w:r w:rsidR="00C02D78" w:rsidRPr="00846C78">
        <w:t xml:space="preserve"> </w:t>
      </w:r>
      <w:r w:rsidR="00C02D78">
        <w:t>%.</w:t>
      </w:r>
    </w:p>
    <w:p w14:paraId="3228C256" w14:textId="77777777" w:rsidR="00C02D78" w:rsidRDefault="00C02D78" w:rsidP="00C02D78">
      <w:pPr>
        <w:spacing w:line="276" w:lineRule="auto"/>
      </w:pPr>
    </w:p>
    <w:p w14:paraId="60B422ED" w14:textId="61D392C2" w:rsidR="00C02D78" w:rsidRDefault="00C02D78" w:rsidP="00C02D78">
      <w:pPr>
        <w:spacing w:line="276" w:lineRule="auto"/>
      </w:pPr>
      <w:r>
        <w:t xml:space="preserve">Mírné ochlazení ekonomického růstu bude doprovázeno mírným zpomalením investiční aktivity, nicméně na straně podniků se nezmění motivy, stojící za investiční aktivitou, které svým způsobem indikují optimistický pohled na budoucnost, přesahující horizont této prognózy. V prognóze se to odráží předpokladem urychlení růstu úvěrů podnikovému sektoru, oproti předchozí lednové prognóze </w:t>
      </w:r>
      <w:r w:rsidR="00366D23">
        <w:t xml:space="preserve">je </w:t>
      </w:r>
      <w:r>
        <w:t>odhad pro rok 2019</w:t>
      </w:r>
      <w:r w:rsidR="00366D23">
        <w:t xml:space="preserve"> jen</w:t>
      </w:r>
      <w:r>
        <w:t xml:space="preserve"> </w:t>
      </w:r>
      <w:r w:rsidR="00366D23">
        <w:t>mírně vyšší</w:t>
      </w:r>
      <w:r>
        <w:t xml:space="preserve"> (</w:t>
      </w:r>
      <w:r w:rsidR="00366D23" w:rsidRPr="00846C78">
        <w:t>5,4</w:t>
      </w:r>
      <w:r w:rsidRPr="00846C78">
        <w:t xml:space="preserve"> </w:t>
      </w:r>
      <w:r>
        <w:t>%).</w:t>
      </w:r>
    </w:p>
    <w:p w14:paraId="79ACB516" w14:textId="77777777" w:rsidR="00C02D78" w:rsidRDefault="00C02D78" w:rsidP="00C02D78">
      <w:pPr>
        <w:spacing w:line="276" w:lineRule="auto"/>
      </w:pPr>
    </w:p>
    <w:p w14:paraId="71AC08C5" w14:textId="5394ED43" w:rsidR="00C02D78" w:rsidRDefault="00C02D78" w:rsidP="00C02D78">
      <w:pPr>
        <w:spacing w:line="276" w:lineRule="auto"/>
      </w:pPr>
      <w:r>
        <w:t>Inflační vývoj bude v roce 2019 poznamenán očekávaným zdražením energií, v prognóze je však kompenzován např. předpokl</w:t>
      </w:r>
      <w:r w:rsidR="00076380">
        <w:t>ádaným</w:t>
      </w:r>
      <w:r>
        <w:t xml:space="preserve"> protiinflačním působením vývoje potravin a inflace tak zůstane v zásadě stabilní.</w:t>
      </w:r>
    </w:p>
    <w:p w14:paraId="6FD97077" w14:textId="77777777" w:rsidR="00C02D78" w:rsidRDefault="00C02D78" w:rsidP="00C02D78">
      <w:pPr>
        <w:spacing w:line="276" w:lineRule="auto"/>
      </w:pPr>
    </w:p>
    <w:p w14:paraId="03BC6BA9" w14:textId="0148E1BB" w:rsidR="00C02D78" w:rsidRDefault="00C02D78" w:rsidP="00C02D78">
      <w:pPr>
        <w:spacing w:line="276" w:lineRule="auto"/>
      </w:pPr>
      <w:r>
        <w:t xml:space="preserve">Pokud jde o další měnově politické kroky centrální banky, předpovídáme, že v roce 2019 centrální banka přistoupí </w:t>
      </w:r>
      <w:proofErr w:type="gramStart"/>
      <w:r>
        <w:t>k</w:t>
      </w:r>
      <w:proofErr w:type="gramEnd"/>
      <w:r>
        <w:t> dvojímu zvýšení základní měnově politické sazby o čtvrt procentního bodu, čímž se naplní hypotézy, že</w:t>
      </w:r>
      <w:r w:rsidR="00423339">
        <w:t xml:space="preserve"> část</w:t>
      </w:r>
      <w:r>
        <w:t xml:space="preserve"> </w:t>
      </w:r>
      <w:r w:rsidR="00423339">
        <w:t xml:space="preserve">původně avizovaného </w:t>
      </w:r>
      <w:r>
        <w:t>potřebného a signalizovaného zvyšování sazeb se z letošního roku přesouvá na rok příští. Základním hybným motivem těchto kroků měnové politiky přitom dle prognózy bude reakce na sy</w:t>
      </w:r>
      <w:r w:rsidR="00423339">
        <w:t>mpt</w:t>
      </w:r>
      <w:r>
        <w:t xml:space="preserve">omy </w:t>
      </w:r>
      <w:r w:rsidR="00076380">
        <w:t xml:space="preserve">přehřívání </w:t>
      </w:r>
      <w:r>
        <w:t>tuzemské ekonomiky. Sledovat bude třeba také kroky Evropské centrální banky, kde očekáváme první zvýšení sazeb v polovině roku 2019.</w:t>
      </w:r>
    </w:p>
    <w:p w14:paraId="6E7AF18E" w14:textId="77777777" w:rsidR="00C02D78" w:rsidRDefault="00C02D78" w:rsidP="00C02D78">
      <w:pPr>
        <w:spacing w:line="276" w:lineRule="auto"/>
      </w:pPr>
    </w:p>
    <w:p w14:paraId="7D91D981" w14:textId="77777777" w:rsidR="00C02D78" w:rsidRDefault="00C02D78" w:rsidP="00C02D78">
      <w:pPr>
        <w:spacing w:line="276" w:lineRule="auto"/>
        <w:rPr>
          <w:i/>
        </w:rPr>
      </w:pPr>
    </w:p>
    <w:p w14:paraId="5F52330E" w14:textId="77777777" w:rsidR="00C02D78" w:rsidRDefault="00C02D78" w:rsidP="00C02D78">
      <w:pPr>
        <w:spacing w:line="276" w:lineRule="auto"/>
        <w:rPr>
          <w:i/>
        </w:rPr>
      </w:pPr>
      <w:r w:rsidRPr="00C161F1">
        <w:rPr>
          <w:i/>
        </w:rPr>
        <w:t>Rizika a nejistoty prognózy</w:t>
      </w:r>
    </w:p>
    <w:p w14:paraId="6F7D9067" w14:textId="77777777" w:rsidR="00C02D78" w:rsidRDefault="00C02D78" w:rsidP="00C02D78">
      <w:pPr>
        <w:spacing w:line="276" w:lineRule="auto"/>
        <w:rPr>
          <w:i/>
        </w:rPr>
      </w:pPr>
    </w:p>
    <w:p w14:paraId="3F19A3F9" w14:textId="1DEC8FE3" w:rsidR="00C02D78" w:rsidRDefault="00C02D78" w:rsidP="00C02D78">
      <w:pPr>
        <w:spacing w:line="276" w:lineRule="auto"/>
      </w:pPr>
      <w:r w:rsidRPr="00270D7D">
        <w:t>Bilance rizik prognózy je v zásadě vyrovnaná, v průběhu času však narůstá</w:t>
      </w:r>
      <w:r w:rsidR="00076380">
        <w:t>.</w:t>
      </w:r>
      <w:r w:rsidRPr="00270D7D">
        <w:t xml:space="preserve"> </w:t>
      </w:r>
      <w:r w:rsidR="00076380">
        <w:t>P</w:t>
      </w:r>
      <w:r w:rsidRPr="00270D7D">
        <w:t xml:space="preserve">odle některých členů prognostického týmu </w:t>
      </w:r>
      <w:r w:rsidR="00076380" w:rsidRPr="00270D7D">
        <w:t xml:space="preserve">významně </w:t>
      </w:r>
      <w:r w:rsidRPr="00270D7D">
        <w:t>narůstá riziko hospodářského propadu ve světě</w:t>
      </w:r>
      <w:r w:rsidR="00270D7D">
        <w:t>.</w:t>
      </w:r>
      <w:r w:rsidR="00270D7D">
        <w:rPr>
          <w:i/>
        </w:rPr>
        <w:t xml:space="preserve"> „</w:t>
      </w:r>
      <w:r w:rsidR="00E118B2">
        <w:rPr>
          <w:i/>
        </w:rPr>
        <w:t>Případný h</w:t>
      </w:r>
      <w:r w:rsidR="00270D7D" w:rsidRPr="00270D7D">
        <w:rPr>
          <w:i/>
        </w:rPr>
        <w:t>ospodářský propad</w:t>
      </w:r>
      <w:r w:rsidRPr="00270D7D">
        <w:rPr>
          <w:i/>
        </w:rPr>
        <w:t xml:space="preserve"> </w:t>
      </w:r>
      <w:r w:rsidR="00E118B2">
        <w:rPr>
          <w:i/>
        </w:rPr>
        <w:t>by mohl</w:t>
      </w:r>
      <w:r w:rsidR="00E118B2" w:rsidRPr="00270D7D">
        <w:rPr>
          <w:i/>
        </w:rPr>
        <w:t xml:space="preserve"> </w:t>
      </w:r>
      <w:r w:rsidRPr="00270D7D">
        <w:rPr>
          <w:i/>
        </w:rPr>
        <w:t xml:space="preserve">být způsoben klasickým průběhem ekonomického cyklu, </w:t>
      </w:r>
      <w:r w:rsidR="00E118B2">
        <w:rPr>
          <w:i/>
        </w:rPr>
        <w:t>mohl by</w:t>
      </w:r>
      <w:r w:rsidR="00E118B2" w:rsidRPr="00270D7D">
        <w:rPr>
          <w:i/>
        </w:rPr>
        <w:t xml:space="preserve"> </w:t>
      </w:r>
      <w:r w:rsidRPr="00270D7D">
        <w:rPr>
          <w:i/>
        </w:rPr>
        <w:t xml:space="preserve">však být také </w:t>
      </w:r>
      <w:r w:rsidR="00E118B2">
        <w:rPr>
          <w:i/>
        </w:rPr>
        <w:t>důsledkem</w:t>
      </w:r>
      <w:r w:rsidR="00E118B2" w:rsidRPr="00270D7D">
        <w:rPr>
          <w:i/>
        </w:rPr>
        <w:t xml:space="preserve"> </w:t>
      </w:r>
      <w:r w:rsidRPr="00270D7D">
        <w:rPr>
          <w:i/>
        </w:rPr>
        <w:t>hospodářsko-politický</w:t>
      </w:r>
      <w:r w:rsidR="00E118B2">
        <w:rPr>
          <w:i/>
        </w:rPr>
        <w:t>ch</w:t>
      </w:r>
      <w:r w:rsidRPr="00270D7D">
        <w:rPr>
          <w:i/>
        </w:rPr>
        <w:t xml:space="preserve"> faktor</w:t>
      </w:r>
      <w:r w:rsidR="00E118B2">
        <w:rPr>
          <w:i/>
        </w:rPr>
        <w:t>ů</w:t>
      </w:r>
      <w:r w:rsidRPr="00270D7D">
        <w:rPr>
          <w:i/>
        </w:rPr>
        <w:t>, tj. obchodní</w:t>
      </w:r>
      <w:r w:rsidR="00E118B2">
        <w:rPr>
          <w:i/>
        </w:rPr>
        <w:t>ch</w:t>
      </w:r>
      <w:r w:rsidRPr="00270D7D">
        <w:rPr>
          <w:i/>
        </w:rPr>
        <w:t xml:space="preserve"> či kurzový</w:t>
      </w:r>
      <w:r w:rsidR="00E118B2">
        <w:rPr>
          <w:i/>
        </w:rPr>
        <w:t>ch</w:t>
      </w:r>
      <w:r w:rsidRPr="00270D7D">
        <w:rPr>
          <w:i/>
        </w:rPr>
        <w:t xml:space="preserve"> vál</w:t>
      </w:r>
      <w:r w:rsidR="00E118B2">
        <w:rPr>
          <w:i/>
        </w:rPr>
        <w:t>ek či zvýšeného politického pnutí</w:t>
      </w:r>
      <w:r>
        <w:t xml:space="preserve"> </w:t>
      </w:r>
      <w:r w:rsidR="00270D7D">
        <w:t xml:space="preserve">upřesňuje Petr Gapko. </w:t>
      </w:r>
      <w:r>
        <w:t>Pokud jde o Brexit, odhady jeho dopadu jsou s využitím aktuálních informací o jeho průběhu jsou již do ukazatelů prognózy zakalkulovány. Pokud nedojde k šoku ve světové ekonomice, pak by ochlazování tuzemského ekonomického růstu mělo probíhat spíše pozvolně.</w:t>
      </w:r>
    </w:p>
    <w:p w14:paraId="55B4584E" w14:textId="77777777" w:rsidR="00C02D78" w:rsidRPr="00F57B76" w:rsidRDefault="00C02D78" w:rsidP="00C02D78">
      <w:pPr>
        <w:spacing w:line="276" w:lineRule="auto"/>
      </w:pPr>
    </w:p>
    <w:p w14:paraId="02AC81CE" w14:textId="161C2CA9" w:rsidR="00C02D78" w:rsidRDefault="00C02D78" w:rsidP="00C02D78">
      <w:pPr>
        <w:spacing w:line="276" w:lineRule="auto"/>
      </w:pPr>
    </w:p>
    <w:p w14:paraId="51EA03FE" w14:textId="19A814BF" w:rsidR="00366D23" w:rsidRDefault="00366D23" w:rsidP="00C02D78">
      <w:pPr>
        <w:spacing w:line="276" w:lineRule="auto"/>
      </w:pPr>
    </w:p>
    <w:p w14:paraId="6030A552" w14:textId="454334FF" w:rsidR="00366D23" w:rsidRDefault="00366D23" w:rsidP="00C02D78">
      <w:pPr>
        <w:spacing w:line="276" w:lineRule="auto"/>
      </w:pPr>
    </w:p>
    <w:p w14:paraId="3E54FE4B" w14:textId="5DAC4D0D" w:rsidR="00366D23" w:rsidRDefault="00366D23" w:rsidP="00C02D78">
      <w:pPr>
        <w:spacing w:line="276" w:lineRule="auto"/>
      </w:pPr>
    </w:p>
    <w:p w14:paraId="3614C257" w14:textId="55705C8B" w:rsidR="00366D23" w:rsidRDefault="00366D23" w:rsidP="00C02D78">
      <w:pPr>
        <w:spacing w:line="276" w:lineRule="auto"/>
      </w:pPr>
    </w:p>
    <w:p w14:paraId="529B31A3" w14:textId="26CC1EB2" w:rsidR="00366D23" w:rsidRDefault="00366D23" w:rsidP="00C02D78">
      <w:pPr>
        <w:spacing w:line="276" w:lineRule="auto"/>
      </w:pPr>
    </w:p>
    <w:p w14:paraId="7FC25C64" w14:textId="5E5F5E57" w:rsidR="00366D23" w:rsidRDefault="00366D23" w:rsidP="00C02D78">
      <w:pPr>
        <w:spacing w:line="276" w:lineRule="auto"/>
      </w:pPr>
    </w:p>
    <w:p w14:paraId="0BB30CBF" w14:textId="6EFCA665" w:rsidR="00366D23" w:rsidRDefault="00366D23" w:rsidP="00C02D78">
      <w:pPr>
        <w:spacing w:line="276" w:lineRule="auto"/>
      </w:pPr>
    </w:p>
    <w:p w14:paraId="6D885492" w14:textId="222143D3" w:rsidR="00366D23" w:rsidRDefault="00366D23" w:rsidP="00C02D78">
      <w:pPr>
        <w:spacing w:line="276" w:lineRule="auto"/>
      </w:pPr>
    </w:p>
    <w:p w14:paraId="37B3F9E3" w14:textId="0E865D59" w:rsidR="00366D23" w:rsidRDefault="00366D23" w:rsidP="00C02D78">
      <w:pPr>
        <w:spacing w:line="276" w:lineRule="auto"/>
      </w:pPr>
    </w:p>
    <w:p w14:paraId="53B7D7AD" w14:textId="4ED9F877" w:rsidR="00366D23" w:rsidRDefault="00366D23" w:rsidP="00C02D78">
      <w:pPr>
        <w:spacing w:line="276" w:lineRule="auto"/>
      </w:pPr>
    </w:p>
    <w:p w14:paraId="1B1DC74C" w14:textId="3480EC89" w:rsidR="00366D23" w:rsidRPr="00F57B76" w:rsidRDefault="00F249E2" w:rsidP="00C02D78">
      <w:pPr>
        <w:spacing w:line="276" w:lineRule="auto"/>
      </w:pPr>
      <w:r>
        <w:rPr>
          <w:noProof/>
        </w:rPr>
        <w:drawing>
          <wp:inline distT="0" distB="0" distL="0" distR="0" wp14:anchorId="687105C1" wp14:editId="07C666CC">
            <wp:extent cx="5848350" cy="55435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5543550"/>
                    </a:xfrm>
                    <a:prstGeom prst="rect">
                      <a:avLst/>
                    </a:prstGeom>
                    <a:noFill/>
                    <a:ln>
                      <a:noFill/>
                    </a:ln>
                  </pic:spPr>
                </pic:pic>
              </a:graphicData>
            </a:graphic>
          </wp:inline>
        </w:drawing>
      </w:r>
    </w:p>
    <w:p w14:paraId="2EFC6AAB" w14:textId="77777777" w:rsidR="00C02D78" w:rsidRPr="00AE194C" w:rsidRDefault="00C02D78" w:rsidP="00C02D78">
      <w:pPr>
        <w:rPr>
          <w:i/>
        </w:rPr>
      </w:pPr>
    </w:p>
    <w:p w14:paraId="2494E9C2" w14:textId="77777777" w:rsidR="00C02D78" w:rsidRPr="00D84322" w:rsidRDefault="00C02D78" w:rsidP="008B0F22">
      <w:pPr>
        <w:pStyle w:val="Standard"/>
        <w:spacing w:line="276" w:lineRule="auto"/>
        <w:rPr>
          <w:rFonts w:cs="Arial"/>
          <w:sz w:val="20"/>
        </w:rPr>
      </w:pPr>
    </w:p>
    <w:p w14:paraId="7FD87477" w14:textId="77777777" w:rsidR="008B0F22" w:rsidRPr="00D84322" w:rsidRDefault="008B0F22" w:rsidP="008B0F22">
      <w:pPr>
        <w:spacing w:line="276" w:lineRule="auto"/>
        <w:jc w:val="center"/>
        <w:outlineLvl w:val="0"/>
        <w:rPr>
          <w:rFonts w:cs="Arial"/>
          <w:sz w:val="20"/>
        </w:rPr>
      </w:pPr>
      <w:r w:rsidRPr="00D84322">
        <w:rPr>
          <w:rFonts w:cs="Arial"/>
          <w:sz w:val="20"/>
        </w:rPr>
        <w:t>###</w:t>
      </w:r>
    </w:p>
    <w:p w14:paraId="2DF8F3E4" w14:textId="77777777" w:rsidR="008B0F22" w:rsidRPr="008435C7" w:rsidRDefault="008B0F22" w:rsidP="008B0F22">
      <w:pPr>
        <w:spacing w:line="276" w:lineRule="auto"/>
        <w:rPr>
          <w:rFonts w:cs="Arial"/>
          <w:b/>
          <w:szCs w:val="18"/>
        </w:rPr>
      </w:pPr>
      <w:r w:rsidRPr="008435C7">
        <w:rPr>
          <w:rFonts w:cs="Arial"/>
          <w:b/>
          <w:szCs w:val="18"/>
        </w:rPr>
        <w:t xml:space="preserve">O prognóze ČBA </w:t>
      </w:r>
    </w:p>
    <w:p w14:paraId="42B132A4" w14:textId="77777777" w:rsidR="008B0F22" w:rsidRDefault="008B0F22" w:rsidP="008B0F22">
      <w:pPr>
        <w:spacing w:line="276" w:lineRule="auto"/>
        <w:ind w:left="28" w:hanging="28"/>
        <w:rPr>
          <w:rFonts w:cs="Arial"/>
          <w:szCs w:val="18"/>
        </w:rPr>
      </w:pPr>
      <w:r w:rsidRPr="00D822C0">
        <w:rPr>
          <w:rFonts w:cs="Arial"/>
          <w:szCs w:val="18"/>
        </w:rPr>
        <w:t xml:space="preserve">Tato prognóza vznikla na základě příspěvků analytiků </w:t>
      </w:r>
      <w:r>
        <w:rPr>
          <w:rFonts w:cs="Arial"/>
          <w:szCs w:val="18"/>
        </w:rPr>
        <w:t>9</w:t>
      </w:r>
      <w:r w:rsidRPr="005D17DD">
        <w:rPr>
          <w:rFonts w:cs="Arial"/>
          <w:szCs w:val="18"/>
        </w:rPr>
        <w:t xml:space="preserve"> členských bank ČBA: Helena Horská a </w:t>
      </w:r>
      <w:r>
        <w:rPr>
          <w:rFonts w:cs="Arial"/>
          <w:szCs w:val="18"/>
        </w:rPr>
        <w:t xml:space="preserve">Milan Frydrych </w:t>
      </w:r>
      <w:r w:rsidRPr="005D17DD">
        <w:rPr>
          <w:rFonts w:cs="Arial"/>
          <w:szCs w:val="18"/>
        </w:rPr>
        <w:t>(</w:t>
      </w:r>
      <w:proofErr w:type="spellStart"/>
      <w:r w:rsidRPr="005D17DD">
        <w:rPr>
          <w:rFonts w:cs="Arial"/>
          <w:szCs w:val="18"/>
        </w:rPr>
        <w:t>Raiffeisenbank</w:t>
      </w:r>
      <w:proofErr w:type="spellEnd"/>
      <w:r w:rsidRPr="005D17DD">
        <w:rPr>
          <w:rFonts w:cs="Arial"/>
          <w:szCs w:val="18"/>
        </w:rPr>
        <w:t xml:space="preserve">), </w:t>
      </w:r>
      <w:r>
        <w:rPr>
          <w:rFonts w:cs="Arial"/>
          <w:szCs w:val="18"/>
        </w:rPr>
        <w:t>Petr Dufek</w:t>
      </w:r>
      <w:r w:rsidRPr="005D17DD">
        <w:rPr>
          <w:rFonts w:cs="Arial"/>
          <w:szCs w:val="18"/>
        </w:rPr>
        <w:t xml:space="preserve"> (ČSOB), Petr Gapko (</w:t>
      </w:r>
      <w:r>
        <w:rPr>
          <w:rFonts w:cs="Arial"/>
          <w:szCs w:val="18"/>
        </w:rPr>
        <w:t>MONETA Money Bank</w:t>
      </w:r>
      <w:r w:rsidRPr="005D17DD">
        <w:rPr>
          <w:rFonts w:cs="Arial"/>
          <w:szCs w:val="18"/>
        </w:rPr>
        <w:t xml:space="preserve">), Pavel Sobíšek </w:t>
      </w:r>
      <w:r>
        <w:rPr>
          <w:rFonts w:cs="Arial"/>
          <w:szCs w:val="18"/>
        </w:rPr>
        <w:t xml:space="preserve">a Patrik Rožumberský </w:t>
      </w:r>
      <w:r w:rsidRPr="005D17DD">
        <w:rPr>
          <w:rFonts w:cs="Arial"/>
          <w:szCs w:val="18"/>
        </w:rPr>
        <w:t>(UniCredit</w:t>
      </w:r>
      <w:r>
        <w:rPr>
          <w:rFonts w:cs="Arial"/>
          <w:szCs w:val="18"/>
        </w:rPr>
        <w:t xml:space="preserve"> Bank</w:t>
      </w:r>
      <w:r w:rsidRPr="005D17DD">
        <w:rPr>
          <w:rFonts w:cs="Arial"/>
          <w:szCs w:val="18"/>
        </w:rPr>
        <w:t xml:space="preserve">), </w:t>
      </w:r>
      <w:r>
        <w:rPr>
          <w:rFonts w:cs="Arial"/>
          <w:szCs w:val="18"/>
        </w:rPr>
        <w:t>Michal Skořepa</w:t>
      </w:r>
      <w:r w:rsidRPr="005D17DD">
        <w:rPr>
          <w:rFonts w:cs="Arial"/>
          <w:szCs w:val="18"/>
        </w:rPr>
        <w:t xml:space="preserve"> (Česká spořitelna), Petr Sklenář (J&amp;T Banka), Jan </w:t>
      </w:r>
      <w:proofErr w:type="spellStart"/>
      <w:r w:rsidRPr="005D17DD">
        <w:rPr>
          <w:rFonts w:cs="Arial"/>
          <w:szCs w:val="18"/>
        </w:rPr>
        <w:t>Vejmělek</w:t>
      </w:r>
      <w:proofErr w:type="spellEnd"/>
      <w:r w:rsidRPr="005D17DD">
        <w:rPr>
          <w:rFonts w:cs="Arial"/>
          <w:szCs w:val="18"/>
        </w:rPr>
        <w:t xml:space="preserve"> a </w:t>
      </w:r>
      <w:r>
        <w:rPr>
          <w:rFonts w:cs="Arial"/>
          <w:szCs w:val="18"/>
        </w:rPr>
        <w:t xml:space="preserve">Viktor </w:t>
      </w:r>
      <w:proofErr w:type="spellStart"/>
      <w:r>
        <w:rPr>
          <w:rFonts w:cs="Arial"/>
          <w:szCs w:val="18"/>
        </w:rPr>
        <w:t>Zeisel</w:t>
      </w:r>
      <w:proofErr w:type="spellEnd"/>
      <w:r>
        <w:rPr>
          <w:rFonts w:cs="Arial"/>
          <w:szCs w:val="18"/>
        </w:rPr>
        <w:t xml:space="preserve"> (Komerční banka), </w:t>
      </w:r>
      <w:r w:rsidRPr="00D822C0">
        <w:rPr>
          <w:rFonts w:cs="Arial"/>
          <w:szCs w:val="18"/>
        </w:rPr>
        <w:t>Jakub Seidler (ING Bank)</w:t>
      </w:r>
      <w:r>
        <w:rPr>
          <w:rFonts w:cs="Arial"/>
          <w:szCs w:val="18"/>
        </w:rPr>
        <w:t>, Jaromír Šindel (</w:t>
      </w:r>
      <w:proofErr w:type="spellStart"/>
      <w:r>
        <w:rPr>
          <w:rFonts w:cs="Arial"/>
          <w:szCs w:val="18"/>
        </w:rPr>
        <w:t>Citibank</w:t>
      </w:r>
      <w:proofErr w:type="spellEnd"/>
      <w:r>
        <w:rPr>
          <w:rFonts w:cs="Arial"/>
          <w:szCs w:val="18"/>
        </w:rPr>
        <w:t>)</w:t>
      </w:r>
      <w:r w:rsidRPr="00D822C0">
        <w:rPr>
          <w:rFonts w:cs="Arial"/>
          <w:szCs w:val="18"/>
        </w:rPr>
        <w:t xml:space="preserve">. Za ČBA se na tvorbě prognózy podílí </w:t>
      </w:r>
      <w:r w:rsidR="00C02D78">
        <w:rPr>
          <w:rFonts w:cs="Arial"/>
          <w:szCs w:val="18"/>
        </w:rPr>
        <w:t xml:space="preserve">Miroslav Zámečník. </w:t>
      </w:r>
    </w:p>
    <w:p w14:paraId="22F09BFD" w14:textId="77777777" w:rsidR="008B0F22" w:rsidRDefault="008B0F22" w:rsidP="008B0F22">
      <w:pPr>
        <w:spacing w:line="276" w:lineRule="auto"/>
        <w:rPr>
          <w:rFonts w:cs="Arial"/>
          <w:b/>
          <w:szCs w:val="18"/>
        </w:rPr>
      </w:pPr>
    </w:p>
    <w:p w14:paraId="039D0DA8" w14:textId="77777777" w:rsidR="008B0F22" w:rsidRPr="008435C7" w:rsidRDefault="008B0F22" w:rsidP="008B0F22">
      <w:pPr>
        <w:spacing w:line="276" w:lineRule="auto"/>
        <w:rPr>
          <w:rFonts w:cs="Arial"/>
          <w:b/>
          <w:szCs w:val="18"/>
        </w:rPr>
      </w:pPr>
      <w:r w:rsidRPr="008435C7">
        <w:rPr>
          <w:rFonts w:cs="Arial"/>
          <w:b/>
          <w:szCs w:val="18"/>
        </w:rPr>
        <w:t>O České bankovní asociaci</w:t>
      </w:r>
    </w:p>
    <w:p w14:paraId="3B62A85B" w14:textId="66446031" w:rsidR="00A616C9" w:rsidRPr="008B0F22" w:rsidRDefault="008B0F22" w:rsidP="00F249E2">
      <w:pPr>
        <w:spacing w:line="276" w:lineRule="auto"/>
        <w:ind w:left="28" w:hanging="28"/>
      </w:pPr>
      <w:r w:rsidRPr="008435C7">
        <w:rPr>
          <w:rFonts w:cs="Arial"/>
          <w:szCs w:val="18"/>
        </w:rPr>
        <w:t>Česká banko</w:t>
      </w:r>
      <w:r>
        <w:rPr>
          <w:rFonts w:cs="Arial"/>
          <w:szCs w:val="18"/>
        </w:rPr>
        <w:t>vní asociace vznikla v roce 1992</w:t>
      </w:r>
      <w:r w:rsidRPr="008435C7">
        <w:rPr>
          <w:rFonts w:cs="Arial"/>
          <w:szCs w:val="18"/>
        </w:rPr>
        <w:t xml:space="preserve"> a je dobrovolným sdružením právnických osob podnikajících v</w:t>
      </w:r>
      <w:r>
        <w:rPr>
          <w:rFonts w:cs="Arial"/>
          <w:sz w:val="20"/>
        </w:rPr>
        <w:t> </w:t>
      </w:r>
      <w:r w:rsidRPr="008435C7">
        <w:rPr>
          <w:rFonts w:cs="Arial"/>
          <w:szCs w:val="18"/>
        </w:rPr>
        <w:t>oblasti peněžnictví. V současné době sdružuje 3</w:t>
      </w:r>
      <w:r w:rsidR="001A6DF9">
        <w:rPr>
          <w:rFonts w:cs="Arial"/>
          <w:szCs w:val="18"/>
        </w:rPr>
        <w:t>8</w:t>
      </w:r>
      <w:r w:rsidRPr="008435C7">
        <w:rPr>
          <w:rFonts w:cs="Arial"/>
          <w:szCs w:val="18"/>
        </w:rPr>
        <w:t xml:space="preserve"> členů. Rolí asociace je především zastupovat a prosazovat společné zájmy členů, prezentovat roli a zájmy bankovnictví vůči veřejnosti, podílet se na standardizaci postupů v</w:t>
      </w:r>
      <w:r>
        <w:rPr>
          <w:rFonts w:cs="Arial"/>
          <w:sz w:val="20"/>
        </w:rPr>
        <w:t> </w:t>
      </w:r>
      <w:r w:rsidRPr="008435C7">
        <w:rPr>
          <w:rFonts w:cs="Arial"/>
          <w:szCs w:val="18"/>
        </w:rPr>
        <w:t>bankovnictví a na vytváření odborných zvyklostí, podporovat harmonizaci bankovní legislativy s legislativou Evropské unie a vyvíjet aktivitu v informativní a školící oblasti. ČBA je členem Evropské bankov</w:t>
      </w:r>
      <w:r>
        <w:rPr>
          <w:rFonts w:cs="Arial"/>
          <w:szCs w:val="18"/>
        </w:rPr>
        <w:t>n</w:t>
      </w:r>
      <w:r w:rsidRPr="008435C7">
        <w:rPr>
          <w:rFonts w:cs="Arial"/>
          <w:szCs w:val="18"/>
        </w:rPr>
        <w:t>í federace a</w:t>
      </w:r>
      <w:r>
        <w:rPr>
          <w:rFonts w:cs="Arial"/>
          <w:sz w:val="20"/>
        </w:rPr>
        <w:t> </w:t>
      </w:r>
      <w:r w:rsidRPr="008435C7">
        <w:rPr>
          <w:rFonts w:cs="Arial"/>
          <w:szCs w:val="18"/>
        </w:rPr>
        <w:t>E</w:t>
      </w:r>
      <w:r>
        <w:rPr>
          <w:rFonts w:cs="Arial"/>
          <w:szCs w:val="18"/>
        </w:rPr>
        <w:t>MMI</w:t>
      </w:r>
      <w:r w:rsidRPr="008435C7">
        <w:rPr>
          <w:rFonts w:cs="Arial"/>
          <w:szCs w:val="18"/>
        </w:rPr>
        <w:t>.</w:t>
      </w:r>
    </w:p>
    <w:sectPr w:rsidR="00A616C9" w:rsidRPr="008B0F22" w:rsidSect="00A77DE2">
      <w:headerReference w:type="default" r:id="rId9"/>
      <w:pgSz w:w="11906" w:h="16838"/>
      <w:pgMar w:top="212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64494" w14:textId="77777777" w:rsidR="0049644E" w:rsidRDefault="0049644E" w:rsidP="005E267D">
      <w:r>
        <w:separator/>
      </w:r>
    </w:p>
  </w:endnote>
  <w:endnote w:type="continuationSeparator" w:id="0">
    <w:p w14:paraId="43710554" w14:textId="77777777" w:rsidR="0049644E" w:rsidRDefault="0049644E" w:rsidP="005E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6F37" w14:textId="77777777" w:rsidR="0049644E" w:rsidRDefault="0049644E" w:rsidP="005E267D">
      <w:r>
        <w:separator/>
      </w:r>
    </w:p>
  </w:footnote>
  <w:footnote w:type="continuationSeparator" w:id="0">
    <w:p w14:paraId="489C35B7" w14:textId="77777777" w:rsidR="0049644E" w:rsidRDefault="0049644E" w:rsidP="005E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7C88" w14:textId="77777777" w:rsidR="00B51E60" w:rsidRPr="008435C7" w:rsidRDefault="00B51E60" w:rsidP="005E267D">
    <w:pPr>
      <w:pStyle w:val="Zhlav"/>
      <w:jc w:val="right"/>
      <w:rPr>
        <w:rFonts w:cs="Arial"/>
        <w:b/>
        <w:sz w:val="20"/>
      </w:rPr>
    </w:pPr>
    <w:r>
      <w:rPr>
        <w:noProof/>
      </w:rPr>
      <w:drawing>
        <wp:anchor distT="0" distB="0" distL="114300" distR="114300" simplePos="0" relativeHeight="251656704" behindDoc="0" locked="0" layoutInCell="1" allowOverlap="1" wp14:anchorId="37A3D047" wp14:editId="227A16ED">
          <wp:simplePos x="0" y="0"/>
          <wp:positionH relativeFrom="column">
            <wp:posOffset>-457200</wp:posOffset>
          </wp:positionH>
          <wp:positionV relativeFrom="paragraph">
            <wp:posOffset>172720</wp:posOffset>
          </wp:positionV>
          <wp:extent cx="2562860" cy="597535"/>
          <wp:effectExtent l="0" t="0" r="8890" b="0"/>
          <wp:wrapNone/>
          <wp:docPr id="1" name="obrázek 3" descr="logotyp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typ_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860" cy="597535"/>
                  </a:xfrm>
                  <a:prstGeom prst="rect">
                    <a:avLst/>
                  </a:prstGeom>
                  <a:noFill/>
                </pic:spPr>
              </pic:pic>
            </a:graphicData>
          </a:graphic>
        </wp:anchor>
      </w:drawing>
    </w:r>
    <w:r>
      <w:rPr>
        <w:noProof/>
      </w:rPr>
      <w:drawing>
        <wp:anchor distT="0" distB="0" distL="114300" distR="114300" simplePos="0" relativeHeight="251658752" behindDoc="0" locked="0" layoutInCell="1" allowOverlap="1" wp14:anchorId="40CE417D" wp14:editId="43B32583">
          <wp:simplePos x="0" y="0"/>
          <wp:positionH relativeFrom="column">
            <wp:posOffset>-800100</wp:posOffset>
          </wp:positionH>
          <wp:positionV relativeFrom="paragraph">
            <wp:posOffset>-267335</wp:posOffset>
          </wp:positionV>
          <wp:extent cx="7315200" cy="278130"/>
          <wp:effectExtent l="0" t="0" r="0" b="7620"/>
          <wp:wrapNone/>
          <wp:docPr id="2" name="Picture 3" descr="4-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278130"/>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4AB2E8E8" wp14:editId="4C9DEFB6">
          <wp:simplePos x="0" y="0"/>
          <wp:positionH relativeFrom="column">
            <wp:posOffset>3503295</wp:posOffset>
          </wp:positionH>
          <wp:positionV relativeFrom="paragraph">
            <wp:posOffset>3965575</wp:posOffset>
          </wp:positionV>
          <wp:extent cx="3163570" cy="6273165"/>
          <wp:effectExtent l="0" t="0" r="0" b="0"/>
          <wp:wrapNone/>
          <wp:docPr id="3" name="obrázek 4" descr="dopisak_tisk_podt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opisak_tisk_podtis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3570" cy="6273165"/>
                  </a:xfrm>
                  <a:prstGeom prst="rect">
                    <a:avLst/>
                  </a:prstGeom>
                  <a:noFill/>
                </pic:spPr>
              </pic:pic>
            </a:graphicData>
          </a:graphic>
        </wp:anchor>
      </w:drawing>
    </w:r>
    <w:r w:rsidRPr="008435C7">
      <w:rPr>
        <w:rFonts w:cs="Arial"/>
        <w:b/>
        <w:sz w:val="20"/>
      </w:rPr>
      <w:t>Tisková zpráva</w:t>
    </w:r>
  </w:p>
  <w:p w14:paraId="0D395AA8" w14:textId="77777777" w:rsidR="00B51E60" w:rsidRDefault="00B51E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261E"/>
    <w:multiLevelType w:val="hybridMultilevel"/>
    <w:tmpl w:val="32C4ED8A"/>
    <w:lvl w:ilvl="0" w:tplc="F936509E">
      <w:start w:val="1"/>
      <w:numFmt w:val="bullet"/>
      <w:lvlText w:val="•"/>
      <w:lvlJc w:val="left"/>
      <w:pPr>
        <w:ind w:left="720" w:hanging="360"/>
      </w:pPr>
      <w:rPr>
        <w:rFonts w:ascii="Arial" w:hAnsi="Arial" w:hint="default"/>
        <w:color w:val="auto"/>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1221FF0"/>
    <w:multiLevelType w:val="hybridMultilevel"/>
    <w:tmpl w:val="79E8380E"/>
    <w:lvl w:ilvl="0" w:tplc="8CD8C76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 w15:restartNumberingAfterBreak="0">
    <w:nsid w:val="7237745A"/>
    <w:multiLevelType w:val="hybridMultilevel"/>
    <w:tmpl w:val="DCCC3DB0"/>
    <w:lvl w:ilvl="0" w:tplc="E866548C">
      <w:start w:val="1"/>
      <w:numFmt w:val="bullet"/>
      <w:lvlText w:val="•"/>
      <w:lvlJc w:val="left"/>
      <w:pPr>
        <w:tabs>
          <w:tab w:val="num" w:pos="720"/>
        </w:tabs>
        <w:ind w:left="720" w:hanging="360"/>
      </w:pPr>
      <w:rPr>
        <w:rFonts w:ascii="Arial" w:hAnsi="Arial" w:hint="default"/>
      </w:rPr>
    </w:lvl>
    <w:lvl w:ilvl="1" w:tplc="02ACD758" w:tentative="1">
      <w:start w:val="1"/>
      <w:numFmt w:val="bullet"/>
      <w:lvlText w:val="•"/>
      <w:lvlJc w:val="left"/>
      <w:pPr>
        <w:tabs>
          <w:tab w:val="num" w:pos="1440"/>
        </w:tabs>
        <w:ind w:left="1440" w:hanging="360"/>
      </w:pPr>
      <w:rPr>
        <w:rFonts w:ascii="Arial" w:hAnsi="Arial" w:hint="default"/>
      </w:rPr>
    </w:lvl>
    <w:lvl w:ilvl="2" w:tplc="C626292E" w:tentative="1">
      <w:start w:val="1"/>
      <w:numFmt w:val="bullet"/>
      <w:lvlText w:val="•"/>
      <w:lvlJc w:val="left"/>
      <w:pPr>
        <w:tabs>
          <w:tab w:val="num" w:pos="2160"/>
        </w:tabs>
        <w:ind w:left="2160" w:hanging="360"/>
      </w:pPr>
      <w:rPr>
        <w:rFonts w:ascii="Arial" w:hAnsi="Arial" w:hint="default"/>
      </w:rPr>
    </w:lvl>
    <w:lvl w:ilvl="3" w:tplc="3BFC856C" w:tentative="1">
      <w:start w:val="1"/>
      <w:numFmt w:val="bullet"/>
      <w:lvlText w:val="•"/>
      <w:lvlJc w:val="left"/>
      <w:pPr>
        <w:tabs>
          <w:tab w:val="num" w:pos="2880"/>
        </w:tabs>
        <w:ind w:left="2880" w:hanging="360"/>
      </w:pPr>
      <w:rPr>
        <w:rFonts w:ascii="Arial" w:hAnsi="Arial" w:hint="default"/>
      </w:rPr>
    </w:lvl>
    <w:lvl w:ilvl="4" w:tplc="27763496" w:tentative="1">
      <w:start w:val="1"/>
      <w:numFmt w:val="bullet"/>
      <w:lvlText w:val="•"/>
      <w:lvlJc w:val="left"/>
      <w:pPr>
        <w:tabs>
          <w:tab w:val="num" w:pos="3600"/>
        </w:tabs>
        <w:ind w:left="3600" w:hanging="360"/>
      </w:pPr>
      <w:rPr>
        <w:rFonts w:ascii="Arial" w:hAnsi="Arial" w:hint="default"/>
      </w:rPr>
    </w:lvl>
    <w:lvl w:ilvl="5" w:tplc="A7EA606E" w:tentative="1">
      <w:start w:val="1"/>
      <w:numFmt w:val="bullet"/>
      <w:lvlText w:val="•"/>
      <w:lvlJc w:val="left"/>
      <w:pPr>
        <w:tabs>
          <w:tab w:val="num" w:pos="4320"/>
        </w:tabs>
        <w:ind w:left="4320" w:hanging="360"/>
      </w:pPr>
      <w:rPr>
        <w:rFonts w:ascii="Arial" w:hAnsi="Arial" w:hint="default"/>
      </w:rPr>
    </w:lvl>
    <w:lvl w:ilvl="6" w:tplc="FB22DAFE" w:tentative="1">
      <w:start w:val="1"/>
      <w:numFmt w:val="bullet"/>
      <w:lvlText w:val="•"/>
      <w:lvlJc w:val="left"/>
      <w:pPr>
        <w:tabs>
          <w:tab w:val="num" w:pos="5040"/>
        </w:tabs>
        <w:ind w:left="5040" w:hanging="360"/>
      </w:pPr>
      <w:rPr>
        <w:rFonts w:ascii="Arial" w:hAnsi="Arial" w:hint="default"/>
      </w:rPr>
    </w:lvl>
    <w:lvl w:ilvl="7" w:tplc="C2FCC77A" w:tentative="1">
      <w:start w:val="1"/>
      <w:numFmt w:val="bullet"/>
      <w:lvlText w:val="•"/>
      <w:lvlJc w:val="left"/>
      <w:pPr>
        <w:tabs>
          <w:tab w:val="num" w:pos="5760"/>
        </w:tabs>
        <w:ind w:left="5760" w:hanging="360"/>
      </w:pPr>
      <w:rPr>
        <w:rFonts w:ascii="Arial" w:hAnsi="Arial" w:hint="default"/>
      </w:rPr>
    </w:lvl>
    <w:lvl w:ilvl="8" w:tplc="3A5AF6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5FB6C7A"/>
    <w:multiLevelType w:val="hybridMultilevel"/>
    <w:tmpl w:val="C77A4A5A"/>
    <w:lvl w:ilvl="0" w:tplc="0405000F">
      <w:start w:val="1"/>
      <w:numFmt w:val="decimal"/>
      <w:lvlText w:val="%1."/>
      <w:lvlJc w:val="left"/>
      <w:pPr>
        <w:ind w:left="862" w:hanging="360"/>
      </w:pPr>
      <w:rPr>
        <w:rFonts w:cs="Times New Roman"/>
      </w:rPr>
    </w:lvl>
    <w:lvl w:ilvl="1" w:tplc="04050019" w:tentative="1">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D1"/>
    <w:rsid w:val="0000152C"/>
    <w:rsid w:val="00002C59"/>
    <w:rsid w:val="000030C4"/>
    <w:rsid w:val="00006A0E"/>
    <w:rsid w:val="00007094"/>
    <w:rsid w:val="00012BD2"/>
    <w:rsid w:val="000161F6"/>
    <w:rsid w:val="0001630B"/>
    <w:rsid w:val="00023178"/>
    <w:rsid w:val="0002384A"/>
    <w:rsid w:val="00023DBF"/>
    <w:rsid w:val="00033DBE"/>
    <w:rsid w:val="0003603E"/>
    <w:rsid w:val="0003682B"/>
    <w:rsid w:val="00037B68"/>
    <w:rsid w:val="00041AEA"/>
    <w:rsid w:val="00044D48"/>
    <w:rsid w:val="00046CAA"/>
    <w:rsid w:val="0005035F"/>
    <w:rsid w:val="00056F97"/>
    <w:rsid w:val="00060B24"/>
    <w:rsid w:val="00061C94"/>
    <w:rsid w:val="00062727"/>
    <w:rsid w:val="00073004"/>
    <w:rsid w:val="00073813"/>
    <w:rsid w:val="00073A7B"/>
    <w:rsid w:val="00076380"/>
    <w:rsid w:val="00076E43"/>
    <w:rsid w:val="0007747D"/>
    <w:rsid w:val="00085155"/>
    <w:rsid w:val="0008582A"/>
    <w:rsid w:val="00086636"/>
    <w:rsid w:val="0008687B"/>
    <w:rsid w:val="00087254"/>
    <w:rsid w:val="0009017D"/>
    <w:rsid w:val="00092E82"/>
    <w:rsid w:val="00093CAE"/>
    <w:rsid w:val="000950E2"/>
    <w:rsid w:val="00095500"/>
    <w:rsid w:val="000958AC"/>
    <w:rsid w:val="000A0EB1"/>
    <w:rsid w:val="000A1F61"/>
    <w:rsid w:val="000A54D5"/>
    <w:rsid w:val="000A6A68"/>
    <w:rsid w:val="000B5EF0"/>
    <w:rsid w:val="000B6EF8"/>
    <w:rsid w:val="000C0768"/>
    <w:rsid w:val="000C179F"/>
    <w:rsid w:val="000C1C26"/>
    <w:rsid w:val="000C47F6"/>
    <w:rsid w:val="000C4BF6"/>
    <w:rsid w:val="000C6B9F"/>
    <w:rsid w:val="000D0677"/>
    <w:rsid w:val="000D10E2"/>
    <w:rsid w:val="000D29AB"/>
    <w:rsid w:val="000D7857"/>
    <w:rsid w:val="000E1635"/>
    <w:rsid w:val="000E24F8"/>
    <w:rsid w:val="000E2BB6"/>
    <w:rsid w:val="000E31B9"/>
    <w:rsid w:val="000F2EFA"/>
    <w:rsid w:val="000F3885"/>
    <w:rsid w:val="000F4AB6"/>
    <w:rsid w:val="000F7484"/>
    <w:rsid w:val="000F7526"/>
    <w:rsid w:val="00100A2E"/>
    <w:rsid w:val="00102EB0"/>
    <w:rsid w:val="00102EF8"/>
    <w:rsid w:val="00103984"/>
    <w:rsid w:val="00104BE2"/>
    <w:rsid w:val="00111DF1"/>
    <w:rsid w:val="00115DE2"/>
    <w:rsid w:val="00115E1D"/>
    <w:rsid w:val="001172ED"/>
    <w:rsid w:val="00120551"/>
    <w:rsid w:val="001231CB"/>
    <w:rsid w:val="001261C7"/>
    <w:rsid w:val="001312EE"/>
    <w:rsid w:val="00131DE6"/>
    <w:rsid w:val="00133043"/>
    <w:rsid w:val="001331AA"/>
    <w:rsid w:val="0013447A"/>
    <w:rsid w:val="0013523E"/>
    <w:rsid w:val="00135BB1"/>
    <w:rsid w:val="00147FBF"/>
    <w:rsid w:val="0015015C"/>
    <w:rsid w:val="001504FD"/>
    <w:rsid w:val="00151907"/>
    <w:rsid w:val="001530D5"/>
    <w:rsid w:val="00153B4B"/>
    <w:rsid w:val="00154B02"/>
    <w:rsid w:val="00156E3F"/>
    <w:rsid w:val="00160228"/>
    <w:rsid w:val="00160340"/>
    <w:rsid w:val="001606FF"/>
    <w:rsid w:val="00160EEC"/>
    <w:rsid w:val="00161965"/>
    <w:rsid w:val="001629CB"/>
    <w:rsid w:val="00164271"/>
    <w:rsid w:val="00166108"/>
    <w:rsid w:val="001661B7"/>
    <w:rsid w:val="001676A9"/>
    <w:rsid w:val="00172773"/>
    <w:rsid w:val="001759C2"/>
    <w:rsid w:val="00177717"/>
    <w:rsid w:val="0018079D"/>
    <w:rsid w:val="001862B2"/>
    <w:rsid w:val="00187512"/>
    <w:rsid w:val="00192FA8"/>
    <w:rsid w:val="00193EBC"/>
    <w:rsid w:val="00194799"/>
    <w:rsid w:val="00194C48"/>
    <w:rsid w:val="0019565B"/>
    <w:rsid w:val="00196428"/>
    <w:rsid w:val="001A6AF7"/>
    <w:rsid w:val="001A6D2E"/>
    <w:rsid w:val="001A6DF9"/>
    <w:rsid w:val="001B1BB0"/>
    <w:rsid w:val="001B349E"/>
    <w:rsid w:val="001B6EFE"/>
    <w:rsid w:val="001B7985"/>
    <w:rsid w:val="001C68B3"/>
    <w:rsid w:val="001C7397"/>
    <w:rsid w:val="001E1C6A"/>
    <w:rsid w:val="001E3F6F"/>
    <w:rsid w:val="001E7806"/>
    <w:rsid w:val="001F2D30"/>
    <w:rsid w:val="001F3E19"/>
    <w:rsid w:val="001F770C"/>
    <w:rsid w:val="00204328"/>
    <w:rsid w:val="00204C0A"/>
    <w:rsid w:val="002078F3"/>
    <w:rsid w:val="0021359B"/>
    <w:rsid w:val="00221399"/>
    <w:rsid w:val="00225B51"/>
    <w:rsid w:val="0023070C"/>
    <w:rsid w:val="0023459E"/>
    <w:rsid w:val="00234A75"/>
    <w:rsid w:val="00234BBB"/>
    <w:rsid w:val="002379DC"/>
    <w:rsid w:val="00240647"/>
    <w:rsid w:val="00243CDD"/>
    <w:rsid w:val="002441DA"/>
    <w:rsid w:val="00244F3A"/>
    <w:rsid w:val="00251DBF"/>
    <w:rsid w:val="00253C9F"/>
    <w:rsid w:val="00255B38"/>
    <w:rsid w:val="00257A72"/>
    <w:rsid w:val="002638C7"/>
    <w:rsid w:val="00270D7D"/>
    <w:rsid w:val="00271BBE"/>
    <w:rsid w:val="00274163"/>
    <w:rsid w:val="0028111E"/>
    <w:rsid w:val="002811AD"/>
    <w:rsid w:val="00283528"/>
    <w:rsid w:val="00283BE5"/>
    <w:rsid w:val="002842FD"/>
    <w:rsid w:val="0028473A"/>
    <w:rsid w:val="00284EA9"/>
    <w:rsid w:val="00285F3A"/>
    <w:rsid w:val="00286AE0"/>
    <w:rsid w:val="002902A6"/>
    <w:rsid w:val="0029538D"/>
    <w:rsid w:val="00295BC9"/>
    <w:rsid w:val="00295BE7"/>
    <w:rsid w:val="00297922"/>
    <w:rsid w:val="002A0619"/>
    <w:rsid w:val="002A2729"/>
    <w:rsid w:val="002A524C"/>
    <w:rsid w:val="002A5435"/>
    <w:rsid w:val="002B10F4"/>
    <w:rsid w:val="002B623E"/>
    <w:rsid w:val="002B7919"/>
    <w:rsid w:val="002B7F24"/>
    <w:rsid w:val="002C5CF6"/>
    <w:rsid w:val="002D51E9"/>
    <w:rsid w:val="002E1F1D"/>
    <w:rsid w:val="002E26FA"/>
    <w:rsid w:val="002E3322"/>
    <w:rsid w:val="002E4A59"/>
    <w:rsid w:val="002E4DF6"/>
    <w:rsid w:val="002F1F59"/>
    <w:rsid w:val="002F33BC"/>
    <w:rsid w:val="002F36E5"/>
    <w:rsid w:val="002F4680"/>
    <w:rsid w:val="002F4F82"/>
    <w:rsid w:val="002F6276"/>
    <w:rsid w:val="0030405B"/>
    <w:rsid w:val="003068A9"/>
    <w:rsid w:val="003147DF"/>
    <w:rsid w:val="00320683"/>
    <w:rsid w:val="003220A8"/>
    <w:rsid w:val="00325143"/>
    <w:rsid w:val="00332ABE"/>
    <w:rsid w:val="00332E78"/>
    <w:rsid w:val="0033340E"/>
    <w:rsid w:val="0033448A"/>
    <w:rsid w:val="0034271D"/>
    <w:rsid w:val="003477D3"/>
    <w:rsid w:val="00350AA6"/>
    <w:rsid w:val="00352C5B"/>
    <w:rsid w:val="00355145"/>
    <w:rsid w:val="00361839"/>
    <w:rsid w:val="003629F3"/>
    <w:rsid w:val="00363303"/>
    <w:rsid w:val="00364C5C"/>
    <w:rsid w:val="00365017"/>
    <w:rsid w:val="00366D23"/>
    <w:rsid w:val="0036789F"/>
    <w:rsid w:val="00367EDF"/>
    <w:rsid w:val="00373EE6"/>
    <w:rsid w:val="003771F1"/>
    <w:rsid w:val="00382EC2"/>
    <w:rsid w:val="00383E95"/>
    <w:rsid w:val="0038559B"/>
    <w:rsid w:val="00385975"/>
    <w:rsid w:val="0039113A"/>
    <w:rsid w:val="003A2719"/>
    <w:rsid w:val="003A2F5B"/>
    <w:rsid w:val="003A393D"/>
    <w:rsid w:val="003B234E"/>
    <w:rsid w:val="003B3B69"/>
    <w:rsid w:val="003B5EED"/>
    <w:rsid w:val="003B615B"/>
    <w:rsid w:val="003C217B"/>
    <w:rsid w:val="003C3ACD"/>
    <w:rsid w:val="003D0710"/>
    <w:rsid w:val="003D3155"/>
    <w:rsid w:val="003D3D9E"/>
    <w:rsid w:val="003D6467"/>
    <w:rsid w:val="003D66BD"/>
    <w:rsid w:val="003D6823"/>
    <w:rsid w:val="003E5E23"/>
    <w:rsid w:val="003E7455"/>
    <w:rsid w:val="003F2A2E"/>
    <w:rsid w:val="003F3EF6"/>
    <w:rsid w:val="003F71AB"/>
    <w:rsid w:val="00400F76"/>
    <w:rsid w:val="004024A9"/>
    <w:rsid w:val="00407CA8"/>
    <w:rsid w:val="00410D04"/>
    <w:rsid w:val="00413875"/>
    <w:rsid w:val="00414AD9"/>
    <w:rsid w:val="00414EF7"/>
    <w:rsid w:val="00415883"/>
    <w:rsid w:val="00416EE3"/>
    <w:rsid w:val="0042053B"/>
    <w:rsid w:val="00421B4C"/>
    <w:rsid w:val="00423339"/>
    <w:rsid w:val="00425FBA"/>
    <w:rsid w:val="0043493E"/>
    <w:rsid w:val="00435006"/>
    <w:rsid w:val="0043762D"/>
    <w:rsid w:val="00440349"/>
    <w:rsid w:val="00441FBA"/>
    <w:rsid w:val="0044226C"/>
    <w:rsid w:val="00447C42"/>
    <w:rsid w:val="00450352"/>
    <w:rsid w:val="004523CA"/>
    <w:rsid w:val="00453076"/>
    <w:rsid w:val="004543BB"/>
    <w:rsid w:val="00455F2C"/>
    <w:rsid w:val="0045686F"/>
    <w:rsid w:val="00456E15"/>
    <w:rsid w:val="004607F3"/>
    <w:rsid w:val="00462F33"/>
    <w:rsid w:val="00464DEF"/>
    <w:rsid w:val="00465819"/>
    <w:rsid w:val="00465A67"/>
    <w:rsid w:val="0046691B"/>
    <w:rsid w:val="00471257"/>
    <w:rsid w:val="004759DC"/>
    <w:rsid w:val="0048363A"/>
    <w:rsid w:val="0048595D"/>
    <w:rsid w:val="00486C52"/>
    <w:rsid w:val="00491728"/>
    <w:rsid w:val="00491A0D"/>
    <w:rsid w:val="00494B71"/>
    <w:rsid w:val="00494EEF"/>
    <w:rsid w:val="00495BE2"/>
    <w:rsid w:val="0049644E"/>
    <w:rsid w:val="004A25C1"/>
    <w:rsid w:val="004A2AEA"/>
    <w:rsid w:val="004A482E"/>
    <w:rsid w:val="004A54B1"/>
    <w:rsid w:val="004A5EA6"/>
    <w:rsid w:val="004C21D3"/>
    <w:rsid w:val="004C51E5"/>
    <w:rsid w:val="004D0AB4"/>
    <w:rsid w:val="004D2A5E"/>
    <w:rsid w:val="004D4904"/>
    <w:rsid w:val="004D61CD"/>
    <w:rsid w:val="004E0EB4"/>
    <w:rsid w:val="004E1211"/>
    <w:rsid w:val="004E7946"/>
    <w:rsid w:val="004F3F7A"/>
    <w:rsid w:val="004F6DDE"/>
    <w:rsid w:val="004F768E"/>
    <w:rsid w:val="0050389D"/>
    <w:rsid w:val="00505C07"/>
    <w:rsid w:val="00507C06"/>
    <w:rsid w:val="0051522D"/>
    <w:rsid w:val="00524758"/>
    <w:rsid w:val="00524FA6"/>
    <w:rsid w:val="00526D82"/>
    <w:rsid w:val="00531498"/>
    <w:rsid w:val="00532890"/>
    <w:rsid w:val="005360A6"/>
    <w:rsid w:val="0054004B"/>
    <w:rsid w:val="00542E23"/>
    <w:rsid w:val="00542E3F"/>
    <w:rsid w:val="005443DC"/>
    <w:rsid w:val="00544E79"/>
    <w:rsid w:val="00551784"/>
    <w:rsid w:val="00554ECB"/>
    <w:rsid w:val="00560781"/>
    <w:rsid w:val="005624EB"/>
    <w:rsid w:val="0056641A"/>
    <w:rsid w:val="00567958"/>
    <w:rsid w:val="0057177D"/>
    <w:rsid w:val="00571E3E"/>
    <w:rsid w:val="00572772"/>
    <w:rsid w:val="005819C9"/>
    <w:rsid w:val="005822C9"/>
    <w:rsid w:val="00583834"/>
    <w:rsid w:val="00587760"/>
    <w:rsid w:val="00591C8B"/>
    <w:rsid w:val="00594B42"/>
    <w:rsid w:val="00595B65"/>
    <w:rsid w:val="00595CD2"/>
    <w:rsid w:val="00596E81"/>
    <w:rsid w:val="005A3C75"/>
    <w:rsid w:val="005A4584"/>
    <w:rsid w:val="005A571C"/>
    <w:rsid w:val="005A61C4"/>
    <w:rsid w:val="005A78E8"/>
    <w:rsid w:val="005B4B19"/>
    <w:rsid w:val="005B68D3"/>
    <w:rsid w:val="005B716C"/>
    <w:rsid w:val="005C2E35"/>
    <w:rsid w:val="005C31C2"/>
    <w:rsid w:val="005C4BCD"/>
    <w:rsid w:val="005C750A"/>
    <w:rsid w:val="005D0103"/>
    <w:rsid w:val="005D03A7"/>
    <w:rsid w:val="005D17DD"/>
    <w:rsid w:val="005D40FD"/>
    <w:rsid w:val="005D65BC"/>
    <w:rsid w:val="005E0A90"/>
    <w:rsid w:val="005E0EB8"/>
    <w:rsid w:val="005E0F2F"/>
    <w:rsid w:val="005E1091"/>
    <w:rsid w:val="005E267D"/>
    <w:rsid w:val="005E420E"/>
    <w:rsid w:val="005E5AEE"/>
    <w:rsid w:val="005E7E16"/>
    <w:rsid w:val="005F0FFD"/>
    <w:rsid w:val="005F15CF"/>
    <w:rsid w:val="005F771B"/>
    <w:rsid w:val="00604E9A"/>
    <w:rsid w:val="006100E6"/>
    <w:rsid w:val="0061026E"/>
    <w:rsid w:val="0061528C"/>
    <w:rsid w:val="00621CA4"/>
    <w:rsid w:val="00623226"/>
    <w:rsid w:val="006238CD"/>
    <w:rsid w:val="006239B9"/>
    <w:rsid w:val="006315FF"/>
    <w:rsid w:val="00634F56"/>
    <w:rsid w:val="00635E15"/>
    <w:rsid w:val="00636F7A"/>
    <w:rsid w:val="0064502A"/>
    <w:rsid w:val="00645900"/>
    <w:rsid w:val="006462CA"/>
    <w:rsid w:val="00647C7C"/>
    <w:rsid w:val="00651185"/>
    <w:rsid w:val="006514B7"/>
    <w:rsid w:val="00653064"/>
    <w:rsid w:val="00653302"/>
    <w:rsid w:val="00655ACE"/>
    <w:rsid w:val="0065648E"/>
    <w:rsid w:val="006608F1"/>
    <w:rsid w:val="00660E27"/>
    <w:rsid w:val="00661CDC"/>
    <w:rsid w:val="00661D1A"/>
    <w:rsid w:val="00662BAE"/>
    <w:rsid w:val="0066393E"/>
    <w:rsid w:val="00683CD2"/>
    <w:rsid w:val="00684FF2"/>
    <w:rsid w:val="006868F6"/>
    <w:rsid w:val="0068764E"/>
    <w:rsid w:val="00692656"/>
    <w:rsid w:val="00693E75"/>
    <w:rsid w:val="006960D7"/>
    <w:rsid w:val="00696BDB"/>
    <w:rsid w:val="006A43BE"/>
    <w:rsid w:val="006A5B8C"/>
    <w:rsid w:val="006A6080"/>
    <w:rsid w:val="006B2601"/>
    <w:rsid w:val="006B279B"/>
    <w:rsid w:val="006B5058"/>
    <w:rsid w:val="006B7FC5"/>
    <w:rsid w:val="006C16E7"/>
    <w:rsid w:val="006C29D4"/>
    <w:rsid w:val="006C7AC0"/>
    <w:rsid w:val="006D06A8"/>
    <w:rsid w:val="006D0A53"/>
    <w:rsid w:val="006D0FE2"/>
    <w:rsid w:val="006D415B"/>
    <w:rsid w:val="006D7A53"/>
    <w:rsid w:val="006E1515"/>
    <w:rsid w:val="006E287C"/>
    <w:rsid w:val="006F1E4A"/>
    <w:rsid w:val="006F2239"/>
    <w:rsid w:val="00700B1A"/>
    <w:rsid w:val="0070170C"/>
    <w:rsid w:val="00703451"/>
    <w:rsid w:val="00704422"/>
    <w:rsid w:val="0070612E"/>
    <w:rsid w:val="00712276"/>
    <w:rsid w:val="0071339B"/>
    <w:rsid w:val="00716EC7"/>
    <w:rsid w:val="00717DAD"/>
    <w:rsid w:val="007206F2"/>
    <w:rsid w:val="00722B1F"/>
    <w:rsid w:val="00722EE0"/>
    <w:rsid w:val="007256F7"/>
    <w:rsid w:val="00736003"/>
    <w:rsid w:val="007373E4"/>
    <w:rsid w:val="007427F4"/>
    <w:rsid w:val="0074342C"/>
    <w:rsid w:val="007535F0"/>
    <w:rsid w:val="00754D19"/>
    <w:rsid w:val="00763295"/>
    <w:rsid w:val="007652BF"/>
    <w:rsid w:val="00766C9F"/>
    <w:rsid w:val="007716E0"/>
    <w:rsid w:val="007729A5"/>
    <w:rsid w:val="00775289"/>
    <w:rsid w:val="00776F2A"/>
    <w:rsid w:val="007774B0"/>
    <w:rsid w:val="007800EE"/>
    <w:rsid w:val="00785829"/>
    <w:rsid w:val="007900CD"/>
    <w:rsid w:val="00790856"/>
    <w:rsid w:val="00790CA0"/>
    <w:rsid w:val="007A0FE3"/>
    <w:rsid w:val="007A23E8"/>
    <w:rsid w:val="007A319B"/>
    <w:rsid w:val="007A3DAC"/>
    <w:rsid w:val="007A6405"/>
    <w:rsid w:val="007B05D0"/>
    <w:rsid w:val="007B0D0D"/>
    <w:rsid w:val="007B2AE7"/>
    <w:rsid w:val="007B48F5"/>
    <w:rsid w:val="007B702E"/>
    <w:rsid w:val="007B77B7"/>
    <w:rsid w:val="007C117F"/>
    <w:rsid w:val="007C23DD"/>
    <w:rsid w:val="007C27D8"/>
    <w:rsid w:val="007C3A49"/>
    <w:rsid w:val="007C5522"/>
    <w:rsid w:val="007C5C8F"/>
    <w:rsid w:val="007C7EA2"/>
    <w:rsid w:val="007E0AA7"/>
    <w:rsid w:val="007E1286"/>
    <w:rsid w:val="007E1AA6"/>
    <w:rsid w:val="007E2779"/>
    <w:rsid w:val="007E7C03"/>
    <w:rsid w:val="007E7E97"/>
    <w:rsid w:val="007F3272"/>
    <w:rsid w:val="007F608D"/>
    <w:rsid w:val="007F60F3"/>
    <w:rsid w:val="00801ED1"/>
    <w:rsid w:val="008033FD"/>
    <w:rsid w:val="00807D8B"/>
    <w:rsid w:val="00821062"/>
    <w:rsid w:val="008227FD"/>
    <w:rsid w:val="00823D36"/>
    <w:rsid w:val="00825388"/>
    <w:rsid w:val="008262E9"/>
    <w:rsid w:val="0083441A"/>
    <w:rsid w:val="00837D6B"/>
    <w:rsid w:val="00840938"/>
    <w:rsid w:val="008435C7"/>
    <w:rsid w:val="008454C0"/>
    <w:rsid w:val="00846C78"/>
    <w:rsid w:val="008524FE"/>
    <w:rsid w:val="00852FDD"/>
    <w:rsid w:val="0085331E"/>
    <w:rsid w:val="00855D22"/>
    <w:rsid w:val="00857A4C"/>
    <w:rsid w:val="00861518"/>
    <w:rsid w:val="00865A50"/>
    <w:rsid w:val="00867A72"/>
    <w:rsid w:val="00872574"/>
    <w:rsid w:val="0087741A"/>
    <w:rsid w:val="00877906"/>
    <w:rsid w:val="00880F5E"/>
    <w:rsid w:val="00882FBD"/>
    <w:rsid w:val="008901D6"/>
    <w:rsid w:val="00891920"/>
    <w:rsid w:val="00893BEE"/>
    <w:rsid w:val="00893F96"/>
    <w:rsid w:val="00895556"/>
    <w:rsid w:val="00896638"/>
    <w:rsid w:val="008A135A"/>
    <w:rsid w:val="008A1965"/>
    <w:rsid w:val="008A37E8"/>
    <w:rsid w:val="008A383E"/>
    <w:rsid w:val="008A4A7B"/>
    <w:rsid w:val="008A6742"/>
    <w:rsid w:val="008A72A2"/>
    <w:rsid w:val="008B02D8"/>
    <w:rsid w:val="008B0917"/>
    <w:rsid w:val="008B097E"/>
    <w:rsid w:val="008B0B17"/>
    <w:rsid w:val="008B0F22"/>
    <w:rsid w:val="008B76BF"/>
    <w:rsid w:val="008C0388"/>
    <w:rsid w:val="008C557A"/>
    <w:rsid w:val="008C5731"/>
    <w:rsid w:val="008C7749"/>
    <w:rsid w:val="008D1A00"/>
    <w:rsid w:val="008D4904"/>
    <w:rsid w:val="008D5EC0"/>
    <w:rsid w:val="008D63D9"/>
    <w:rsid w:val="008D7449"/>
    <w:rsid w:val="008D7BEB"/>
    <w:rsid w:val="008E3255"/>
    <w:rsid w:val="008E53EE"/>
    <w:rsid w:val="008E61BB"/>
    <w:rsid w:val="008E7AFF"/>
    <w:rsid w:val="008E7C16"/>
    <w:rsid w:val="008F1E1B"/>
    <w:rsid w:val="008F4D06"/>
    <w:rsid w:val="008F7144"/>
    <w:rsid w:val="008F7A44"/>
    <w:rsid w:val="0090167C"/>
    <w:rsid w:val="00901A14"/>
    <w:rsid w:val="00901B31"/>
    <w:rsid w:val="00903BF8"/>
    <w:rsid w:val="009040E7"/>
    <w:rsid w:val="0090657C"/>
    <w:rsid w:val="00907138"/>
    <w:rsid w:val="0091180B"/>
    <w:rsid w:val="00911DCA"/>
    <w:rsid w:val="009135E9"/>
    <w:rsid w:val="00922210"/>
    <w:rsid w:val="00924366"/>
    <w:rsid w:val="0093098A"/>
    <w:rsid w:val="00931954"/>
    <w:rsid w:val="00933246"/>
    <w:rsid w:val="00935A2F"/>
    <w:rsid w:val="00942B89"/>
    <w:rsid w:val="0095063E"/>
    <w:rsid w:val="00953272"/>
    <w:rsid w:val="00955B79"/>
    <w:rsid w:val="00962D2F"/>
    <w:rsid w:val="00963A44"/>
    <w:rsid w:val="00965EC8"/>
    <w:rsid w:val="009668EF"/>
    <w:rsid w:val="00966A7C"/>
    <w:rsid w:val="00975D43"/>
    <w:rsid w:val="009763D4"/>
    <w:rsid w:val="00976A8E"/>
    <w:rsid w:val="00986F50"/>
    <w:rsid w:val="009878DA"/>
    <w:rsid w:val="00987900"/>
    <w:rsid w:val="0099063E"/>
    <w:rsid w:val="0099089E"/>
    <w:rsid w:val="00993F24"/>
    <w:rsid w:val="0099436D"/>
    <w:rsid w:val="00996449"/>
    <w:rsid w:val="009A0762"/>
    <w:rsid w:val="009A51DE"/>
    <w:rsid w:val="009A55C6"/>
    <w:rsid w:val="009A6565"/>
    <w:rsid w:val="009B074A"/>
    <w:rsid w:val="009B0B3A"/>
    <w:rsid w:val="009B11B0"/>
    <w:rsid w:val="009B2F21"/>
    <w:rsid w:val="009C21B6"/>
    <w:rsid w:val="009C4454"/>
    <w:rsid w:val="009C6C1F"/>
    <w:rsid w:val="009D1A54"/>
    <w:rsid w:val="009D711C"/>
    <w:rsid w:val="009D76D0"/>
    <w:rsid w:val="009D77EF"/>
    <w:rsid w:val="009F3B14"/>
    <w:rsid w:val="00A0067B"/>
    <w:rsid w:val="00A03F96"/>
    <w:rsid w:val="00A05A5D"/>
    <w:rsid w:val="00A1114C"/>
    <w:rsid w:val="00A114CE"/>
    <w:rsid w:val="00A11F68"/>
    <w:rsid w:val="00A211F6"/>
    <w:rsid w:val="00A21F4C"/>
    <w:rsid w:val="00A324AE"/>
    <w:rsid w:val="00A347EC"/>
    <w:rsid w:val="00A374E2"/>
    <w:rsid w:val="00A37CE4"/>
    <w:rsid w:val="00A4273D"/>
    <w:rsid w:val="00A51D16"/>
    <w:rsid w:val="00A523EA"/>
    <w:rsid w:val="00A53020"/>
    <w:rsid w:val="00A53E23"/>
    <w:rsid w:val="00A54813"/>
    <w:rsid w:val="00A616C9"/>
    <w:rsid w:val="00A628F7"/>
    <w:rsid w:val="00A64EB7"/>
    <w:rsid w:val="00A653A0"/>
    <w:rsid w:val="00A6757D"/>
    <w:rsid w:val="00A76FD1"/>
    <w:rsid w:val="00A77DE2"/>
    <w:rsid w:val="00A80445"/>
    <w:rsid w:val="00A85C8D"/>
    <w:rsid w:val="00A9233B"/>
    <w:rsid w:val="00A93B07"/>
    <w:rsid w:val="00AA0438"/>
    <w:rsid w:val="00AA297B"/>
    <w:rsid w:val="00AA59B8"/>
    <w:rsid w:val="00AB02CE"/>
    <w:rsid w:val="00AB0A16"/>
    <w:rsid w:val="00AB30A3"/>
    <w:rsid w:val="00AB41EB"/>
    <w:rsid w:val="00AB42DD"/>
    <w:rsid w:val="00AB65BB"/>
    <w:rsid w:val="00AC0E55"/>
    <w:rsid w:val="00AC774F"/>
    <w:rsid w:val="00AD0E7A"/>
    <w:rsid w:val="00AD2051"/>
    <w:rsid w:val="00AE4CE0"/>
    <w:rsid w:val="00AE78B5"/>
    <w:rsid w:val="00AE7C9C"/>
    <w:rsid w:val="00AF3C93"/>
    <w:rsid w:val="00AF4299"/>
    <w:rsid w:val="00AF5150"/>
    <w:rsid w:val="00AF5F53"/>
    <w:rsid w:val="00B0252B"/>
    <w:rsid w:val="00B10A0B"/>
    <w:rsid w:val="00B12E5B"/>
    <w:rsid w:val="00B15D8B"/>
    <w:rsid w:val="00B244DB"/>
    <w:rsid w:val="00B24BF3"/>
    <w:rsid w:val="00B26A49"/>
    <w:rsid w:val="00B278C4"/>
    <w:rsid w:val="00B27B71"/>
    <w:rsid w:val="00B302DD"/>
    <w:rsid w:val="00B309F6"/>
    <w:rsid w:val="00B30A65"/>
    <w:rsid w:val="00B311A4"/>
    <w:rsid w:val="00B3135E"/>
    <w:rsid w:val="00B339C6"/>
    <w:rsid w:val="00B35D74"/>
    <w:rsid w:val="00B379DC"/>
    <w:rsid w:val="00B37FB4"/>
    <w:rsid w:val="00B421EF"/>
    <w:rsid w:val="00B43540"/>
    <w:rsid w:val="00B43E9E"/>
    <w:rsid w:val="00B453EA"/>
    <w:rsid w:val="00B45941"/>
    <w:rsid w:val="00B469B8"/>
    <w:rsid w:val="00B51E60"/>
    <w:rsid w:val="00B571FC"/>
    <w:rsid w:val="00B605F3"/>
    <w:rsid w:val="00B62893"/>
    <w:rsid w:val="00B65E4B"/>
    <w:rsid w:val="00B71C3F"/>
    <w:rsid w:val="00B71DE0"/>
    <w:rsid w:val="00B77CD4"/>
    <w:rsid w:val="00B8167E"/>
    <w:rsid w:val="00B82FEE"/>
    <w:rsid w:val="00B8397D"/>
    <w:rsid w:val="00B86254"/>
    <w:rsid w:val="00B9104B"/>
    <w:rsid w:val="00B91461"/>
    <w:rsid w:val="00B91F42"/>
    <w:rsid w:val="00B94335"/>
    <w:rsid w:val="00B9558C"/>
    <w:rsid w:val="00B96757"/>
    <w:rsid w:val="00B97317"/>
    <w:rsid w:val="00BA2633"/>
    <w:rsid w:val="00BA38D2"/>
    <w:rsid w:val="00BA7D53"/>
    <w:rsid w:val="00BB0937"/>
    <w:rsid w:val="00BB17DC"/>
    <w:rsid w:val="00BB2EF4"/>
    <w:rsid w:val="00BB6112"/>
    <w:rsid w:val="00BC1A5A"/>
    <w:rsid w:val="00BD05C8"/>
    <w:rsid w:val="00BD207F"/>
    <w:rsid w:val="00BD2FAF"/>
    <w:rsid w:val="00BE3323"/>
    <w:rsid w:val="00BE3868"/>
    <w:rsid w:val="00BE48EC"/>
    <w:rsid w:val="00BE5F3A"/>
    <w:rsid w:val="00BE61A3"/>
    <w:rsid w:val="00BE6A55"/>
    <w:rsid w:val="00BF0D80"/>
    <w:rsid w:val="00BF1F62"/>
    <w:rsid w:val="00BF32E5"/>
    <w:rsid w:val="00BF6E71"/>
    <w:rsid w:val="00BF76D8"/>
    <w:rsid w:val="00C00F19"/>
    <w:rsid w:val="00C00F45"/>
    <w:rsid w:val="00C01DB4"/>
    <w:rsid w:val="00C02379"/>
    <w:rsid w:val="00C02D78"/>
    <w:rsid w:val="00C048BA"/>
    <w:rsid w:val="00C116C5"/>
    <w:rsid w:val="00C11D71"/>
    <w:rsid w:val="00C12E62"/>
    <w:rsid w:val="00C14F2A"/>
    <w:rsid w:val="00C174EC"/>
    <w:rsid w:val="00C21D9A"/>
    <w:rsid w:val="00C2309E"/>
    <w:rsid w:val="00C25A85"/>
    <w:rsid w:val="00C25B8E"/>
    <w:rsid w:val="00C26D3B"/>
    <w:rsid w:val="00C27873"/>
    <w:rsid w:val="00C30280"/>
    <w:rsid w:val="00C31473"/>
    <w:rsid w:val="00C31DB9"/>
    <w:rsid w:val="00C339DF"/>
    <w:rsid w:val="00C36F1A"/>
    <w:rsid w:val="00C401D9"/>
    <w:rsid w:val="00C434FB"/>
    <w:rsid w:val="00C43D91"/>
    <w:rsid w:val="00C5286D"/>
    <w:rsid w:val="00C54AD2"/>
    <w:rsid w:val="00C564E2"/>
    <w:rsid w:val="00C5669B"/>
    <w:rsid w:val="00C569B5"/>
    <w:rsid w:val="00C60089"/>
    <w:rsid w:val="00C60E7F"/>
    <w:rsid w:val="00C6259E"/>
    <w:rsid w:val="00C634A8"/>
    <w:rsid w:val="00C63803"/>
    <w:rsid w:val="00C66DC0"/>
    <w:rsid w:val="00C703C4"/>
    <w:rsid w:val="00C71A81"/>
    <w:rsid w:val="00C72521"/>
    <w:rsid w:val="00C7320A"/>
    <w:rsid w:val="00C772FB"/>
    <w:rsid w:val="00C80C24"/>
    <w:rsid w:val="00C845BE"/>
    <w:rsid w:val="00C86718"/>
    <w:rsid w:val="00C87BF7"/>
    <w:rsid w:val="00C9313C"/>
    <w:rsid w:val="00C93F45"/>
    <w:rsid w:val="00C96928"/>
    <w:rsid w:val="00C9736C"/>
    <w:rsid w:val="00CA0336"/>
    <w:rsid w:val="00CA2191"/>
    <w:rsid w:val="00CB00B7"/>
    <w:rsid w:val="00CB2B29"/>
    <w:rsid w:val="00CB2DE9"/>
    <w:rsid w:val="00CB3974"/>
    <w:rsid w:val="00CB7391"/>
    <w:rsid w:val="00CB77FE"/>
    <w:rsid w:val="00CC1187"/>
    <w:rsid w:val="00CC1E96"/>
    <w:rsid w:val="00CC31FB"/>
    <w:rsid w:val="00CC3537"/>
    <w:rsid w:val="00CD1713"/>
    <w:rsid w:val="00CD2F47"/>
    <w:rsid w:val="00CD3F01"/>
    <w:rsid w:val="00CD5A67"/>
    <w:rsid w:val="00CD7536"/>
    <w:rsid w:val="00CE0DE5"/>
    <w:rsid w:val="00CE0FD1"/>
    <w:rsid w:val="00CE1B8B"/>
    <w:rsid w:val="00CE5C07"/>
    <w:rsid w:val="00CE6CFC"/>
    <w:rsid w:val="00CE7C5C"/>
    <w:rsid w:val="00CF09DC"/>
    <w:rsid w:val="00CF1997"/>
    <w:rsid w:val="00CF2DB9"/>
    <w:rsid w:val="00CF5190"/>
    <w:rsid w:val="00D00E62"/>
    <w:rsid w:val="00D017D1"/>
    <w:rsid w:val="00D023C7"/>
    <w:rsid w:val="00D03B27"/>
    <w:rsid w:val="00D07298"/>
    <w:rsid w:val="00D107E9"/>
    <w:rsid w:val="00D20A60"/>
    <w:rsid w:val="00D215E1"/>
    <w:rsid w:val="00D22579"/>
    <w:rsid w:val="00D22A3D"/>
    <w:rsid w:val="00D2462D"/>
    <w:rsid w:val="00D34C62"/>
    <w:rsid w:val="00D35A3B"/>
    <w:rsid w:val="00D35EA8"/>
    <w:rsid w:val="00D37E66"/>
    <w:rsid w:val="00D402D7"/>
    <w:rsid w:val="00D41C01"/>
    <w:rsid w:val="00D45C85"/>
    <w:rsid w:val="00D50A38"/>
    <w:rsid w:val="00D520F4"/>
    <w:rsid w:val="00D5393D"/>
    <w:rsid w:val="00D558D5"/>
    <w:rsid w:val="00D63A3C"/>
    <w:rsid w:val="00D63F4C"/>
    <w:rsid w:val="00D66843"/>
    <w:rsid w:val="00D6698E"/>
    <w:rsid w:val="00D70AE0"/>
    <w:rsid w:val="00D723EE"/>
    <w:rsid w:val="00D734D0"/>
    <w:rsid w:val="00D75FA0"/>
    <w:rsid w:val="00D76698"/>
    <w:rsid w:val="00D77F77"/>
    <w:rsid w:val="00D91CF0"/>
    <w:rsid w:val="00D956CE"/>
    <w:rsid w:val="00D97E5A"/>
    <w:rsid w:val="00DA2077"/>
    <w:rsid w:val="00DA218A"/>
    <w:rsid w:val="00DA2309"/>
    <w:rsid w:val="00DA633A"/>
    <w:rsid w:val="00DA6537"/>
    <w:rsid w:val="00DB4D93"/>
    <w:rsid w:val="00DC13D5"/>
    <w:rsid w:val="00DC59EF"/>
    <w:rsid w:val="00DD24C7"/>
    <w:rsid w:val="00DD4CB9"/>
    <w:rsid w:val="00DE146B"/>
    <w:rsid w:val="00DE2BC1"/>
    <w:rsid w:val="00DE4E39"/>
    <w:rsid w:val="00DF118E"/>
    <w:rsid w:val="00DF228A"/>
    <w:rsid w:val="00DF51CC"/>
    <w:rsid w:val="00E04D08"/>
    <w:rsid w:val="00E05F4D"/>
    <w:rsid w:val="00E06B31"/>
    <w:rsid w:val="00E118B2"/>
    <w:rsid w:val="00E11F2F"/>
    <w:rsid w:val="00E14D8A"/>
    <w:rsid w:val="00E15905"/>
    <w:rsid w:val="00E17516"/>
    <w:rsid w:val="00E17C80"/>
    <w:rsid w:val="00E17FBC"/>
    <w:rsid w:val="00E24363"/>
    <w:rsid w:val="00E2475E"/>
    <w:rsid w:val="00E27267"/>
    <w:rsid w:val="00E27E3C"/>
    <w:rsid w:val="00E3025C"/>
    <w:rsid w:val="00E32673"/>
    <w:rsid w:val="00E32727"/>
    <w:rsid w:val="00E32CC6"/>
    <w:rsid w:val="00E36F14"/>
    <w:rsid w:val="00E3722E"/>
    <w:rsid w:val="00E40B8D"/>
    <w:rsid w:val="00E41B9D"/>
    <w:rsid w:val="00E43399"/>
    <w:rsid w:val="00E43F6D"/>
    <w:rsid w:val="00E44F15"/>
    <w:rsid w:val="00E4638D"/>
    <w:rsid w:val="00E463CD"/>
    <w:rsid w:val="00E47B06"/>
    <w:rsid w:val="00E566E8"/>
    <w:rsid w:val="00E56DD3"/>
    <w:rsid w:val="00E57F39"/>
    <w:rsid w:val="00E6241C"/>
    <w:rsid w:val="00E6277F"/>
    <w:rsid w:val="00E62A7B"/>
    <w:rsid w:val="00E6379A"/>
    <w:rsid w:val="00E661A5"/>
    <w:rsid w:val="00E70E38"/>
    <w:rsid w:val="00E71BBA"/>
    <w:rsid w:val="00E73B0E"/>
    <w:rsid w:val="00E742C1"/>
    <w:rsid w:val="00E83799"/>
    <w:rsid w:val="00E8386F"/>
    <w:rsid w:val="00E841EF"/>
    <w:rsid w:val="00E929F8"/>
    <w:rsid w:val="00E96100"/>
    <w:rsid w:val="00E96DAF"/>
    <w:rsid w:val="00E976F8"/>
    <w:rsid w:val="00EA044D"/>
    <w:rsid w:val="00EA3054"/>
    <w:rsid w:val="00EA4AFC"/>
    <w:rsid w:val="00EB17AA"/>
    <w:rsid w:val="00EB31EB"/>
    <w:rsid w:val="00EB65A3"/>
    <w:rsid w:val="00EC12F3"/>
    <w:rsid w:val="00EC33AC"/>
    <w:rsid w:val="00EC6236"/>
    <w:rsid w:val="00ED0CFB"/>
    <w:rsid w:val="00ED1607"/>
    <w:rsid w:val="00ED4384"/>
    <w:rsid w:val="00ED50E5"/>
    <w:rsid w:val="00EE0726"/>
    <w:rsid w:val="00EE6157"/>
    <w:rsid w:val="00EE620B"/>
    <w:rsid w:val="00EE6FB5"/>
    <w:rsid w:val="00EE7814"/>
    <w:rsid w:val="00EF08ED"/>
    <w:rsid w:val="00EF41E5"/>
    <w:rsid w:val="00EF5878"/>
    <w:rsid w:val="00F00809"/>
    <w:rsid w:val="00F00D6A"/>
    <w:rsid w:val="00F01B94"/>
    <w:rsid w:val="00F044B1"/>
    <w:rsid w:val="00F05DBF"/>
    <w:rsid w:val="00F05DE7"/>
    <w:rsid w:val="00F05E14"/>
    <w:rsid w:val="00F07177"/>
    <w:rsid w:val="00F07EDD"/>
    <w:rsid w:val="00F116E0"/>
    <w:rsid w:val="00F154FB"/>
    <w:rsid w:val="00F17E8A"/>
    <w:rsid w:val="00F249E2"/>
    <w:rsid w:val="00F331EF"/>
    <w:rsid w:val="00F33A6C"/>
    <w:rsid w:val="00F35180"/>
    <w:rsid w:val="00F37D2E"/>
    <w:rsid w:val="00F412DE"/>
    <w:rsid w:val="00F41FB0"/>
    <w:rsid w:val="00F47381"/>
    <w:rsid w:val="00F47395"/>
    <w:rsid w:val="00F47561"/>
    <w:rsid w:val="00F531C4"/>
    <w:rsid w:val="00F54C3C"/>
    <w:rsid w:val="00F570E4"/>
    <w:rsid w:val="00F5729B"/>
    <w:rsid w:val="00F60053"/>
    <w:rsid w:val="00F619F7"/>
    <w:rsid w:val="00F62818"/>
    <w:rsid w:val="00F6354D"/>
    <w:rsid w:val="00F7138E"/>
    <w:rsid w:val="00F71821"/>
    <w:rsid w:val="00F71A8E"/>
    <w:rsid w:val="00F72970"/>
    <w:rsid w:val="00F73024"/>
    <w:rsid w:val="00F74F86"/>
    <w:rsid w:val="00F75453"/>
    <w:rsid w:val="00F806E7"/>
    <w:rsid w:val="00F908BE"/>
    <w:rsid w:val="00F9157C"/>
    <w:rsid w:val="00FA0B24"/>
    <w:rsid w:val="00FA0E08"/>
    <w:rsid w:val="00FB32E3"/>
    <w:rsid w:val="00FB417E"/>
    <w:rsid w:val="00FB6DC5"/>
    <w:rsid w:val="00FB74E0"/>
    <w:rsid w:val="00FC1321"/>
    <w:rsid w:val="00FC1F8E"/>
    <w:rsid w:val="00FC366B"/>
    <w:rsid w:val="00FD6403"/>
    <w:rsid w:val="00FD704B"/>
    <w:rsid w:val="00FE36D4"/>
    <w:rsid w:val="00FE6E15"/>
    <w:rsid w:val="00FF27C6"/>
    <w:rsid w:val="00FF2980"/>
    <w:rsid w:val="00FF3011"/>
    <w:rsid w:val="00FF5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091039"/>
  <w15:docId w15:val="{F46E6EBA-36BE-4699-B084-9A89E7E0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D5EC0"/>
    <w:pPr>
      <w:overflowPunct w:val="0"/>
      <w:autoSpaceDE w:val="0"/>
      <w:autoSpaceDN w:val="0"/>
      <w:adjustRightInd w:val="0"/>
      <w:jc w:val="both"/>
      <w:textAlignment w:val="baseline"/>
    </w:pPr>
    <w:rPr>
      <w:rFonts w:ascii="Arial" w:eastAsia="Times New Roman" w:hAnsi="Arial"/>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8D5EC0"/>
    <w:rPr>
      <w:rFonts w:cs="Times New Roman"/>
      <w:color w:val="0000FF"/>
      <w:u w:val="single"/>
    </w:rPr>
  </w:style>
  <w:style w:type="paragraph" w:styleId="Textbubliny">
    <w:name w:val="Balloon Text"/>
    <w:basedOn w:val="Normln"/>
    <w:link w:val="TextbublinyChar"/>
    <w:uiPriority w:val="99"/>
    <w:semiHidden/>
    <w:rsid w:val="008D5EC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D5EC0"/>
    <w:rPr>
      <w:rFonts w:ascii="Tahoma" w:hAnsi="Tahoma" w:cs="Tahoma"/>
      <w:sz w:val="16"/>
      <w:szCs w:val="16"/>
      <w:lang w:eastAsia="cs-CZ"/>
    </w:rPr>
  </w:style>
  <w:style w:type="paragraph" w:styleId="Zhlav">
    <w:name w:val="header"/>
    <w:basedOn w:val="Normln"/>
    <w:link w:val="ZhlavChar"/>
    <w:uiPriority w:val="99"/>
    <w:rsid w:val="005E267D"/>
    <w:pPr>
      <w:tabs>
        <w:tab w:val="center" w:pos="4536"/>
        <w:tab w:val="right" w:pos="9072"/>
      </w:tabs>
    </w:pPr>
  </w:style>
  <w:style w:type="character" w:customStyle="1" w:styleId="ZhlavChar">
    <w:name w:val="Záhlaví Char"/>
    <w:basedOn w:val="Standardnpsmoodstavce"/>
    <w:link w:val="Zhlav"/>
    <w:uiPriority w:val="99"/>
    <w:locked/>
    <w:rsid w:val="005E267D"/>
    <w:rPr>
      <w:rFonts w:ascii="Arial" w:hAnsi="Arial" w:cs="Times New Roman"/>
      <w:sz w:val="20"/>
      <w:szCs w:val="20"/>
      <w:lang w:eastAsia="cs-CZ"/>
    </w:rPr>
  </w:style>
  <w:style w:type="paragraph" w:styleId="Zpat">
    <w:name w:val="footer"/>
    <w:basedOn w:val="Normln"/>
    <w:link w:val="ZpatChar"/>
    <w:uiPriority w:val="99"/>
    <w:rsid w:val="005E267D"/>
    <w:pPr>
      <w:tabs>
        <w:tab w:val="center" w:pos="4536"/>
        <w:tab w:val="right" w:pos="9072"/>
      </w:tabs>
    </w:pPr>
  </w:style>
  <w:style w:type="character" w:customStyle="1" w:styleId="ZpatChar">
    <w:name w:val="Zápatí Char"/>
    <w:basedOn w:val="Standardnpsmoodstavce"/>
    <w:link w:val="Zpat"/>
    <w:uiPriority w:val="99"/>
    <w:locked/>
    <w:rsid w:val="005E267D"/>
    <w:rPr>
      <w:rFonts w:ascii="Arial" w:hAnsi="Arial" w:cs="Times New Roman"/>
      <w:sz w:val="20"/>
      <w:szCs w:val="20"/>
      <w:lang w:eastAsia="cs-CZ"/>
    </w:rPr>
  </w:style>
  <w:style w:type="paragraph" w:customStyle="1" w:styleId="ListParagraph1">
    <w:name w:val="List Paragraph1"/>
    <w:basedOn w:val="Normln"/>
    <w:uiPriority w:val="99"/>
    <w:rsid w:val="005E267D"/>
    <w:pPr>
      <w:overflowPunct/>
      <w:autoSpaceDE/>
      <w:autoSpaceDN/>
      <w:adjustRightInd/>
      <w:spacing w:after="200" w:line="276" w:lineRule="auto"/>
      <w:ind w:left="720"/>
      <w:contextualSpacing/>
      <w:jc w:val="left"/>
      <w:textAlignment w:val="auto"/>
    </w:pPr>
    <w:rPr>
      <w:rFonts w:ascii="Calibri" w:hAnsi="Calibri"/>
      <w:sz w:val="22"/>
      <w:szCs w:val="22"/>
      <w:lang w:eastAsia="en-US"/>
    </w:rPr>
  </w:style>
  <w:style w:type="character" w:styleId="Odkaznakoment">
    <w:name w:val="annotation reference"/>
    <w:basedOn w:val="Standardnpsmoodstavce"/>
    <w:uiPriority w:val="99"/>
    <w:semiHidden/>
    <w:rsid w:val="00415883"/>
    <w:rPr>
      <w:rFonts w:cs="Times New Roman"/>
      <w:sz w:val="16"/>
      <w:szCs w:val="16"/>
    </w:rPr>
  </w:style>
  <w:style w:type="paragraph" w:styleId="Textkomente">
    <w:name w:val="annotation text"/>
    <w:basedOn w:val="Normln"/>
    <w:link w:val="TextkomenteChar"/>
    <w:uiPriority w:val="99"/>
    <w:semiHidden/>
    <w:rsid w:val="00415883"/>
    <w:rPr>
      <w:sz w:val="20"/>
    </w:rPr>
  </w:style>
  <w:style w:type="character" w:customStyle="1" w:styleId="TextkomenteChar">
    <w:name w:val="Text komentáře Char"/>
    <w:basedOn w:val="Standardnpsmoodstavce"/>
    <w:link w:val="Textkomente"/>
    <w:uiPriority w:val="99"/>
    <w:semiHidden/>
    <w:locked/>
    <w:rsid w:val="0041588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415883"/>
    <w:rPr>
      <w:b/>
      <w:bCs/>
    </w:rPr>
  </w:style>
  <w:style w:type="character" w:customStyle="1" w:styleId="PedmtkomenteChar">
    <w:name w:val="Předmět komentáře Char"/>
    <w:basedOn w:val="TextkomenteChar"/>
    <w:link w:val="Pedmtkomente"/>
    <w:uiPriority w:val="99"/>
    <w:semiHidden/>
    <w:locked/>
    <w:rsid w:val="00415883"/>
    <w:rPr>
      <w:rFonts w:ascii="Arial" w:hAnsi="Arial" w:cs="Times New Roman"/>
      <w:b/>
      <w:bCs/>
      <w:sz w:val="20"/>
      <w:szCs w:val="20"/>
      <w:lang w:eastAsia="cs-CZ"/>
    </w:rPr>
  </w:style>
  <w:style w:type="paragraph" w:styleId="Normlnweb">
    <w:name w:val="Normal (Web)"/>
    <w:basedOn w:val="Normln"/>
    <w:uiPriority w:val="99"/>
    <w:rsid w:val="00CF5190"/>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character" w:styleId="Sledovanodkaz">
    <w:name w:val="FollowedHyperlink"/>
    <w:basedOn w:val="Standardnpsmoodstavce"/>
    <w:uiPriority w:val="99"/>
    <w:semiHidden/>
    <w:rsid w:val="00C703C4"/>
    <w:rPr>
      <w:rFonts w:cs="Times New Roman"/>
      <w:color w:val="800080"/>
      <w:u w:val="single"/>
    </w:rPr>
  </w:style>
  <w:style w:type="character" w:customStyle="1" w:styleId="skypepnhprintcontainer1394878734">
    <w:name w:val="skype_pnh_print_container_1394878734"/>
    <w:basedOn w:val="Standardnpsmoodstavce"/>
    <w:uiPriority w:val="99"/>
    <w:rsid w:val="007800EE"/>
    <w:rPr>
      <w:rFonts w:cs="Times New Roman"/>
    </w:rPr>
  </w:style>
  <w:style w:type="character" w:customStyle="1" w:styleId="skypepnhcontainer">
    <w:name w:val="skype_pnh_container"/>
    <w:basedOn w:val="Standardnpsmoodstavce"/>
    <w:uiPriority w:val="99"/>
    <w:rsid w:val="007800EE"/>
    <w:rPr>
      <w:rFonts w:cs="Times New Roman"/>
    </w:rPr>
  </w:style>
  <w:style w:type="character" w:customStyle="1" w:styleId="skypepnhmark">
    <w:name w:val="skype_pnh_mark"/>
    <w:basedOn w:val="Standardnpsmoodstavce"/>
    <w:uiPriority w:val="99"/>
    <w:rsid w:val="007800EE"/>
    <w:rPr>
      <w:rFonts w:cs="Times New Roman"/>
    </w:rPr>
  </w:style>
  <w:style w:type="character" w:customStyle="1" w:styleId="skypepnhtextspan">
    <w:name w:val="skype_pnh_text_span"/>
    <w:basedOn w:val="Standardnpsmoodstavce"/>
    <w:uiPriority w:val="99"/>
    <w:rsid w:val="007800EE"/>
    <w:rPr>
      <w:rFonts w:cs="Times New Roman"/>
    </w:rPr>
  </w:style>
  <w:style w:type="character" w:customStyle="1" w:styleId="skypepnhfreetextspan">
    <w:name w:val="skype_pnh_free_text_span"/>
    <w:basedOn w:val="Standardnpsmoodstavce"/>
    <w:uiPriority w:val="99"/>
    <w:rsid w:val="007800EE"/>
    <w:rPr>
      <w:rFonts w:cs="Times New Roman"/>
    </w:rPr>
  </w:style>
  <w:style w:type="paragraph" w:styleId="Odstavecseseznamem">
    <w:name w:val="List Paragraph"/>
    <w:basedOn w:val="Normln"/>
    <w:uiPriority w:val="34"/>
    <w:qFormat/>
    <w:rsid w:val="00591C8B"/>
    <w:pPr>
      <w:ind w:left="720"/>
      <w:contextualSpacing/>
    </w:pPr>
  </w:style>
  <w:style w:type="character" w:customStyle="1" w:styleId="skypepnhprintcontainer1394897301">
    <w:name w:val="skype_pnh_print_container_1394897301"/>
    <w:basedOn w:val="Standardnpsmoodstavce"/>
    <w:uiPriority w:val="99"/>
    <w:rsid w:val="00591C8B"/>
    <w:rPr>
      <w:rFonts w:cs="Times New Roman"/>
    </w:rPr>
  </w:style>
  <w:style w:type="paragraph" w:customStyle="1" w:styleId="Default">
    <w:name w:val="Default"/>
    <w:uiPriority w:val="99"/>
    <w:rsid w:val="00591C8B"/>
    <w:pPr>
      <w:autoSpaceDE w:val="0"/>
      <w:autoSpaceDN w:val="0"/>
      <w:adjustRightInd w:val="0"/>
    </w:pPr>
    <w:rPr>
      <w:rFonts w:ascii="Arial" w:hAnsi="Arial" w:cs="Arial"/>
      <w:color w:val="000000"/>
      <w:sz w:val="24"/>
      <w:szCs w:val="24"/>
      <w:lang w:eastAsia="en-US"/>
    </w:rPr>
  </w:style>
  <w:style w:type="paragraph" w:customStyle="1" w:styleId="Standard">
    <w:name w:val="Standard"/>
    <w:rsid w:val="003A393D"/>
    <w:pPr>
      <w:suppressAutoHyphens/>
      <w:autoSpaceDN w:val="0"/>
      <w:jc w:val="both"/>
      <w:textAlignment w:val="baseline"/>
    </w:pPr>
    <w:rPr>
      <w:rFonts w:ascii="Arial" w:eastAsia="Times New Roman" w:hAnsi="Arial" w:cs="Arial Unicode MS"/>
      <w:kern w:val="3"/>
      <w:sz w:val="18"/>
      <w:szCs w:val="20"/>
      <w:lang w:eastAsia="zh-CN" w:bidi="hi-IN"/>
    </w:rPr>
  </w:style>
  <w:style w:type="paragraph" w:styleId="Revize">
    <w:name w:val="Revision"/>
    <w:hidden/>
    <w:uiPriority w:val="99"/>
    <w:semiHidden/>
    <w:rsid w:val="00423339"/>
    <w:rPr>
      <w:rFonts w:ascii="Arial" w:eastAsia="Times New Roman"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6625">
      <w:bodyDiv w:val="1"/>
      <w:marLeft w:val="0"/>
      <w:marRight w:val="0"/>
      <w:marTop w:val="0"/>
      <w:marBottom w:val="0"/>
      <w:divBdr>
        <w:top w:val="none" w:sz="0" w:space="0" w:color="auto"/>
        <w:left w:val="none" w:sz="0" w:space="0" w:color="auto"/>
        <w:bottom w:val="none" w:sz="0" w:space="0" w:color="auto"/>
        <w:right w:val="none" w:sz="0" w:space="0" w:color="auto"/>
      </w:divBdr>
    </w:div>
    <w:div w:id="259871852">
      <w:bodyDiv w:val="1"/>
      <w:marLeft w:val="0"/>
      <w:marRight w:val="0"/>
      <w:marTop w:val="0"/>
      <w:marBottom w:val="0"/>
      <w:divBdr>
        <w:top w:val="none" w:sz="0" w:space="0" w:color="auto"/>
        <w:left w:val="none" w:sz="0" w:space="0" w:color="auto"/>
        <w:bottom w:val="none" w:sz="0" w:space="0" w:color="auto"/>
        <w:right w:val="none" w:sz="0" w:space="0" w:color="auto"/>
      </w:divBdr>
    </w:div>
    <w:div w:id="293407091">
      <w:bodyDiv w:val="1"/>
      <w:marLeft w:val="0"/>
      <w:marRight w:val="0"/>
      <w:marTop w:val="0"/>
      <w:marBottom w:val="0"/>
      <w:divBdr>
        <w:top w:val="none" w:sz="0" w:space="0" w:color="auto"/>
        <w:left w:val="none" w:sz="0" w:space="0" w:color="auto"/>
        <w:bottom w:val="none" w:sz="0" w:space="0" w:color="auto"/>
        <w:right w:val="none" w:sz="0" w:space="0" w:color="auto"/>
      </w:divBdr>
    </w:div>
    <w:div w:id="517037946">
      <w:bodyDiv w:val="1"/>
      <w:marLeft w:val="0"/>
      <w:marRight w:val="0"/>
      <w:marTop w:val="0"/>
      <w:marBottom w:val="0"/>
      <w:divBdr>
        <w:top w:val="none" w:sz="0" w:space="0" w:color="auto"/>
        <w:left w:val="none" w:sz="0" w:space="0" w:color="auto"/>
        <w:bottom w:val="none" w:sz="0" w:space="0" w:color="auto"/>
        <w:right w:val="none" w:sz="0" w:space="0" w:color="auto"/>
      </w:divBdr>
    </w:div>
    <w:div w:id="539175313">
      <w:bodyDiv w:val="1"/>
      <w:marLeft w:val="0"/>
      <w:marRight w:val="0"/>
      <w:marTop w:val="0"/>
      <w:marBottom w:val="0"/>
      <w:divBdr>
        <w:top w:val="none" w:sz="0" w:space="0" w:color="auto"/>
        <w:left w:val="none" w:sz="0" w:space="0" w:color="auto"/>
        <w:bottom w:val="none" w:sz="0" w:space="0" w:color="auto"/>
        <w:right w:val="none" w:sz="0" w:space="0" w:color="auto"/>
      </w:divBdr>
    </w:div>
    <w:div w:id="791287599">
      <w:marLeft w:val="0"/>
      <w:marRight w:val="0"/>
      <w:marTop w:val="0"/>
      <w:marBottom w:val="0"/>
      <w:divBdr>
        <w:top w:val="none" w:sz="0" w:space="0" w:color="auto"/>
        <w:left w:val="none" w:sz="0" w:space="0" w:color="auto"/>
        <w:bottom w:val="none" w:sz="0" w:space="0" w:color="auto"/>
        <w:right w:val="none" w:sz="0" w:space="0" w:color="auto"/>
      </w:divBdr>
      <w:divsChild>
        <w:div w:id="791287598">
          <w:marLeft w:val="0"/>
          <w:marRight w:val="0"/>
          <w:marTop w:val="0"/>
          <w:marBottom w:val="0"/>
          <w:divBdr>
            <w:top w:val="none" w:sz="0" w:space="0" w:color="auto"/>
            <w:left w:val="none" w:sz="0" w:space="0" w:color="auto"/>
            <w:bottom w:val="none" w:sz="0" w:space="0" w:color="auto"/>
            <w:right w:val="none" w:sz="0" w:space="0" w:color="auto"/>
          </w:divBdr>
          <w:divsChild>
            <w:div w:id="791287607">
              <w:marLeft w:val="0"/>
              <w:marRight w:val="0"/>
              <w:marTop w:val="0"/>
              <w:marBottom w:val="0"/>
              <w:divBdr>
                <w:top w:val="none" w:sz="0" w:space="0" w:color="auto"/>
                <w:left w:val="none" w:sz="0" w:space="0" w:color="auto"/>
                <w:bottom w:val="none" w:sz="0" w:space="0" w:color="auto"/>
                <w:right w:val="none" w:sz="0" w:space="0" w:color="auto"/>
              </w:divBdr>
              <w:divsChild>
                <w:div w:id="791287609">
                  <w:marLeft w:val="0"/>
                  <w:marRight w:val="0"/>
                  <w:marTop w:val="0"/>
                  <w:marBottom w:val="0"/>
                  <w:divBdr>
                    <w:top w:val="none" w:sz="0" w:space="0" w:color="auto"/>
                    <w:left w:val="none" w:sz="0" w:space="0" w:color="auto"/>
                    <w:bottom w:val="none" w:sz="0" w:space="0" w:color="auto"/>
                    <w:right w:val="none" w:sz="0" w:space="0" w:color="auto"/>
                  </w:divBdr>
                  <w:divsChild>
                    <w:div w:id="791287610">
                      <w:marLeft w:val="12"/>
                      <w:marRight w:val="12"/>
                      <w:marTop w:val="0"/>
                      <w:marBottom w:val="0"/>
                      <w:divBdr>
                        <w:top w:val="none" w:sz="0" w:space="0" w:color="auto"/>
                        <w:left w:val="none" w:sz="0" w:space="0" w:color="auto"/>
                        <w:bottom w:val="none" w:sz="0" w:space="0" w:color="auto"/>
                        <w:right w:val="none" w:sz="0" w:space="0" w:color="auto"/>
                      </w:divBdr>
                      <w:divsChild>
                        <w:div w:id="791287604">
                          <w:marLeft w:val="0"/>
                          <w:marRight w:val="0"/>
                          <w:marTop w:val="0"/>
                          <w:marBottom w:val="0"/>
                          <w:divBdr>
                            <w:top w:val="none" w:sz="0" w:space="0" w:color="auto"/>
                            <w:left w:val="none" w:sz="0" w:space="0" w:color="auto"/>
                            <w:bottom w:val="none" w:sz="0" w:space="0" w:color="auto"/>
                            <w:right w:val="none" w:sz="0" w:space="0" w:color="auto"/>
                          </w:divBdr>
                          <w:divsChild>
                            <w:div w:id="791287619">
                              <w:marLeft w:val="0"/>
                              <w:marRight w:val="0"/>
                              <w:marTop w:val="0"/>
                              <w:marBottom w:val="0"/>
                              <w:divBdr>
                                <w:top w:val="none" w:sz="0" w:space="0" w:color="auto"/>
                                <w:left w:val="none" w:sz="0" w:space="0" w:color="auto"/>
                                <w:bottom w:val="none" w:sz="0" w:space="0" w:color="auto"/>
                                <w:right w:val="none" w:sz="0" w:space="0" w:color="auto"/>
                              </w:divBdr>
                              <w:divsChild>
                                <w:div w:id="791287605">
                                  <w:marLeft w:val="0"/>
                                  <w:marRight w:val="0"/>
                                  <w:marTop w:val="0"/>
                                  <w:marBottom w:val="0"/>
                                  <w:divBdr>
                                    <w:top w:val="none" w:sz="0" w:space="0" w:color="auto"/>
                                    <w:left w:val="none" w:sz="0" w:space="0" w:color="auto"/>
                                    <w:bottom w:val="none" w:sz="0" w:space="0" w:color="auto"/>
                                    <w:right w:val="none" w:sz="0" w:space="0" w:color="auto"/>
                                  </w:divBdr>
                                  <w:divsChild>
                                    <w:div w:id="791287617">
                                      <w:marLeft w:val="0"/>
                                      <w:marRight w:val="0"/>
                                      <w:marTop w:val="0"/>
                                      <w:marBottom w:val="0"/>
                                      <w:divBdr>
                                        <w:top w:val="none" w:sz="0" w:space="0" w:color="auto"/>
                                        <w:left w:val="none" w:sz="0" w:space="0" w:color="auto"/>
                                        <w:bottom w:val="none" w:sz="0" w:space="0" w:color="auto"/>
                                        <w:right w:val="none" w:sz="0" w:space="0" w:color="auto"/>
                                      </w:divBdr>
                                      <w:divsChild>
                                        <w:div w:id="791287615">
                                          <w:marLeft w:val="0"/>
                                          <w:marRight w:val="0"/>
                                          <w:marTop w:val="0"/>
                                          <w:marBottom w:val="0"/>
                                          <w:divBdr>
                                            <w:top w:val="none" w:sz="0" w:space="0" w:color="auto"/>
                                            <w:left w:val="none" w:sz="0" w:space="0" w:color="auto"/>
                                            <w:bottom w:val="none" w:sz="0" w:space="0" w:color="auto"/>
                                            <w:right w:val="none" w:sz="0" w:space="0" w:color="auto"/>
                                          </w:divBdr>
                                          <w:divsChild>
                                            <w:div w:id="791287618">
                                              <w:marLeft w:val="0"/>
                                              <w:marRight w:val="0"/>
                                              <w:marTop w:val="0"/>
                                              <w:marBottom w:val="0"/>
                                              <w:divBdr>
                                                <w:top w:val="none" w:sz="0" w:space="0" w:color="auto"/>
                                                <w:left w:val="none" w:sz="0" w:space="0" w:color="auto"/>
                                                <w:bottom w:val="none" w:sz="0" w:space="0" w:color="auto"/>
                                                <w:right w:val="none" w:sz="0" w:space="0" w:color="auto"/>
                                              </w:divBdr>
                                              <w:divsChild>
                                                <w:div w:id="791287601">
                                                  <w:marLeft w:val="0"/>
                                                  <w:marRight w:val="0"/>
                                                  <w:marTop w:val="0"/>
                                                  <w:marBottom w:val="0"/>
                                                  <w:divBdr>
                                                    <w:top w:val="none" w:sz="0" w:space="0" w:color="auto"/>
                                                    <w:left w:val="none" w:sz="0" w:space="0" w:color="auto"/>
                                                    <w:bottom w:val="none" w:sz="0" w:space="0" w:color="auto"/>
                                                    <w:right w:val="none" w:sz="0" w:space="0" w:color="auto"/>
                                                  </w:divBdr>
                                                  <w:divsChild>
                                                    <w:div w:id="7912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87600">
      <w:marLeft w:val="0"/>
      <w:marRight w:val="0"/>
      <w:marTop w:val="0"/>
      <w:marBottom w:val="0"/>
      <w:divBdr>
        <w:top w:val="none" w:sz="0" w:space="0" w:color="auto"/>
        <w:left w:val="none" w:sz="0" w:space="0" w:color="auto"/>
        <w:bottom w:val="none" w:sz="0" w:space="0" w:color="auto"/>
        <w:right w:val="none" w:sz="0" w:space="0" w:color="auto"/>
      </w:divBdr>
    </w:div>
    <w:div w:id="791287602">
      <w:marLeft w:val="0"/>
      <w:marRight w:val="0"/>
      <w:marTop w:val="0"/>
      <w:marBottom w:val="0"/>
      <w:divBdr>
        <w:top w:val="none" w:sz="0" w:space="0" w:color="auto"/>
        <w:left w:val="none" w:sz="0" w:space="0" w:color="auto"/>
        <w:bottom w:val="none" w:sz="0" w:space="0" w:color="auto"/>
        <w:right w:val="none" w:sz="0" w:space="0" w:color="auto"/>
      </w:divBdr>
    </w:div>
    <w:div w:id="791287606">
      <w:marLeft w:val="0"/>
      <w:marRight w:val="0"/>
      <w:marTop w:val="0"/>
      <w:marBottom w:val="0"/>
      <w:divBdr>
        <w:top w:val="none" w:sz="0" w:space="0" w:color="auto"/>
        <w:left w:val="none" w:sz="0" w:space="0" w:color="auto"/>
        <w:bottom w:val="none" w:sz="0" w:space="0" w:color="auto"/>
        <w:right w:val="none" w:sz="0" w:space="0" w:color="auto"/>
      </w:divBdr>
    </w:div>
    <w:div w:id="791287608">
      <w:marLeft w:val="0"/>
      <w:marRight w:val="0"/>
      <w:marTop w:val="0"/>
      <w:marBottom w:val="0"/>
      <w:divBdr>
        <w:top w:val="none" w:sz="0" w:space="0" w:color="auto"/>
        <w:left w:val="none" w:sz="0" w:space="0" w:color="auto"/>
        <w:bottom w:val="none" w:sz="0" w:space="0" w:color="auto"/>
        <w:right w:val="none" w:sz="0" w:space="0" w:color="auto"/>
      </w:divBdr>
      <w:divsChild>
        <w:div w:id="791287611">
          <w:marLeft w:val="0"/>
          <w:marRight w:val="0"/>
          <w:marTop w:val="0"/>
          <w:marBottom w:val="0"/>
          <w:divBdr>
            <w:top w:val="none" w:sz="0" w:space="0" w:color="auto"/>
            <w:left w:val="none" w:sz="0" w:space="0" w:color="auto"/>
            <w:bottom w:val="none" w:sz="0" w:space="0" w:color="auto"/>
            <w:right w:val="none" w:sz="0" w:space="0" w:color="auto"/>
          </w:divBdr>
          <w:divsChild>
            <w:div w:id="7912876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1287612">
      <w:marLeft w:val="0"/>
      <w:marRight w:val="0"/>
      <w:marTop w:val="0"/>
      <w:marBottom w:val="0"/>
      <w:divBdr>
        <w:top w:val="none" w:sz="0" w:space="0" w:color="auto"/>
        <w:left w:val="none" w:sz="0" w:space="0" w:color="auto"/>
        <w:bottom w:val="none" w:sz="0" w:space="0" w:color="auto"/>
        <w:right w:val="none" w:sz="0" w:space="0" w:color="auto"/>
      </w:divBdr>
    </w:div>
    <w:div w:id="791287613">
      <w:marLeft w:val="0"/>
      <w:marRight w:val="0"/>
      <w:marTop w:val="0"/>
      <w:marBottom w:val="0"/>
      <w:divBdr>
        <w:top w:val="none" w:sz="0" w:space="0" w:color="auto"/>
        <w:left w:val="none" w:sz="0" w:space="0" w:color="auto"/>
        <w:bottom w:val="none" w:sz="0" w:space="0" w:color="auto"/>
        <w:right w:val="none" w:sz="0" w:space="0" w:color="auto"/>
      </w:divBdr>
    </w:div>
    <w:div w:id="791287616">
      <w:marLeft w:val="0"/>
      <w:marRight w:val="0"/>
      <w:marTop w:val="0"/>
      <w:marBottom w:val="0"/>
      <w:divBdr>
        <w:top w:val="none" w:sz="0" w:space="0" w:color="auto"/>
        <w:left w:val="none" w:sz="0" w:space="0" w:color="auto"/>
        <w:bottom w:val="none" w:sz="0" w:space="0" w:color="auto"/>
        <w:right w:val="none" w:sz="0" w:space="0" w:color="auto"/>
      </w:divBdr>
    </w:div>
    <w:div w:id="791287620">
      <w:marLeft w:val="0"/>
      <w:marRight w:val="0"/>
      <w:marTop w:val="0"/>
      <w:marBottom w:val="0"/>
      <w:divBdr>
        <w:top w:val="none" w:sz="0" w:space="0" w:color="auto"/>
        <w:left w:val="none" w:sz="0" w:space="0" w:color="auto"/>
        <w:bottom w:val="none" w:sz="0" w:space="0" w:color="auto"/>
        <w:right w:val="none" w:sz="0" w:space="0" w:color="auto"/>
      </w:divBdr>
    </w:div>
    <w:div w:id="791902384">
      <w:bodyDiv w:val="1"/>
      <w:marLeft w:val="0"/>
      <w:marRight w:val="0"/>
      <w:marTop w:val="0"/>
      <w:marBottom w:val="0"/>
      <w:divBdr>
        <w:top w:val="none" w:sz="0" w:space="0" w:color="auto"/>
        <w:left w:val="none" w:sz="0" w:space="0" w:color="auto"/>
        <w:bottom w:val="none" w:sz="0" w:space="0" w:color="auto"/>
        <w:right w:val="none" w:sz="0" w:space="0" w:color="auto"/>
      </w:divBdr>
    </w:div>
    <w:div w:id="1223366276">
      <w:bodyDiv w:val="1"/>
      <w:marLeft w:val="0"/>
      <w:marRight w:val="0"/>
      <w:marTop w:val="0"/>
      <w:marBottom w:val="0"/>
      <w:divBdr>
        <w:top w:val="none" w:sz="0" w:space="0" w:color="auto"/>
        <w:left w:val="none" w:sz="0" w:space="0" w:color="auto"/>
        <w:bottom w:val="none" w:sz="0" w:space="0" w:color="auto"/>
        <w:right w:val="none" w:sz="0" w:space="0" w:color="auto"/>
      </w:divBdr>
    </w:div>
    <w:div w:id="1246913604">
      <w:bodyDiv w:val="1"/>
      <w:marLeft w:val="0"/>
      <w:marRight w:val="0"/>
      <w:marTop w:val="0"/>
      <w:marBottom w:val="0"/>
      <w:divBdr>
        <w:top w:val="none" w:sz="0" w:space="0" w:color="auto"/>
        <w:left w:val="none" w:sz="0" w:space="0" w:color="auto"/>
        <w:bottom w:val="none" w:sz="0" w:space="0" w:color="auto"/>
        <w:right w:val="none" w:sz="0" w:space="0" w:color="auto"/>
      </w:divBdr>
    </w:div>
    <w:div w:id="1603338450">
      <w:bodyDiv w:val="1"/>
      <w:marLeft w:val="0"/>
      <w:marRight w:val="0"/>
      <w:marTop w:val="0"/>
      <w:marBottom w:val="0"/>
      <w:divBdr>
        <w:top w:val="none" w:sz="0" w:space="0" w:color="auto"/>
        <w:left w:val="none" w:sz="0" w:space="0" w:color="auto"/>
        <w:bottom w:val="none" w:sz="0" w:space="0" w:color="auto"/>
        <w:right w:val="none" w:sz="0" w:space="0" w:color="auto"/>
      </w:divBdr>
      <w:divsChild>
        <w:div w:id="1629625442">
          <w:marLeft w:val="547"/>
          <w:marRight w:val="0"/>
          <w:marTop w:val="86"/>
          <w:marBottom w:val="0"/>
          <w:divBdr>
            <w:top w:val="none" w:sz="0" w:space="0" w:color="auto"/>
            <w:left w:val="none" w:sz="0" w:space="0" w:color="auto"/>
            <w:bottom w:val="none" w:sz="0" w:space="0" w:color="auto"/>
            <w:right w:val="none" w:sz="0" w:space="0" w:color="auto"/>
          </w:divBdr>
        </w:div>
      </w:divsChild>
    </w:div>
    <w:div w:id="1649092275">
      <w:bodyDiv w:val="1"/>
      <w:marLeft w:val="0"/>
      <w:marRight w:val="0"/>
      <w:marTop w:val="0"/>
      <w:marBottom w:val="0"/>
      <w:divBdr>
        <w:top w:val="none" w:sz="0" w:space="0" w:color="auto"/>
        <w:left w:val="none" w:sz="0" w:space="0" w:color="auto"/>
        <w:bottom w:val="none" w:sz="0" w:space="0" w:color="auto"/>
        <w:right w:val="none" w:sz="0" w:space="0" w:color="auto"/>
      </w:divBdr>
    </w:div>
    <w:div w:id="1961719646">
      <w:bodyDiv w:val="1"/>
      <w:marLeft w:val="0"/>
      <w:marRight w:val="0"/>
      <w:marTop w:val="0"/>
      <w:marBottom w:val="0"/>
      <w:divBdr>
        <w:top w:val="none" w:sz="0" w:space="0" w:color="auto"/>
        <w:left w:val="none" w:sz="0" w:space="0" w:color="auto"/>
        <w:bottom w:val="none" w:sz="0" w:space="0" w:color="auto"/>
        <w:right w:val="none" w:sz="0" w:space="0" w:color="auto"/>
      </w:divBdr>
    </w:div>
    <w:div w:id="19906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652B5-FBCA-41B9-8ED1-0C0BCBE9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6937</Characters>
  <Application>Microsoft Office Word</Application>
  <DocSecurity>4</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Na internetu Češi preferují rychlost a jednoduchost před bezpečností, ohrožují tím své finance</vt:lpstr>
      <vt:lpstr>Na internetu Češi preferují rychlost a jednoduchost před bezpečností, ohrožují tím své finance</vt:lpstr>
    </vt:vector>
  </TitlesOfParts>
  <Company>Hewlett-Packard Company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internetu Češi preferují rychlost a jednoduchost před bezpečností, ohrožují tím své finance</dc:title>
  <dc:creator>Martina Lasotová</dc:creator>
  <cp:lastModifiedBy>Tereza Linková</cp:lastModifiedBy>
  <cp:revision>2</cp:revision>
  <cp:lastPrinted>2018-04-24T06:50:00Z</cp:lastPrinted>
  <dcterms:created xsi:type="dcterms:W3CDTF">2018-04-24T06:57:00Z</dcterms:created>
  <dcterms:modified xsi:type="dcterms:W3CDTF">2018-04-24T06:57:00Z</dcterms:modified>
</cp:coreProperties>
</file>