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E1" w:rsidRPr="009C7739" w:rsidRDefault="00030AE1" w:rsidP="009C7739">
      <w:pPr>
        <w:overflowPunct/>
        <w:autoSpaceDE/>
        <w:autoSpaceDN/>
        <w:adjustRightInd/>
        <w:spacing w:line="276" w:lineRule="auto"/>
        <w:textAlignment w:val="auto"/>
        <w:rPr>
          <w:b/>
          <w:bCs/>
          <w:noProof/>
          <w:color w:val="57B167"/>
          <w:sz w:val="24"/>
          <w:szCs w:val="24"/>
        </w:rPr>
      </w:pPr>
      <w:r w:rsidRPr="009C7739">
        <w:rPr>
          <w:b/>
          <w:bCs/>
          <w:noProof/>
          <w:color w:val="57B167"/>
          <w:sz w:val="24"/>
          <w:szCs w:val="24"/>
        </w:rPr>
        <w:t xml:space="preserve">Komentář </w:t>
      </w:r>
      <w:r w:rsidR="009C7739" w:rsidRPr="009C7739">
        <w:rPr>
          <w:b/>
          <w:bCs/>
          <w:noProof/>
          <w:color w:val="57B167"/>
          <w:sz w:val="24"/>
          <w:szCs w:val="24"/>
        </w:rPr>
        <w:t xml:space="preserve">České </w:t>
      </w:r>
      <w:r w:rsidRPr="009C7739">
        <w:rPr>
          <w:b/>
          <w:bCs/>
          <w:noProof/>
          <w:color w:val="57B167"/>
          <w:sz w:val="24"/>
          <w:szCs w:val="24"/>
        </w:rPr>
        <w:t xml:space="preserve">bankovní asociace </w:t>
      </w:r>
      <w:r w:rsidR="0062235E">
        <w:rPr>
          <w:b/>
          <w:bCs/>
          <w:noProof/>
          <w:color w:val="57B167"/>
          <w:sz w:val="24"/>
          <w:szCs w:val="24"/>
        </w:rPr>
        <w:t>k</w:t>
      </w:r>
      <w:r w:rsidR="00B253FB">
        <w:rPr>
          <w:b/>
          <w:bCs/>
          <w:noProof/>
          <w:color w:val="57B167"/>
          <w:sz w:val="24"/>
          <w:szCs w:val="24"/>
        </w:rPr>
        <w:t> nové úpravě hromadných žalob</w:t>
      </w:r>
      <w:bookmarkStart w:id="0" w:name="_GoBack"/>
      <w:bookmarkEnd w:id="0"/>
    </w:p>
    <w:p w:rsidR="00D1582C" w:rsidRDefault="00D1582C" w:rsidP="00230D07">
      <w:pPr>
        <w:rPr>
          <w:rFonts w:cs="Arial"/>
          <w:color w:val="000000"/>
          <w:sz w:val="22"/>
          <w:szCs w:val="22"/>
        </w:rPr>
      </w:pPr>
    </w:p>
    <w:p w:rsidR="00030AE1" w:rsidRDefault="00030AE1" w:rsidP="00230D07">
      <w:pPr>
        <w:rPr>
          <w:rFonts w:cs="Arial"/>
          <w:color w:val="000000"/>
          <w:sz w:val="22"/>
          <w:szCs w:val="22"/>
        </w:rPr>
      </w:pPr>
    </w:p>
    <w:p w:rsidR="00D1582C" w:rsidRPr="009C7739" w:rsidRDefault="00030AE1" w:rsidP="009C7739">
      <w:pPr>
        <w:spacing w:line="276" w:lineRule="auto"/>
        <w:rPr>
          <w:rFonts w:cs="Arial"/>
          <w:color w:val="000000"/>
          <w:szCs w:val="22"/>
        </w:rPr>
      </w:pPr>
      <w:r w:rsidRPr="009C7739">
        <w:rPr>
          <w:rFonts w:cs="Arial"/>
          <w:color w:val="000000"/>
          <w:szCs w:val="22"/>
        </w:rPr>
        <w:t xml:space="preserve">Praha, </w:t>
      </w:r>
      <w:r w:rsidR="00B253FB">
        <w:rPr>
          <w:rFonts w:cs="Arial"/>
          <w:color w:val="000000"/>
          <w:szCs w:val="22"/>
        </w:rPr>
        <w:t>4</w:t>
      </w:r>
      <w:r w:rsidRPr="009C7739">
        <w:rPr>
          <w:rFonts w:cs="Arial"/>
          <w:color w:val="000000"/>
          <w:szCs w:val="22"/>
        </w:rPr>
        <w:t xml:space="preserve">. </w:t>
      </w:r>
      <w:r w:rsidR="0062235E">
        <w:rPr>
          <w:rFonts w:cs="Arial"/>
          <w:color w:val="000000"/>
          <w:szCs w:val="22"/>
        </w:rPr>
        <w:t>dubna</w:t>
      </w:r>
      <w:r w:rsidR="00D1582C" w:rsidRPr="009C7739">
        <w:rPr>
          <w:rFonts w:cs="Arial"/>
          <w:color w:val="000000"/>
          <w:szCs w:val="22"/>
        </w:rPr>
        <w:t xml:space="preserve"> 2018</w:t>
      </w:r>
    </w:p>
    <w:p w:rsidR="00D1582C" w:rsidRDefault="00D1582C" w:rsidP="00B253FB">
      <w:pPr>
        <w:spacing w:line="276" w:lineRule="auto"/>
        <w:rPr>
          <w:rFonts w:cs="Arial"/>
          <w:szCs w:val="22"/>
        </w:rPr>
      </w:pPr>
    </w:p>
    <w:p w:rsidR="00B253FB" w:rsidRDefault="00B253FB" w:rsidP="00B253FB">
      <w:pPr>
        <w:overflowPunct/>
        <w:autoSpaceDE/>
        <w:autoSpaceDN/>
        <w:adjustRightInd/>
        <w:spacing w:line="276" w:lineRule="auto"/>
        <w:textAlignment w:val="auto"/>
        <w:rPr>
          <w:rFonts w:cs="Arial"/>
          <w:color w:val="000000"/>
          <w:szCs w:val="22"/>
        </w:rPr>
      </w:pPr>
      <w:r w:rsidRPr="00B253FB">
        <w:rPr>
          <w:rFonts w:cs="Arial"/>
          <w:color w:val="000000"/>
          <w:szCs w:val="22"/>
        </w:rPr>
        <w:t>Vláda na svém dnešním zasedání podpořila návrh věcného záměru zákona o hromadných žalobách, který předložilo ministerstvo spravedlnosti.</w:t>
      </w:r>
    </w:p>
    <w:p w:rsidR="00B253FB" w:rsidRPr="00B253FB" w:rsidRDefault="00B253FB" w:rsidP="00B253FB">
      <w:pPr>
        <w:overflowPunct/>
        <w:autoSpaceDE/>
        <w:autoSpaceDN/>
        <w:adjustRightInd/>
        <w:spacing w:line="276" w:lineRule="auto"/>
        <w:textAlignment w:val="auto"/>
        <w:rPr>
          <w:rFonts w:cs="Arial"/>
          <w:color w:val="000000"/>
          <w:szCs w:val="22"/>
        </w:rPr>
      </w:pPr>
    </w:p>
    <w:p w:rsidR="00B253FB" w:rsidRDefault="00B253FB" w:rsidP="00B253FB">
      <w:pPr>
        <w:overflowPunct/>
        <w:autoSpaceDE/>
        <w:autoSpaceDN/>
        <w:adjustRightInd/>
        <w:spacing w:line="276" w:lineRule="auto"/>
        <w:textAlignment w:val="auto"/>
        <w:rPr>
          <w:rFonts w:cs="Arial"/>
          <w:color w:val="000000"/>
          <w:szCs w:val="22"/>
        </w:rPr>
      </w:pPr>
      <w:r w:rsidRPr="00B253FB">
        <w:rPr>
          <w:rFonts w:cs="Arial"/>
          <w:color w:val="000000"/>
          <w:szCs w:val="22"/>
        </w:rPr>
        <w:t xml:space="preserve">Právní úprava hromadných žalob může mít mnoho podob. Podoba prosazovaná doposud Ministerstvem spravedlnosti je inspirovaná americkou úpravou „class action“ charakterizovanou tzv. principem opt-out, což je v evropském i českém právním kontextu cizorodý koncept, vůči kterému lze v odborné a dotčené veřejnosti zaznamenat řadu zásadních výhrad. Návrh Ministerstva spravedlnosti v podstatě ignoruje existující doporučení Evropské komise z r. 2015 o hromadných žalobách a s největší pravděpodobností jde i proti duchu nyní připravované evropské směrnice na toto téma, která jednoznačně upřednostňuje hromadné žaloby založené na principu „opt-in“, jenž předpokládá alespoň minimální iniciativu ze strany osob poškozených protiprávním jednáním. Bylo by nanejvýš vhodné vyčkat, kam se evropská inciativa ubere, neboť v opačném případě hrozí, že zdejší právní úprava nebude s tou evropskou kompatibilní. </w:t>
      </w:r>
    </w:p>
    <w:p w:rsidR="00B253FB" w:rsidRDefault="00B253FB" w:rsidP="00B253FB">
      <w:pPr>
        <w:overflowPunct/>
        <w:autoSpaceDE/>
        <w:autoSpaceDN/>
        <w:adjustRightInd/>
        <w:spacing w:line="276" w:lineRule="auto"/>
        <w:textAlignment w:val="auto"/>
        <w:rPr>
          <w:rFonts w:cs="Arial"/>
          <w:color w:val="000000"/>
          <w:szCs w:val="22"/>
        </w:rPr>
      </w:pPr>
    </w:p>
    <w:p w:rsidR="00B253FB" w:rsidRDefault="00B253FB" w:rsidP="00B253FB">
      <w:pPr>
        <w:overflowPunct/>
        <w:autoSpaceDE/>
        <w:autoSpaceDN/>
        <w:adjustRightInd/>
        <w:spacing w:line="276" w:lineRule="auto"/>
        <w:textAlignment w:val="auto"/>
        <w:rPr>
          <w:rFonts w:cs="Arial"/>
          <w:color w:val="000000"/>
          <w:szCs w:val="22"/>
        </w:rPr>
      </w:pPr>
      <w:r w:rsidRPr="00B253FB">
        <w:rPr>
          <w:rFonts w:cs="Arial"/>
          <w:color w:val="000000"/>
          <w:szCs w:val="22"/>
        </w:rPr>
        <w:t>Je také otázka, zda hromadné žaloby upravovat samostatným zákonem, resp. zda by nebylo z hlediska přehlednosti právního řádu zařadit tuto úpravu do připravované rekodifikace pravidel občanského soudního řízení. Neznamená to, že jsme proti konceptu hromadných žalob, ale věci by určitě neprospělo, kdyby tato iniciativa nebyla tlačena silově a bez náležité a velmi citlivé úvahy o výhodách a rizicích té či jiné podoby tohoto nástroje, což ostatně velmi silně naznačila i nedávná odborná debata na toto téma na jednání Podvýboru Hospodářského výboru pro ochranu spotřebitele.</w:t>
      </w:r>
    </w:p>
    <w:p w:rsidR="00B253FB" w:rsidRPr="00B253FB" w:rsidRDefault="00B253FB" w:rsidP="00B253FB">
      <w:pPr>
        <w:overflowPunct/>
        <w:autoSpaceDE/>
        <w:autoSpaceDN/>
        <w:adjustRightInd/>
        <w:spacing w:line="276" w:lineRule="auto"/>
        <w:textAlignment w:val="auto"/>
        <w:rPr>
          <w:rFonts w:cs="Arial"/>
          <w:color w:val="000000"/>
          <w:szCs w:val="22"/>
        </w:rPr>
      </w:pPr>
    </w:p>
    <w:p w:rsidR="00B253FB" w:rsidRPr="00B253FB" w:rsidRDefault="00B253FB" w:rsidP="00B253FB">
      <w:pPr>
        <w:overflowPunct/>
        <w:autoSpaceDE/>
        <w:autoSpaceDN/>
        <w:adjustRightInd/>
        <w:spacing w:line="276" w:lineRule="auto"/>
        <w:textAlignment w:val="auto"/>
        <w:rPr>
          <w:rFonts w:cs="Arial"/>
          <w:color w:val="000000"/>
          <w:szCs w:val="22"/>
        </w:rPr>
      </w:pPr>
      <w:r w:rsidRPr="00B253FB">
        <w:rPr>
          <w:rFonts w:cs="Arial"/>
          <w:color w:val="000000"/>
          <w:szCs w:val="22"/>
        </w:rPr>
        <w:t>Podle vyjádření Ministerstva spravedlnosti lze očekávat, že návrh paragrafovaného znění zákona bude vládě předložen zhruba v horizontu jednoho roku.</w:t>
      </w:r>
    </w:p>
    <w:p w:rsidR="002A192F" w:rsidRDefault="002A192F" w:rsidP="009C7739">
      <w:pPr>
        <w:spacing w:line="276" w:lineRule="auto"/>
        <w:rPr>
          <w:rFonts w:cs="Arial"/>
          <w:szCs w:val="22"/>
        </w:rPr>
      </w:pPr>
    </w:p>
    <w:p w:rsidR="002A192F" w:rsidRDefault="002A192F" w:rsidP="009C7739">
      <w:pPr>
        <w:spacing w:line="276" w:lineRule="auto"/>
        <w:rPr>
          <w:rFonts w:cs="Arial"/>
          <w:szCs w:val="22"/>
        </w:rPr>
      </w:pPr>
    </w:p>
    <w:p w:rsidR="002A192F" w:rsidRDefault="002A192F" w:rsidP="009C7739">
      <w:pPr>
        <w:spacing w:line="276" w:lineRule="auto"/>
        <w:rPr>
          <w:rFonts w:cs="Arial"/>
          <w:szCs w:val="22"/>
        </w:rPr>
      </w:pPr>
    </w:p>
    <w:p w:rsidR="002A192F" w:rsidRPr="009C7739" w:rsidRDefault="002A192F" w:rsidP="009C7739">
      <w:pPr>
        <w:spacing w:line="276" w:lineRule="auto"/>
        <w:rPr>
          <w:rFonts w:cs="Arial"/>
          <w:szCs w:val="22"/>
        </w:rPr>
      </w:pPr>
    </w:p>
    <w:p w:rsidR="009C7739" w:rsidRDefault="009C7739" w:rsidP="009C7739">
      <w:pPr>
        <w:spacing w:line="276" w:lineRule="auto"/>
        <w:rPr>
          <w:rFonts w:cs="Arial"/>
          <w:b/>
          <w:color w:val="000000"/>
          <w:szCs w:val="22"/>
        </w:rPr>
      </w:pPr>
      <w:r w:rsidRPr="003C323B">
        <w:rPr>
          <w:rFonts w:cs="Arial"/>
          <w:b/>
          <w:color w:val="000000"/>
          <w:szCs w:val="22"/>
        </w:rPr>
        <w:t>Autor:</w:t>
      </w:r>
    </w:p>
    <w:p w:rsidR="0062235E" w:rsidRDefault="0062235E" w:rsidP="009C7739">
      <w:pPr>
        <w:spacing w:line="276" w:lineRule="auto"/>
        <w:rPr>
          <w:rFonts w:cs="Arial"/>
          <w:b/>
          <w:color w:val="000000"/>
          <w:szCs w:val="22"/>
        </w:rPr>
      </w:pPr>
      <w:r>
        <w:rPr>
          <w:rFonts w:cs="Arial"/>
          <w:b/>
          <w:color w:val="000000"/>
          <w:szCs w:val="22"/>
        </w:rPr>
        <w:t>Filip Hanzlík</w:t>
      </w:r>
    </w:p>
    <w:p w:rsidR="0062235E" w:rsidRPr="0062235E" w:rsidRDefault="0062235E" w:rsidP="009C7739">
      <w:pPr>
        <w:spacing w:line="276" w:lineRule="auto"/>
        <w:rPr>
          <w:rFonts w:cs="Arial"/>
          <w:bCs/>
          <w:color w:val="000000"/>
          <w:szCs w:val="22"/>
        </w:rPr>
      </w:pPr>
      <w:r>
        <w:rPr>
          <w:rFonts w:cs="Arial"/>
          <w:bCs/>
          <w:color w:val="000000"/>
          <w:szCs w:val="22"/>
        </w:rPr>
        <w:t>N</w:t>
      </w:r>
      <w:r w:rsidRPr="0062235E">
        <w:rPr>
          <w:rFonts w:cs="Arial"/>
          <w:bCs/>
          <w:color w:val="000000"/>
          <w:szCs w:val="22"/>
        </w:rPr>
        <w:t>áměstek výkonného ředitele a hlavní právník ČBA</w:t>
      </w:r>
    </w:p>
    <w:p w:rsidR="00030AE1" w:rsidRDefault="00030AE1"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2A192F" w:rsidRDefault="002A192F"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223897" w:rsidRPr="00AA74F0" w:rsidRDefault="00223897" w:rsidP="00223897">
      <w:pPr>
        <w:pStyle w:val="Standard"/>
        <w:spacing w:line="276" w:lineRule="auto"/>
        <w:ind w:left="28" w:hanging="28"/>
        <w:rPr>
          <w:rFonts w:cs="Arial"/>
          <w:szCs w:val="18"/>
        </w:rPr>
      </w:pPr>
      <w:r>
        <w:rPr>
          <w:rFonts w:cs="Arial"/>
          <w:szCs w:val="18"/>
        </w:rPr>
        <w:t>-----</w:t>
      </w:r>
    </w:p>
    <w:p w:rsidR="00223897" w:rsidRPr="00AA74F0" w:rsidRDefault="00223897" w:rsidP="009C7739">
      <w:pPr>
        <w:pStyle w:val="Standard"/>
        <w:spacing w:line="276" w:lineRule="auto"/>
        <w:ind w:left="28" w:hanging="28"/>
        <w:rPr>
          <w:rFonts w:cs="Arial"/>
          <w:b/>
          <w:szCs w:val="18"/>
        </w:rPr>
      </w:pPr>
      <w:r w:rsidRPr="00AA74F0">
        <w:rPr>
          <w:rFonts w:cs="Arial"/>
          <w:b/>
          <w:szCs w:val="18"/>
        </w:rPr>
        <w:t>O České bankovní asociaci</w:t>
      </w:r>
    </w:p>
    <w:p w:rsidR="00223897" w:rsidRDefault="00223897" w:rsidP="009C7739">
      <w:pPr>
        <w:pStyle w:val="Standard"/>
        <w:spacing w:line="276" w:lineRule="auto"/>
        <w:ind w:left="28" w:hanging="28"/>
        <w:rPr>
          <w:rFonts w:cs="Arial"/>
          <w:szCs w:val="18"/>
        </w:rPr>
      </w:pPr>
      <w:r>
        <w:rPr>
          <w:rFonts w:cs="Arial"/>
          <w:szCs w:val="18"/>
        </w:rPr>
        <w:t>Česká bankovní asociace vznikla v roce 1990 a je dobrovolným sdružením právnických osob podnikajících v</w:t>
      </w:r>
      <w:r w:rsidRPr="00AA74F0">
        <w:rPr>
          <w:rFonts w:cs="Arial"/>
          <w:szCs w:val="18"/>
        </w:rPr>
        <w:t> </w:t>
      </w:r>
      <w:r>
        <w:rPr>
          <w:rFonts w:cs="Arial"/>
          <w:szCs w:val="18"/>
        </w:rPr>
        <w:t>oblasti peněžnictví. V současné době sdružuje 38 členů. Rolí asociace je především zastupovat a prosazovat společné zájmy členů, prezentovat roli a zájmy bankovnictví vůči veřejnosti, podílet se na standardizaci postupů v</w:t>
      </w:r>
      <w:r w:rsidRPr="0098142F">
        <w:rPr>
          <w:rFonts w:cs="Arial"/>
          <w:i/>
          <w:sz w:val="20"/>
        </w:rPr>
        <w:t> </w:t>
      </w:r>
      <w:r>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8142F">
        <w:rPr>
          <w:rFonts w:cs="Arial"/>
          <w:i/>
          <w:sz w:val="20"/>
        </w:rPr>
        <w:t> </w:t>
      </w:r>
      <w:r>
        <w:rPr>
          <w:rFonts w:cs="Arial"/>
          <w:szCs w:val="18"/>
        </w:rPr>
        <w:t>EMMI.</w:t>
      </w:r>
    </w:p>
    <w:p w:rsidR="00223897" w:rsidRDefault="00223897" w:rsidP="00223897">
      <w:pPr>
        <w:pStyle w:val="ListParagraph1"/>
        <w:spacing w:after="0"/>
        <w:ind w:left="0"/>
        <w:jc w:val="both"/>
        <w:rPr>
          <w:rFonts w:ascii="Arial" w:hAnsi="Arial" w:cs="Arial"/>
          <w:sz w:val="20"/>
          <w:szCs w:val="20"/>
        </w:rPr>
      </w:pPr>
    </w:p>
    <w:p w:rsidR="00223897" w:rsidRPr="00DD4CB9" w:rsidRDefault="00223897" w:rsidP="00223897">
      <w:pPr>
        <w:pStyle w:val="ListParagraph1"/>
        <w:spacing w:after="0"/>
        <w:ind w:left="0"/>
        <w:jc w:val="both"/>
        <w:rPr>
          <w:rFonts w:ascii="Arial" w:hAnsi="Arial" w:cs="Arial"/>
          <w:sz w:val="20"/>
          <w:szCs w:val="20"/>
        </w:rPr>
      </w:pPr>
    </w:p>
    <w:sectPr w:rsidR="00223897" w:rsidRPr="00DD4CB9" w:rsidSect="005E267D">
      <w:headerReference w:type="default" r:id="rId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74" w:rsidRDefault="00E95074">
      <w:r>
        <w:separator/>
      </w:r>
    </w:p>
  </w:endnote>
  <w:endnote w:type="continuationSeparator" w:id="0">
    <w:p w:rsidR="00E95074" w:rsidRDefault="00E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74" w:rsidRDefault="00E95074">
      <w:r>
        <w:separator/>
      </w:r>
    </w:p>
  </w:footnote>
  <w:footnote w:type="continuationSeparator" w:id="0">
    <w:p w:rsidR="00E95074" w:rsidRDefault="00E9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D7" w:rsidRPr="008435C7" w:rsidRDefault="00A26C1D" w:rsidP="005E267D">
    <w:pPr>
      <w:pStyle w:val="Zhlav"/>
      <w:jc w:val="right"/>
      <w:rPr>
        <w:rFonts w:cs="Arial"/>
        <w:b/>
        <w:sz w:val="20"/>
      </w:rPr>
    </w:pPr>
    <w:r>
      <w:rPr>
        <w:noProof/>
      </w:rPr>
      <w:drawing>
        <wp:anchor distT="0" distB="0" distL="114300" distR="114300" simplePos="0" relativeHeight="251659264" behindDoc="0" locked="0" layoutInCell="1" allowOverlap="1" wp14:anchorId="78FE53B2" wp14:editId="4FDDCC5F">
          <wp:simplePos x="0" y="0"/>
          <wp:positionH relativeFrom="column">
            <wp:posOffset>-457200</wp:posOffset>
          </wp:positionH>
          <wp:positionV relativeFrom="paragraph">
            <wp:posOffset>172720</wp:posOffset>
          </wp:positionV>
          <wp:extent cx="2562860" cy="597535"/>
          <wp:effectExtent l="0" t="0" r="8890" b="0"/>
          <wp:wrapNone/>
          <wp:docPr id="1" name="obrázek 3" descr="logotyp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typ_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9753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AF64A55" wp14:editId="258E4EFC">
          <wp:simplePos x="0" y="0"/>
          <wp:positionH relativeFrom="column">
            <wp:posOffset>-800100</wp:posOffset>
          </wp:positionH>
          <wp:positionV relativeFrom="paragraph">
            <wp:posOffset>-267335</wp:posOffset>
          </wp:positionV>
          <wp:extent cx="7315200" cy="278130"/>
          <wp:effectExtent l="0" t="0" r="0" b="7620"/>
          <wp:wrapNone/>
          <wp:docPr id="2" name="Picture 3" descr="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27813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5F78E48C" wp14:editId="3BE4C83E">
          <wp:simplePos x="0" y="0"/>
          <wp:positionH relativeFrom="column">
            <wp:posOffset>3503295</wp:posOffset>
          </wp:positionH>
          <wp:positionV relativeFrom="paragraph">
            <wp:posOffset>3965575</wp:posOffset>
          </wp:positionV>
          <wp:extent cx="3163570" cy="6273165"/>
          <wp:effectExtent l="0" t="0" r="0" b="0"/>
          <wp:wrapNone/>
          <wp:docPr id="3" name="obrázek 4" descr="dopisak_tisk_pod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opisak_tisk_podtis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3570" cy="6273165"/>
                  </a:xfrm>
                  <a:prstGeom prst="rect">
                    <a:avLst/>
                  </a:prstGeom>
                  <a:noFill/>
                </pic:spPr>
              </pic:pic>
            </a:graphicData>
          </a:graphic>
        </wp:anchor>
      </w:drawing>
    </w:r>
    <w:r w:rsidR="009C7739">
      <w:rPr>
        <w:rFonts w:cs="Arial"/>
        <w:b/>
        <w:sz w:val="20"/>
      </w:rPr>
      <w:t>Komentář ČBA</w:t>
    </w:r>
  </w:p>
  <w:p w:rsidR="00121FD7" w:rsidRDefault="00E950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18E"/>
    <w:multiLevelType w:val="hybridMultilevel"/>
    <w:tmpl w:val="D5D03F7E"/>
    <w:lvl w:ilvl="0" w:tplc="12B04D66">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8FA43AE"/>
    <w:multiLevelType w:val="hybridMultilevel"/>
    <w:tmpl w:val="68B44760"/>
    <w:lvl w:ilvl="0" w:tplc="AC42FA8C">
      <w:start w:val="1"/>
      <w:numFmt w:val="bullet"/>
      <w:lvlText w:val="•"/>
      <w:lvlJc w:val="left"/>
      <w:pPr>
        <w:tabs>
          <w:tab w:val="num" w:pos="720"/>
        </w:tabs>
        <w:ind w:left="720" w:hanging="360"/>
      </w:pPr>
      <w:rPr>
        <w:rFonts w:ascii="Arial" w:hAnsi="Arial" w:hint="default"/>
      </w:rPr>
    </w:lvl>
    <w:lvl w:ilvl="1" w:tplc="5E90208C" w:tentative="1">
      <w:start w:val="1"/>
      <w:numFmt w:val="bullet"/>
      <w:lvlText w:val="•"/>
      <w:lvlJc w:val="left"/>
      <w:pPr>
        <w:tabs>
          <w:tab w:val="num" w:pos="1440"/>
        </w:tabs>
        <w:ind w:left="1440" w:hanging="360"/>
      </w:pPr>
      <w:rPr>
        <w:rFonts w:ascii="Arial" w:hAnsi="Arial" w:hint="default"/>
      </w:rPr>
    </w:lvl>
    <w:lvl w:ilvl="2" w:tplc="095EB696" w:tentative="1">
      <w:start w:val="1"/>
      <w:numFmt w:val="bullet"/>
      <w:lvlText w:val="•"/>
      <w:lvlJc w:val="left"/>
      <w:pPr>
        <w:tabs>
          <w:tab w:val="num" w:pos="2160"/>
        </w:tabs>
        <w:ind w:left="2160" w:hanging="360"/>
      </w:pPr>
      <w:rPr>
        <w:rFonts w:ascii="Arial" w:hAnsi="Arial" w:hint="default"/>
      </w:rPr>
    </w:lvl>
    <w:lvl w:ilvl="3" w:tplc="51E8AAAE" w:tentative="1">
      <w:start w:val="1"/>
      <w:numFmt w:val="bullet"/>
      <w:lvlText w:val="•"/>
      <w:lvlJc w:val="left"/>
      <w:pPr>
        <w:tabs>
          <w:tab w:val="num" w:pos="2880"/>
        </w:tabs>
        <w:ind w:left="2880" w:hanging="360"/>
      </w:pPr>
      <w:rPr>
        <w:rFonts w:ascii="Arial" w:hAnsi="Arial" w:hint="default"/>
      </w:rPr>
    </w:lvl>
    <w:lvl w:ilvl="4" w:tplc="53C88FFA" w:tentative="1">
      <w:start w:val="1"/>
      <w:numFmt w:val="bullet"/>
      <w:lvlText w:val="•"/>
      <w:lvlJc w:val="left"/>
      <w:pPr>
        <w:tabs>
          <w:tab w:val="num" w:pos="3600"/>
        </w:tabs>
        <w:ind w:left="3600" w:hanging="360"/>
      </w:pPr>
      <w:rPr>
        <w:rFonts w:ascii="Arial" w:hAnsi="Arial" w:hint="default"/>
      </w:rPr>
    </w:lvl>
    <w:lvl w:ilvl="5" w:tplc="F3F6E8C8" w:tentative="1">
      <w:start w:val="1"/>
      <w:numFmt w:val="bullet"/>
      <w:lvlText w:val="•"/>
      <w:lvlJc w:val="left"/>
      <w:pPr>
        <w:tabs>
          <w:tab w:val="num" w:pos="4320"/>
        </w:tabs>
        <w:ind w:left="4320" w:hanging="360"/>
      </w:pPr>
      <w:rPr>
        <w:rFonts w:ascii="Arial" w:hAnsi="Arial" w:hint="default"/>
      </w:rPr>
    </w:lvl>
    <w:lvl w:ilvl="6" w:tplc="FD5EC380" w:tentative="1">
      <w:start w:val="1"/>
      <w:numFmt w:val="bullet"/>
      <w:lvlText w:val="•"/>
      <w:lvlJc w:val="left"/>
      <w:pPr>
        <w:tabs>
          <w:tab w:val="num" w:pos="5040"/>
        </w:tabs>
        <w:ind w:left="5040" w:hanging="360"/>
      </w:pPr>
      <w:rPr>
        <w:rFonts w:ascii="Arial" w:hAnsi="Arial" w:hint="default"/>
      </w:rPr>
    </w:lvl>
    <w:lvl w:ilvl="7" w:tplc="8960A626" w:tentative="1">
      <w:start w:val="1"/>
      <w:numFmt w:val="bullet"/>
      <w:lvlText w:val="•"/>
      <w:lvlJc w:val="left"/>
      <w:pPr>
        <w:tabs>
          <w:tab w:val="num" w:pos="5760"/>
        </w:tabs>
        <w:ind w:left="5760" w:hanging="360"/>
      </w:pPr>
      <w:rPr>
        <w:rFonts w:ascii="Arial" w:hAnsi="Arial" w:hint="default"/>
      </w:rPr>
    </w:lvl>
    <w:lvl w:ilvl="8" w:tplc="926A68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631EFF"/>
    <w:multiLevelType w:val="hybridMultilevel"/>
    <w:tmpl w:val="D0B8CABC"/>
    <w:lvl w:ilvl="0" w:tplc="3F5634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2712BC"/>
    <w:multiLevelType w:val="hybridMultilevel"/>
    <w:tmpl w:val="EA9AD922"/>
    <w:lvl w:ilvl="0" w:tplc="A05A1A0C">
      <w:start w:val="1"/>
      <w:numFmt w:val="bullet"/>
      <w:lvlText w:val="•"/>
      <w:lvlJc w:val="left"/>
      <w:pPr>
        <w:tabs>
          <w:tab w:val="num" w:pos="720"/>
        </w:tabs>
        <w:ind w:left="720" w:hanging="360"/>
      </w:pPr>
      <w:rPr>
        <w:rFonts w:ascii="Arial" w:hAnsi="Arial" w:hint="default"/>
      </w:rPr>
    </w:lvl>
    <w:lvl w:ilvl="1" w:tplc="9C980038" w:tentative="1">
      <w:start w:val="1"/>
      <w:numFmt w:val="bullet"/>
      <w:lvlText w:val="•"/>
      <w:lvlJc w:val="left"/>
      <w:pPr>
        <w:tabs>
          <w:tab w:val="num" w:pos="1440"/>
        </w:tabs>
        <w:ind w:left="1440" w:hanging="360"/>
      </w:pPr>
      <w:rPr>
        <w:rFonts w:ascii="Arial" w:hAnsi="Arial" w:hint="default"/>
      </w:rPr>
    </w:lvl>
    <w:lvl w:ilvl="2" w:tplc="B4EAF978" w:tentative="1">
      <w:start w:val="1"/>
      <w:numFmt w:val="bullet"/>
      <w:lvlText w:val="•"/>
      <w:lvlJc w:val="left"/>
      <w:pPr>
        <w:tabs>
          <w:tab w:val="num" w:pos="2160"/>
        </w:tabs>
        <w:ind w:left="2160" w:hanging="360"/>
      </w:pPr>
      <w:rPr>
        <w:rFonts w:ascii="Arial" w:hAnsi="Arial" w:hint="default"/>
      </w:rPr>
    </w:lvl>
    <w:lvl w:ilvl="3" w:tplc="F7784288" w:tentative="1">
      <w:start w:val="1"/>
      <w:numFmt w:val="bullet"/>
      <w:lvlText w:val="•"/>
      <w:lvlJc w:val="left"/>
      <w:pPr>
        <w:tabs>
          <w:tab w:val="num" w:pos="2880"/>
        </w:tabs>
        <w:ind w:left="2880" w:hanging="360"/>
      </w:pPr>
      <w:rPr>
        <w:rFonts w:ascii="Arial" w:hAnsi="Arial" w:hint="default"/>
      </w:rPr>
    </w:lvl>
    <w:lvl w:ilvl="4" w:tplc="F0C681FE" w:tentative="1">
      <w:start w:val="1"/>
      <w:numFmt w:val="bullet"/>
      <w:lvlText w:val="•"/>
      <w:lvlJc w:val="left"/>
      <w:pPr>
        <w:tabs>
          <w:tab w:val="num" w:pos="3600"/>
        </w:tabs>
        <w:ind w:left="3600" w:hanging="360"/>
      </w:pPr>
      <w:rPr>
        <w:rFonts w:ascii="Arial" w:hAnsi="Arial" w:hint="default"/>
      </w:rPr>
    </w:lvl>
    <w:lvl w:ilvl="5" w:tplc="87AAF3E4" w:tentative="1">
      <w:start w:val="1"/>
      <w:numFmt w:val="bullet"/>
      <w:lvlText w:val="•"/>
      <w:lvlJc w:val="left"/>
      <w:pPr>
        <w:tabs>
          <w:tab w:val="num" w:pos="4320"/>
        </w:tabs>
        <w:ind w:left="4320" w:hanging="360"/>
      </w:pPr>
      <w:rPr>
        <w:rFonts w:ascii="Arial" w:hAnsi="Arial" w:hint="default"/>
      </w:rPr>
    </w:lvl>
    <w:lvl w:ilvl="6" w:tplc="0622BDE0" w:tentative="1">
      <w:start w:val="1"/>
      <w:numFmt w:val="bullet"/>
      <w:lvlText w:val="•"/>
      <w:lvlJc w:val="left"/>
      <w:pPr>
        <w:tabs>
          <w:tab w:val="num" w:pos="5040"/>
        </w:tabs>
        <w:ind w:left="5040" w:hanging="360"/>
      </w:pPr>
      <w:rPr>
        <w:rFonts w:ascii="Arial" w:hAnsi="Arial" w:hint="default"/>
      </w:rPr>
    </w:lvl>
    <w:lvl w:ilvl="7" w:tplc="D742AD34" w:tentative="1">
      <w:start w:val="1"/>
      <w:numFmt w:val="bullet"/>
      <w:lvlText w:val="•"/>
      <w:lvlJc w:val="left"/>
      <w:pPr>
        <w:tabs>
          <w:tab w:val="num" w:pos="5760"/>
        </w:tabs>
        <w:ind w:left="5760" w:hanging="360"/>
      </w:pPr>
      <w:rPr>
        <w:rFonts w:ascii="Arial" w:hAnsi="Arial" w:hint="default"/>
      </w:rPr>
    </w:lvl>
    <w:lvl w:ilvl="8" w:tplc="34981E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4432E8"/>
    <w:multiLevelType w:val="hybridMultilevel"/>
    <w:tmpl w:val="69D8F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3A719FD"/>
    <w:multiLevelType w:val="hybridMultilevel"/>
    <w:tmpl w:val="736A0C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3BB1B29"/>
    <w:multiLevelType w:val="hybridMultilevel"/>
    <w:tmpl w:val="61661890"/>
    <w:lvl w:ilvl="0" w:tplc="EB442592">
      <w:start w:val="1"/>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97"/>
    <w:rsid w:val="000121E0"/>
    <w:rsid w:val="00030AE1"/>
    <w:rsid w:val="000668F1"/>
    <w:rsid w:val="000E4AA2"/>
    <w:rsid w:val="001B6E33"/>
    <w:rsid w:val="00223897"/>
    <w:rsid w:val="00230D07"/>
    <w:rsid w:val="002A192F"/>
    <w:rsid w:val="002C3669"/>
    <w:rsid w:val="003055B9"/>
    <w:rsid w:val="00367030"/>
    <w:rsid w:val="003C323B"/>
    <w:rsid w:val="00410179"/>
    <w:rsid w:val="004171E8"/>
    <w:rsid w:val="00422CFA"/>
    <w:rsid w:val="004368C4"/>
    <w:rsid w:val="0046294A"/>
    <w:rsid w:val="00471029"/>
    <w:rsid w:val="00477AD4"/>
    <w:rsid w:val="0050560D"/>
    <w:rsid w:val="0055686F"/>
    <w:rsid w:val="00563D87"/>
    <w:rsid w:val="005D085B"/>
    <w:rsid w:val="0062235E"/>
    <w:rsid w:val="00687841"/>
    <w:rsid w:val="006D18EF"/>
    <w:rsid w:val="007733D2"/>
    <w:rsid w:val="008146ED"/>
    <w:rsid w:val="008702B7"/>
    <w:rsid w:val="00935DA7"/>
    <w:rsid w:val="009C7739"/>
    <w:rsid w:val="009E0079"/>
    <w:rsid w:val="00A26C1D"/>
    <w:rsid w:val="00AA7B22"/>
    <w:rsid w:val="00B04998"/>
    <w:rsid w:val="00B2367D"/>
    <w:rsid w:val="00B253FB"/>
    <w:rsid w:val="00B34D65"/>
    <w:rsid w:val="00BF1093"/>
    <w:rsid w:val="00C4019C"/>
    <w:rsid w:val="00C42848"/>
    <w:rsid w:val="00C5365E"/>
    <w:rsid w:val="00CB39D4"/>
    <w:rsid w:val="00CC50BE"/>
    <w:rsid w:val="00D057CC"/>
    <w:rsid w:val="00D1582C"/>
    <w:rsid w:val="00DF3933"/>
    <w:rsid w:val="00E95074"/>
    <w:rsid w:val="00F1053D"/>
    <w:rsid w:val="00F256CE"/>
    <w:rsid w:val="00F94EBD"/>
    <w:rsid w:val="00FA0C89"/>
    <w:rsid w:val="00FB6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2AA"/>
  <w15:chartTrackingRefBased/>
  <w15:docId w15:val="{36BFC819-2042-42AD-9C64-6E64810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23897"/>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223897"/>
    <w:rPr>
      <w:rFonts w:cs="Times New Roman"/>
      <w:color w:val="0000FF"/>
      <w:u w:val="single"/>
    </w:rPr>
  </w:style>
  <w:style w:type="paragraph" w:styleId="Zhlav">
    <w:name w:val="header"/>
    <w:basedOn w:val="Normln"/>
    <w:link w:val="ZhlavChar"/>
    <w:uiPriority w:val="99"/>
    <w:rsid w:val="00223897"/>
    <w:pPr>
      <w:tabs>
        <w:tab w:val="center" w:pos="4536"/>
        <w:tab w:val="right" w:pos="9072"/>
      </w:tabs>
    </w:pPr>
  </w:style>
  <w:style w:type="character" w:customStyle="1" w:styleId="ZhlavChar">
    <w:name w:val="Záhlaví Char"/>
    <w:basedOn w:val="Standardnpsmoodstavce"/>
    <w:link w:val="Zhlav"/>
    <w:uiPriority w:val="99"/>
    <w:rsid w:val="00223897"/>
    <w:rPr>
      <w:rFonts w:ascii="Arial" w:eastAsia="Times New Roman" w:hAnsi="Arial" w:cs="Times New Roman"/>
      <w:sz w:val="18"/>
      <w:szCs w:val="20"/>
      <w:lang w:eastAsia="cs-CZ"/>
    </w:rPr>
  </w:style>
  <w:style w:type="paragraph" w:styleId="Zpat">
    <w:name w:val="footer"/>
    <w:basedOn w:val="Normln"/>
    <w:link w:val="ZpatChar"/>
    <w:uiPriority w:val="99"/>
    <w:rsid w:val="00223897"/>
    <w:pPr>
      <w:tabs>
        <w:tab w:val="center" w:pos="4536"/>
        <w:tab w:val="right" w:pos="9072"/>
      </w:tabs>
    </w:pPr>
  </w:style>
  <w:style w:type="character" w:customStyle="1" w:styleId="ZpatChar">
    <w:name w:val="Zápatí Char"/>
    <w:basedOn w:val="Standardnpsmoodstavce"/>
    <w:link w:val="Zpat"/>
    <w:uiPriority w:val="99"/>
    <w:rsid w:val="00223897"/>
    <w:rPr>
      <w:rFonts w:ascii="Arial" w:eastAsia="Times New Roman" w:hAnsi="Arial" w:cs="Times New Roman"/>
      <w:sz w:val="18"/>
      <w:szCs w:val="20"/>
      <w:lang w:eastAsia="cs-CZ"/>
    </w:rPr>
  </w:style>
  <w:style w:type="paragraph" w:customStyle="1" w:styleId="ListParagraph1">
    <w:name w:val="List Paragraph1"/>
    <w:basedOn w:val="Normln"/>
    <w:uiPriority w:val="99"/>
    <w:rsid w:val="00223897"/>
    <w:pPr>
      <w:overflowPunct/>
      <w:autoSpaceDE/>
      <w:autoSpaceDN/>
      <w:adjustRightInd/>
      <w:spacing w:after="200" w:line="276" w:lineRule="auto"/>
      <w:ind w:left="720"/>
      <w:contextualSpacing/>
      <w:jc w:val="left"/>
      <w:textAlignment w:val="auto"/>
    </w:pPr>
    <w:rPr>
      <w:rFonts w:ascii="Calibri" w:hAnsi="Calibri"/>
      <w:sz w:val="22"/>
      <w:szCs w:val="22"/>
      <w:lang w:eastAsia="en-US"/>
    </w:rPr>
  </w:style>
  <w:style w:type="paragraph" w:customStyle="1" w:styleId="Default">
    <w:name w:val="Default"/>
    <w:rsid w:val="00223897"/>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223897"/>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paragraph" w:styleId="Odstavecseseznamem">
    <w:name w:val="List Paragraph"/>
    <w:basedOn w:val="Normln"/>
    <w:uiPriority w:val="34"/>
    <w:qFormat/>
    <w:rsid w:val="00230D07"/>
    <w:pPr>
      <w:overflowPunct/>
      <w:autoSpaceDE/>
      <w:autoSpaceDN/>
      <w:adjustRightInd/>
      <w:ind w:left="720"/>
      <w:contextualSpacing/>
      <w:jc w:val="left"/>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BF1093"/>
    <w:rPr>
      <w:color w:val="808080"/>
      <w:shd w:val="clear" w:color="auto" w:fill="E6E6E6"/>
    </w:rPr>
  </w:style>
  <w:style w:type="character" w:styleId="Siln">
    <w:name w:val="Strong"/>
    <w:basedOn w:val="Standardnpsmoodstavce"/>
    <w:uiPriority w:val="22"/>
    <w:qFormat/>
    <w:rsid w:val="00030AE1"/>
    <w:rPr>
      <w:b/>
      <w:bCs/>
    </w:rPr>
  </w:style>
  <w:style w:type="character" w:styleId="Nevyeenzmnka">
    <w:name w:val="Unresolved Mention"/>
    <w:basedOn w:val="Standardnpsmoodstavce"/>
    <w:uiPriority w:val="99"/>
    <w:semiHidden/>
    <w:unhideWhenUsed/>
    <w:rsid w:val="001B6E33"/>
    <w:rPr>
      <w:color w:val="808080"/>
      <w:shd w:val="clear" w:color="auto" w:fill="E6E6E6"/>
    </w:rPr>
  </w:style>
  <w:style w:type="character" w:styleId="Sledovanodkaz">
    <w:name w:val="FollowedHyperlink"/>
    <w:basedOn w:val="Standardnpsmoodstavce"/>
    <w:uiPriority w:val="99"/>
    <w:semiHidden/>
    <w:unhideWhenUsed/>
    <w:rsid w:val="003C323B"/>
    <w:rPr>
      <w:color w:val="954F72" w:themeColor="followedHyperlink"/>
      <w:u w:val="single"/>
    </w:rPr>
  </w:style>
  <w:style w:type="paragraph" w:styleId="Normlnweb">
    <w:name w:val="Normal (Web)"/>
    <w:basedOn w:val="Normln"/>
    <w:uiPriority w:val="99"/>
    <w:semiHidden/>
    <w:unhideWhenUsed/>
    <w:rsid w:val="0062235E"/>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708">
      <w:bodyDiv w:val="1"/>
      <w:marLeft w:val="0"/>
      <w:marRight w:val="0"/>
      <w:marTop w:val="0"/>
      <w:marBottom w:val="0"/>
      <w:divBdr>
        <w:top w:val="none" w:sz="0" w:space="0" w:color="auto"/>
        <w:left w:val="none" w:sz="0" w:space="0" w:color="auto"/>
        <w:bottom w:val="none" w:sz="0" w:space="0" w:color="auto"/>
        <w:right w:val="none" w:sz="0" w:space="0" w:color="auto"/>
      </w:divBdr>
    </w:div>
    <w:div w:id="379136868">
      <w:bodyDiv w:val="1"/>
      <w:marLeft w:val="0"/>
      <w:marRight w:val="0"/>
      <w:marTop w:val="0"/>
      <w:marBottom w:val="0"/>
      <w:divBdr>
        <w:top w:val="none" w:sz="0" w:space="0" w:color="auto"/>
        <w:left w:val="none" w:sz="0" w:space="0" w:color="auto"/>
        <w:bottom w:val="none" w:sz="0" w:space="0" w:color="auto"/>
        <w:right w:val="none" w:sz="0" w:space="0" w:color="auto"/>
      </w:divBdr>
      <w:divsChild>
        <w:div w:id="1069695008">
          <w:marLeft w:val="547"/>
          <w:marRight w:val="0"/>
          <w:marTop w:val="58"/>
          <w:marBottom w:val="0"/>
          <w:divBdr>
            <w:top w:val="none" w:sz="0" w:space="0" w:color="auto"/>
            <w:left w:val="none" w:sz="0" w:space="0" w:color="auto"/>
            <w:bottom w:val="none" w:sz="0" w:space="0" w:color="auto"/>
            <w:right w:val="none" w:sz="0" w:space="0" w:color="auto"/>
          </w:divBdr>
        </w:div>
      </w:divsChild>
    </w:div>
    <w:div w:id="734161426">
      <w:bodyDiv w:val="1"/>
      <w:marLeft w:val="0"/>
      <w:marRight w:val="0"/>
      <w:marTop w:val="0"/>
      <w:marBottom w:val="0"/>
      <w:divBdr>
        <w:top w:val="none" w:sz="0" w:space="0" w:color="auto"/>
        <w:left w:val="none" w:sz="0" w:space="0" w:color="auto"/>
        <w:bottom w:val="none" w:sz="0" w:space="0" w:color="auto"/>
        <w:right w:val="none" w:sz="0" w:space="0" w:color="auto"/>
      </w:divBdr>
    </w:div>
    <w:div w:id="822350315">
      <w:bodyDiv w:val="1"/>
      <w:marLeft w:val="0"/>
      <w:marRight w:val="0"/>
      <w:marTop w:val="0"/>
      <w:marBottom w:val="0"/>
      <w:divBdr>
        <w:top w:val="none" w:sz="0" w:space="0" w:color="auto"/>
        <w:left w:val="none" w:sz="0" w:space="0" w:color="auto"/>
        <w:bottom w:val="none" w:sz="0" w:space="0" w:color="auto"/>
        <w:right w:val="none" w:sz="0" w:space="0" w:color="auto"/>
      </w:divBdr>
    </w:div>
    <w:div w:id="1307080831">
      <w:bodyDiv w:val="1"/>
      <w:marLeft w:val="0"/>
      <w:marRight w:val="0"/>
      <w:marTop w:val="0"/>
      <w:marBottom w:val="0"/>
      <w:divBdr>
        <w:top w:val="none" w:sz="0" w:space="0" w:color="auto"/>
        <w:left w:val="none" w:sz="0" w:space="0" w:color="auto"/>
        <w:bottom w:val="none" w:sz="0" w:space="0" w:color="auto"/>
        <w:right w:val="none" w:sz="0" w:space="0" w:color="auto"/>
      </w:divBdr>
      <w:divsChild>
        <w:div w:id="1765807077">
          <w:marLeft w:val="547"/>
          <w:marRight w:val="0"/>
          <w:marTop w:val="58"/>
          <w:marBottom w:val="0"/>
          <w:divBdr>
            <w:top w:val="none" w:sz="0" w:space="0" w:color="auto"/>
            <w:left w:val="none" w:sz="0" w:space="0" w:color="auto"/>
            <w:bottom w:val="none" w:sz="0" w:space="0" w:color="auto"/>
            <w:right w:val="none" w:sz="0" w:space="0" w:color="auto"/>
          </w:divBdr>
        </w:div>
      </w:divsChild>
    </w:div>
    <w:div w:id="1787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364</Words>
  <Characters>2153</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Štěpánek</dc:creator>
  <cp:keywords/>
  <dc:description/>
  <cp:lastModifiedBy>Andrea Trudičová</cp:lastModifiedBy>
  <cp:revision>7</cp:revision>
  <dcterms:created xsi:type="dcterms:W3CDTF">2018-03-09T08:06:00Z</dcterms:created>
  <dcterms:modified xsi:type="dcterms:W3CDTF">2019-10-11T06:37:00Z</dcterms:modified>
</cp:coreProperties>
</file>