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E1" w:rsidRPr="009C7739" w:rsidRDefault="00030AE1" w:rsidP="009C7739">
      <w:pPr>
        <w:overflowPunct/>
        <w:autoSpaceDE/>
        <w:autoSpaceDN/>
        <w:adjustRightInd/>
        <w:spacing w:line="276" w:lineRule="auto"/>
        <w:textAlignment w:val="auto"/>
        <w:rPr>
          <w:b/>
          <w:bCs/>
          <w:noProof/>
          <w:color w:val="57B167"/>
          <w:sz w:val="24"/>
          <w:szCs w:val="24"/>
        </w:rPr>
      </w:pPr>
      <w:r w:rsidRPr="009C7739">
        <w:rPr>
          <w:b/>
          <w:bCs/>
          <w:noProof/>
          <w:color w:val="57B167"/>
          <w:sz w:val="24"/>
          <w:szCs w:val="24"/>
        </w:rPr>
        <w:t xml:space="preserve">Komentář </w:t>
      </w:r>
      <w:r w:rsidR="009C7739" w:rsidRPr="009C7739">
        <w:rPr>
          <w:b/>
          <w:bCs/>
          <w:noProof/>
          <w:color w:val="57B167"/>
          <w:sz w:val="24"/>
          <w:szCs w:val="24"/>
        </w:rPr>
        <w:t xml:space="preserve">České </w:t>
      </w:r>
      <w:r w:rsidRPr="009C7739">
        <w:rPr>
          <w:b/>
          <w:bCs/>
          <w:noProof/>
          <w:color w:val="57B167"/>
          <w:sz w:val="24"/>
          <w:szCs w:val="24"/>
        </w:rPr>
        <w:t xml:space="preserve">bankovní asociace </w:t>
      </w:r>
      <w:r w:rsidR="0062235E">
        <w:rPr>
          <w:b/>
          <w:bCs/>
          <w:noProof/>
          <w:color w:val="57B167"/>
          <w:sz w:val="24"/>
          <w:szCs w:val="24"/>
        </w:rPr>
        <w:t>k seznamu priorit k ochraně spotřebitelů vyhlášenému Evropskou komisí</w:t>
      </w:r>
    </w:p>
    <w:p w:rsidR="00D1582C" w:rsidRDefault="00D1582C" w:rsidP="00230D07">
      <w:pPr>
        <w:rPr>
          <w:rFonts w:cs="Arial"/>
          <w:color w:val="000000"/>
          <w:sz w:val="22"/>
          <w:szCs w:val="22"/>
        </w:rPr>
      </w:pPr>
    </w:p>
    <w:p w:rsidR="00030AE1" w:rsidRDefault="00030AE1" w:rsidP="00230D07">
      <w:pPr>
        <w:rPr>
          <w:rFonts w:cs="Arial"/>
          <w:color w:val="000000"/>
          <w:sz w:val="22"/>
          <w:szCs w:val="22"/>
        </w:rPr>
      </w:pPr>
    </w:p>
    <w:p w:rsidR="00D1582C" w:rsidRPr="009C7739" w:rsidRDefault="00030AE1" w:rsidP="009C7739">
      <w:pPr>
        <w:spacing w:line="276" w:lineRule="auto"/>
        <w:rPr>
          <w:rFonts w:cs="Arial"/>
          <w:color w:val="000000"/>
          <w:szCs w:val="22"/>
        </w:rPr>
      </w:pPr>
      <w:r w:rsidRPr="009C7739">
        <w:rPr>
          <w:rFonts w:cs="Arial"/>
          <w:color w:val="000000"/>
          <w:szCs w:val="22"/>
        </w:rPr>
        <w:t xml:space="preserve">Praha, </w:t>
      </w:r>
      <w:r w:rsidR="002A192F">
        <w:rPr>
          <w:rFonts w:cs="Arial"/>
          <w:color w:val="000000"/>
          <w:szCs w:val="22"/>
        </w:rPr>
        <w:t>1</w:t>
      </w:r>
      <w:r w:rsidR="0062235E">
        <w:rPr>
          <w:rFonts w:cs="Arial"/>
          <w:color w:val="000000"/>
          <w:szCs w:val="22"/>
        </w:rPr>
        <w:t>2</w:t>
      </w:r>
      <w:r w:rsidRPr="009C7739">
        <w:rPr>
          <w:rFonts w:cs="Arial"/>
          <w:color w:val="000000"/>
          <w:szCs w:val="22"/>
        </w:rPr>
        <w:t xml:space="preserve">. </w:t>
      </w:r>
      <w:r w:rsidR="0062235E">
        <w:rPr>
          <w:rFonts w:cs="Arial"/>
          <w:color w:val="000000"/>
          <w:szCs w:val="22"/>
        </w:rPr>
        <w:t>dubna</w:t>
      </w:r>
      <w:r w:rsidR="00D1582C" w:rsidRPr="009C7739">
        <w:rPr>
          <w:rFonts w:cs="Arial"/>
          <w:color w:val="000000"/>
          <w:szCs w:val="22"/>
        </w:rPr>
        <w:t xml:space="preserve"> 2018</w:t>
      </w:r>
    </w:p>
    <w:p w:rsidR="00D1582C" w:rsidRDefault="00D1582C" w:rsidP="009C7739">
      <w:pPr>
        <w:spacing w:line="276" w:lineRule="auto"/>
        <w:rPr>
          <w:rFonts w:cs="Arial"/>
          <w:szCs w:val="22"/>
        </w:rPr>
      </w:pPr>
    </w:p>
    <w:p w:rsidR="0062235E" w:rsidRDefault="0062235E" w:rsidP="0062235E">
      <w:pPr>
        <w:pStyle w:val="Normlnweb"/>
        <w:spacing w:before="0" w:beforeAutospacing="0" w:after="0" w:afterAutospacing="0" w:line="276" w:lineRule="auto"/>
        <w:jc w:val="both"/>
        <w:rPr>
          <w:rFonts w:ascii="Arial" w:hAnsi="Arial" w:cs="Arial"/>
          <w:color w:val="000000"/>
          <w:sz w:val="18"/>
          <w:szCs w:val="22"/>
        </w:rPr>
      </w:pPr>
      <w:r w:rsidRPr="0062235E">
        <w:rPr>
          <w:rFonts w:ascii="Arial" w:hAnsi="Arial" w:cs="Arial"/>
          <w:color w:val="000000"/>
          <w:sz w:val="18"/>
          <w:szCs w:val="22"/>
        </w:rPr>
        <w:t xml:space="preserve">Viceprezident Evropské komise </w:t>
      </w:r>
      <w:proofErr w:type="spellStart"/>
      <w:r w:rsidRPr="0062235E">
        <w:rPr>
          <w:rFonts w:ascii="Arial" w:hAnsi="Arial" w:cs="Arial"/>
          <w:color w:val="000000"/>
          <w:sz w:val="18"/>
          <w:szCs w:val="22"/>
        </w:rPr>
        <w:t>Timmermans</w:t>
      </w:r>
      <w:proofErr w:type="spellEnd"/>
      <w:r w:rsidRPr="0062235E">
        <w:rPr>
          <w:rFonts w:ascii="Arial" w:hAnsi="Arial" w:cs="Arial"/>
          <w:color w:val="000000"/>
          <w:sz w:val="18"/>
          <w:szCs w:val="22"/>
        </w:rPr>
        <w:t xml:space="preserve"> spolu s komisařkou Jourovou včera v Bruselu představili projekt EU nazvaný „New </w:t>
      </w:r>
      <w:proofErr w:type="spellStart"/>
      <w:r w:rsidRPr="0062235E">
        <w:rPr>
          <w:rFonts w:ascii="Arial" w:hAnsi="Arial" w:cs="Arial"/>
          <w:color w:val="000000"/>
          <w:sz w:val="18"/>
          <w:szCs w:val="22"/>
        </w:rPr>
        <w:t>Deal</w:t>
      </w:r>
      <w:proofErr w:type="spellEnd"/>
      <w:r w:rsidRPr="0062235E">
        <w:rPr>
          <w:rFonts w:ascii="Arial" w:hAnsi="Arial" w:cs="Arial"/>
          <w:color w:val="000000"/>
          <w:sz w:val="18"/>
          <w:szCs w:val="22"/>
        </w:rPr>
        <w:t xml:space="preserve"> </w:t>
      </w:r>
      <w:proofErr w:type="spellStart"/>
      <w:r w:rsidRPr="0062235E">
        <w:rPr>
          <w:rFonts w:ascii="Arial" w:hAnsi="Arial" w:cs="Arial"/>
          <w:color w:val="000000"/>
          <w:sz w:val="18"/>
          <w:szCs w:val="22"/>
        </w:rPr>
        <w:t>for</w:t>
      </w:r>
      <w:proofErr w:type="spellEnd"/>
      <w:r w:rsidRPr="0062235E">
        <w:rPr>
          <w:rFonts w:ascii="Arial" w:hAnsi="Arial" w:cs="Arial"/>
          <w:color w:val="000000"/>
          <w:sz w:val="18"/>
          <w:szCs w:val="22"/>
        </w:rPr>
        <w:t xml:space="preserve"> </w:t>
      </w:r>
      <w:proofErr w:type="spellStart"/>
      <w:r w:rsidRPr="0062235E">
        <w:rPr>
          <w:rFonts w:ascii="Arial" w:hAnsi="Arial" w:cs="Arial"/>
          <w:color w:val="000000"/>
          <w:sz w:val="18"/>
          <w:szCs w:val="22"/>
        </w:rPr>
        <w:t>Customers</w:t>
      </w:r>
      <w:proofErr w:type="spellEnd"/>
      <w:r w:rsidRPr="0062235E">
        <w:rPr>
          <w:rFonts w:ascii="Arial" w:hAnsi="Arial" w:cs="Arial"/>
          <w:color w:val="000000"/>
          <w:sz w:val="18"/>
          <w:szCs w:val="22"/>
        </w:rPr>
        <w:t xml:space="preserve">“, tedy soubor legislativních iniciativ směřujících k posílení pozice a ochrany </w:t>
      </w:r>
      <w:r w:rsidRPr="0062235E">
        <w:rPr>
          <w:rFonts w:ascii="Arial" w:hAnsi="Arial" w:cs="Arial"/>
          <w:color w:val="000000"/>
          <w:sz w:val="18"/>
          <w:szCs w:val="22"/>
        </w:rPr>
        <w:t>spotřebitele,</w:t>
      </w:r>
      <w:r w:rsidRPr="0062235E">
        <w:rPr>
          <w:rFonts w:ascii="Arial" w:hAnsi="Arial" w:cs="Arial"/>
          <w:color w:val="000000"/>
          <w:sz w:val="18"/>
          <w:szCs w:val="22"/>
        </w:rPr>
        <w:t xml:space="preserve"> a to formou jednotných evropských pravidel. </w:t>
      </w:r>
    </w:p>
    <w:p w:rsidR="0062235E" w:rsidRDefault="0062235E" w:rsidP="0062235E">
      <w:pPr>
        <w:pStyle w:val="Normlnweb"/>
        <w:spacing w:before="0" w:beforeAutospacing="0" w:after="0" w:afterAutospacing="0" w:line="276" w:lineRule="auto"/>
        <w:jc w:val="both"/>
        <w:rPr>
          <w:rFonts w:ascii="Arial" w:hAnsi="Arial" w:cs="Arial"/>
          <w:color w:val="000000"/>
          <w:sz w:val="18"/>
          <w:szCs w:val="22"/>
        </w:rPr>
      </w:pPr>
      <w:r w:rsidRPr="0062235E">
        <w:rPr>
          <w:rFonts w:ascii="Arial" w:hAnsi="Arial" w:cs="Arial"/>
          <w:color w:val="000000"/>
          <w:sz w:val="18"/>
          <w:szCs w:val="22"/>
        </w:rPr>
        <w:t xml:space="preserve">Návrhy se týkají v zásadě tří oblastí: </w:t>
      </w:r>
    </w:p>
    <w:p w:rsidR="0062235E" w:rsidRDefault="0062235E" w:rsidP="0062235E">
      <w:pPr>
        <w:pStyle w:val="Normlnweb"/>
        <w:numPr>
          <w:ilvl w:val="0"/>
          <w:numId w:val="7"/>
        </w:numPr>
        <w:spacing w:before="0" w:beforeAutospacing="0" w:after="0" w:afterAutospacing="0" w:line="276" w:lineRule="auto"/>
        <w:ind w:left="993" w:hanging="426"/>
        <w:jc w:val="both"/>
        <w:rPr>
          <w:rFonts w:ascii="Arial" w:hAnsi="Arial" w:cs="Arial"/>
          <w:color w:val="000000"/>
          <w:sz w:val="18"/>
          <w:szCs w:val="22"/>
        </w:rPr>
      </w:pPr>
      <w:r w:rsidRPr="0062235E">
        <w:rPr>
          <w:rFonts w:ascii="Arial" w:hAnsi="Arial" w:cs="Arial"/>
          <w:color w:val="000000"/>
          <w:sz w:val="18"/>
          <w:szCs w:val="22"/>
        </w:rPr>
        <w:t xml:space="preserve">posílení práv spotřebitele při nákupech na internetu, kde je cílem zajistit, aby byl spotřebitel jednoznačně informován o tom, zda nakupuje od fyzické osoby či od obchodní korporace, aby se tak dozvěděl, zda je při nákupu spotřebitelsky chráněn, </w:t>
      </w:r>
    </w:p>
    <w:p w:rsidR="0062235E" w:rsidRDefault="0062235E" w:rsidP="0062235E">
      <w:pPr>
        <w:pStyle w:val="Normlnweb"/>
        <w:numPr>
          <w:ilvl w:val="0"/>
          <w:numId w:val="7"/>
        </w:numPr>
        <w:spacing w:before="0" w:beforeAutospacing="0" w:after="0" w:afterAutospacing="0" w:line="276" w:lineRule="auto"/>
        <w:ind w:left="993" w:hanging="426"/>
        <w:jc w:val="both"/>
        <w:rPr>
          <w:rFonts w:ascii="Arial" w:hAnsi="Arial" w:cs="Arial"/>
          <w:color w:val="000000"/>
          <w:sz w:val="18"/>
          <w:szCs w:val="22"/>
        </w:rPr>
      </w:pPr>
      <w:r w:rsidRPr="0062235E">
        <w:rPr>
          <w:rFonts w:ascii="Arial" w:hAnsi="Arial" w:cs="Arial"/>
          <w:color w:val="000000"/>
          <w:sz w:val="18"/>
          <w:szCs w:val="22"/>
        </w:rPr>
        <w:t xml:space="preserve">větší a transparentnější informovanost spotřebitele o tom, jakým způsobem dochází k řazení výsledků při internetovém vyhledávání, zejm. pak informace o tom, zda skutečnost, že určitý obchodník se v hledání objevuje na prvním místě, je výsledkem toho, že si takovou pozici zaplatil, a </w:t>
      </w:r>
    </w:p>
    <w:p w:rsidR="0062235E" w:rsidRPr="0062235E" w:rsidRDefault="0062235E" w:rsidP="0062235E">
      <w:pPr>
        <w:pStyle w:val="Normlnweb"/>
        <w:numPr>
          <w:ilvl w:val="0"/>
          <w:numId w:val="7"/>
        </w:numPr>
        <w:spacing w:before="0" w:beforeAutospacing="0" w:after="0" w:afterAutospacing="0" w:line="276" w:lineRule="auto"/>
        <w:ind w:left="993" w:hanging="426"/>
        <w:jc w:val="both"/>
        <w:rPr>
          <w:rFonts w:ascii="Arial" w:hAnsi="Arial" w:cs="Arial"/>
          <w:color w:val="000000"/>
          <w:sz w:val="18"/>
          <w:szCs w:val="22"/>
        </w:rPr>
      </w:pPr>
      <w:r w:rsidRPr="0062235E">
        <w:rPr>
          <w:rFonts w:ascii="Arial" w:hAnsi="Arial" w:cs="Arial"/>
          <w:color w:val="000000"/>
          <w:sz w:val="18"/>
          <w:szCs w:val="22"/>
        </w:rPr>
        <w:t>poskytnutí nových práv spotřebitele ve vztahu k „bezplatným“ digitálním službám.</w:t>
      </w:r>
    </w:p>
    <w:p w:rsidR="0062235E" w:rsidRPr="0062235E" w:rsidRDefault="0062235E" w:rsidP="0062235E">
      <w:pPr>
        <w:pStyle w:val="Normlnweb"/>
        <w:spacing w:before="0" w:beforeAutospacing="0" w:after="0" w:afterAutospacing="0" w:line="276" w:lineRule="auto"/>
        <w:jc w:val="both"/>
        <w:rPr>
          <w:rFonts w:ascii="Arial" w:hAnsi="Arial" w:cs="Arial"/>
          <w:color w:val="000000"/>
          <w:sz w:val="18"/>
          <w:szCs w:val="22"/>
        </w:rPr>
      </w:pPr>
      <w:r w:rsidRPr="0062235E">
        <w:rPr>
          <w:rFonts w:ascii="Arial" w:hAnsi="Arial" w:cs="Arial"/>
          <w:color w:val="000000"/>
          <w:sz w:val="18"/>
          <w:szCs w:val="22"/>
        </w:rPr>
        <w:t> </w:t>
      </w:r>
    </w:p>
    <w:p w:rsidR="0062235E" w:rsidRPr="0062235E" w:rsidRDefault="0062235E" w:rsidP="0062235E">
      <w:pPr>
        <w:pStyle w:val="Normlnweb"/>
        <w:spacing w:before="0" w:beforeAutospacing="0" w:after="0" w:afterAutospacing="0" w:line="276" w:lineRule="auto"/>
        <w:jc w:val="both"/>
        <w:rPr>
          <w:rFonts w:ascii="Arial" w:hAnsi="Arial" w:cs="Arial"/>
          <w:color w:val="000000"/>
          <w:sz w:val="18"/>
          <w:szCs w:val="22"/>
        </w:rPr>
      </w:pPr>
      <w:r w:rsidRPr="0062235E">
        <w:rPr>
          <w:rFonts w:ascii="Arial" w:hAnsi="Arial" w:cs="Arial"/>
          <w:color w:val="000000"/>
          <w:sz w:val="18"/>
          <w:szCs w:val="22"/>
        </w:rPr>
        <w:t>Druhým zásadním pilířem „Nového spotřebitelského údělu“ je pak nástin základních pravidel pro hromadné žaloby, resp. kolektivní vymáhání práv. Potvrdilo se přitom to, co ČBA dlouhodobě avizovala, totiž že připravované evropské směrnice se budou pravděpodobně dosti zásadně míjet s principy a parametry, na kterých je dnes postaven věcný záměr zákona o hromadných žalobách, který nedávno schválila vláda. Potvrdilo se také naše varování v tom směru, že projednávání právní úpravy hromadných žalob je momentálně v ČR předčasné, neboť na úrovni EU dochází k jednoznačnému legislativnímu pohybu v této věci. Podle sdělení EK by spotřebitele v hromadných žalobách neměli zastupovat advokáti, nýbrž neziskové spotřebitelské organizace, které jsou licencovány a dohlíženy státem. Kromě toho se předpokládá i zásadně odlišný procesní postup při kolektivním uplatňování práv, než se kterým počítá vládní návrh věcného záměru o hromadných žalobách. Stručně řečeno, vládní návrh a záměry Evropské komise jsou jen velmi obtížně obsahově slučitelné…</w:t>
      </w:r>
    </w:p>
    <w:p w:rsidR="002A192F" w:rsidRDefault="002A192F" w:rsidP="009C7739">
      <w:pPr>
        <w:spacing w:line="276" w:lineRule="auto"/>
        <w:rPr>
          <w:rFonts w:cs="Arial"/>
          <w:szCs w:val="22"/>
        </w:rPr>
      </w:pPr>
    </w:p>
    <w:p w:rsidR="002A192F" w:rsidRDefault="002A192F" w:rsidP="009C7739">
      <w:pPr>
        <w:spacing w:line="276" w:lineRule="auto"/>
        <w:rPr>
          <w:rFonts w:cs="Arial"/>
          <w:szCs w:val="22"/>
        </w:rPr>
      </w:pPr>
    </w:p>
    <w:p w:rsidR="002A192F" w:rsidRDefault="002A192F" w:rsidP="009C7739">
      <w:pPr>
        <w:spacing w:line="276" w:lineRule="auto"/>
        <w:rPr>
          <w:rFonts w:cs="Arial"/>
          <w:szCs w:val="22"/>
        </w:rPr>
      </w:pPr>
    </w:p>
    <w:p w:rsidR="002A192F" w:rsidRPr="009C7739" w:rsidRDefault="002A192F" w:rsidP="009C7739">
      <w:pPr>
        <w:spacing w:line="276" w:lineRule="auto"/>
        <w:rPr>
          <w:rFonts w:cs="Arial"/>
          <w:szCs w:val="22"/>
        </w:rPr>
      </w:pPr>
    </w:p>
    <w:p w:rsidR="009C7739" w:rsidRDefault="009C7739" w:rsidP="009C7739">
      <w:pPr>
        <w:spacing w:line="276" w:lineRule="auto"/>
        <w:rPr>
          <w:rFonts w:cs="Arial"/>
          <w:b/>
          <w:color w:val="000000"/>
          <w:szCs w:val="22"/>
        </w:rPr>
      </w:pPr>
      <w:r w:rsidRPr="003C323B">
        <w:rPr>
          <w:rFonts w:cs="Arial"/>
          <w:b/>
          <w:color w:val="000000"/>
          <w:szCs w:val="22"/>
        </w:rPr>
        <w:t>Autor:</w:t>
      </w:r>
    </w:p>
    <w:p w:rsidR="0062235E" w:rsidRDefault="0062235E" w:rsidP="009C7739">
      <w:pPr>
        <w:spacing w:line="276" w:lineRule="auto"/>
        <w:rPr>
          <w:rFonts w:cs="Arial"/>
          <w:b/>
          <w:color w:val="000000"/>
          <w:szCs w:val="22"/>
        </w:rPr>
      </w:pPr>
      <w:r>
        <w:rPr>
          <w:rFonts w:cs="Arial"/>
          <w:b/>
          <w:color w:val="000000"/>
          <w:szCs w:val="22"/>
        </w:rPr>
        <w:t>Filip Hanzlík</w:t>
      </w:r>
    </w:p>
    <w:p w:rsidR="0062235E" w:rsidRPr="0062235E" w:rsidRDefault="0062235E" w:rsidP="009C7739">
      <w:pPr>
        <w:spacing w:line="276" w:lineRule="auto"/>
        <w:rPr>
          <w:rFonts w:cs="Arial"/>
          <w:bCs/>
          <w:color w:val="000000"/>
          <w:szCs w:val="22"/>
        </w:rPr>
      </w:pPr>
      <w:r>
        <w:rPr>
          <w:rFonts w:cs="Arial"/>
          <w:bCs/>
          <w:color w:val="000000"/>
          <w:szCs w:val="22"/>
        </w:rPr>
        <w:t>N</w:t>
      </w:r>
      <w:r w:rsidRPr="0062235E">
        <w:rPr>
          <w:rFonts w:cs="Arial"/>
          <w:bCs/>
          <w:color w:val="000000"/>
          <w:szCs w:val="22"/>
        </w:rPr>
        <w:t>áměstek výkonného ředitele a hlavní právník ČBA</w:t>
      </w:r>
      <w:bookmarkStart w:id="0" w:name="_GoBack"/>
      <w:bookmarkEnd w:id="0"/>
    </w:p>
    <w:p w:rsidR="00030AE1" w:rsidRDefault="00030AE1" w:rsidP="00230D07">
      <w:pPr>
        <w:rPr>
          <w:rFonts w:cs="Arial"/>
          <w:color w:val="000000"/>
          <w:sz w:val="22"/>
          <w:szCs w:val="22"/>
        </w:rPr>
      </w:pPr>
    </w:p>
    <w:p w:rsidR="003C323B" w:rsidRDefault="003C323B" w:rsidP="00230D07">
      <w:pPr>
        <w:rPr>
          <w:rFonts w:cs="Arial"/>
          <w:color w:val="000000"/>
          <w:sz w:val="22"/>
          <w:szCs w:val="22"/>
        </w:rPr>
      </w:pPr>
    </w:p>
    <w:p w:rsidR="003C323B" w:rsidRDefault="003C323B"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3C323B" w:rsidRDefault="003C323B" w:rsidP="00230D07">
      <w:pPr>
        <w:rPr>
          <w:rFonts w:cs="Arial"/>
          <w:color w:val="000000"/>
          <w:sz w:val="22"/>
          <w:szCs w:val="22"/>
        </w:rPr>
      </w:pPr>
    </w:p>
    <w:p w:rsidR="003C323B" w:rsidRDefault="003C323B" w:rsidP="00230D07">
      <w:pPr>
        <w:rPr>
          <w:rFonts w:cs="Arial"/>
          <w:color w:val="000000"/>
          <w:sz w:val="22"/>
          <w:szCs w:val="22"/>
        </w:rPr>
      </w:pPr>
    </w:p>
    <w:p w:rsidR="00223897" w:rsidRPr="00AA74F0" w:rsidRDefault="00223897" w:rsidP="00223897">
      <w:pPr>
        <w:pStyle w:val="Standard"/>
        <w:spacing w:line="276" w:lineRule="auto"/>
        <w:ind w:left="28" w:hanging="28"/>
        <w:rPr>
          <w:rFonts w:cs="Arial"/>
          <w:szCs w:val="18"/>
        </w:rPr>
      </w:pPr>
      <w:r>
        <w:rPr>
          <w:rFonts w:cs="Arial"/>
          <w:szCs w:val="18"/>
        </w:rPr>
        <w:t>-----</w:t>
      </w:r>
    </w:p>
    <w:p w:rsidR="00223897" w:rsidRPr="00AA74F0" w:rsidRDefault="00223897" w:rsidP="009C7739">
      <w:pPr>
        <w:pStyle w:val="Standard"/>
        <w:spacing w:line="276" w:lineRule="auto"/>
        <w:ind w:left="28" w:hanging="28"/>
        <w:rPr>
          <w:rFonts w:cs="Arial"/>
          <w:b/>
          <w:szCs w:val="18"/>
        </w:rPr>
      </w:pPr>
      <w:r w:rsidRPr="00AA74F0">
        <w:rPr>
          <w:rFonts w:cs="Arial"/>
          <w:b/>
          <w:szCs w:val="18"/>
        </w:rPr>
        <w:t>O České bankovní asociaci</w:t>
      </w:r>
    </w:p>
    <w:p w:rsidR="00223897" w:rsidRDefault="00223897" w:rsidP="009C7739">
      <w:pPr>
        <w:pStyle w:val="Standard"/>
        <w:spacing w:line="276" w:lineRule="auto"/>
        <w:ind w:left="28" w:hanging="28"/>
        <w:rPr>
          <w:rFonts w:cs="Arial"/>
          <w:szCs w:val="18"/>
        </w:rPr>
      </w:pPr>
      <w:r>
        <w:rPr>
          <w:rFonts w:cs="Arial"/>
          <w:szCs w:val="18"/>
        </w:rPr>
        <w:lastRenderedPageBreak/>
        <w:t>Česká bankovní asociace vznikla v roce 1990 a je dobrovolným sdružením právnických osob podnikajících v</w:t>
      </w:r>
      <w:r w:rsidRPr="00AA74F0">
        <w:rPr>
          <w:rFonts w:cs="Arial"/>
          <w:szCs w:val="18"/>
        </w:rPr>
        <w:t> </w:t>
      </w:r>
      <w:r>
        <w:rPr>
          <w:rFonts w:cs="Arial"/>
          <w:szCs w:val="18"/>
        </w:rPr>
        <w:t>oblasti peněžnictví. V současné době sdružuje 38 členů. Rolí asociace je především zastupovat a prosazovat společné zájmy členů, prezentovat roli a zájmy bankovnictví vůči veřejnosti, podílet se na standardizaci postupů v</w:t>
      </w:r>
      <w:r w:rsidRPr="0098142F">
        <w:rPr>
          <w:rFonts w:cs="Arial"/>
          <w:i/>
          <w:sz w:val="20"/>
        </w:rPr>
        <w:t> </w:t>
      </w:r>
      <w:r>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8142F">
        <w:rPr>
          <w:rFonts w:cs="Arial"/>
          <w:i/>
          <w:sz w:val="20"/>
        </w:rPr>
        <w:t> </w:t>
      </w:r>
      <w:r>
        <w:rPr>
          <w:rFonts w:cs="Arial"/>
          <w:szCs w:val="18"/>
        </w:rPr>
        <w:t>EMMI.</w:t>
      </w:r>
    </w:p>
    <w:p w:rsidR="00223897" w:rsidRDefault="00223897" w:rsidP="00223897">
      <w:pPr>
        <w:pStyle w:val="ListParagraph1"/>
        <w:spacing w:after="0"/>
        <w:ind w:left="0"/>
        <w:jc w:val="both"/>
        <w:rPr>
          <w:rFonts w:ascii="Arial" w:hAnsi="Arial" w:cs="Arial"/>
          <w:sz w:val="20"/>
          <w:szCs w:val="20"/>
        </w:rPr>
      </w:pPr>
    </w:p>
    <w:p w:rsidR="00223897" w:rsidRPr="00DD4CB9" w:rsidRDefault="00223897" w:rsidP="00223897">
      <w:pPr>
        <w:pStyle w:val="ListParagraph1"/>
        <w:spacing w:after="0"/>
        <w:ind w:left="0"/>
        <w:jc w:val="both"/>
        <w:rPr>
          <w:rFonts w:ascii="Arial" w:hAnsi="Arial" w:cs="Arial"/>
          <w:sz w:val="20"/>
          <w:szCs w:val="20"/>
        </w:rPr>
      </w:pPr>
    </w:p>
    <w:sectPr w:rsidR="00223897" w:rsidRPr="00DD4CB9" w:rsidSect="005E267D">
      <w:headerReference w:type="default" r:id="rId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79" w:rsidRDefault="009E0079">
      <w:r>
        <w:separator/>
      </w:r>
    </w:p>
  </w:endnote>
  <w:endnote w:type="continuationSeparator" w:id="0">
    <w:p w:rsidR="009E0079" w:rsidRDefault="009E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79" w:rsidRDefault="009E0079">
      <w:r>
        <w:separator/>
      </w:r>
    </w:p>
  </w:footnote>
  <w:footnote w:type="continuationSeparator" w:id="0">
    <w:p w:rsidR="009E0079" w:rsidRDefault="009E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D7" w:rsidRPr="008435C7" w:rsidRDefault="00A26C1D" w:rsidP="005E267D">
    <w:pPr>
      <w:pStyle w:val="Zhlav"/>
      <w:jc w:val="right"/>
      <w:rPr>
        <w:rFonts w:cs="Arial"/>
        <w:b/>
        <w:sz w:val="20"/>
      </w:rPr>
    </w:pPr>
    <w:r>
      <w:rPr>
        <w:noProof/>
      </w:rPr>
      <w:drawing>
        <wp:anchor distT="0" distB="0" distL="114300" distR="114300" simplePos="0" relativeHeight="251659264" behindDoc="0" locked="0" layoutInCell="1" allowOverlap="1" wp14:anchorId="78FE53B2" wp14:editId="4FDDCC5F">
          <wp:simplePos x="0" y="0"/>
          <wp:positionH relativeFrom="column">
            <wp:posOffset>-457200</wp:posOffset>
          </wp:positionH>
          <wp:positionV relativeFrom="paragraph">
            <wp:posOffset>172720</wp:posOffset>
          </wp:positionV>
          <wp:extent cx="2562860" cy="597535"/>
          <wp:effectExtent l="0" t="0" r="8890" b="0"/>
          <wp:wrapNone/>
          <wp:docPr id="1" name="obrázek 3" descr="logotyp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typ_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59753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AF64A55" wp14:editId="258E4EFC">
          <wp:simplePos x="0" y="0"/>
          <wp:positionH relativeFrom="column">
            <wp:posOffset>-800100</wp:posOffset>
          </wp:positionH>
          <wp:positionV relativeFrom="paragraph">
            <wp:posOffset>-267335</wp:posOffset>
          </wp:positionV>
          <wp:extent cx="7315200" cy="278130"/>
          <wp:effectExtent l="0" t="0" r="0" b="7620"/>
          <wp:wrapNone/>
          <wp:docPr id="2" name="Picture 3" descr="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27813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5F78E48C" wp14:editId="3BE4C83E">
          <wp:simplePos x="0" y="0"/>
          <wp:positionH relativeFrom="column">
            <wp:posOffset>3503295</wp:posOffset>
          </wp:positionH>
          <wp:positionV relativeFrom="paragraph">
            <wp:posOffset>3965575</wp:posOffset>
          </wp:positionV>
          <wp:extent cx="3163570" cy="6273165"/>
          <wp:effectExtent l="0" t="0" r="0" b="0"/>
          <wp:wrapNone/>
          <wp:docPr id="3" name="obrázek 4" descr="dopisak_tisk_pod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opisak_tisk_podtis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3570" cy="6273165"/>
                  </a:xfrm>
                  <a:prstGeom prst="rect">
                    <a:avLst/>
                  </a:prstGeom>
                  <a:noFill/>
                </pic:spPr>
              </pic:pic>
            </a:graphicData>
          </a:graphic>
        </wp:anchor>
      </w:drawing>
    </w:r>
    <w:r w:rsidR="009C7739">
      <w:rPr>
        <w:rFonts w:cs="Arial"/>
        <w:b/>
        <w:sz w:val="20"/>
      </w:rPr>
      <w:t>Komentář ČBA</w:t>
    </w:r>
  </w:p>
  <w:p w:rsidR="00121FD7" w:rsidRDefault="009E00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18E"/>
    <w:multiLevelType w:val="hybridMultilevel"/>
    <w:tmpl w:val="D5D03F7E"/>
    <w:lvl w:ilvl="0" w:tplc="12B04D66">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8FA43AE"/>
    <w:multiLevelType w:val="hybridMultilevel"/>
    <w:tmpl w:val="68B44760"/>
    <w:lvl w:ilvl="0" w:tplc="AC42FA8C">
      <w:start w:val="1"/>
      <w:numFmt w:val="bullet"/>
      <w:lvlText w:val="•"/>
      <w:lvlJc w:val="left"/>
      <w:pPr>
        <w:tabs>
          <w:tab w:val="num" w:pos="720"/>
        </w:tabs>
        <w:ind w:left="720" w:hanging="360"/>
      </w:pPr>
      <w:rPr>
        <w:rFonts w:ascii="Arial" w:hAnsi="Arial" w:hint="default"/>
      </w:rPr>
    </w:lvl>
    <w:lvl w:ilvl="1" w:tplc="5E90208C" w:tentative="1">
      <w:start w:val="1"/>
      <w:numFmt w:val="bullet"/>
      <w:lvlText w:val="•"/>
      <w:lvlJc w:val="left"/>
      <w:pPr>
        <w:tabs>
          <w:tab w:val="num" w:pos="1440"/>
        </w:tabs>
        <w:ind w:left="1440" w:hanging="360"/>
      </w:pPr>
      <w:rPr>
        <w:rFonts w:ascii="Arial" w:hAnsi="Arial" w:hint="default"/>
      </w:rPr>
    </w:lvl>
    <w:lvl w:ilvl="2" w:tplc="095EB696" w:tentative="1">
      <w:start w:val="1"/>
      <w:numFmt w:val="bullet"/>
      <w:lvlText w:val="•"/>
      <w:lvlJc w:val="left"/>
      <w:pPr>
        <w:tabs>
          <w:tab w:val="num" w:pos="2160"/>
        </w:tabs>
        <w:ind w:left="2160" w:hanging="360"/>
      </w:pPr>
      <w:rPr>
        <w:rFonts w:ascii="Arial" w:hAnsi="Arial" w:hint="default"/>
      </w:rPr>
    </w:lvl>
    <w:lvl w:ilvl="3" w:tplc="51E8AAAE" w:tentative="1">
      <w:start w:val="1"/>
      <w:numFmt w:val="bullet"/>
      <w:lvlText w:val="•"/>
      <w:lvlJc w:val="left"/>
      <w:pPr>
        <w:tabs>
          <w:tab w:val="num" w:pos="2880"/>
        </w:tabs>
        <w:ind w:left="2880" w:hanging="360"/>
      </w:pPr>
      <w:rPr>
        <w:rFonts w:ascii="Arial" w:hAnsi="Arial" w:hint="default"/>
      </w:rPr>
    </w:lvl>
    <w:lvl w:ilvl="4" w:tplc="53C88FFA" w:tentative="1">
      <w:start w:val="1"/>
      <w:numFmt w:val="bullet"/>
      <w:lvlText w:val="•"/>
      <w:lvlJc w:val="left"/>
      <w:pPr>
        <w:tabs>
          <w:tab w:val="num" w:pos="3600"/>
        </w:tabs>
        <w:ind w:left="3600" w:hanging="360"/>
      </w:pPr>
      <w:rPr>
        <w:rFonts w:ascii="Arial" w:hAnsi="Arial" w:hint="default"/>
      </w:rPr>
    </w:lvl>
    <w:lvl w:ilvl="5" w:tplc="F3F6E8C8" w:tentative="1">
      <w:start w:val="1"/>
      <w:numFmt w:val="bullet"/>
      <w:lvlText w:val="•"/>
      <w:lvlJc w:val="left"/>
      <w:pPr>
        <w:tabs>
          <w:tab w:val="num" w:pos="4320"/>
        </w:tabs>
        <w:ind w:left="4320" w:hanging="360"/>
      </w:pPr>
      <w:rPr>
        <w:rFonts w:ascii="Arial" w:hAnsi="Arial" w:hint="default"/>
      </w:rPr>
    </w:lvl>
    <w:lvl w:ilvl="6" w:tplc="FD5EC380" w:tentative="1">
      <w:start w:val="1"/>
      <w:numFmt w:val="bullet"/>
      <w:lvlText w:val="•"/>
      <w:lvlJc w:val="left"/>
      <w:pPr>
        <w:tabs>
          <w:tab w:val="num" w:pos="5040"/>
        </w:tabs>
        <w:ind w:left="5040" w:hanging="360"/>
      </w:pPr>
      <w:rPr>
        <w:rFonts w:ascii="Arial" w:hAnsi="Arial" w:hint="default"/>
      </w:rPr>
    </w:lvl>
    <w:lvl w:ilvl="7" w:tplc="8960A626" w:tentative="1">
      <w:start w:val="1"/>
      <w:numFmt w:val="bullet"/>
      <w:lvlText w:val="•"/>
      <w:lvlJc w:val="left"/>
      <w:pPr>
        <w:tabs>
          <w:tab w:val="num" w:pos="5760"/>
        </w:tabs>
        <w:ind w:left="5760" w:hanging="360"/>
      </w:pPr>
      <w:rPr>
        <w:rFonts w:ascii="Arial" w:hAnsi="Arial" w:hint="default"/>
      </w:rPr>
    </w:lvl>
    <w:lvl w:ilvl="8" w:tplc="926A68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631EFF"/>
    <w:multiLevelType w:val="hybridMultilevel"/>
    <w:tmpl w:val="D0B8CABC"/>
    <w:lvl w:ilvl="0" w:tplc="3F56340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2712BC"/>
    <w:multiLevelType w:val="hybridMultilevel"/>
    <w:tmpl w:val="EA9AD922"/>
    <w:lvl w:ilvl="0" w:tplc="A05A1A0C">
      <w:start w:val="1"/>
      <w:numFmt w:val="bullet"/>
      <w:lvlText w:val="•"/>
      <w:lvlJc w:val="left"/>
      <w:pPr>
        <w:tabs>
          <w:tab w:val="num" w:pos="720"/>
        </w:tabs>
        <w:ind w:left="720" w:hanging="360"/>
      </w:pPr>
      <w:rPr>
        <w:rFonts w:ascii="Arial" w:hAnsi="Arial" w:hint="default"/>
      </w:rPr>
    </w:lvl>
    <w:lvl w:ilvl="1" w:tplc="9C980038" w:tentative="1">
      <w:start w:val="1"/>
      <w:numFmt w:val="bullet"/>
      <w:lvlText w:val="•"/>
      <w:lvlJc w:val="left"/>
      <w:pPr>
        <w:tabs>
          <w:tab w:val="num" w:pos="1440"/>
        </w:tabs>
        <w:ind w:left="1440" w:hanging="360"/>
      </w:pPr>
      <w:rPr>
        <w:rFonts w:ascii="Arial" w:hAnsi="Arial" w:hint="default"/>
      </w:rPr>
    </w:lvl>
    <w:lvl w:ilvl="2" w:tplc="B4EAF978" w:tentative="1">
      <w:start w:val="1"/>
      <w:numFmt w:val="bullet"/>
      <w:lvlText w:val="•"/>
      <w:lvlJc w:val="left"/>
      <w:pPr>
        <w:tabs>
          <w:tab w:val="num" w:pos="2160"/>
        </w:tabs>
        <w:ind w:left="2160" w:hanging="360"/>
      </w:pPr>
      <w:rPr>
        <w:rFonts w:ascii="Arial" w:hAnsi="Arial" w:hint="default"/>
      </w:rPr>
    </w:lvl>
    <w:lvl w:ilvl="3" w:tplc="F7784288" w:tentative="1">
      <w:start w:val="1"/>
      <w:numFmt w:val="bullet"/>
      <w:lvlText w:val="•"/>
      <w:lvlJc w:val="left"/>
      <w:pPr>
        <w:tabs>
          <w:tab w:val="num" w:pos="2880"/>
        </w:tabs>
        <w:ind w:left="2880" w:hanging="360"/>
      </w:pPr>
      <w:rPr>
        <w:rFonts w:ascii="Arial" w:hAnsi="Arial" w:hint="default"/>
      </w:rPr>
    </w:lvl>
    <w:lvl w:ilvl="4" w:tplc="F0C681FE" w:tentative="1">
      <w:start w:val="1"/>
      <w:numFmt w:val="bullet"/>
      <w:lvlText w:val="•"/>
      <w:lvlJc w:val="left"/>
      <w:pPr>
        <w:tabs>
          <w:tab w:val="num" w:pos="3600"/>
        </w:tabs>
        <w:ind w:left="3600" w:hanging="360"/>
      </w:pPr>
      <w:rPr>
        <w:rFonts w:ascii="Arial" w:hAnsi="Arial" w:hint="default"/>
      </w:rPr>
    </w:lvl>
    <w:lvl w:ilvl="5" w:tplc="87AAF3E4" w:tentative="1">
      <w:start w:val="1"/>
      <w:numFmt w:val="bullet"/>
      <w:lvlText w:val="•"/>
      <w:lvlJc w:val="left"/>
      <w:pPr>
        <w:tabs>
          <w:tab w:val="num" w:pos="4320"/>
        </w:tabs>
        <w:ind w:left="4320" w:hanging="360"/>
      </w:pPr>
      <w:rPr>
        <w:rFonts w:ascii="Arial" w:hAnsi="Arial" w:hint="default"/>
      </w:rPr>
    </w:lvl>
    <w:lvl w:ilvl="6" w:tplc="0622BDE0" w:tentative="1">
      <w:start w:val="1"/>
      <w:numFmt w:val="bullet"/>
      <w:lvlText w:val="•"/>
      <w:lvlJc w:val="left"/>
      <w:pPr>
        <w:tabs>
          <w:tab w:val="num" w:pos="5040"/>
        </w:tabs>
        <w:ind w:left="5040" w:hanging="360"/>
      </w:pPr>
      <w:rPr>
        <w:rFonts w:ascii="Arial" w:hAnsi="Arial" w:hint="default"/>
      </w:rPr>
    </w:lvl>
    <w:lvl w:ilvl="7" w:tplc="D742AD34" w:tentative="1">
      <w:start w:val="1"/>
      <w:numFmt w:val="bullet"/>
      <w:lvlText w:val="•"/>
      <w:lvlJc w:val="left"/>
      <w:pPr>
        <w:tabs>
          <w:tab w:val="num" w:pos="5760"/>
        </w:tabs>
        <w:ind w:left="5760" w:hanging="360"/>
      </w:pPr>
      <w:rPr>
        <w:rFonts w:ascii="Arial" w:hAnsi="Arial" w:hint="default"/>
      </w:rPr>
    </w:lvl>
    <w:lvl w:ilvl="8" w:tplc="34981E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4432E8"/>
    <w:multiLevelType w:val="hybridMultilevel"/>
    <w:tmpl w:val="69D8F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3A719FD"/>
    <w:multiLevelType w:val="hybridMultilevel"/>
    <w:tmpl w:val="736A0C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3BB1B29"/>
    <w:multiLevelType w:val="hybridMultilevel"/>
    <w:tmpl w:val="61661890"/>
    <w:lvl w:ilvl="0" w:tplc="EB442592">
      <w:start w:val="1"/>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97"/>
    <w:rsid w:val="000121E0"/>
    <w:rsid w:val="00030AE1"/>
    <w:rsid w:val="000668F1"/>
    <w:rsid w:val="000E4AA2"/>
    <w:rsid w:val="001B6E33"/>
    <w:rsid w:val="00223897"/>
    <w:rsid w:val="00230D07"/>
    <w:rsid w:val="002A192F"/>
    <w:rsid w:val="002C3669"/>
    <w:rsid w:val="003055B9"/>
    <w:rsid w:val="00367030"/>
    <w:rsid w:val="003C323B"/>
    <w:rsid w:val="00410179"/>
    <w:rsid w:val="004171E8"/>
    <w:rsid w:val="00422CFA"/>
    <w:rsid w:val="004368C4"/>
    <w:rsid w:val="0046294A"/>
    <w:rsid w:val="00471029"/>
    <w:rsid w:val="00477AD4"/>
    <w:rsid w:val="0050560D"/>
    <w:rsid w:val="0055686F"/>
    <w:rsid w:val="00563D87"/>
    <w:rsid w:val="005D085B"/>
    <w:rsid w:val="0062235E"/>
    <w:rsid w:val="00687841"/>
    <w:rsid w:val="006D18EF"/>
    <w:rsid w:val="007733D2"/>
    <w:rsid w:val="008146ED"/>
    <w:rsid w:val="008702B7"/>
    <w:rsid w:val="00935DA7"/>
    <w:rsid w:val="009C7739"/>
    <w:rsid w:val="009E0079"/>
    <w:rsid w:val="00A26C1D"/>
    <w:rsid w:val="00AA7B22"/>
    <w:rsid w:val="00B04998"/>
    <w:rsid w:val="00B2367D"/>
    <w:rsid w:val="00B34D65"/>
    <w:rsid w:val="00BF1093"/>
    <w:rsid w:val="00C4019C"/>
    <w:rsid w:val="00C42848"/>
    <w:rsid w:val="00C5365E"/>
    <w:rsid w:val="00CB39D4"/>
    <w:rsid w:val="00CC50BE"/>
    <w:rsid w:val="00D057CC"/>
    <w:rsid w:val="00D1582C"/>
    <w:rsid w:val="00DF3933"/>
    <w:rsid w:val="00F1053D"/>
    <w:rsid w:val="00F256CE"/>
    <w:rsid w:val="00F94EBD"/>
    <w:rsid w:val="00FA0C89"/>
    <w:rsid w:val="00FB6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1473"/>
  <w15:chartTrackingRefBased/>
  <w15:docId w15:val="{36BFC819-2042-42AD-9C64-6E64810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23897"/>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223897"/>
    <w:rPr>
      <w:rFonts w:cs="Times New Roman"/>
      <w:color w:val="0000FF"/>
      <w:u w:val="single"/>
    </w:rPr>
  </w:style>
  <w:style w:type="paragraph" w:styleId="Zhlav">
    <w:name w:val="header"/>
    <w:basedOn w:val="Normln"/>
    <w:link w:val="ZhlavChar"/>
    <w:uiPriority w:val="99"/>
    <w:rsid w:val="00223897"/>
    <w:pPr>
      <w:tabs>
        <w:tab w:val="center" w:pos="4536"/>
        <w:tab w:val="right" w:pos="9072"/>
      </w:tabs>
    </w:pPr>
  </w:style>
  <w:style w:type="character" w:customStyle="1" w:styleId="ZhlavChar">
    <w:name w:val="Záhlaví Char"/>
    <w:basedOn w:val="Standardnpsmoodstavce"/>
    <w:link w:val="Zhlav"/>
    <w:uiPriority w:val="99"/>
    <w:rsid w:val="00223897"/>
    <w:rPr>
      <w:rFonts w:ascii="Arial" w:eastAsia="Times New Roman" w:hAnsi="Arial" w:cs="Times New Roman"/>
      <w:sz w:val="18"/>
      <w:szCs w:val="20"/>
      <w:lang w:eastAsia="cs-CZ"/>
    </w:rPr>
  </w:style>
  <w:style w:type="paragraph" w:styleId="Zpat">
    <w:name w:val="footer"/>
    <w:basedOn w:val="Normln"/>
    <w:link w:val="ZpatChar"/>
    <w:uiPriority w:val="99"/>
    <w:rsid w:val="00223897"/>
    <w:pPr>
      <w:tabs>
        <w:tab w:val="center" w:pos="4536"/>
        <w:tab w:val="right" w:pos="9072"/>
      </w:tabs>
    </w:pPr>
  </w:style>
  <w:style w:type="character" w:customStyle="1" w:styleId="ZpatChar">
    <w:name w:val="Zápatí Char"/>
    <w:basedOn w:val="Standardnpsmoodstavce"/>
    <w:link w:val="Zpat"/>
    <w:uiPriority w:val="99"/>
    <w:rsid w:val="00223897"/>
    <w:rPr>
      <w:rFonts w:ascii="Arial" w:eastAsia="Times New Roman" w:hAnsi="Arial" w:cs="Times New Roman"/>
      <w:sz w:val="18"/>
      <w:szCs w:val="20"/>
      <w:lang w:eastAsia="cs-CZ"/>
    </w:rPr>
  </w:style>
  <w:style w:type="paragraph" w:customStyle="1" w:styleId="ListParagraph1">
    <w:name w:val="List Paragraph1"/>
    <w:basedOn w:val="Normln"/>
    <w:uiPriority w:val="99"/>
    <w:rsid w:val="00223897"/>
    <w:pPr>
      <w:overflowPunct/>
      <w:autoSpaceDE/>
      <w:autoSpaceDN/>
      <w:adjustRightInd/>
      <w:spacing w:after="200" w:line="276" w:lineRule="auto"/>
      <w:ind w:left="720"/>
      <w:contextualSpacing/>
      <w:jc w:val="left"/>
      <w:textAlignment w:val="auto"/>
    </w:pPr>
    <w:rPr>
      <w:rFonts w:ascii="Calibri" w:hAnsi="Calibri"/>
      <w:sz w:val="22"/>
      <w:szCs w:val="22"/>
      <w:lang w:eastAsia="en-US"/>
    </w:rPr>
  </w:style>
  <w:style w:type="paragraph" w:customStyle="1" w:styleId="Default">
    <w:name w:val="Default"/>
    <w:rsid w:val="00223897"/>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223897"/>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paragraph" w:styleId="Odstavecseseznamem">
    <w:name w:val="List Paragraph"/>
    <w:basedOn w:val="Normln"/>
    <w:uiPriority w:val="34"/>
    <w:qFormat/>
    <w:rsid w:val="00230D07"/>
    <w:pPr>
      <w:overflowPunct/>
      <w:autoSpaceDE/>
      <w:autoSpaceDN/>
      <w:adjustRightInd/>
      <w:ind w:left="720"/>
      <w:contextualSpacing/>
      <w:jc w:val="left"/>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BF1093"/>
    <w:rPr>
      <w:color w:val="808080"/>
      <w:shd w:val="clear" w:color="auto" w:fill="E6E6E6"/>
    </w:rPr>
  </w:style>
  <w:style w:type="character" w:styleId="Siln">
    <w:name w:val="Strong"/>
    <w:basedOn w:val="Standardnpsmoodstavce"/>
    <w:uiPriority w:val="22"/>
    <w:qFormat/>
    <w:rsid w:val="00030AE1"/>
    <w:rPr>
      <w:b/>
      <w:bCs/>
    </w:rPr>
  </w:style>
  <w:style w:type="character" w:styleId="Nevyeenzmnka">
    <w:name w:val="Unresolved Mention"/>
    <w:basedOn w:val="Standardnpsmoodstavce"/>
    <w:uiPriority w:val="99"/>
    <w:semiHidden/>
    <w:unhideWhenUsed/>
    <w:rsid w:val="001B6E33"/>
    <w:rPr>
      <w:color w:val="808080"/>
      <w:shd w:val="clear" w:color="auto" w:fill="E6E6E6"/>
    </w:rPr>
  </w:style>
  <w:style w:type="character" w:styleId="Sledovanodkaz">
    <w:name w:val="FollowedHyperlink"/>
    <w:basedOn w:val="Standardnpsmoodstavce"/>
    <w:uiPriority w:val="99"/>
    <w:semiHidden/>
    <w:unhideWhenUsed/>
    <w:rsid w:val="003C323B"/>
    <w:rPr>
      <w:color w:val="954F72" w:themeColor="followedHyperlink"/>
      <w:u w:val="single"/>
    </w:rPr>
  </w:style>
  <w:style w:type="paragraph" w:styleId="Normlnweb">
    <w:name w:val="Normal (Web)"/>
    <w:basedOn w:val="Normln"/>
    <w:uiPriority w:val="99"/>
    <w:semiHidden/>
    <w:unhideWhenUsed/>
    <w:rsid w:val="0062235E"/>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6868">
      <w:bodyDiv w:val="1"/>
      <w:marLeft w:val="0"/>
      <w:marRight w:val="0"/>
      <w:marTop w:val="0"/>
      <w:marBottom w:val="0"/>
      <w:divBdr>
        <w:top w:val="none" w:sz="0" w:space="0" w:color="auto"/>
        <w:left w:val="none" w:sz="0" w:space="0" w:color="auto"/>
        <w:bottom w:val="none" w:sz="0" w:space="0" w:color="auto"/>
        <w:right w:val="none" w:sz="0" w:space="0" w:color="auto"/>
      </w:divBdr>
      <w:divsChild>
        <w:div w:id="1069695008">
          <w:marLeft w:val="547"/>
          <w:marRight w:val="0"/>
          <w:marTop w:val="58"/>
          <w:marBottom w:val="0"/>
          <w:divBdr>
            <w:top w:val="none" w:sz="0" w:space="0" w:color="auto"/>
            <w:left w:val="none" w:sz="0" w:space="0" w:color="auto"/>
            <w:bottom w:val="none" w:sz="0" w:space="0" w:color="auto"/>
            <w:right w:val="none" w:sz="0" w:space="0" w:color="auto"/>
          </w:divBdr>
        </w:div>
      </w:divsChild>
    </w:div>
    <w:div w:id="734161426">
      <w:bodyDiv w:val="1"/>
      <w:marLeft w:val="0"/>
      <w:marRight w:val="0"/>
      <w:marTop w:val="0"/>
      <w:marBottom w:val="0"/>
      <w:divBdr>
        <w:top w:val="none" w:sz="0" w:space="0" w:color="auto"/>
        <w:left w:val="none" w:sz="0" w:space="0" w:color="auto"/>
        <w:bottom w:val="none" w:sz="0" w:space="0" w:color="auto"/>
        <w:right w:val="none" w:sz="0" w:space="0" w:color="auto"/>
      </w:divBdr>
    </w:div>
    <w:div w:id="822350315">
      <w:bodyDiv w:val="1"/>
      <w:marLeft w:val="0"/>
      <w:marRight w:val="0"/>
      <w:marTop w:val="0"/>
      <w:marBottom w:val="0"/>
      <w:divBdr>
        <w:top w:val="none" w:sz="0" w:space="0" w:color="auto"/>
        <w:left w:val="none" w:sz="0" w:space="0" w:color="auto"/>
        <w:bottom w:val="none" w:sz="0" w:space="0" w:color="auto"/>
        <w:right w:val="none" w:sz="0" w:space="0" w:color="auto"/>
      </w:divBdr>
    </w:div>
    <w:div w:id="1307080831">
      <w:bodyDiv w:val="1"/>
      <w:marLeft w:val="0"/>
      <w:marRight w:val="0"/>
      <w:marTop w:val="0"/>
      <w:marBottom w:val="0"/>
      <w:divBdr>
        <w:top w:val="none" w:sz="0" w:space="0" w:color="auto"/>
        <w:left w:val="none" w:sz="0" w:space="0" w:color="auto"/>
        <w:bottom w:val="none" w:sz="0" w:space="0" w:color="auto"/>
        <w:right w:val="none" w:sz="0" w:space="0" w:color="auto"/>
      </w:divBdr>
      <w:divsChild>
        <w:div w:id="1765807077">
          <w:marLeft w:val="547"/>
          <w:marRight w:val="0"/>
          <w:marTop w:val="58"/>
          <w:marBottom w:val="0"/>
          <w:divBdr>
            <w:top w:val="none" w:sz="0" w:space="0" w:color="auto"/>
            <w:left w:val="none" w:sz="0" w:space="0" w:color="auto"/>
            <w:bottom w:val="none" w:sz="0" w:space="0" w:color="auto"/>
            <w:right w:val="none" w:sz="0" w:space="0" w:color="auto"/>
          </w:divBdr>
        </w:div>
      </w:divsChild>
    </w:div>
    <w:div w:id="1787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Štěpánek</dc:creator>
  <cp:keywords/>
  <dc:description/>
  <cp:lastModifiedBy>Andrea Trudičová</cp:lastModifiedBy>
  <cp:revision>6</cp:revision>
  <dcterms:created xsi:type="dcterms:W3CDTF">2018-03-09T08:06:00Z</dcterms:created>
  <dcterms:modified xsi:type="dcterms:W3CDTF">2019-10-11T06:24:00Z</dcterms:modified>
</cp:coreProperties>
</file>