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1C" w:rsidRDefault="001F529B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0"/>
          <w:szCs w:val="24"/>
        </w:rPr>
      </w:pPr>
      <w:r>
        <w:rPr>
          <w:b/>
          <w:bCs/>
          <w:noProof/>
          <w:color w:val="57B167"/>
          <w:sz w:val="20"/>
          <w:szCs w:val="24"/>
        </w:rPr>
        <w:t>K</w:t>
      </w:r>
      <w:r w:rsidR="00030AE1" w:rsidRPr="009F0C1C">
        <w:rPr>
          <w:b/>
          <w:bCs/>
          <w:noProof/>
          <w:color w:val="57B167"/>
          <w:sz w:val="20"/>
          <w:szCs w:val="24"/>
        </w:rPr>
        <w:t xml:space="preserve">omentář </w:t>
      </w:r>
      <w:r w:rsidR="000A398F">
        <w:rPr>
          <w:b/>
          <w:bCs/>
          <w:noProof/>
          <w:color w:val="57B167"/>
          <w:sz w:val="20"/>
          <w:szCs w:val="24"/>
        </w:rPr>
        <w:t>Filipa Hanzlíka</w:t>
      </w:r>
      <w:r w:rsidR="00D25815" w:rsidRPr="009F0C1C">
        <w:rPr>
          <w:b/>
          <w:bCs/>
          <w:noProof/>
          <w:color w:val="57B167"/>
          <w:sz w:val="20"/>
          <w:szCs w:val="24"/>
        </w:rPr>
        <w:t xml:space="preserve">, </w:t>
      </w:r>
      <w:r w:rsidR="000A398F">
        <w:rPr>
          <w:b/>
          <w:bCs/>
          <w:noProof/>
          <w:color w:val="57B167"/>
          <w:sz w:val="20"/>
          <w:szCs w:val="24"/>
        </w:rPr>
        <w:t xml:space="preserve">náměstka </w:t>
      </w:r>
      <w:r w:rsidR="00DE49C1">
        <w:rPr>
          <w:b/>
          <w:bCs/>
          <w:noProof/>
          <w:color w:val="57B167"/>
          <w:sz w:val="20"/>
          <w:szCs w:val="24"/>
        </w:rPr>
        <w:t>výkonného ředitele</w:t>
      </w:r>
      <w:r w:rsidR="00D25815" w:rsidRPr="009F0C1C">
        <w:rPr>
          <w:b/>
          <w:bCs/>
          <w:noProof/>
          <w:color w:val="57B167"/>
          <w:sz w:val="20"/>
          <w:szCs w:val="24"/>
        </w:rPr>
        <w:t xml:space="preserve"> </w:t>
      </w:r>
      <w:r w:rsidR="009C7739" w:rsidRPr="009F0C1C">
        <w:rPr>
          <w:b/>
          <w:bCs/>
          <w:noProof/>
          <w:color w:val="57B167"/>
          <w:sz w:val="20"/>
          <w:szCs w:val="24"/>
        </w:rPr>
        <w:t xml:space="preserve">České </w:t>
      </w:r>
      <w:r w:rsidR="00030AE1" w:rsidRPr="009F0C1C">
        <w:rPr>
          <w:b/>
          <w:bCs/>
          <w:noProof/>
          <w:color w:val="57B167"/>
          <w:sz w:val="20"/>
          <w:szCs w:val="24"/>
        </w:rPr>
        <w:t>bankovní asociace</w:t>
      </w:r>
      <w:r w:rsidR="00206709" w:rsidRPr="009F0C1C">
        <w:rPr>
          <w:b/>
          <w:bCs/>
          <w:noProof/>
          <w:color w:val="57B167"/>
          <w:sz w:val="20"/>
          <w:szCs w:val="24"/>
        </w:rPr>
        <w:t xml:space="preserve">: </w:t>
      </w:r>
    </w:p>
    <w:p w:rsidR="009F0C1C" w:rsidRDefault="009F0C1C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0"/>
          <w:szCs w:val="24"/>
        </w:rPr>
      </w:pPr>
    </w:p>
    <w:p w:rsidR="00030AE1" w:rsidRPr="009C7739" w:rsidRDefault="00361F66" w:rsidP="009C7739">
      <w:pPr>
        <w:overflowPunct/>
        <w:autoSpaceDE/>
        <w:autoSpaceDN/>
        <w:adjustRightInd/>
        <w:spacing w:line="276" w:lineRule="auto"/>
        <w:textAlignment w:val="auto"/>
        <w:rPr>
          <w:b/>
          <w:bCs/>
          <w:noProof/>
          <w:color w:val="57B167"/>
          <w:sz w:val="24"/>
          <w:szCs w:val="24"/>
        </w:rPr>
      </w:pPr>
      <w:r>
        <w:rPr>
          <w:b/>
          <w:bCs/>
          <w:noProof/>
          <w:color w:val="57B167"/>
          <w:sz w:val="24"/>
          <w:szCs w:val="24"/>
        </w:rPr>
        <w:t>K</w:t>
      </w:r>
      <w:r w:rsidR="00DE49C1">
        <w:rPr>
          <w:b/>
          <w:bCs/>
          <w:noProof/>
          <w:color w:val="57B167"/>
          <w:sz w:val="24"/>
          <w:szCs w:val="24"/>
        </w:rPr>
        <w:t xml:space="preserve"> </w:t>
      </w:r>
      <w:r w:rsidR="000A398F">
        <w:rPr>
          <w:b/>
          <w:bCs/>
          <w:noProof/>
          <w:color w:val="57B167"/>
          <w:sz w:val="24"/>
          <w:szCs w:val="24"/>
        </w:rPr>
        <w:t>Novele daňového řádu</w:t>
      </w:r>
      <w:r w:rsidR="009F0C1C">
        <w:rPr>
          <w:b/>
          <w:bCs/>
          <w:noProof/>
          <w:color w:val="57B167"/>
          <w:sz w:val="24"/>
          <w:szCs w:val="24"/>
        </w:rPr>
        <w:t xml:space="preserve"> </w:t>
      </w:r>
      <w:r w:rsidR="000A398F">
        <w:rPr>
          <w:b/>
          <w:bCs/>
          <w:noProof/>
          <w:color w:val="57B167"/>
          <w:sz w:val="24"/>
          <w:szCs w:val="24"/>
        </w:rPr>
        <w:t>(prolomení bankovního tajemství)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D1582C" w:rsidRPr="001F529B" w:rsidRDefault="00030AE1" w:rsidP="009F0C1C">
      <w:pPr>
        <w:spacing w:line="276" w:lineRule="auto"/>
        <w:jc w:val="right"/>
        <w:rPr>
          <w:rFonts w:cs="Arial"/>
          <w:b/>
          <w:color w:val="000000"/>
          <w:szCs w:val="22"/>
        </w:rPr>
      </w:pPr>
      <w:r w:rsidRPr="001F529B">
        <w:rPr>
          <w:rFonts w:cs="Arial"/>
          <w:b/>
          <w:color w:val="000000"/>
          <w:szCs w:val="22"/>
        </w:rPr>
        <w:t xml:space="preserve">Praha, </w:t>
      </w:r>
      <w:r w:rsidR="000A398F">
        <w:rPr>
          <w:rFonts w:cs="Arial"/>
          <w:b/>
          <w:color w:val="000000"/>
          <w:szCs w:val="22"/>
        </w:rPr>
        <w:t>21</w:t>
      </w:r>
      <w:r w:rsidRPr="001F529B">
        <w:rPr>
          <w:rFonts w:cs="Arial"/>
          <w:b/>
          <w:color w:val="000000"/>
          <w:szCs w:val="22"/>
        </w:rPr>
        <w:t xml:space="preserve">. </w:t>
      </w:r>
      <w:r w:rsidR="000A398F">
        <w:rPr>
          <w:rFonts w:cs="Arial"/>
          <w:b/>
          <w:color w:val="000000"/>
          <w:szCs w:val="22"/>
        </w:rPr>
        <w:t>března</w:t>
      </w:r>
      <w:r w:rsidR="00D1582C" w:rsidRPr="001F529B">
        <w:rPr>
          <w:rFonts w:cs="Arial"/>
          <w:b/>
          <w:color w:val="000000"/>
          <w:szCs w:val="22"/>
        </w:rPr>
        <w:t xml:space="preserve"> 2018</w:t>
      </w:r>
    </w:p>
    <w:p w:rsidR="00D1582C" w:rsidRPr="009C7739" w:rsidRDefault="00D1582C" w:rsidP="009C7739">
      <w:pPr>
        <w:spacing w:line="276" w:lineRule="auto"/>
        <w:rPr>
          <w:rFonts w:cs="Arial"/>
          <w:szCs w:val="22"/>
        </w:rPr>
      </w:pPr>
    </w:p>
    <w:p w:rsidR="000A398F" w:rsidRDefault="000A398F" w:rsidP="009C7739">
      <w:pPr>
        <w:spacing w:line="276" w:lineRule="auto"/>
        <w:rPr>
          <w:rFonts w:cs="Arial"/>
          <w:sz w:val="20"/>
        </w:rPr>
      </w:pPr>
      <w:r w:rsidRPr="000A398F">
        <w:rPr>
          <w:rFonts w:cs="Arial"/>
          <w:sz w:val="20"/>
        </w:rPr>
        <w:t xml:space="preserve">Problémem není transpozice směrnice DAC 5, tedy rozšíření okruhu klientských informací získávaných bankami v rámci prověřování klienta podle předpisů proti praní špinavých peněz a financování mezinárodního terorismu, které banky budou povinny sdělovat finanční správě pro účely mezinárodní spolupráce při správě daní. </w:t>
      </w:r>
    </w:p>
    <w:p w:rsidR="000A398F" w:rsidRDefault="000A398F" w:rsidP="009C7739">
      <w:pPr>
        <w:spacing w:line="276" w:lineRule="auto"/>
        <w:rPr>
          <w:rFonts w:cs="Arial"/>
          <w:sz w:val="20"/>
        </w:rPr>
      </w:pPr>
    </w:p>
    <w:p w:rsidR="000A398F" w:rsidRDefault="000A398F" w:rsidP="009C7739">
      <w:pPr>
        <w:spacing w:line="276" w:lineRule="auto"/>
        <w:rPr>
          <w:rFonts w:cs="Arial"/>
          <w:sz w:val="20"/>
        </w:rPr>
      </w:pPr>
      <w:r w:rsidRPr="000A398F">
        <w:rPr>
          <w:rFonts w:cs="Arial"/>
          <w:sz w:val="20"/>
        </w:rPr>
        <w:t xml:space="preserve">Tímto problémem je to, že podle schváleného návrhu by banky tyto vysoce citlivé klientské informace měly sdělovat správcům daně i pro vnitrostátní správu daní. To je velmi sporné proto, že tyto informace jsou podle dosavadních pravidel určeny primárně pro Finanční analytický úřad (FAÚ), zatímco nyní by o jejich sdělení mohl žádat kterýkoli správce daně, tedy nejenom finanční úřady, ale také třeba obce, pokud spravují např. poplatky za psy nebo za odvoz odpadu, a také pracovníci celní </w:t>
      </w:r>
      <w:r w:rsidRPr="000A398F">
        <w:rPr>
          <w:rFonts w:cs="Arial"/>
          <w:sz w:val="20"/>
        </w:rPr>
        <w:t>správy. Všechny</w:t>
      </w:r>
      <w:r w:rsidRPr="000A398F">
        <w:rPr>
          <w:rFonts w:cs="Arial"/>
          <w:sz w:val="20"/>
        </w:rPr>
        <w:t xml:space="preserve"> tyto subjekty totiž mají postavení „správce daně“. Jedná se tedy o významné prolomení bankovního tajemství. </w:t>
      </w:r>
    </w:p>
    <w:p w:rsidR="000A398F" w:rsidRDefault="000A398F" w:rsidP="009C7739">
      <w:pPr>
        <w:spacing w:line="276" w:lineRule="auto"/>
        <w:rPr>
          <w:rFonts w:cs="Arial"/>
          <w:sz w:val="20"/>
        </w:rPr>
      </w:pPr>
    </w:p>
    <w:p w:rsidR="000A398F" w:rsidRDefault="000A398F" w:rsidP="009C7739">
      <w:pPr>
        <w:spacing w:line="276" w:lineRule="auto"/>
        <w:rPr>
          <w:rFonts w:cs="Arial"/>
          <w:sz w:val="20"/>
        </w:rPr>
      </w:pPr>
      <w:r w:rsidRPr="000A398F">
        <w:rPr>
          <w:rFonts w:cs="Arial"/>
          <w:sz w:val="20"/>
        </w:rPr>
        <w:t xml:space="preserve">Současně lze očekávat významný nárůst dotazů. Zatímco v rámci FAÚ s těmito informacemi pracuje v zabezpečeném režimu několik desítek analytických pracovníků, pak zaměstnanců „správců daně“ je téměř dvacet tisíc. I proto jsme navrhovali, aby byl přijat pozměňovací návrh, který by, podobně jako u profesních komor, zavedl centralizaci dotazování na straně finanční správy, což ovšem zástupci </w:t>
      </w:r>
      <w:r w:rsidRPr="000A398F">
        <w:rPr>
          <w:rFonts w:cs="Arial"/>
          <w:sz w:val="20"/>
        </w:rPr>
        <w:t>předkladatele setrvale</w:t>
      </w:r>
      <w:r w:rsidRPr="000A398F">
        <w:rPr>
          <w:rFonts w:cs="Arial"/>
          <w:sz w:val="20"/>
        </w:rPr>
        <w:t xml:space="preserve"> odmítali a návrh nezískal ani potřebnou většinu v parlamentních výborech. </w:t>
      </w:r>
    </w:p>
    <w:p w:rsidR="000A398F" w:rsidRDefault="000A398F" w:rsidP="009C7739">
      <w:pPr>
        <w:spacing w:line="276" w:lineRule="auto"/>
        <w:rPr>
          <w:rFonts w:cs="Arial"/>
          <w:sz w:val="20"/>
        </w:rPr>
      </w:pPr>
    </w:p>
    <w:p w:rsidR="009C7739" w:rsidRDefault="000A398F" w:rsidP="009C7739">
      <w:pPr>
        <w:spacing w:line="276" w:lineRule="auto"/>
        <w:rPr>
          <w:rFonts w:cs="Arial"/>
          <w:sz w:val="20"/>
        </w:rPr>
      </w:pPr>
      <w:r w:rsidRPr="000A398F">
        <w:rPr>
          <w:rFonts w:cs="Arial"/>
          <w:sz w:val="20"/>
        </w:rPr>
        <w:t>Navíc není vůbec zřejmé, nakolik správce daně ve vnitrostátním daňovém řízení tyto informace vůbec využije především proto, že tyto informace jsou shromažďovány s cílem zamezit praní špinavých peněz a financovat mezinárodní terorismu</w:t>
      </w:r>
      <w:bookmarkStart w:id="0" w:name="_GoBack"/>
      <w:bookmarkEnd w:id="0"/>
      <w:r w:rsidRPr="000A398F">
        <w:rPr>
          <w:rFonts w:cs="Arial"/>
          <w:sz w:val="20"/>
        </w:rPr>
        <w:t>s – to ovšem nejsou úkoly správce daně.</w:t>
      </w:r>
    </w:p>
    <w:p w:rsidR="000A398F" w:rsidRPr="000A398F" w:rsidRDefault="000A398F" w:rsidP="009C7739">
      <w:pPr>
        <w:spacing w:line="276" w:lineRule="auto"/>
        <w:rPr>
          <w:rFonts w:cs="Arial"/>
          <w:sz w:val="20"/>
        </w:rPr>
      </w:pPr>
    </w:p>
    <w:p w:rsidR="009C7739" w:rsidRPr="003C323B" w:rsidRDefault="009C7739" w:rsidP="009C7739">
      <w:pPr>
        <w:spacing w:line="276" w:lineRule="auto"/>
        <w:rPr>
          <w:rFonts w:cs="Arial"/>
          <w:b/>
          <w:color w:val="000000"/>
          <w:szCs w:val="22"/>
        </w:rPr>
      </w:pPr>
      <w:r w:rsidRPr="003C323B">
        <w:rPr>
          <w:rFonts w:cs="Arial"/>
          <w:b/>
          <w:color w:val="000000"/>
          <w:szCs w:val="22"/>
        </w:rPr>
        <w:t>Autor:</w:t>
      </w:r>
    </w:p>
    <w:p w:rsidR="009C7739" w:rsidRPr="003C323B" w:rsidRDefault="000A398F" w:rsidP="009C7739">
      <w:pPr>
        <w:spacing w:line="276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Filip Hanzlík</w:t>
      </w:r>
    </w:p>
    <w:p w:rsidR="009C7739" w:rsidRPr="003C323B" w:rsidRDefault="000A398F" w:rsidP="009C773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Cs w:val="22"/>
        </w:rPr>
        <w:t>Náměstek v</w:t>
      </w:r>
      <w:r w:rsidR="00DE49C1">
        <w:rPr>
          <w:rFonts w:cs="Arial"/>
          <w:color w:val="000000"/>
          <w:szCs w:val="22"/>
        </w:rPr>
        <w:t>ýkonn</w:t>
      </w:r>
      <w:r>
        <w:rPr>
          <w:rFonts w:cs="Arial"/>
          <w:color w:val="000000"/>
          <w:szCs w:val="22"/>
        </w:rPr>
        <w:t>ého</w:t>
      </w:r>
      <w:r w:rsidR="00DE49C1">
        <w:rPr>
          <w:rFonts w:cs="Arial"/>
          <w:color w:val="000000"/>
          <w:szCs w:val="22"/>
        </w:rPr>
        <w:t xml:space="preserve"> ředitel</w:t>
      </w:r>
      <w:r>
        <w:rPr>
          <w:rFonts w:cs="Arial"/>
          <w:color w:val="000000"/>
          <w:szCs w:val="22"/>
        </w:rPr>
        <w:t>e a hlavní právník</w:t>
      </w:r>
      <w:r w:rsidR="00DE49C1">
        <w:rPr>
          <w:rFonts w:cs="Arial"/>
          <w:color w:val="000000"/>
          <w:szCs w:val="22"/>
        </w:rPr>
        <w:t xml:space="preserve"> ČBA</w:t>
      </w:r>
    </w:p>
    <w:p w:rsidR="00030AE1" w:rsidRDefault="00030AE1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3C323B" w:rsidRDefault="003C323B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223897" w:rsidRPr="00AA74F0" w:rsidRDefault="00223897" w:rsidP="009C773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9C773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8146ED" w:rsidRDefault="008146ED" w:rsidP="00223897">
      <w:pPr>
        <w:spacing w:line="276" w:lineRule="auto"/>
        <w:jc w:val="left"/>
        <w:rPr>
          <w:rFonts w:cs="Arial"/>
          <w:noProof/>
          <w:szCs w:val="18"/>
        </w:rPr>
      </w:pPr>
    </w:p>
    <w:p w:rsidR="008146ED" w:rsidRPr="008146ED" w:rsidRDefault="00B2367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 xml:space="preserve">Mgr. </w:t>
      </w:r>
      <w:r w:rsidR="008146ED" w:rsidRPr="008146ED">
        <w:rPr>
          <w:rFonts w:cs="Arial"/>
          <w:b/>
          <w:noProof/>
          <w:szCs w:val="18"/>
        </w:rPr>
        <w:t>Monika Petrásková</w:t>
      </w:r>
    </w:p>
    <w:p w:rsidR="00223897" w:rsidRPr="005F15CF" w:rsidRDefault="008146E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 xml:space="preserve">Manažerka </w:t>
      </w:r>
      <w:r w:rsidR="00223897" w:rsidRPr="00E24363">
        <w:rPr>
          <w:rFonts w:cs="Arial"/>
          <w:noProof/>
          <w:szCs w:val="18"/>
        </w:rPr>
        <w:t>PR</w:t>
      </w:r>
      <w:r>
        <w:rPr>
          <w:rFonts w:cs="Arial"/>
          <w:noProof/>
          <w:szCs w:val="18"/>
        </w:rPr>
        <w:t xml:space="preserve"> a komunikace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 w:rsidR="00B2367D">
        <w:rPr>
          <w:rFonts w:cs="Arial"/>
          <w:noProof/>
          <w:szCs w:val="18"/>
        </w:rPr>
        <w:t> 733 130 282</w:t>
      </w:r>
    </w:p>
    <w:p w:rsidR="008146ED" w:rsidRDefault="008146ED" w:rsidP="00223897">
      <w:pPr>
        <w:spacing w:line="276" w:lineRule="auto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Petraskova@czech-ba.cz</w:t>
      </w:r>
    </w:p>
    <w:sectPr w:rsidR="008146ED" w:rsidSect="005E267D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FC" w:rsidRDefault="00DB06FC">
      <w:r>
        <w:separator/>
      </w:r>
    </w:p>
  </w:endnote>
  <w:endnote w:type="continuationSeparator" w:id="0">
    <w:p w:rsidR="00DB06FC" w:rsidRDefault="00DB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FC" w:rsidRDefault="00DB06FC">
      <w:r>
        <w:separator/>
      </w:r>
    </w:p>
  </w:footnote>
  <w:footnote w:type="continuationSeparator" w:id="0">
    <w:p w:rsidR="00DB06FC" w:rsidRDefault="00DB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739">
      <w:rPr>
        <w:rFonts w:cs="Arial"/>
        <w:b/>
        <w:sz w:val="20"/>
      </w:rPr>
      <w:t>Komentář ČBA</w:t>
    </w:r>
  </w:p>
  <w:p w:rsidR="00121FD7" w:rsidRDefault="00DB06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97"/>
    <w:rsid w:val="000121E0"/>
    <w:rsid w:val="00030AE1"/>
    <w:rsid w:val="000668F1"/>
    <w:rsid w:val="000A398F"/>
    <w:rsid w:val="000E4AA2"/>
    <w:rsid w:val="001B6E33"/>
    <w:rsid w:val="001C2C5F"/>
    <w:rsid w:val="001F529B"/>
    <w:rsid w:val="00206709"/>
    <w:rsid w:val="00223897"/>
    <w:rsid w:val="00230D07"/>
    <w:rsid w:val="002C3669"/>
    <w:rsid w:val="003055B9"/>
    <w:rsid w:val="00361F66"/>
    <w:rsid w:val="00367030"/>
    <w:rsid w:val="003C323B"/>
    <w:rsid w:val="00410179"/>
    <w:rsid w:val="004171E8"/>
    <w:rsid w:val="00422CFA"/>
    <w:rsid w:val="004368C4"/>
    <w:rsid w:val="0046294A"/>
    <w:rsid w:val="00471029"/>
    <w:rsid w:val="00477AD4"/>
    <w:rsid w:val="0050560D"/>
    <w:rsid w:val="0055686F"/>
    <w:rsid w:val="00563D87"/>
    <w:rsid w:val="005D085B"/>
    <w:rsid w:val="00687841"/>
    <w:rsid w:val="006D18EF"/>
    <w:rsid w:val="007733D2"/>
    <w:rsid w:val="007B3087"/>
    <w:rsid w:val="008146ED"/>
    <w:rsid w:val="008702B7"/>
    <w:rsid w:val="00935DA7"/>
    <w:rsid w:val="009C7739"/>
    <w:rsid w:val="009F0C1C"/>
    <w:rsid w:val="00A26C1D"/>
    <w:rsid w:val="00AA7B22"/>
    <w:rsid w:val="00B04998"/>
    <w:rsid w:val="00B2367D"/>
    <w:rsid w:val="00B34D65"/>
    <w:rsid w:val="00BF1093"/>
    <w:rsid w:val="00C4019C"/>
    <w:rsid w:val="00C42848"/>
    <w:rsid w:val="00C5365E"/>
    <w:rsid w:val="00CB39D4"/>
    <w:rsid w:val="00CC50BE"/>
    <w:rsid w:val="00D057CC"/>
    <w:rsid w:val="00D1582C"/>
    <w:rsid w:val="00D25815"/>
    <w:rsid w:val="00DB06FC"/>
    <w:rsid w:val="00DE49C1"/>
    <w:rsid w:val="00DF3933"/>
    <w:rsid w:val="00EF08FF"/>
    <w:rsid w:val="00F1053D"/>
    <w:rsid w:val="00F256CE"/>
    <w:rsid w:val="00F94EBD"/>
    <w:rsid w:val="00FB6647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418F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30AE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6E3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C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Andrea Trudičová</cp:lastModifiedBy>
  <cp:revision>5</cp:revision>
  <dcterms:created xsi:type="dcterms:W3CDTF">2018-05-17T13:07:00Z</dcterms:created>
  <dcterms:modified xsi:type="dcterms:W3CDTF">2019-10-09T15:29:00Z</dcterms:modified>
</cp:coreProperties>
</file>