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2AD" w14:textId="2B9794B5" w:rsidR="009139AF" w:rsidRPr="00CC7C45" w:rsidRDefault="009139AF" w:rsidP="008B1C16">
      <w:pPr>
        <w:spacing w:line="276" w:lineRule="auto"/>
        <w:contextualSpacing/>
        <w:rPr>
          <w:rFonts w:cs="Arial"/>
          <w:b/>
          <w:color w:val="007E79"/>
          <w:sz w:val="32"/>
          <w:szCs w:val="28"/>
        </w:rPr>
      </w:pPr>
      <w:r w:rsidRPr="00CC7C45">
        <w:rPr>
          <w:rFonts w:cs="Arial"/>
          <w:noProof/>
          <w:color w:val="007E7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776EB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C2020E" w:rsidRDefault="00C2020E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11CCE7DF" w:rsidR="00C2020E" w:rsidRPr="00517111" w:rsidRDefault="00C2020E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26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03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C2020E" w:rsidRDefault="00C2020E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11CCE7DF" w:rsidR="00C2020E" w:rsidRPr="00517111" w:rsidRDefault="00C2020E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26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03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4D7" w:rsidRPr="00CC7C45">
        <w:rPr>
          <w:rFonts w:cs="Arial"/>
          <w:b/>
          <w:color w:val="007E79"/>
          <w:sz w:val="32"/>
          <w:szCs w:val="28"/>
        </w:rPr>
        <w:t xml:space="preserve">Dobrá zpráva pro banky: </w:t>
      </w:r>
      <w:r w:rsidR="00131E94">
        <w:rPr>
          <w:rFonts w:cs="Arial"/>
          <w:b/>
          <w:color w:val="007E79"/>
          <w:sz w:val="32"/>
          <w:szCs w:val="28"/>
        </w:rPr>
        <w:t xml:space="preserve">důvěra i spokojenost jejich klientů dlouhodobě vzrůstá </w:t>
      </w:r>
      <w:bookmarkStart w:id="0" w:name="_GoBack"/>
      <w:bookmarkEnd w:id="0"/>
    </w:p>
    <w:p w14:paraId="4822D790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4BEA4091" w14:textId="769D3D5F" w:rsidR="00ED2264" w:rsidRPr="00CC7C45" w:rsidRDefault="009139AF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  <w:r w:rsidRPr="00CC7C45">
        <w:rPr>
          <w:rFonts w:cs="Arial"/>
          <w:b/>
          <w:color w:val="007E79"/>
          <w:szCs w:val="18"/>
        </w:rPr>
        <w:t xml:space="preserve">Praha, </w:t>
      </w:r>
      <w:r w:rsidR="001E15FD" w:rsidRPr="00CC7C45">
        <w:rPr>
          <w:rFonts w:cs="Arial"/>
          <w:b/>
          <w:color w:val="007E79"/>
          <w:szCs w:val="18"/>
        </w:rPr>
        <w:t>2</w:t>
      </w:r>
      <w:r w:rsidR="00C6528A" w:rsidRPr="00CC7C45">
        <w:rPr>
          <w:rFonts w:cs="Arial"/>
          <w:b/>
          <w:color w:val="007E79"/>
          <w:szCs w:val="18"/>
        </w:rPr>
        <w:t>6</w:t>
      </w:r>
      <w:r w:rsidRPr="00CC7C45">
        <w:rPr>
          <w:rFonts w:cs="Arial"/>
          <w:b/>
          <w:color w:val="007E79"/>
          <w:szCs w:val="18"/>
        </w:rPr>
        <w:t xml:space="preserve">. </w:t>
      </w:r>
      <w:r w:rsidR="00C6528A" w:rsidRPr="00CC7C45">
        <w:rPr>
          <w:rFonts w:cs="Arial"/>
          <w:b/>
          <w:color w:val="007E79"/>
          <w:szCs w:val="18"/>
        </w:rPr>
        <w:t>březen</w:t>
      </w:r>
      <w:r w:rsidRPr="00CC7C45">
        <w:rPr>
          <w:rFonts w:cs="Arial"/>
          <w:b/>
          <w:color w:val="007E79"/>
          <w:szCs w:val="18"/>
        </w:rPr>
        <w:t xml:space="preserve"> </w:t>
      </w:r>
      <w:proofErr w:type="gramStart"/>
      <w:r w:rsidR="00072447" w:rsidRPr="00CC7C45">
        <w:rPr>
          <w:rFonts w:cs="Arial"/>
          <w:b/>
          <w:color w:val="007E79"/>
          <w:szCs w:val="18"/>
        </w:rPr>
        <w:t>2019 – I</w:t>
      </w:r>
      <w:proofErr w:type="gramEnd"/>
      <w:r w:rsidR="00ED2264" w:rsidRPr="00CC7C45">
        <w:rPr>
          <w:rFonts w:cs="Arial"/>
          <w:b/>
          <w:color w:val="007E79"/>
          <w:szCs w:val="18"/>
        </w:rPr>
        <w:t xml:space="preserve"> v letošním roce </w:t>
      </w:r>
      <w:r w:rsidR="00C627A3" w:rsidRPr="00CC7C45">
        <w:rPr>
          <w:rFonts w:cs="Arial"/>
          <w:b/>
          <w:color w:val="007E79"/>
          <w:szCs w:val="18"/>
        </w:rPr>
        <w:t>mírně vzrostla důvěra Čechů v</w:t>
      </w:r>
      <w:r w:rsidR="00C2020E" w:rsidRPr="00CC7C45">
        <w:rPr>
          <w:rFonts w:cs="Arial"/>
          <w:b/>
          <w:color w:val="007E79"/>
          <w:szCs w:val="18"/>
        </w:rPr>
        <w:t> </w:t>
      </w:r>
      <w:r w:rsidR="00C627A3" w:rsidRPr="00CC7C45">
        <w:rPr>
          <w:rFonts w:cs="Arial"/>
          <w:b/>
          <w:color w:val="007E79"/>
          <w:szCs w:val="18"/>
        </w:rPr>
        <w:t>bank</w:t>
      </w:r>
      <w:r w:rsidR="00C2020E" w:rsidRPr="00CC7C45">
        <w:rPr>
          <w:rFonts w:cs="Arial"/>
          <w:b/>
          <w:color w:val="007E79"/>
          <w:szCs w:val="18"/>
        </w:rPr>
        <w:t xml:space="preserve">y </w:t>
      </w:r>
      <w:r w:rsidR="00C627A3" w:rsidRPr="00CC7C45">
        <w:rPr>
          <w:rFonts w:cs="Arial"/>
          <w:b/>
          <w:color w:val="007E79"/>
          <w:szCs w:val="18"/>
        </w:rPr>
        <w:t xml:space="preserve">a s více než 7 body z 10 </w:t>
      </w:r>
      <w:r w:rsidR="00C2020E" w:rsidRPr="00CC7C45">
        <w:rPr>
          <w:rFonts w:cs="Arial"/>
          <w:b/>
          <w:color w:val="007E79"/>
          <w:szCs w:val="18"/>
        </w:rPr>
        <w:t xml:space="preserve">bankovnictví </w:t>
      </w:r>
      <w:r w:rsidR="00C627A3" w:rsidRPr="00CC7C45">
        <w:rPr>
          <w:rFonts w:cs="Arial"/>
          <w:b/>
          <w:color w:val="007E79"/>
          <w:szCs w:val="18"/>
        </w:rPr>
        <w:t xml:space="preserve">vévodí </w:t>
      </w:r>
      <w:r w:rsidR="00C2020E" w:rsidRPr="00CC7C45">
        <w:rPr>
          <w:rFonts w:cs="Arial"/>
          <w:b/>
          <w:color w:val="007E79"/>
          <w:szCs w:val="18"/>
        </w:rPr>
        <w:t xml:space="preserve">co do důvěryhodnosti </w:t>
      </w:r>
      <w:r w:rsidR="00C627A3" w:rsidRPr="00CC7C45">
        <w:rPr>
          <w:rFonts w:cs="Arial"/>
          <w:b/>
          <w:color w:val="007E79"/>
          <w:szCs w:val="18"/>
        </w:rPr>
        <w:t>dalším sektorům</w:t>
      </w:r>
      <w:r w:rsidR="00E718EA" w:rsidRPr="00CC7C45">
        <w:rPr>
          <w:rFonts w:cs="Arial"/>
          <w:b/>
          <w:color w:val="007E79"/>
          <w:szCs w:val="18"/>
        </w:rPr>
        <w:t>, resp. poskytovatelům</w:t>
      </w:r>
      <w:r w:rsidR="00C627A3" w:rsidRPr="00CC7C45">
        <w:rPr>
          <w:rFonts w:cs="Arial"/>
          <w:b/>
          <w:color w:val="007E79"/>
          <w:szCs w:val="18"/>
        </w:rPr>
        <w:t xml:space="preserve"> služeb. S</w:t>
      </w:r>
      <w:r w:rsidR="0063314F" w:rsidRPr="00CC7C45">
        <w:rPr>
          <w:rFonts w:cs="Arial"/>
          <w:b/>
          <w:color w:val="007E79"/>
          <w:szCs w:val="18"/>
        </w:rPr>
        <w:t xml:space="preserve">polu s důvěrou </w:t>
      </w:r>
      <w:r w:rsidR="00BB50DE" w:rsidRPr="00CC7C45">
        <w:rPr>
          <w:rFonts w:cs="Arial"/>
          <w:b/>
          <w:color w:val="007E79"/>
          <w:szCs w:val="18"/>
        </w:rPr>
        <w:t xml:space="preserve">dlouhodobě </w:t>
      </w:r>
      <w:r w:rsidR="007F166D" w:rsidRPr="00CC7C45">
        <w:rPr>
          <w:rFonts w:cs="Arial"/>
          <w:b/>
          <w:color w:val="007E79"/>
          <w:szCs w:val="18"/>
        </w:rPr>
        <w:t>vzrůstá</w:t>
      </w:r>
      <w:r w:rsidR="00BB50DE" w:rsidRPr="00CC7C45">
        <w:rPr>
          <w:rFonts w:cs="Arial"/>
          <w:b/>
          <w:color w:val="007E79"/>
          <w:szCs w:val="18"/>
        </w:rPr>
        <w:t xml:space="preserve"> </w:t>
      </w:r>
      <w:r w:rsidR="0063314F" w:rsidRPr="00CC7C45">
        <w:rPr>
          <w:rFonts w:cs="Arial"/>
          <w:b/>
          <w:color w:val="007E79"/>
          <w:szCs w:val="18"/>
        </w:rPr>
        <w:t>i míra spokojenosti klientů vyjádřená Indexem</w:t>
      </w:r>
      <w:r w:rsidR="00BB50DE" w:rsidRPr="00CC7C45">
        <w:rPr>
          <w:rFonts w:cs="Arial"/>
          <w:b/>
          <w:color w:val="007E79"/>
          <w:szCs w:val="18"/>
        </w:rPr>
        <w:t xml:space="preserve"> spokojenosti</w:t>
      </w:r>
      <w:r w:rsidR="00E718EA" w:rsidRPr="00CC7C45">
        <w:rPr>
          <w:rFonts w:cs="Arial"/>
          <w:b/>
          <w:color w:val="007E79"/>
          <w:szCs w:val="18"/>
        </w:rPr>
        <w:t xml:space="preserve"> (CSI Index)</w:t>
      </w:r>
      <w:r w:rsidR="0063314F" w:rsidRPr="00CC7C45">
        <w:rPr>
          <w:rFonts w:cs="Arial"/>
          <w:b/>
          <w:color w:val="007E79"/>
          <w:szCs w:val="18"/>
        </w:rPr>
        <w:t>, který dosáhl 85 bodů</w:t>
      </w:r>
      <w:r w:rsidR="007F166D" w:rsidRPr="00CC7C45">
        <w:rPr>
          <w:rFonts w:cs="Arial"/>
          <w:b/>
          <w:color w:val="007E79"/>
          <w:szCs w:val="18"/>
        </w:rPr>
        <w:t xml:space="preserve"> ze 100</w:t>
      </w:r>
      <w:r w:rsidR="0063314F" w:rsidRPr="00CC7C45">
        <w:rPr>
          <w:rFonts w:cs="Arial"/>
          <w:b/>
          <w:color w:val="007E79"/>
          <w:szCs w:val="18"/>
        </w:rPr>
        <w:t>.</w:t>
      </w:r>
      <w:r w:rsidR="00ED2264" w:rsidRPr="00CC7C45">
        <w:rPr>
          <w:rFonts w:cs="Arial"/>
          <w:b/>
          <w:color w:val="007E79"/>
          <w:szCs w:val="18"/>
        </w:rPr>
        <w:t xml:space="preserve"> </w:t>
      </w:r>
      <w:r w:rsidR="003C373E" w:rsidRPr="00CC7C45">
        <w:rPr>
          <w:rFonts w:cs="Arial"/>
          <w:b/>
          <w:color w:val="007E79"/>
          <w:szCs w:val="18"/>
        </w:rPr>
        <w:t>Vyplývá to z průzkumu pro Českou bankovní asociaci</w:t>
      </w:r>
      <w:r w:rsidR="00F53132" w:rsidRPr="00CC7C45">
        <w:rPr>
          <w:rFonts w:cs="Arial"/>
          <w:b/>
          <w:color w:val="007E79"/>
          <w:szCs w:val="18"/>
        </w:rPr>
        <w:t xml:space="preserve"> </w:t>
      </w:r>
      <w:r w:rsidR="005A5BAB" w:rsidRPr="00CC7C45">
        <w:rPr>
          <w:rFonts w:cs="Arial"/>
          <w:b/>
          <w:color w:val="007E79"/>
          <w:szCs w:val="18"/>
        </w:rPr>
        <w:t xml:space="preserve">(ČBA) </w:t>
      </w:r>
      <w:r w:rsidR="00D32A14" w:rsidRPr="00CC7C45">
        <w:rPr>
          <w:rFonts w:cs="Arial"/>
          <w:b/>
          <w:color w:val="007E79"/>
          <w:szCs w:val="18"/>
        </w:rPr>
        <w:t>realizovaného</w:t>
      </w:r>
      <w:r w:rsidR="00F53132" w:rsidRPr="00CC7C45">
        <w:rPr>
          <w:rFonts w:cs="Arial"/>
          <w:b/>
          <w:color w:val="007E79"/>
          <w:szCs w:val="18"/>
        </w:rPr>
        <w:t xml:space="preserve"> agenturou</w:t>
      </w:r>
      <w:r w:rsidR="003C373E" w:rsidRPr="00CC7C45">
        <w:rPr>
          <w:rFonts w:cs="Arial"/>
          <w:b/>
          <w:color w:val="007E79"/>
          <w:szCs w:val="18"/>
        </w:rPr>
        <w:t xml:space="preserve"> SC&amp;C</w:t>
      </w:r>
      <w:r w:rsidR="00BB50DE" w:rsidRPr="00CC7C45">
        <w:rPr>
          <w:rFonts w:cs="Arial"/>
          <w:b/>
          <w:color w:val="007E79"/>
          <w:szCs w:val="18"/>
        </w:rPr>
        <w:t xml:space="preserve">, který </w:t>
      </w:r>
      <w:r w:rsidR="00D32A14" w:rsidRPr="00CC7C45">
        <w:rPr>
          <w:rFonts w:cs="Arial"/>
          <w:b/>
          <w:color w:val="007E79"/>
          <w:szCs w:val="18"/>
        </w:rPr>
        <w:t xml:space="preserve">mimo pohledu klientů na banky </w:t>
      </w:r>
      <w:r w:rsidR="007F166D" w:rsidRPr="00CC7C45">
        <w:rPr>
          <w:rFonts w:cs="Arial"/>
          <w:b/>
          <w:color w:val="007E79"/>
          <w:szCs w:val="18"/>
        </w:rPr>
        <w:t xml:space="preserve">zkoumal </w:t>
      </w:r>
      <w:r w:rsidR="00C2020E" w:rsidRPr="00CC7C45">
        <w:rPr>
          <w:rFonts w:cs="Arial"/>
          <w:b/>
          <w:color w:val="007E79"/>
          <w:szCs w:val="18"/>
        </w:rPr>
        <w:t xml:space="preserve">i </w:t>
      </w:r>
      <w:r w:rsidR="00BB50DE" w:rsidRPr="00CC7C45">
        <w:rPr>
          <w:rFonts w:cs="Arial"/>
          <w:b/>
          <w:color w:val="007E79"/>
          <w:szCs w:val="18"/>
        </w:rPr>
        <w:t xml:space="preserve">povědomí </w:t>
      </w:r>
      <w:r w:rsidR="00C2020E" w:rsidRPr="00CC7C45">
        <w:rPr>
          <w:rFonts w:cs="Arial"/>
          <w:b/>
          <w:color w:val="007E79"/>
          <w:szCs w:val="18"/>
        </w:rPr>
        <w:t xml:space="preserve">Čechů </w:t>
      </w:r>
      <w:r w:rsidR="00BB50DE" w:rsidRPr="00CC7C45">
        <w:rPr>
          <w:rFonts w:cs="Arial"/>
          <w:b/>
          <w:color w:val="007E79"/>
          <w:szCs w:val="18"/>
        </w:rPr>
        <w:t xml:space="preserve">o pojištění vkladů. </w:t>
      </w:r>
      <w:r w:rsidR="007F166D" w:rsidRPr="00CC7C45">
        <w:rPr>
          <w:rFonts w:cs="Arial"/>
          <w:b/>
          <w:color w:val="007E79"/>
          <w:szCs w:val="18"/>
        </w:rPr>
        <w:t>Ukázalo se, že</w:t>
      </w:r>
      <w:r w:rsidR="00BB50DE" w:rsidRPr="00CC7C45">
        <w:rPr>
          <w:rFonts w:cs="Arial"/>
          <w:b/>
          <w:color w:val="007E79"/>
          <w:szCs w:val="18"/>
        </w:rPr>
        <w:t xml:space="preserve"> více než třetina (37 %) neví, nebo </w:t>
      </w:r>
      <w:r w:rsidR="00C2020E" w:rsidRPr="00CC7C45">
        <w:rPr>
          <w:rFonts w:cs="Arial"/>
          <w:b/>
          <w:color w:val="007E79"/>
          <w:szCs w:val="18"/>
        </w:rPr>
        <w:t xml:space="preserve">dokonce </w:t>
      </w:r>
      <w:r w:rsidR="00BB50DE" w:rsidRPr="00CC7C45">
        <w:rPr>
          <w:rFonts w:cs="Arial"/>
          <w:b/>
          <w:color w:val="007E79"/>
          <w:szCs w:val="18"/>
        </w:rPr>
        <w:t xml:space="preserve">tvrdí, že jejich vklady na účtech nejsou pojištěny. </w:t>
      </w:r>
    </w:p>
    <w:p w14:paraId="48519D82" w14:textId="77777777" w:rsidR="003C373E" w:rsidRPr="00010564" w:rsidRDefault="003C373E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51D10A65" w14:textId="77A9C2E2" w:rsidR="008363D1" w:rsidRDefault="007B7B44" w:rsidP="003C373E">
      <w:pPr>
        <w:spacing w:after="120" w:line="276" w:lineRule="auto"/>
        <w:contextualSpacing/>
        <w:rPr>
          <w:rFonts w:cs="Arial"/>
          <w:color w:val="000000" w:themeColor="text1"/>
          <w:szCs w:val="18"/>
        </w:rPr>
      </w:pPr>
      <w:r>
        <w:rPr>
          <w:rFonts w:cs="Arial"/>
          <w:color w:val="000000" w:themeColor="text1"/>
          <w:szCs w:val="18"/>
        </w:rPr>
        <w:t>Výsledky pravidelných průzkumů ČBA</w:t>
      </w:r>
      <w:r w:rsidR="000842AE">
        <w:rPr>
          <w:rFonts w:cs="Arial"/>
          <w:color w:val="000000" w:themeColor="text1"/>
          <w:szCs w:val="18"/>
        </w:rPr>
        <w:t xml:space="preserve"> </w:t>
      </w:r>
      <w:r>
        <w:rPr>
          <w:rFonts w:cs="Arial"/>
          <w:color w:val="000000" w:themeColor="text1"/>
          <w:szCs w:val="18"/>
        </w:rPr>
        <w:t>ukazují</w:t>
      </w:r>
      <w:r w:rsidR="000842AE">
        <w:rPr>
          <w:rFonts w:cs="Arial"/>
          <w:color w:val="000000" w:themeColor="text1"/>
          <w:szCs w:val="18"/>
        </w:rPr>
        <w:t>, že b</w:t>
      </w:r>
      <w:r w:rsidR="00010564" w:rsidRPr="00010564">
        <w:rPr>
          <w:rFonts w:cs="Arial"/>
          <w:color w:val="000000" w:themeColor="text1"/>
          <w:szCs w:val="18"/>
        </w:rPr>
        <w:t xml:space="preserve">ankovnictví </w:t>
      </w:r>
      <w:r w:rsidR="00786FE5">
        <w:rPr>
          <w:rFonts w:cs="Arial"/>
          <w:color w:val="000000" w:themeColor="text1"/>
          <w:szCs w:val="18"/>
        </w:rPr>
        <w:t xml:space="preserve">patří </w:t>
      </w:r>
      <w:r w:rsidR="007D275E" w:rsidRPr="00010564">
        <w:rPr>
          <w:rFonts w:cs="Arial"/>
          <w:color w:val="000000" w:themeColor="text1"/>
          <w:szCs w:val="18"/>
        </w:rPr>
        <w:t xml:space="preserve">v České republice </w:t>
      </w:r>
      <w:r w:rsidR="00786FE5">
        <w:rPr>
          <w:rFonts w:cs="Arial"/>
          <w:color w:val="000000" w:themeColor="text1"/>
          <w:szCs w:val="18"/>
        </w:rPr>
        <w:t>mezi sektory s dlouhodobě nejvyšší</w:t>
      </w:r>
      <w:r w:rsidR="00D32A14">
        <w:rPr>
          <w:rFonts w:cs="Arial"/>
          <w:color w:val="000000" w:themeColor="text1"/>
          <w:szCs w:val="18"/>
        </w:rPr>
        <w:t xml:space="preserve"> (dokonce </w:t>
      </w:r>
      <w:r w:rsidR="005A5BAB">
        <w:rPr>
          <w:rFonts w:cs="Arial"/>
          <w:color w:val="000000" w:themeColor="text1"/>
          <w:szCs w:val="18"/>
        </w:rPr>
        <w:t xml:space="preserve">mírně </w:t>
      </w:r>
      <w:r w:rsidR="00D32A14">
        <w:rPr>
          <w:rFonts w:cs="Arial"/>
          <w:color w:val="000000" w:themeColor="text1"/>
          <w:szCs w:val="18"/>
        </w:rPr>
        <w:t>vzrůstající)</w:t>
      </w:r>
      <w:r w:rsidR="00786FE5">
        <w:rPr>
          <w:rFonts w:cs="Arial"/>
          <w:color w:val="000000" w:themeColor="text1"/>
          <w:szCs w:val="18"/>
        </w:rPr>
        <w:t xml:space="preserve"> důvěrou. </w:t>
      </w:r>
      <w:r w:rsidR="00010564">
        <w:rPr>
          <w:rFonts w:cs="Arial"/>
          <w:color w:val="000000" w:themeColor="text1"/>
          <w:szCs w:val="18"/>
        </w:rPr>
        <w:t>S letošními</w:t>
      </w:r>
      <w:r w:rsidR="007D275E" w:rsidRPr="00010564">
        <w:rPr>
          <w:rFonts w:cs="Arial"/>
          <w:color w:val="000000" w:themeColor="text1"/>
          <w:szCs w:val="18"/>
        </w:rPr>
        <w:t xml:space="preserve"> 7,4 </w:t>
      </w:r>
      <w:r w:rsidR="00010564">
        <w:rPr>
          <w:rFonts w:cs="Arial"/>
          <w:color w:val="000000" w:themeColor="text1"/>
          <w:szCs w:val="18"/>
        </w:rPr>
        <w:t xml:space="preserve">body </w:t>
      </w:r>
      <w:r w:rsidR="007D275E" w:rsidRPr="00010564">
        <w:rPr>
          <w:rFonts w:cs="Arial"/>
          <w:color w:val="000000" w:themeColor="text1"/>
          <w:szCs w:val="18"/>
        </w:rPr>
        <w:t xml:space="preserve">z 10 možných </w:t>
      </w:r>
      <w:r w:rsidR="00010564">
        <w:rPr>
          <w:rFonts w:cs="Arial"/>
          <w:color w:val="000000" w:themeColor="text1"/>
          <w:szCs w:val="18"/>
        </w:rPr>
        <w:t xml:space="preserve">se bankovnictví </w:t>
      </w:r>
      <w:r w:rsidR="005069C2" w:rsidRPr="00010564">
        <w:rPr>
          <w:rFonts w:cs="Arial"/>
          <w:color w:val="000000" w:themeColor="text1"/>
          <w:szCs w:val="18"/>
        </w:rPr>
        <w:t xml:space="preserve">opět </w:t>
      </w:r>
      <w:r w:rsidR="007D275E" w:rsidRPr="00010564">
        <w:rPr>
          <w:rFonts w:cs="Arial"/>
          <w:color w:val="000000" w:themeColor="text1"/>
          <w:szCs w:val="18"/>
        </w:rPr>
        <w:t>zařadil</w:t>
      </w:r>
      <w:r w:rsidR="00010564">
        <w:rPr>
          <w:rFonts w:cs="Arial"/>
          <w:color w:val="000000" w:themeColor="text1"/>
          <w:szCs w:val="18"/>
        </w:rPr>
        <w:t>o</w:t>
      </w:r>
      <w:r w:rsidR="007D275E" w:rsidRPr="00010564">
        <w:rPr>
          <w:rFonts w:cs="Arial"/>
          <w:color w:val="000000" w:themeColor="text1"/>
          <w:szCs w:val="18"/>
        </w:rPr>
        <w:t xml:space="preserve"> na první místo</w:t>
      </w:r>
      <w:r w:rsidR="00B73636">
        <w:rPr>
          <w:rFonts w:cs="Arial"/>
          <w:color w:val="000000" w:themeColor="text1"/>
          <w:szCs w:val="18"/>
        </w:rPr>
        <w:t xml:space="preserve"> </w:t>
      </w:r>
      <w:r w:rsidR="004A53BB">
        <w:rPr>
          <w:rFonts w:cs="Arial"/>
          <w:color w:val="000000" w:themeColor="text1"/>
          <w:szCs w:val="18"/>
        </w:rPr>
        <w:t>před leteck</w:t>
      </w:r>
      <w:r w:rsidR="00EF6331">
        <w:rPr>
          <w:rFonts w:cs="Arial"/>
          <w:color w:val="000000" w:themeColor="text1"/>
          <w:szCs w:val="18"/>
        </w:rPr>
        <w:t>é</w:t>
      </w:r>
      <w:r w:rsidR="004A53BB">
        <w:rPr>
          <w:rFonts w:cs="Arial"/>
          <w:color w:val="000000" w:themeColor="text1"/>
          <w:szCs w:val="18"/>
        </w:rPr>
        <w:t xml:space="preserve"> (7 b.) i dopravní společnosti (6,8 b.)</w:t>
      </w:r>
      <w:r w:rsidR="00B73636">
        <w:rPr>
          <w:rFonts w:cs="Arial"/>
          <w:color w:val="000000" w:themeColor="text1"/>
          <w:szCs w:val="18"/>
        </w:rPr>
        <w:t>, ale také předčil</w:t>
      </w:r>
      <w:r w:rsidR="008B1C16">
        <w:rPr>
          <w:rFonts w:cs="Arial"/>
          <w:color w:val="000000" w:themeColor="text1"/>
          <w:szCs w:val="18"/>
        </w:rPr>
        <w:t>o</w:t>
      </w:r>
      <w:r w:rsidR="00B73636">
        <w:rPr>
          <w:rFonts w:cs="Arial"/>
          <w:color w:val="000000" w:themeColor="text1"/>
          <w:szCs w:val="18"/>
        </w:rPr>
        <w:t xml:space="preserve"> veřejné zdravotnictví (6,7 b.) </w:t>
      </w:r>
      <w:r w:rsidR="00786FE5">
        <w:rPr>
          <w:rFonts w:cs="Arial"/>
          <w:color w:val="000000" w:themeColor="text1"/>
          <w:szCs w:val="18"/>
        </w:rPr>
        <w:t>či</w:t>
      </w:r>
      <w:r w:rsidR="00B73636">
        <w:rPr>
          <w:rFonts w:cs="Arial"/>
          <w:color w:val="000000" w:themeColor="text1"/>
          <w:szCs w:val="18"/>
        </w:rPr>
        <w:t xml:space="preserve"> státní správu (5,7 b.). </w:t>
      </w:r>
      <w:r w:rsidR="00786FE5">
        <w:rPr>
          <w:rFonts w:cs="Arial"/>
          <w:color w:val="000000" w:themeColor="text1"/>
          <w:szCs w:val="18"/>
        </w:rPr>
        <w:t>Nejméně Češi důvěřují</w:t>
      </w:r>
      <w:r w:rsidR="00BA47DA">
        <w:rPr>
          <w:rFonts w:cs="Arial"/>
          <w:color w:val="000000" w:themeColor="text1"/>
          <w:szCs w:val="18"/>
        </w:rPr>
        <w:t xml:space="preserve"> </w:t>
      </w:r>
      <w:r w:rsidR="00B73636">
        <w:rPr>
          <w:rFonts w:cs="Arial"/>
          <w:color w:val="000000" w:themeColor="text1"/>
          <w:szCs w:val="18"/>
        </w:rPr>
        <w:t>nebankovní</w:t>
      </w:r>
      <w:r w:rsidR="00786FE5">
        <w:rPr>
          <w:rFonts w:cs="Arial"/>
          <w:color w:val="000000" w:themeColor="text1"/>
          <w:szCs w:val="18"/>
        </w:rPr>
        <w:t>m</w:t>
      </w:r>
      <w:r w:rsidR="00B73636">
        <w:rPr>
          <w:rFonts w:cs="Arial"/>
          <w:color w:val="000000" w:themeColor="text1"/>
          <w:szCs w:val="18"/>
        </w:rPr>
        <w:t xml:space="preserve"> poskytovatel</w:t>
      </w:r>
      <w:r w:rsidR="00786FE5">
        <w:rPr>
          <w:rFonts w:cs="Arial"/>
          <w:color w:val="000000" w:themeColor="text1"/>
          <w:szCs w:val="18"/>
        </w:rPr>
        <w:t>ům</w:t>
      </w:r>
      <w:r w:rsidR="00B73636">
        <w:rPr>
          <w:rFonts w:cs="Arial"/>
          <w:color w:val="000000" w:themeColor="text1"/>
          <w:szCs w:val="18"/>
        </w:rPr>
        <w:t xml:space="preserve"> služeb</w:t>
      </w:r>
      <w:r w:rsidR="005A51C6">
        <w:rPr>
          <w:rFonts w:cs="Arial"/>
          <w:color w:val="000000" w:themeColor="text1"/>
          <w:szCs w:val="18"/>
        </w:rPr>
        <w:t xml:space="preserve">, </w:t>
      </w:r>
      <w:r w:rsidR="005A5BAB">
        <w:rPr>
          <w:rFonts w:cs="Arial"/>
          <w:color w:val="000000" w:themeColor="text1"/>
          <w:szCs w:val="18"/>
        </w:rPr>
        <w:t xml:space="preserve">o čemž vypovídá pouhých </w:t>
      </w:r>
      <w:r w:rsidR="005A51C6">
        <w:rPr>
          <w:rFonts w:cs="Arial"/>
          <w:color w:val="000000" w:themeColor="text1"/>
          <w:szCs w:val="18"/>
        </w:rPr>
        <w:t>2,9 bod</w:t>
      </w:r>
      <w:r w:rsidR="005A5BAB">
        <w:rPr>
          <w:rFonts w:cs="Arial"/>
          <w:color w:val="000000" w:themeColor="text1"/>
          <w:szCs w:val="18"/>
        </w:rPr>
        <w:t>ů</w:t>
      </w:r>
      <w:r w:rsidR="00B73636" w:rsidRPr="009E172B">
        <w:rPr>
          <w:rFonts w:cs="Arial"/>
          <w:color w:val="000000" w:themeColor="text1"/>
          <w:szCs w:val="18"/>
        </w:rPr>
        <w:t>.</w:t>
      </w:r>
      <w:r w:rsidR="009E172B" w:rsidRPr="009E172B">
        <w:rPr>
          <w:rFonts w:cs="Arial"/>
          <w:color w:val="000000" w:themeColor="text1"/>
          <w:szCs w:val="18"/>
        </w:rPr>
        <w:t xml:space="preserve"> </w:t>
      </w:r>
      <w:r w:rsidR="009E172B" w:rsidRPr="009E172B">
        <w:rPr>
          <w:rFonts w:cs="Arial"/>
          <w:i/>
          <w:color w:val="000000" w:themeColor="text1"/>
          <w:szCs w:val="18"/>
        </w:rPr>
        <w:t>„Důvěra klientů je u bank na prvním místě</w:t>
      </w:r>
      <w:r w:rsidR="00573F62">
        <w:rPr>
          <w:rFonts w:cs="Arial"/>
          <w:i/>
          <w:color w:val="000000" w:themeColor="text1"/>
          <w:szCs w:val="18"/>
        </w:rPr>
        <w:t xml:space="preserve">. Ta se ale </w:t>
      </w:r>
      <w:r w:rsidR="004C0A56">
        <w:rPr>
          <w:rFonts w:cs="Arial"/>
          <w:i/>
          <w:color w:val="000000" w:themeColor="text1"/>
          <w:szCs w:val="18"/>
        </w:rPr>
        <w:t>nedostavuje jen tak, sama o sobě</w:t>
      </w:r>
      <w:r w:rsidR="00573F62">
        <w:rPr>
          <w:rFonts w:cs="Arial"/>
          <w:i/>
          <w:color w:val="000000" w:themeColor="text1"/>
          <w:szCs w:val="18"/>
        </w:rPr>
        <w:t>, nýbrž b</w:t>
      </w:r>
      <w:r w:rsidR="004C0A56">
        <w:rPr>
          <w:rFonts w:cs="Arial"/>
          <w:i/>
          <w:color w:val="000000" w:themeColor="text1"/>
          <w:szCs w:val="18"/>
        </w:rPr>
        <w:t>anky – a nejenom ony – na ní mus</w:t>
      </w:r>
      <w:r w:rsidR="00573F62">
        <w:rPr>
          <w:rFonts w:cs="Arial"/>
          <w:i/>
          <w:color w:val="000000" w:themeColor="text1"/>
          <w:szCs w:val="18"/>
        </w:rPr>
        <w:t>í</w:t>
      </w:r>
      <w:r w:rsidR="004C0A56">
        <w:rPr>
          <w:rFonts w:cs="Arial"/>
          <w:i/>
          <w:color w:val="000000" w:themeColor="text1"/>
          <w:szCs w:val="18"/>
        </w:rPr>
        <w:t xml:space="preserve"> </w:t>
      </w:r>
      <w:r w:rsidR="00573F62" w:rsidRPr="00573F62">
        <w:rPr>
          <w:rFonts w:cs="Arial"/>
          <w:i/>
          <w:color w:val="000000" w:themeColor="text1"/>
          <w:szCs w:val="18"/>
        </w:rPr>
        <w:t>neu</w:t>
      </w:r>
      <w:r w:rsidR="004C0A56" w:rsidRPr="00573F62">
        <w:rPr>
          <w:rFonts w:cs="Arial"/>
          <w:i/>
          <w:color w:val="000000" w:themeColor="text1"/>
          <w:szCs w:val="18"/>
        </w:rPr>
        <w:t>stále pracovat. Klíčovými činiteli důvěry jsou kvalitní služby a stabilita</w:t>
      </w:r>
      <w:r w:rsidR="00573F62">
        <w:rPr>
          <w:rFonts w:cs="Arial"/>
          <w:i/>
          <w:color w:val="000000" w:themeColor="text1"/>
          <w:szCs w:val="18"/>
        </w:rPr>
        <w:t>.</w:t>
      </w:r>
      <w:r w:rsidR="004C0A56" w:rsidRPr="00573F62">
        <w:rPr>
          <w:rFonts w:cs="Arial"/>
          <w:i/>
          <w:color w:val="000000" w:themeColor="text1"/>
          <w:szCs w:val="18"/>
        </w:rPr>
        <w:t xml:space="preserve"> </w:t>
      </w:r>
      <w:r w:rsidR="00573F62">
        <w:rPr>
          <w:rFonts w:cs="Arial"/>
          <w:i/>
          <w:color w:val="000000" w:themeColor="text1"/>
          <w:szCs w:val="18"/>
        </w:rPr>
        <w:t>Zatímco p</w:t>
      </w:r>
      <w:r w:rsidR="00BE48B7" w:rsidRPr="00573F62">
        <w:rPr>
          <w:rFonts w:cs="Arial"/>
          <w:i/>
          <w:color w:val="000000" w:themeColor="text1"/>
          <w:szCs w:val="18"/>
        </w:rPr>
        <w:t xml:space="preserve">ro stabilitu je důležité </w:t>
      </w:r>
      <w:r w:rsidR="00573F62" w:rsidRPr="00573F62">
        <w:rPr>
          <w:rFonts w:cs="Arial"/>
          <w:i/>
          <w:color w:val="000000" w:themeColor="text1"/>
          <w:szCs w:val="18"/>
        </w:rPr>
        <w:t xml:space="preserve">stabilní podnikatelské prostředí </w:t>
      </w:r>
      <w:r w:rsidR="00573F62">
        <w:rPr>
          <w:rFonts w:cs="Arial"/>
          <w:i/>
          <w:color w:val="000000" w:themeColor="text1"/>
          <w:szCs w:val="18"/>
        </w:rPr>
        <w:t xml:space="preserve">a </w:t>
      </w:r>
      <w:r w:rsidR="00BE48B7" w:rsidRPr="00573F62">
        <w:rPr>
          <w:rFonts w:cs="Arial"/>
          <w:i/>
          <w:color w:val="000000" w:themeColor="text1"/>
          <w:szCs w:val="18"/>
        </w:rPr>
        <w:t>odpovědné hospodaření bank</w:t>
      </w:r>
      <w:r w:rsidR="00573F62" w:rsidRPr="00573F62">
        <w:rPr>
          <w:rFonts w:cs="Arial"/>
          <w:i/>
          <w:color w:val="000000" w:themeColor="text1"/>
          <w:szCs w:val="18"/>
        </w:rPr>
        <w:t>, zlepšování kvality</w:t>
      </w:r>
      <w:r w:rsidR="004C0A56" w:rsidRPr="00573F62">
        <w:rPr>
          <w:rFonts w:cs="Arial"/>
          <w:i/>
          <w:color w:val="000000" w:themeColor="text1"/>
          <w:szCs w:val="18"/>
        </w:rPr>
        <w:t xml:space="preserve"> služeb </w:t>
      </w:r>
      <w:r w:rsidR="00BE48B7" w:rsidRPr="00573F62">
        <w:rPr>
          <w:rFonts w:cs="Arial"/>
          <w:i/>
          <w:color w:val="000000" w:themeColor="text1"/>
          <w:szCs w:val="18"/>
        </w:rPr>
        <w:t>na</w:t>
      </w:r>
      <w:r w:rsidR="004C0A56" w:rsidRPr="00573F62">
        <w:rPr>
          <w:rFonts w:cs="Arial"/>
          <w:i/>
          <w:color w:val="000000" w:themeColor="text1"/>
          <w:szCs w:val="18"/>
        </w:rPr>
        <w:t xml:space="preserve">pomáhá </w:t>
      </w:r>
      <w:r w:rsidR="00573F62">
        <w:rPr>
          <w:rFonts w:cs="Arial"/>
          <w:i/>
          <w:color w:val="000000" w:themeColor="text1"/>
          <w:szCs w:val="18"/>
        </w:rPr>
        <w:t xml:space="preserve">zejména </w:t>
      </w:r>
      <w:r w:rsidR="004C0A56" w:rsidRPr="00573F62">
        <w:rPr>
          <w:rFonts w:cs="Arial"/>
          <w:i/>
          <w:color w:val="000000" w:themeColor="text1"/>
          <w:szCs w:val="18"/>
        </w:rPr>
        <w:t>konkurenční prostředí</w:t>
      </w:r>
      <w:r w:rsidR="00573F62" w:rsidRPr="00573F62">
        <w:rPr>
          <w:rFonts w:cs="Arial"/>
          <w:i/>
          <w:color w:val="000000" w:themeColor="text1"/>
          <w:szCs w:val="18"/>
        </w:rPr>
        <w:t>, které je v České republice</w:t>
      </w:r>
      <w:r w:rsidR="00573F62">
        <w:rPr>
          <w:rFonts w:cs="Arial"/>
          <w:i/>
          <w:color w:val="000000" w:themeColor="text1"/>
          <w:szCs w:val="18"/>
        </w:rPr>
        <w:t xml:space="preserve"> v porovnání s jinými státy opravdu vysoké</w:t>
      </w:r>
      <w:r w:rsidR="00573F62" w:rsidRPr="00573F62">
        <w:rPr>
          <w:rFonts w:cs="Arial"/>
          <w:i/>
          <w:color w:val="000000" w:themeColor="text1"/>
          <w:szCs w:val="18"/>
        </w:rPr>
        <w:t>,</w:t>
      </w:r>
      <w:r w:rsidR="00BE48B7" w:rsidRPr="00573F62">
        <w:rPr>
          <w:rFonts w:cs="Arial"/>
          <w:i/>
          <w:color w:val="000000" w:themeColor="text1"/>
          <w:szCs w:val="18"/>
        </w:rPr>
        <w:t>“</w:t>
      </w:r>
      <w:r w:rsidR="00573F62" w:rsidRPr="00573F62">
        <w:rPr>
          <w:rFonts w:cs="Arial"/>
          <w:i/>
          <w:color w:val="000000" w:themeColor="text1"/>
          <w:szCs w:val="18"/>
        </w:rPr>
        <w:t xml:space="preserve"> </w:t>
      </w:r>
      <w:r w:rsidR="000118C2" w:rsidRPr="00573F62">
        <w:rPr>
          <w:rFonts w:cs="Arial"/>
          <w:color w:val="000000" w:themeColor="text1"/>
          <w:szCs w:val="18"/>
        </w:rPr>
        <w:t>upozorňuje Vladimír Staňura, hlavní poradce České bankovní asociace.</w:t>
      </w:r>
      <w:r w:rsidR="008363D1">
        <w:rPr>
          <w:rFonts w:cs="Arial"/>
          <w:color w:val="000000" w:themeColor="text1"/>
          <w:szCs w:val="18"/>
        </w:rPr>
        <w:t xml:space="preserve"> </w:t>
      </w:r>
      <w:r w:rsidR="003B4F01">
        <w:t xml:space="preserve">Konkurenci mezi bankami jakožto i jejich stav vnímá čím dál pozitivněji i česká veřejnost. Hodnocení stavu českých bank v roce 2019 vzrostlo o </w:t>
      </w:r>
      <w:r w:rsidR="005F73A6">
        <w:t xml:space="preserve">čtyři </w:t>
      </w:r>
      <w:r w:rsidR="003B4F01">
        <w:t xml:space="preserve">procentní body na 67 %, konkurenci mezi bankami Češi ohodnotili 62 %.   </w:t>
      </w:r>
    </w:p>
    <w:p w14:paraId="1E0FE82F" w14:textId="65DF28CC" w:rsidR="007D275E" w:rsidRDefault="007D275E" w:rsidP="008B1C16">
      <w:pPr>
        <w:spacing w:line="276" w:lineRule="auto"/>
        <w:contextualSpacing/>
        <w:rPr>
          <w:rFonts w:cs="Arial"/>
          <w:szCs w:val="18"/>
        </w:rPr>
      </w:pPr>
    </w:p>
    <w:p w14:paraId="6F8F5DB2" w14:textId="519B1CB6" w:rsidR="004D6531" w:rsidRPr="009038F9" w:rsidRDefault="00AE2387" w:rsidP="008B1C16">
      <w:pPr>
        <w:spacing w:line="276" w:lineRule="auto"/>
        <w:contextualSpacing/>
        <w:rPr>
          <w:rFonts w:cs="Arial"/>
          <w:szCs w:val="18"/>
        </w:rPr>
      </w:pPr>
      <w:r w:rsidRPr="00E718EA">
        <w:rPr>
          <w:rFonts w:cs="Arial"/>
          <w:i/>
          <w:color w:val="000000" w:themeColor="text1"/>
          <w:szCs w:val="18"/>
        </w:rPr>
        <w:t>„</w:t>
      </w:r>
      <w:r w:rsidR="004D6531" w:rsidRPr="00E718EA">
        <w:rPr>
          <w:rFonts w:cs="Arial"/>
          <w:i/>
          <w:color w:val="000000" w:themeColor="text1"/>
          <w:szCs w:val="18"/>
        </w:rPr>
        <w:t>I přesto, že jsou Češi obecně národem konzervativců a skeptiků</w:t>
      </w:r>
      <w:r w:rsidR="000159E5">
        <w:rPr>
          <w:rFonts w:cs="Arial"/>
          <w:i/>
          <w:color w:val="000000" w:themeColor="text1"/>
          <w:szCs w:val="18"/>
        </w:rPr>
        <w:t>,</w:t>
      </w:r>
      <w:r w:rsidR="000842AE" w:rsidRPr="00E718EA">
        <w:rPr>
          <w:rFonts w:cs="Arial"/>
          <w:i/>
          <w:color w:val="000000" w:themeColor="text1"/>
          <w:szCs w:val="18"/>
        </w:rPr>
        <w:t xml:space="preserve"> 57 % </w:t>
      </w:r>
      <w:r w:rsidR="000159E5">
        <w:rPr>
          <w:rFonts w:cs="Arial"/>
          <w:i/>
          <w:color w:val="000000" w:themeColor="text1"/>
          <w:szCs w:val="18"/>
        </w:rPr>
        <w:t xml:space="preserve">dotazovaných si </w:t>
      </w:r>
      <w:r w:rsidR="000842AE" w:rsidRPr="00E718EA">
        <w:rPr>
          <w:rFonts w:cs="Arial"/>
          <w:i/>
          <w:color w:val="000000" w:themeColor="text1"/>
          <w:szCs w:val="18"/>
        </w:rPr>
        <w:t>dokáž</w:t>
      </w:r>
      <w:r w:rsidR="000159E5">
        <w:rPr>
          <w:rFonts w:cs="Arial"/>
          <w:i/>
          <w:color w:val="000000" w:themeColor="text1"/>
          <w:szCs w:val="18"/>
        </w:rPr>
        <w:t>e</w:t>
      </w:r>
      <w:r w:rsidR="000842AE" w:rsidRPr="00E718EA">
        <w:rPr>
          <w:rFonts w:cs="Arial"/>
          <w:i/>
          <w:color w:val="000000" w:themeColor="text1"/>
          <w:szCs w:val="18"/>
        </w:rPr>
        <w:t xml:space="preserve"> představit, že by banka zajišťovala i jiné služby než samotné finance</w:t>
      </w:r>
      <w:r w:rsidR="000159E5">
        <w:rPr>
          <w:rFonts w:cs="Arial"/>
          <w:i/>
          <w:color w:val="000000" w:themeColor="text1"/>
          <w:szCs w:val="18"/>
        </w:rPr>
        <w:t>, což dokazuje,</w:t>
      </w:r>
      <w:r w:rsidR="000159E5" w:rsidRPr="00E718EA">
        <w:rPr>
          <w:rFonts w:cs="Arial"/>
          <w:i/>
          <w:color w:val="000000" w:themeColor="text1"/>
          <w:szCs w:val="18"/>
        </w:rPr>
        <w:t xml:space="preserve"> že </w:t>
      </w:r>
      <w:r w:rsidR="000159E5">
        <w:rPr>
          <w:rFonts w:cs="Arial"/>
          <w:i/>
          <w:color w:val="000000" w:themeColor="text1"/>
          <w:szCs w:val="18"/>
        </w:rPr>
        <w:t xml:space="preserve">tito lidé </w:t>
      </w:r>
      <w:r w:rsidR="000159E5" w:rsidRPr="00E718EA">
        <w:rPr>
          <w:rFonts w:cs="Arial"/>
          <w:i/>
          <w:color w:val="000000" w:themeColor="text1"/>
          <w:szCs w:val="18"/>
        </w:rPr>
        <w:t>bankám věří</w:t>
      </w:r>
      <w:r w:rsidR="000842AE" w:rsidRPr="00E718EA">
        <w:rPr>
          <w:rFonts w:cs="Arial"/>
          <w:i/>
          <w:color w:val="000000" w:themeColor="text1"/>
          <w:szCs w:val="18"/>
        </w:rPr>
        <w:t xml:space="preserve">. </w:t>
      </w:r>
      <w:r w:rsidR="00512176" w:rsidRPr="00E718EA">
        <w:rPr>
          <w:rFonts w:cs="Arial"/>
          <w:i/>
          <w:color w:val="000000" w:themeColor="text1"/>
          <w:szCs w:val="18"/>
        </w:rPr>
        <w:t xml:space="preserve">Za nejužitečnější </w:t>
      </w:r>
      <w:r w:rsidR="000159E5">
        <w:rPr>
          <w:rFonts w:cs="Arial"/>
          <w:i/>
          <w:color w:val="000000" w:themeColor="text1"/>
          <w:szCs w:val="18"/>
        </w:rPr>
        <w:t xml:space="preserve">další služby </w:t>
      </w:r>
      <w:r w:rsidR="00512176" w:rsidRPr="00E718EA">
        <w:rPr>
          <w:rFonts w:cs="Arial"/>
          <w:i/>
          <w:color w:val="000000" w:themeColor="text1"/>
          <w:szCs w:val="18"/>
        </w:rPr>
        <w:t>považují možnost spravovat místní poplatky, telekomunikac</w:t>
      </w:r>
      <w:r w:rsidR="000159E5">
        <w:rPr>
          <w:rFonts w:cs="Arial"/>
          <w:i/>
          <w:color w:val="000000" w:themeColor="text1"/>
          <w:szCs w:val="18"/>
        </w:rPr>
        <w:t>e</w:t>
      </w:r>
      <w:r w:rsidR="00512176" w:rsidRPr="00E718EA">
        <w:rPr>
          <w:rFonts w:cs="Arial"/>
          <w:i/>
          <w:color w:val="000000" w:themeColor="text1"/>
          <w:szCs w:val="18"/>
        </w:rPr>
        <w:t>, ale i pojištění,“</w:t>
      </w:r>
      <w:r w:rsidR="009038F9" w:rsidRPr="00E718EA">
        <w:rPr>
          <w:rFonts w:cs="Arial"/>
          <w:i/>
          <w:color w:val="000000" w:themeColor="text1"/>
          <w:szCs w:val="18"/>
        </w:rPr>
        <w:t xml:space="preserve"> </w:t>
      </w:r>
      <w:r w:rsidR="009038F9" w:rsidRPr="00E718EA">
        <w:rPr>
          <w:rFonts w:cs="Arial"/>
          <w:color w:val="000000" w:themeColor="text1"/>
          <w:szCs w:val="18"/>
        </w:rPr>
        <w:t xml:space="preserve">doplňuje Helena Zavázalová, poradkyně </w:t>
      </w:r>
      <w:r w:rsidR="005A5BAB" w:rsidRPr="00E718EA">
        <w:rPr>
          <w:rFonts w:cs="Arial"/>
          <w:color w:val="000000" w:themeColor="text1"/>
          <w:szCs w:val="18"/>
        </w:rPr>
        <w:t>ČBA</w:t>
      </w:r>
      <w:r w:rsidR="009038F9" w:rsidRPr="00E718EA">
        <w:rPr>
          <w:rFonts w:cs="Arial"/>
          <w:color w:val="000000" w:themeColor="text1"/>
          <w:szCs w:val="18"/>
        </w:rPr>
        <w:t xml:space="preserve"> pro </w:t>
      </w:r>
      <w:r w:rsidR="005A5BAB" w:rsidRPr="00E718EA">
        <w:rPr>
          <w:rFonts w:cs="Arial"/>
          <w:color w:val="000000" w:themeColor="text1"/>
          <w:szCs w:val="18"/>
        </w:rPr>
        <w:t xml:space="preserve">fintech a </w:t>
      </w:r>
      <w:r w:rsidR="00D85155" w:rsidRPr="00E718EA">
        <w:rPr>
          <w:rFonts w:cs="Arial"/>
          <w:color w:val="000000" w:themeColor="text1"/>
          <w:szCs w:val="18"/>
        </w:rPr>
        <w:t>digitalizaci</w:t>
      </w:r>
      <w:r w:rsidR="00E718EA">
        <w:rPr>
          <w:rFonts w:cs="Arial"/>
          <w:color w:val="000000" w:themeColor="text1"/>
          <w:szCs w:val="18"/>
        </w:rPr>
        <w:t>, vycházejíc z výsledk</w:t>
      </w:r>
      <w:r w:rsidR="009E172B">
        <w:rPr>
          <w:rFonts w:cs="Arial"/>
          <w:color w:val="000000" w:themeColor="text1"/>
          <w:szCs w:val="18"/>
        </w:rPr>
        <w:t>ů</w:t>
      </w:r>
      <w:r w:rsidR="00E718EA">
        <w:rPr>
          <w:rFonts w:cs="Arial"/>
          <w:color w:val="000000" w:themeColor="text1"/>
          <w:szCs w:val="18"/>
        </w:rPr>
        <w:t xml:space="preserve"> </w:t>
      </w:r>
      <w:r w:rsidR="009E172B">
        <w:rPr>
          <w:rFonts w:cs="Arial"/>
          <w:color w:val="000000" w:themeColor="text1"/>
          <w:szCs w:val="18"/>
        </w:rPr>
        <w:t>průzkumu na zákaznickou zkušenost z října 2018.</w:t>
      </w:r>
    </w:p>
    <w:p w14:paraId="7DD0763E" w14:textId="0589BAEC" w:rsidR="00E02136" w:rsidRPr="00010564" w:rsidRDefault="00E02136" w:rsidP="008B1C16">
      <w:pPr>
        <w:spacing w:line="276" w:lineRule="auto"/>
        <w:contextualSpacing/>
        <w:rPr>
          <w:rFonts w:cs="Arial"/>
          <w:szCs w:val="18"/>
        </w:rPr>
      </w:pPr>
    </w:p>
    <w:p w14:paraId="30356C1E" w14:textId="0A862423" w:rsidR="00AB365A" w:rsidRPr="00CC7C45" w:rsidRDefault="00EC202F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  <w:r w:rsidRPr="00CC7C45">
        <w:rPr>
          <w:rFonts w:cs="Arial"/>
          <w:b/>
          <w:color w:val="007E79"/>
          <w:szCs w:val="18"/>
        </w:rPr>
        <w:t>Če</w:t>
      </w:r>
      <w:r w:rsidR="00786FE5" w:rsidRPr="00CC7C45">
        <w:rPr>
          <w:rFonts w:cs="Arial"/>
          <w:b/>
          <w:color w:val="007E79"/>
          <w:szCs w:val="18"/>
        </w:rPr>
        <w:t xml:space="preserve">ši jsou celkově spokojení. Když už změna, tak formou </w:t>
      </w:r>
      <w:r w:rsidR="005A5BAB" w:rsidRPr="00CC7C45">
        <w:rPr>
          <w:rFonts w:cs="Arial"/>
          <w:b/>
          <w:color w:val="007E79"/>
          <w:szCs w:val="18"/>
        </w:rPr>
        <w:t xml:space="preserve">dalšího </w:t>
      </w:r>
      <w:r w:rsidR="00786FE5" w:rsidRPr="00CC7C45">
        <w:rPr>
          <w:rFonts w:cs="Arial"/>
          <w:b/>
          <w:color w:val="007E79"/>
          <w:szCs w:val="18"/>
        </w:rPr>
        <w:t>účtu</w:t>
      </w:r>
    </w:p>
    <w:p w14:paraId="7EB8535D" w14:textId="059F3CD7" w:rsidR="00C8685C" w:rsidRPr="00010564" w:rsidRDefault="008363D1" w:rsidP="00402FA1">
      <w:pPr>
        <w:pStyle w:val="Standard"/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Kromě otázek </w:t>
      </w:r>
      <w:r w:rsidR="005F73A6">
        <w:rPr>
          <w:rFonts w:cs="Arial"/>
          <w:szCs w:val="18"/>
        </w:rPr>
        <w:t xml:space="preserve">týkajících se důvěryhodnosti </w:t>
      </w:r>
      <w:r w:rsidR="004A53BB">
        <w:rPr>
          <w:rFonts w:cs="Arial"/>
          <w:szCs w:val="18"/>
        </w:rPr>
        <w:t xml:space="preserve">se průzkum zaměřil </w:t>
      </w:r>
      <w:r w:rsidR="005F73A6">
        <w:rPr>
          <w:rFonts w:cs="Arial"/>
          <w:szCs w:val="18"/>
        </w:rPr>
        <w:t xml:space="preserve">i </w:t>
      </w:r>
      <w:r w:rsidR="00CF4CD4">
        <w:rPr>
          <w:rFonts w:cs="Arial"/>
          <w:szCs w:val="18"/>
        </w:rPr>
        <w:t xml:space="preserve">na </w:t>
      </w:r>
      <w:r w:rsidR="004A53BB">
        <w:rPr>
          <w:rFonts w:cs="Arial"/>
          <w:szCs w:val="18"/>
        </w:rPr>
        <w:t xml:space="preserve">spokojenost klientů. </w:t>
      </w:r>
      <w:r w:rsidR="00BD7A55" w:rsidRPr="00010564">
        <w:rPr>
          <w:rFonts w:cs="Arial"/>
          <w:szCs w:val="18"/>
        </w:rPr>
        <w:t>Mezi základní</w:t>
      </w:r>
      <w:r w:rsidR="00D0142A" w:rsidRPr="00010564">
        <w:rPr>
          <w:rFonts w:cs="Arial"/>
          <w:szCs w:val="18"/>
        </w:rPr>
        <w:t xml:space="preserve"> </w:t>
      </w:r>
      <w:r w:rsidR="00C8685C" w:rsidRPr="00010564">
        <w:rPr>
          <w:rFonts w:cs="Arial"/>
          <w:szCs w:val="18"/>
        </w:rPr>
        <w:t xml:space="preserve">atributy </w:t>
      </w:r>
      <w:r w:rsidR="006B37A6">
        <w:rPr>
          <w:rFonts w:cs="Arial"/>
          <w:szCs w:val="18"/>
        </w:rPr>
        <w:t xml:space="preserve">ovlivňující </w:t>
      </w:r>
      <w:r w:rsidR="00C8685C" w:rsidRPr="00010564">
        <w:rPr>
          <w:rFonts w:cs="Arial"/>
          <w:szCs w:val="18"/>
        </w:rPr>
        <w:t xml:space="preserve">spokojenost </w:t>
      </w:r>
      <w:r>
        <w:rPr>
          <w:rFonts w:cs="Arial"/>
          <w:szCs w:val="18"/>
        </w:rPr>
        <w:t>patří</w:t>
      </w:r>
      <w:r w:rsidR="00C8685C" w:rsidRPr="00010564">
        <w:rPr>
          <w:rFonts w:cs="Arial"/>
          <w:szCs w:val="18"/>
        </w:rPr>
        <w:t xml:space="preserve"> především důvěryhodnost, kvalita poskytovaných služeb a v určité míře také</w:t>
      </w:r>
      <w:r w:rsidR="00C7375A" w:rsidRPr="00010564">
        <w:rPr>
          <w:rFonts w:cs="Arial"/>
          <w:szCs w:val="18"/>
        </w:rPr>
        <w:t xml:space="preserve"> úroveň</w:t>
      </w:r>
      <w:r w:rsidR="00C8685C" w:rsidRPr="00010564">
        <w:rPr>
          <w:rFonts w:cs="Arial"/>
          <w:szCs w:val="18"/>
        </w:rPr>
        <w:t xml:space="preserve"> internetové</w:t>
      </w:r>
      <w:r w:rsidR="005A5BAB">
        <w:rPr>
          <w:rFonts w:cs="Arial"/>
          <w:szCs w:val="18"/>
        </w:rPr>
        <w:t>ho</w:t>
      </w:r>
      <w:r w:rsidR="00C8685C" w:rsidRPr="00010564">
        <w:rPr>
          <w:rFonts w:cs="Arial"/>
          <w:szCs w:val="18"/>
        </w:rPr>
        <w:t xml:space="preserve"> bankovnictví dané banky.</w:t>
      </w:r>
      <w:r w:rsidR="00D8118D" w:rsidRPr="0001056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„</w:t>
      </w:r>
      <w:r w:rsidR="00D8118D" w:rsidRPr="00CF4CD4">
        <w:rPr>
          <w:rFonts w:cs="Arial"/>
          <w:i/>
          <w:szCs w:val="18"/>
        </w:rPr>
        <w:t xml:space="preserve">Spolu se vstřícností personálu, zázemím banky a plněním slibů jde rovněž o silné motivátory, které vedou klienty k tomu, aby danou banku </w:t>
      </w:r>
      <w:r w:rsidR="004B7ECE">
        <w:rPr>
          <w:rFonts w:cs="Arial"/>
          <w:i/>
          <w:szCs w:val="18"/>
        </w:rPr>
        <w:t>využívali</w:t>
      </w:r>
      <w:r w:rsidR="005A5BAB">
        <w:rPr>
          <w:rFonts w:cs="Arial"/>
          <w:i/>
          <w:szCs w:val="18"/>
        </w:rPr>
        <w:t xml:space="preserve"> a třeba nepřešli k jiné</w:t>
      </w:r>
      <w:r w:rsidRPr="00CF4CD4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</w:t>
      </w:r>
      <w:r w:rsidR="0048489E">
        <w:rPr>
          <w:rFonts w:cs="Arial"/>
          <w:szCs w:val="18"/>
        </w:rPr>
        <w:t>doplňuje Helena Zavázalová.</w:t>
      </w:r>
    </w:p>
    <w:p w14:paraId="4B7E46C0" w14:textId="576A91C2" w:rsidR="00D8118D" w:rsidRPr="00010564" w:rsidRDefault="00D8118D" w:rsidP="00402FA1">
      <w:pPr>
        <w:pStyle w:val="Standard"/>
        <w:spacing w:line="276" w:lineRule="auto"/>
        <w:contextualSpacing/>
        <w:rPr>
          <w:rFonts w:cs="Arial"/>
          <w:szCs w:val="18"/>
        </w:rPr>
      </w:pPr>
    </w:p>
    <w:p w14:paraId="251596E2" w14:textId="6DEDBF64" w:rsidR="00830214" w:rsidRDefault="00BE00E4" w:rsidP="00402FA1">
      <w:pPr>
        <w:pStyle w:val="Standard"/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Zmíněné atributy se </w:t>
      </w:r>
      <w:r w:rsidR="004B7ECE">
        <w:rPr>
          <w:rFonts w:cs="Arial"/>
          <w:szCs w:val="18"/>
        </w:rPr>
        <w:t xml:space="preserve">rovněž </w:t>
      </w:r>
      <w:r w:rsidR="00CB4072">
        <w:rPr>
          <w:rFonts w:cs="Arial"/>
          <w:szCs w:val="18"/>
        </w:rPr>
        <w:t xml:space="preserve">promítají </w:t>
      </w:r>
      <w:r w:rsidR="006B37A6">
        <w:rPr>
          <w:rFonts w:cs="Arial"/>
          <w:szCs w:val="18"/>
        </w:rPr>
        <w:t xml:space="preserve">do </w:t>
      </w:r>
      <w:r w:rsidR="00DD4F3E">
        <w:rPr>
          <w:rFonts w:cs="Arial"/>
          <w:szCs w:val="18"/>
        </w:rPr>
        <w:t xml:space="preserve">každoročně zkoumaného </w:t>
      </w:r>
      <w:proofErr w:type="spellStart"/>
      <w:r w:rsidR="005F73A6" w:rsidRPr="005F73A6">
        <w:rPr>
          <w:rFonts w:cs="Arial"/>
          <w:i/>
          <w:szCs w:val="18"/>
        </w:rPr>
        <w:t>Custumer</w:t>
      </w:r>
      <w:proofErr w:type="spellEnd"/>
      <w:r w:rsidR="005F73A6" w:rsidRPr="005F73A6">
        <w:rPr>
          <w:rFonts w:cs="Arial"/>
          <w:i/>
          <w:szCs w:val="18"/>
        </w:rPr>
        <w:t xml:space="preserve"> </w:t>
      </w:r>
      <w:proofErr w:type="spellStart"/>
      <w:r w:rsidR="005F73A6" w:rsidRPr="005F73A6">
        <w:rPr>
          <w:rFonts w:cs="Arial"/>
          <w:i/>
          <w:szCs w:val="18"/>
        </w:rPr>
        <w:t>Satisfaction</w:t>
      </w:r>
      <w:proofErr w:type="spellEnd"/>
      <w:r w:rsidR="005F73A6" w:rsidRPr="005F73A6">
        <w:rPr>
          <w:rFonts w:cs="Arial"/>
          <w:i/>
          <w:szCs w:val="18"/>
        </w:rPr>
        <w:t xml:space="preserve"> Indexu (CSI)</w:t>
      </w:r>
      <w:r w:rsidRPr="00010564">
        <w:rPr>
          <w:rFonts w:cs="Arial"/>
          <w:szCs w:val="18"/>
        </w:rPr>
        <w:t xml:space="preserve">, </w:t>
      </w:r>
      <w:r w:rsidR="004B7ECE">
        <w:rPr>
          <w:rFonts w:cs="Arial"/>
          <w:szCs w:val="18"/>
        </w:rPr>
        <w:t xml:space="preserve">který </w:t>
      </w:r>
      <w:r w:rsidR="006B37A6">
        <w:rPr>
          <w:rFonts w:cs="Arial"/>
          <w:szCs w:val="18"/>
        </w:rPr>
        <w:t>měří celkovou spokojenost</w:t>
      </w:r>
      <w:r w:rsidR="004B7ECE">
        <w:rPr>
          <w:rFonts w:cs="Arial"/>
          <w:szCs w:val="18"/>
        </w:rPr>
        <w:t xml:space="preserve"> klientů</w:t>
      </w:r>
      <w:r w:rsidR="006B37A6">
        <w:rPr>
          <w:rFonts w:cs="Arial"/>
          <w:szCs w:val="18"/>
        </w:rPr>
        <w:t xml:space="preserve"> s</w:t>
      </w:r>
      <w:r w:rsidR="00DD4F3E">
        <w:rPr>
          <w:rFonts w:cs="Arial"/>
          <w:szCs w:val="18"/>
        </w:rPr>
        <w:t> </w:t>
      </w:r>
      <w:r w:rsidR="006B37A6">
        <w:rPr>
          <w:rFonts w:cs="Arial"/>
          <w:szCs w:val="18"/>
        </w:rPr>
        <w:t>bankou</w:t>
      </w:r>
      <w:r w:rsidR="00DD4F3E">
        <w:rPr>
          <w:rFonts w:cs="Arial"/>
          <w:szCs w:val="18"/>
        </w:rPr>
        <w:t xml:space="preserve">. </w:t>
      </w:r>
      <w:r w:rsidR="005F73A6">
        <w:rPr>
          <w:rFonts w:cs="Arial"/>
          <w:szCs w:val="18"/>
        </w:rPr>
        <w:t xml:space="preserve">Za posledních pět let spokojenost Čechů s bankami vzrostla o celých </w:t>
      </w:r>
      <w:r w:rsidR="00830214">
        <w:rPr>
          <w:rFonts w:cs="Arial"/>
          <w:szCs w:val="18"/>
        </w:rPr>
        <w:t>osm procentních</w:t>
      </w:r>
      <w:r w:rsidR="005F73A6">
        <w:rPr>
          <w:rFonts w:cs="Arial"/>
          <w:szCs w:val="18"/>
        </w:rPr>
        <w:t xml:space="preserve"> bodů na letošních</w:t>
      </w:r>
      <w:r w:rsidR="004B7ECE">
        <w:rPr>
          <w:rFonts w:cs="Arial"/>
          <w:szCs w:val="18"/>
        </w:rPr>
        <w:t xml:space="preserve"> </w:t>
      </w:r>
      <w:r w:rsidR="00CB4072">
        <w:rPr>
          <w:rFonts w:cs="Arial"/>
          <w:szCs w:val="18"/>
        </w:rPr>
        <w:t xml:space="preserve">85 </w:t>
      </w:r>
      <w:r w:rsidR="00830214">
        <w:rPr>
          <w:rFonts w:cs="Arial"/>
          <w:szCs w:val="18"/>
        </w:rPr>
        <w:t xml:space="preserve">%. </w:t>
      </w:r>
    </w:p>
    <w:p w14:paraId="5CD14C19" w14:textId="0A1EE98D" w:rsidR="00830214" w:rsidRDefault="00830214" w:rsidP="00402FA1">
      <w:pPr>
        <w:pStyle w:val="Standard"/>
        <w:spacing w:line="276" w:lineRule="auto"/>
        <w:contextualSpacing/>
        <w:rPr>
          <w:rFonts w:cs="Arial"/>
          <w:szCs w:val="18"/>
        </w:rPr>
      </w:pPr>
    </w:p>
    <w:p w14:paraId="526FFDB0" w14:textId="662D3AAF" w:rsidR="00830214" w:rsidRDefault="004B7ECE" w:rsidP="00402FA1">
      <w:pPr>
        <w:pStyle w:val="Standard"/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Vysokou míru s</w:t>
      </w:r>
      <w:r w:rsidR="00A72FF3">
        <w:rPr>
          <w:rFonts w:cs="Arial"/>
          <w:szCs w:val="18"/>
        </w:rPr>
        <w:t>pokojenost</w:t>
      </w:r>
      <w:r>
        <w:rPr>
          <w:rFonts w:cs="Arial"/>
          <w:szCs w:val="18"/>
        </w:rPr>
        <w:t>i</w:t>
      </w:r>
      <w:r w:rsidR="006B37A6">
        <w:rPr>
          <w:rFonts w:cs="Arial"/>
          <w:szCs w:val="18"/>
        </w:rPr>
        <w:t xml:space="preserve"> </w:t>
      </w:r>
      <w:r w:rsidR="00CB4072">
        <w:rPr>
          <w:rFonts w:cs="Arial"/>
          <w:szCs w:val="18"/>
        </w:rPr>
        <w:t xml:space="preserve">potvrzuje </w:t>
      </w:r>
      <w:r w:rsidR="001A46CC">
        <w:rPr>
          <w:rFonts w:cs="Arial"/>
          <w:szCs w:val="18"/>
        </w:rPr>
        <w:t>také</w:t>
      </w:r>
      <w:r w:rsidR="00CB4072">
        <w:rPr>
          <w:rFonts w:cs="Arial"/>
          <w:szCs w:val="18"/>
        </w:rPr>
        <w:t xml:space="preserve"> fakt, že více než dvě </w:t>
      </w:r>
      <w:r w:rsidR="00CB4072" w:rsidRPr="0025305E">
        <w:rPr>
          <w:rFonts w:cs="Arial"/>
          <w:szCs w:val="18"/>
        </w:rPr>
        <w:t xml:space="preserve">třetiny (68 %) respondentů v posledním roce </w:t>
      </w:r>
      <w:r w:rsidR="00830214" w:rsidRPr="0025305E">
        <w:rPr>
          <w:rFonts w:cs="Arial"/>
          <w:szCs w:val="18"/>
        </w:rPr>
        <w:t xml:space="preserve">vůbec </w:t>
      </w:r>
      <w:r w:rsidR="00CB4072" w:rsidRPr="0025305E">
        <w:rPr>
          <w:rFonts w:cs="Arial"/>
          <w:szCs w:val="18"/>
        </w:rPr>
        <w:t>neuvažovalo</w:t>
      </w:r>
      <w:r w:rsidR="00A72FF3" w:rsidRPr="0025305E">
        <w:rPr>
          <w:rFonts w:cs="Arial"/>
          <w:szCs w:val="18"/>
        </w:rPr>
        <w:t xml:space="preserve"> o změně své banky</w:t>
      </w:r>
      <w:r w:rsidR="00CB4072" w:rsidRPr="0025305E">
        <w:rPr>
          <w:rFonts w:cs="Arial"/>
          <w:szCs w:val="18"/>
        </w:rPr>
        <w:t>.</w:t>
      </w:r>
      <w:r w:rsidR="00946929" w:rsidRPr="0025305E">
        <w:rPr>
          <w:rFonts w:cs="Arial"/>
          <w:szCs w:val="18"/>
        </w:rPr>
        <w:t xml:space="preserve"> </w:t>
      </w:r>
      <w:r w:rsidR="0025305E" w:rsidRPr="0025305E">
        <w:rPr>
          <w:rFonts w:cs="Arial"/>
          <w:szCs w:val="18"/>
        </w:rPr>
        <w:t>Na 32 % z</w:t>
      </w:r>
      <w:r w:rsidR="00830214" w:rsidRPr="0025305E">
        <w:rPr>
          <w:rFonts w:cs="Arial"/>
          <w:szCs w:val="18"/>
        </w:rPr>
        <w:t xml:space="preserve"> těch, kteří nad změnou </w:t>
      </w:r>
      <w:r w:rsidR="0025305E" w:rsidRPr="0025305E">
        <w:rPr>
          <w:rFonts w:cs="Arial"/>
          <w:szCs w:val="18"/>
        </w:rPr>
        <w:t xml:space="preserve">banky </w:t>
      </w:r>
      <w:r w:rsidR="00830214" w:rsidRPr="0025305E">
        <w:rPr>
          <w:rFonts w:cs="Arial"/>
          <w:szCs w:val="18"/>
        </w:rPr>
        <w:t>uvažovali</w:t>
      </w:r>
      <w:r w:rsidR="0025305E" w:rsidRPr="0025305E">
        <w:rPr>
          <w:rFonts w:cs="Arial"/>
          <w:szCs w:val="18"/>
        </w:rPr>
        <w:t xml:space="preserve">, </w:t>
      </w:r>
      <w:r w:rsidR="00830214" w:rsidRPr="0025305E">
        <w:rPr>
          <w:rFonts w:cs="Arial"/>
          <w:szCs w:val="18"/>
        </w:rPr>
        <w:t>se rozhodlo začít využívat služeb i jiné banky, ať už z důvodů nižších poplatků, nebo lepších podmínek.</w:t>
      </w:r>
      <w:r w:rsidR="0025305E" w:rsidRPr="0025305E">
        <w:rPr>
          <w:rFonts w:cs="Arial"/>
          <w:szCs w:val="18"/>
        </w:rPr>
        <w:t xml:space="preserve"> Na </w:t>
      </w:r>
      <w:r w:rsidR="00946929" w:rsidRPr="0025305E">
        <w:rPr>
          <w:rFonts w:cs="Arial"/>
          <w:szCs w:val="18"/>
        </w:rPr>
        <w:t xml:space="preserve">67 </w:t>
      </w:r>
      <w:r w:rsidR="00830214" w:rsidRPr="0025305E">
        <w:rPr>
          <w:rFonts w:cs="Arial"/>
          <w:szCs w:val="18"/>
        </w:rPr>
        <w:t xml:space="preserve">% </w:t>
      </w:r>
      <w:r w:rsidR="00D24515" w:rsidRPr="0025305E">
        <w:rPr>
          <w:rFonts w:cs="Arial"/>
          <w:szCs w:val="18"/>
        </w:rPr>
        <w:t>neudělal</w:t>
      </w:r>
      <w:r w:rsidR="000159E5">
        <w:rPr>
          <w:rFonts w:cs="Arial"/>
          <w:szCs w:val="18"/>
        </w:rPr>
        <w:t>o</w:t>
      </w:r>
      <w:r w:rsidR="00D24515" w:rsidRPr="0025305E">
        <w:rPr>
          <w:rFonts w:cs="Arial"/>
          <w:szCs w:val="18"/>
        </w:rPr>
        <w:t xml:space="preserve"> ve výsledku</w:t>
      </w:r>
      <w:r w:rsidR="00946929" w:rsidRPr="0025305E">
        <w:rPr>
          <w:rFonts w:cs="Arial"/>
          <w:szCs w:val="18"/>
        </w:rPr>
        <w:t xml:space="preserve"> nic</w:t>
      </w:r>
      <w:r w:rsidR="001A46CC" w:rsidRPr="0025305E">
        <w:rPr>
          <w:rFonts w:cs="Arial"/>
          <w:szCs w:val="18"/>
        </w:rPr>
        <w:t>.</w:t>
      </w:r>
      <w:r w:rsidR="0025305E" w:rsidRPr="0025305E">
        <w:rPr>
          <w:rFonts w:cs="Arial"/>
          <w:szCs w:val="18"/>
        </w:rPr>
        <w:t xml:space="preserve"> Svou nečinnost odůvodnili zejména nepodstatnými rozdíly v nabídce služeb jednotlivých bank.</w:t>
      </w:r>
      <w:r w:rsidR="0025305E">
        <w:rPr>
          <w:rFonts w:cs="Arial"/>
          <w:szCs w:val="18"/>
        </w:rPr>
        <w:t xml:space="preserve"> </w:t>
      </w:r>
    </w:p>
    <w:p w14:paraId="2B724DAE" w14:textId="12163F97" w:rsidR="00402FA1" w:rsidRDefault="0025305E" w:rsidP="00402FA1">
      <w:pPr>
        <w:pStyle w:val="Standard"/>
        <w:spacing w:line="276" w:lineRule="auto"/>
        <w:contextualSpacing/>
        <w:rPr>
          <w:rFonts w:cs="Arial"/>
          <w:szCs w:val="18"/>
        </w:rPr>
      </w:pPr>
      <w:r w:rsidRPr="004B7ECE">
        <w:rPr>
          <w:rFonts w:cs="Arial"/>
          <w:b/>
          <w:noProof/>
          <w:color w:val="007E79"/>
          <w:szCs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1264D6" wp14:editId="6D12DC1E">
                <wp:simplePos x="0" y="0"/>
                <wp:positionH relativeFrom="margin">
                  <wp:posOffset>2116455</wp:posOffset>
                </wp:positionH>
                <wp:positionV relativeFrom="paragraph">
                  <wp:posOffset>57150</wp:posOffset>
                </wp:positionV>
                <wp:extent cx="2245995" cy="1404620"/>
                <wp:effectExtent l="0" t="0" r="190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E7B0" w14:textId="32CFCF42" w:rsidR="00C2020E" w:rsidRPr="0025305E" w:rsidRDefault="00C2020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5305E">
                              <w:rPr>
                                <w:b/>
                                <w:sz w:val="16"/>
                              </w:rPr>
                              <w:t>Uvažovali jste nad změnou své banky?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264D6" id="_x0000_s1027" type="#_x0000_t202" style="position:absolute;left:0;text-align:left;margin-left:166.65pt;margin-top:4.5pt;width:176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FKLAIAACoEAAAOAAAAZHJzL2Uyb0RvYy54bWysU9tuGyEQfa/Uf0C813uRncSrrKPUqatK&#10;6UVK+gEsy3pRgaGAvev+Ub8jP9aBdRwrfavKAwJmOJw5c7i+GbUie+G8BFPTYpZTIgyHVpptTb8/&#10;bt5dUeIDMy1TYERND8LTm9XbN9eDrUQJPahWOIIgxleDrWkfgq2yzPNeaOZnYIXBYAdOs4Bbt81a&#10;xwZE1yor8/wiG8C11gEX3uPp3RSkq4TfdYKHr13nRSCqpsgtpNmluYlztrpm1dYx20t+pMH+gYVm&#10;0uCjJ6g7FhjZOfkXlJbcgYcuzDjoDLpOcpFqwGqK/FU1Dz2zItWC4nh7ksn/P1j+Zf/NEdnWtCwu&#10;KTFMY5MexRhg//SbWFCClFGkwfoKcx8sZofxPYzY7FSwt/fAf3hiYN0zsxW3zsHQC9YiySLezM6u&#10;Tjg+gjTDZ2jxLbYLkIDGzumoIGpCEB2bdTg1CPkQjodlOV8slwtKOMaKeT6/KFMLM1Y9X7fOh48C&#10;NImLmjp0QIJn+3sfIh1WPafE1zwo2W6kUmnjts1aObJn6JZNGqmCV2nKkKGmy0W5SMgG4v1kJC0D&#10;ullJXdOrPI7JX1GOD6ZNKYFJNa2RiTJHfaIkkzhhbMbUjyRe1K6B9oCCOZjMi58NFz24X5QMaNya&#10;+p875gQl6pNB0ZfFfB6dnjbzxSUqRNx5pDmPMMMRqqaBkmm5Dul3JDnsLTZnI5NsL0yOlNGQSc3j&#10;54mOP9+nrJcvvvoDAAD//wMAUEsDBBQABgAIAAAAIQDLgwFK3QAAAAkBAAAPAAAAZHJzL2Rvd25y&#10;ZXYueG1sTI9BT8MwDIXvSPyHyEjcWEonxihNp4mJCwckBhIcs8ZtKhonSrKu/HvMiflk6z09f6/e&#10;zG4UE8Y0eFJwuyhAILXeDNQr+Hh/vlmDSFmT0aMnVPCDCTbN5UWtK+NP9IbTPveCQyhVWoHNOVRS&#10;ptai02nhAxJrnY9OZz5jL03UJw53oyyLYiWdHog/WB3wyWL7vT86BZ/ODmYXX786M067l257F+YY&#10;lLq+mrePIDLO+d8Mf/iMDg0zHfyRTBKjgiUPWxU8cCXWV+t7Xg4KymVRgmxqed6g+QUAAP//AwBQ&#10;SwECLQAUAAYACAAAACEAtoM4kv4AAADhAQAAEwAAAAAAAAAAAAAAAAAAAAAAW0NvbnRlbnRfVHlw&#10;ZXNdLnhtbFBLAQItABQABgAIAAAAIQA4/SH/1gAAAJQBAAALAAAAAAAAAAAAAAAAAC8BAABfcmVs&#10;cy8ucmVsc1BLAQItABQABgAIAAAAIQAxe5FKLAIAACoEAAAOAAAAAAAAAAAAAAAAAC4CAABkcnMv&#10;ZTJvRG9jLnhtbFBLAQItABQABgAIAAAAIQDLgwFK3QAAAAkBAAAPAAAAAAAAAAAAAAAAAIYEAABk&#10;cnMvZG93bnJldi54bWxQSwUGAAAAAAQABADzAAAAkAUAAAAA&#10;" stroked="f">
                <v:textbox style="mso-fit-shape-to-text:t">
                  <w:txbxContent>
                    <w:p w14:paraId="7635E7B0" w14:textId="32CFCF42" w:rsidR="00C2020E" w:rsidRPr="0025305E" w:rsidRDefault="00C2020E">
                      <w:pPr>
                        <w:rPr>
                          <w:b/>
                          <w:sz w:val="16"/>
                        </w:rPr>
                      </w:pPr>
                      <w:r w:rsidRPr="0025305E">
                        <w:rPr>
                          <w:b/>
                          <w:sz w:val="16"/>
                        </w:rPr>
                        <w:t>Uvažovali jste nad změnou své banky?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6CC">
        <w:rPr>
          <w:rFonts w:cs="Arial"/>
          <w:szCs w:val="18"/>
        </w:rPr>
        <w:t xml:space="preserve"> </w:t>
      </w:r>
    </w:p>
    <w:p w14:paraId="71D237F9" w14:textId="462199CE" w:rsidR="00C8685C" w:rsidRPr="00010564" w:rsidRDefault="00C8685C" w:rsidP="00830214">
      <w:pPr>
        <w:pStyle w:val="Standard"/>
        <w:spacing w:line="276" w:lineRule="auto"/>
        <w:contextualSpacing/>
        <w:rPr>
          <w:rFonts w:cs="Arial"/>
          <w:szCs w:val="18"/>
        </w:rPr>
      </w:pPr>
    </w:p>
    <w:p w14:paraId="71B5A37C" w14:textId="4673C7BC" w:rsidR="00E373B4" w:rsidRDefault="0025305E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  <w:r>
        <w:rPr>
          <w:rFonts w:cs="Arial"/>
          <w:b/>
          <w:noProof/>
          <w:color w:val="007E79"/>
          <w:szCs w:val="18"/>
        </w:rPr>
        <w:drawing>
          <wp:anchor distT="0" distB="0" distL="114300" distR="114300" simplePos="0" relativeHeight="251698176" behindDoc="1" locked="0" layoutInCell="1" allowOverlap="1" wp14:anchorId="47D45070" wp14:editId="6DBB5D14">
            <wp:simplePos x="0" y="0"/>
            <wp:positionH relativeFrom="margin">
              <wp:posOffset>1675870</wp:posOffset>
            </wp:positionH>
            <wp:positionV relativeFrom="paragraph">
              <wp:posOffset>-67310</wp:posOffset>
            </wp:positionV>
            <wp:extent cx="3675275" cy="2152650"/>
            <wp:effectExtent l="0" t="0" r="1905" b="0"/>
            <wp:wrapTight wrapText="bothSides">
              <wp:wrapPolygon edited="0">
                <wp:start x="11869" y="0"/>
                <wp:lineTo x="8174" y="1147"/>
                <wp:lineTo x="3807" y="2867"/>
                <wp:lineTo x="3247" y="3632"/>
                <wp:lineTo x="1904" y="5926"/>
                <wp:lineTo x="1568" y="9175"/>
                <wp:lineTo x="2240" y="12234"/>
                <wp:lineTo x="1456" y="14527"/>
                <wp:lineTo x="1456" y="15101"/>
                <wp:lineTo x="3919" y="18159"/>
                <wp:lineTo x="9854" y="18542"/>
                <wp:lineTo x="9854" y="21027"/>
                <wp:lineTo x="13437" y="21409"/>
                <wp:lineTo x="13997" y="21409"/>
                <wp:lineTo x="18028" y="21218"/>
                <wp:lineTo x="18028" y="19497"/>
                <wp:lineTo x="13997" y="18350"/>
                <wp:lineTo x="18700" y="18350"/>
                <wp:lineTo x="20827" y="17395"/>
                <wp:lineTo x="20939" y="14527"/>
                <wp:lineTo x="14669" y="12234"/>
                <wp:lineTo x="14221" y="10896"/>
                <wp:lineTo x="13885" y="9175"/>
                <wp:lineTo x="21275" y="6308"/>
                <wp:lineTo x="21499" y="4970"/>
                <wp:lineTo x="20603" y="4396"/>
                <wp:lineTo x="17132" y="3058"/>
                <wp:lineTo x="21163" y="2867"/>
                <wp:lineTo x="21051" y="1147"/>
                <wp:lineTo x="14893" y="0"/>
                <wp:lineTo x="11869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"/>
                    <a:stretch/>
                  </pic:blipFill>
                  <pic:spPr bwMode="auto">
                    <a:xfrm>
                      <a:off x="0" y="0"/>
                      <a:ext cx="3683019" cy="21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0C861" w14:textId="3FD76CC0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302F8547" w14:textId="2345709A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13184168" w14:textId="40C9A5F8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1018172A" w14:textId="77E50E84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57DC10A4" w14:textId="1694045D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69CC7FEB" w14:textId="741376F6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7006CC5D" w14:textId="51CF2002" w:rsidR="00E373B4" w:rsidRDefault="00E373B4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131DCF76" w14:textId="46EB45BB" w:rsidR="00A72FF3" w:rsidRDefault="00A72FF3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25297889" w14:textId="017B7733" w:rsidR="00402FA1" w:rsidRDefault="00402FA1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3B9E40B1" w14:textId="0070906F" w:rsidR="00402FA1" w:rsidRDefault="00402FA1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0B8E092F" w14:textId="77777777" w:rsidR="0025305E" w:rsidRDefault="0025305E" w:rsidP="008B1C16">
      <w:pPr>
        <w:spacing w:line="276" w:lineRule="auto"/>
        <w:contextualSpacing/>
        <w:rPr>
          <w:rFonts w:cs="Arial"/>
          <w:szCs w:val="18"/>
        </w:rPr>
      </w:pPr>
    </w:p>
    <w:p w14:paraId="635770C6" w14:textId="77777777" w:rsidR="00727012" w:rsidRDefault="00727012" w:rsidP="008B1C16">
      <w:pPr>
        <w:spacing w:line="276" w:lineRule="auto"/>
        <w:contextualSpacing/>
        <w:rPr>
          <w:rFonts w:cs="Arial"/>
          <w:szCs w:val="18"/>
        </w:rPr>
      </w:pPr>
    </w:p>
    <w:p w14:paraId="079625F8" w14:textId="709A1D00" w:rsidR="0048354D" w:rsidRDefault="00AE6E19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  <w:r>
        <w:rPr>
          <w:rFonts w:cs="Arial"/>
          <w:szCs w:val="18"/>
        </w:rPr>
        <w:lastRenderedPageBreak/>
        <w:t xml:space="preserve">Pokud by Češi něco změnili, tak je to tradičně výše </w:t>
      </w:r>
      <w:r w:rsidR="00830214">
        <w:rPr>
          <w:rFonts w:cs="Arial"/>
          <w:szCs w:val="18"/>
        </w:rPr>
        <w:t>poplatk</w:t>
      </w:r>
      <w:r>
        <w:rPr>
          <w:rFonts w:cs="Arial"/>
          <w:szCs w:val="18"/>
        </w:rPr>
        <w:t>ů</w:t>
      </w:r>
      <w:r w:rsidR="00830214">
        <w:rPr>
          <w:rFonts w:cs="Arial"/>
          <w:szCs w:val="18"/>
        </w:rPr>
        <w:t xml:space="preserve"> (30 %)</w:t>
      </w:r>
      <w:r>
        <w:rPr>
          <w:rFonts w:cs="Arial"/>
          <w:szCs w:val="18"/>
        </w:rPr>
        <w:t xml:space="preserve"> a </w:t>
      </w:r>
      <w:r w:rsidR="00830214">
        <w:rPr>
          <w:rFonts w:cs="Arial"/>
          <w:szCs w:val="18"/>
        </w:rPr>
        <w:t>úrok</w:t>
      </w:r>
      <w:r>
        <w:rPr>
          <w:rFonts w:cs="Arial"/>
          <w:szCs w:val="18"/>
        </w:rPr>
        <w:t xml:space="preserve">ů </w:t>
      </w:r>
      <w:r w:rsidR="00830214">
        <w:rPr>
          <w:rFonts w:cs="Arial"/>
          <w:szCs w:val="18"/>
        </w:rPr>
        <w:t>na spořicích účtech (22 %)</w:t>
      </w:r>
      <w:r>
        <w:rPr>
          <w:rFonts w:cs="Arial"/>
          <w:szCs w:val="18"/>
        </w:rPr>
        <w:t xml:space="preserve">, případně by uvítali </w:t>
      </w:r>
      <w:r w:rsidR="00830214">
        <w:rPr>
          <w:rFonts w:cs="Arial"/>
          <w:szCs w:val="18"/>
        </w:rPr>
        <w:t>zjednodušení zavedených služeb (10 %)</w:t>
      </w:r>
      <w:r>
        <w:rPr>
          <w:rFonts w:cs="Arial"/>
          <w:szCs w:val="18"/>
        </w:rPr>
        <w:t xml:space="preserve">. </w:t>
      </w:r>
    </w:p>
    <w:p w14:paraId="4C36893A" w14:textId="77777777" w:rsidR="0048354D" w:rsidRDefault="0048354D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25FD1656" w14:textId="6602B805" w:rsidR="00BE5574" w:rsidRPr="00CC7C45" w:rsidRDefault="00AE6E19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  <w:r w:rsidRPr="00CC7C45">
        <w:rPr>
          <w:rFonts w:cs="Arial"/>
          <w:b/>
          <w:color w:val="007E79"/>
          <w:szCs w:val="18"/>
        </w:rPr>
        <w:t xml:space="preserve">O pojištění vkladů či dalších bankovních produktů je nízké povědomí </w:t>
      </w:r>
    </w:p>
    <w:p w14:paraId="7AF6CC2B" w14:textId="019DB7FD" w:rsidR="00E528C6" w:rsidRDefault="00E373B4" w:rsidP="00E528C6">
      <w:pPr>
        <w:spacing w:line="276" w:lineRule="auto"/>
        <w:contextualSpacing/>
        <w:rPr>
          <w:rFonts w:cs="Arial"/>
          <w:szCs w:val="18"/>
        </w:rPr>
      </w:pPr>
      <w:r w:rsidRPr="00E373B4">
        <w:rPr>
          <w:rFonts w:cs="Arial"/>
          <w:szCs w:val="18"/>
        </w:rPr>
        <w:t xml:space="preserve">Povědomí o pojištění vkladů není </w:t>
      </w:r>
      <w:r w:rsidR="005D55D6">
        <w:rPr>
          <w:rFonts w:cs="Arial"/>
          <w:szCs w:val="18"/>
        </w:rPr>
        <w:t>příliš</w:t>
      </w:r>
      <w:r w:rsidRPr="00E373B4">
        <w:rPr>
          <w:rFonts w:cs="Arial"/>
          <w:szCs w:val="18"/>
        </w:rPr>
        <w:t xml:space="preserve"> velké</w:t>
      </w:r>
      <w:r w:rsidR="006A0B4A">
        <w:rPr>
          <w:rFonts w:cs="Arial"/>
          <w:szCs w:val="18"/>
        </w:rPr>
        <w:t>.</w:t>
      </w:r>
      <w:r w:rsidRPr="00E373B4">
        <w:rPr>
          <w:rFonts w:cs="Arial"/>
          <w:szCs w:val="18"/>
        </w:rPr>
        <w:t xml:space="preserve"> </w:t>
      </w:r>
      <w:r w:rsidR="00A13F1D">
        <w:rPr>
          <w:rFonts w:cs="Arial"/>
          <w:szCs w:val="18"/>
        </w:rPr>
        <w:t>Více než třetina (</w:t>
      </w:r>
      <w:r w:rsidR="00AE6E19">
        <w:rPr>
          <w:rFonts w:cs="Arial"/>
          <w:szCs w:val="18"/>
        </w:rPr>
        <w:t>3</w:t>
      </w:r>
      <w:r w:rsidR="00A15F37">
        <w:rPr>
          <w:rFonts w:cs="Arial"/>
          <w:szCs w:val="18"/>
        </w:rPr>
        <w:t>7</w:t>
      </w:r>
      <w:r w:rsidR="00AE6E19">
        <w:rPr>
          <w:rFonts w:cs="Arial"/>
          <w:szCs w:val="18"/>
        </w:rPr>
        <w:t xml:space="preserve"> %) </w:t>
      </w:r>
      <w:r w:rsidR="00A950F4">
        <w:rPr>
          <w:rFonts w:cs="Arial"/>
          <w:szCs w:val="18"/>
        </w:rPr>
        <w:t>nemá o tom</w:t>
      </w:r>
      <w:r w:rsidR="00AE6E19">
        <w:rPr>
          <w:rFonts w:cs="Arial"/>
          <w:szCs w:val="18"/>
        </w:rPr>
        <w:t xml:space="preserve">, že </w:t>
      </w:r>
      <w:r w:rsidR="00975439">
        <w:rPr>
          <w:rFonts w:cs="Arial"/>
          <w:szCs w:val="18"/>
        </w:rPr>
        <w:t xml:space="preserve">jsou </w:t>
      </w:r>
      <w:r w:rsidRPr="00E373B4">
        <w:rPr>
          <w:rFonts w:cs="Arial"/>
          <w:szCs w:val="18"/>
        </w:rPr>
        <w:t xml:space="preserve">vklady </w:t>
      </w:r>
      <w:r w:rsidR="00AE6E19">
        <w:rPr>
          <w:rFonts w:cs="Arial"/>
          <w:szCs w:val="18"/>
        </w:rPr>
        <w:t>pro případ krachu banky</w:t>
      </w:r>
      <w:r w:rsidR="00975439">
        <w:rPr>
          <w:rFonts w:cs="Arial"/>
          <w:szCs w:val="18"/>
        </w:rPr>
        <w:t xml:space="preserve"> ze</w:t>
      </w:r>
      <w:r w:rsidR="00A950F4">
        <w:rPr>
          <w:rFonts w:cs="Arial"/>
          <w:szCs w:val="18"/>
        </w:rPr>
        <w:t xml:space="preserve"> </w:t>
      </w:r>
      <w:r w:rsidR="00A950F4" w:rsidRPr="00975439">
        <w:rPr>
          <w:rFonts w:cs="Arial"/>
          <w:szCs w:val="18"/>
        </w:rPr>
        <w:t>zákon</w:t>
      </w:r>
      <w:r w:rsidR="00A950F4">
        <w:rPr>
          <w:rFonts w:cs="Arial"/>
          <w:szCs w:val="18"/>
        </w:rPr>
        <w:t xml:space="preserve">a </w:t>
      </w:r>
      <w:r w:rsidR="00A950F4" w:rsidRPr="00E373B4">
        <w:rPr>
          <w:rFonts w:cs="Arial"/>
          <w:szCs w:val="18"/>
        </w:rPr>
        <w:t>pojištěny</w:t>
      </w:r>
      <w:r w:rsidR="00A950F4">
        <w:rPr>
          <w:rFonts w:cs="Arial"/>
          <w:szCs w:val="18"/>
        </w:rPr>
        <w:t xml:space="preserve">, vůbec ponětí. </w:t>
      </w:r>
      <w:r w:rsidR="00AE6E19">
        <w:rPr>
          <w:rFonts w:cs="Arial"/>
          <w:szCs w:val="18"/>
        </w:rPr>
        <w:t>„</w:t>
      </w:r>
      <w:r w:rsidR="00AE6E19" w:rsidRPr="00020581">
        <w:rPr>
          <w:rFonts w:cs="Arial"/>
          <w:i/>
          <w:szCs w:val="18"/>
        </w:rPr>
        <w:t xml:space="preserve">Vklady fyzických i právnických osob jsou kryty do výše 100 000 EUR, respektive 2,6 mil. Kč. Případnou výplatu náhrad by prováděl </w:t>
      </w:r>
      <w:r w:rsidR="00A950F4">
        <w:rPr>
          <w:rFonts w:cs="Arial"/>
          <w:i/>
          <w:szCs w:val="18"/>
        </w:rPr>
        <w:t xml:space="preserve">tzv. </w:t>
      </w:r>
      <w:r w:rsidR="00AE6E19" w:rsidRPr="00020581">
        <w:rPr>
          <w:rFonts w:cs="Arial"/>
          <w:i/>
          <w:szCs w:val="18"/>
        </w:rPr>
        <w:t>Garanční systém finančního trhu</w:t>
      </w:r>
      <w:r w:rsidR="00A13F1D">
        <w:rPr>
          <w:rFonts w:cs="Arial"/>
          <w:i/>
          <w:szCs w:val="18"/>
        </w:rPr>
        <w:t>,</w:t>
      </w:r>
      <w:r w:rsidR="00AE6E19">
        <w:rPr>
          <w:rFonts w:cs="Arial"/>
          <w:szCs w:val="18"/>
        </w:rPr>
        <w:t>“</w:t>
      </w:r>
      <w:r w:rsidR="00A13F1D">
        <w:rPr>
          <w:rFonts w:cs="Arial"/>
          <w:szCs w:val="18"/>
        </w:rPr>
        <w:t xml:space="preserve"> upřesňuje Vladimír Staňura</w:t>
      </w:r>
      <w:r w:rsidR="00975439">
        <w:rPr>
          <w:rFonts w:cs="Arial"/>
          <w:szCs w:val="18"/>
        </w:rPr>
        <w:t xml:space="preserve">. </w:t>
      </w:r>
    </w:p>
    <w:p w14:paraId="1A3374E0" w14:textId="77777777" w:rsidR="00E528C6" w:rsidRDefault="00E528C6" w:rsidP="00E528C6">
      <w:pPr>
        <w:spacing w:line="276" w:lineRule="auto"/>
        <w:contextualSpacing/>
        <w:rPr>
          <w:rFonts w:cs="Arial"/>
          <w:szCs w:val="18"/>
        </w:rPr>
      </w:pPr>
    </w:p>
    <w:p w14:paraId="69037BB0" w14:textId="3633CE09" w:rsidR="00E528C6" w:rsidRDefault="00E528C6" w:rsidP="00E528C6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Ze zákona jsou automaticky pojištěny zůstatky na běžných, termínovaných i vkladových účtech a na vkladních knížkách. Přesto si podle průzkumu Češi mylně myslí, že mají pojištěny také prostředky v penzijních fondech, a to v necelé polovině (49 %) případů. Na 35 % Čechů je současně chybně přesvědčeno, že mají pojištěny také finanční prostředky u své pojišťovny. </w:t>
      </w:r>
    </w:p>
    <w:p w14:paraId="24EDE5B4" w14:textId="77777777" w:rsidR="00E528C6" w:rsidRDefault="00E528C6" w:rsidP="00A13F1D">
      <w:pPr>
        <w:spacing w:line="276" w:lineRule="auto"/>
        <w:contextualSpacing/>
        <w:rPr>
          <w:rFonts w:cs="Arial"/>
          <w:szCs w:val="18"/>
        </w:rPr>
      </w:pPr>
    </w:p>
    <w:p w14:paraId="56A5E33C" w14:textId="3B10E6CE" w:rsidR="00E528C6" w:rsidRDefault="00E528C6" w:rsidP="00E528C6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„</w:t>
      </w:r>
      <w:r w:rsidRPr="000159E5">
        <w:rPr>
          <w:rFonts w:cs="Arial"/>
          <w:i/>
          <w:szCs w:val="18"/>
        </w:rPr>
        <w:t>Povědomí o pojištění vkladů mají</w:t>
      </w:r>
      <w:r>
        <w:rPr>
          <w:rFonts w:cs="Arial"/>
          <w:szCs w:val="18"/>
        </w:rPr>
        <w:t xml:space="preserve"> </w:t>
      </w:r>
      <w:r w:rsidRPr="009B393A">
        <w:rPr>
          <w:rFonts w:cs="Arial"/>
          <w:i/>
          <w:szCs w:val="18"/>
        </w:rPr>
        <w:t>více lidé nad 65 let a pak také vysokoškoláci, u kterých se to však do jisté míry předpokládá. Na druhou stranu v naprosté nevědomosti žijí lidé s nejnižším vzděláním, což samozřejmě může souviset i s nízkou úrovní finanční gramotnosti</w:t>
      </w:r>
      <w:r>
        <w:rPr>
          <w:rFonts w:cs="Arial"/>
          <w:szCs w:val="18"/>
        </w:rPr>
        <w:t>,“ komentuje Helena Zavázalová.</w:t>
      </w:r>
    </w:p>
    <w:p w14:paraId="721B042D" w14:textId="77777777" w:rsidR="00E528C6" w:rsidRDefault="00E528C6" w:rsidP="00A13F1D">
      <w:pPr>
        <w:spacing w:line="276" w:lineRule="auto"/>
        <w:contextualSpacing/>
        <w:rPr>
          <w:rFonts w:cs="Arial"/>
          <w:szCs w:val="18"/>
        </w:rPr>
      </w:pPr>
    </w:p>
    <w:p w14:paraId="0D8E24B5" w14:textId="0C8408FC" w:rsidR="00A13F1D" w:rsidRPr="00A13F1D" w:rsidRDefault="00A950F4" w:rsidP="00A13F1D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Malé povědomí je podle </w:t>
      </w:r>
      <w:proofErr w:type="spellStart"/>
      <w:r>
        <w:rPr>
          <w:rFonts w:cs="Arial"/>
          <w:szCs w:val="18"/>
        </w:rPr>
        <w:t>Staňury</w:t>
      </w:r>
      <w:proofErr w:type="spellEnd"/>
      <w:r>
        <w:rPr>
          <w:rFonts w:cs="Arial"/>
          <w:szCs w:val="18"/>
        </w:rPr>
        <w:t xml:space="preserve"> zarážející, protože banky mají zákonnou povinnost své klienty o pojištění vkladů pravidelně ve svých výpisech informovat. P</w:t>
      </w:r>
      <w:r w:rsidR="00A13F1D">
        <w:rPr>
          <w:rFonts w:cs="Arial"/>
          <w:szCs w:val="18"/>
        </w:rPr>
        <w:t xml:space="preserve">odle průzkumu </w:t>
      </w:r>
      <w:r>
        <w:rPr>
          <w:rFonts w:cs="Arial"/>
          <w:szCs w:val="18"/>
        </w:rPr>
        <w:t xml:space="preserve">však </w:t>
      </w:r>
      <w:r w:rsidR="00A13F1D" w:rsidRPr="00A13F1D">
        <w:rPr>
          <w:rFonts w:cs="Arial"/>
          <w:szCs w:val="18"/>
        </w:rPr>
        <w:t xml:space="preserve">38 % respondentů tvrdí, že od banky přehled o </w:t>
      </w:r>
      <w:r>
        <w:rPr>
          <w:rFonts w:cs="Arial"/>
          <w:szCs w:val="18"/>
        </w:rPr>
        <w:t xml:space="preserve">tom, jak jsou jejich vklady pojištěny, </w:t>
      </w:r>
      <w:r w:rsidR="00A13F1D" w:rsidRPr="00A13F1D">
        <w:rPr>
          <w:rFonts w:cs="Arial"/>
          <w:szCs w:val="18"/>
        </w:rPr>
        <w:t>neobdržel</w:t>
      </w:r>
      <w:r w:rsidR="00A13F1D">
        <w:rPr>
          <w:rFonts w:cs="Arial"/>
          <w:szCs w:val="18"/>
        </w:rPr>
        <w:t>o</w:t>
      </w:r>
      <w:r w:rsidR="00A13F1D" w:rsidRPr="00A13F1D">
        <w:rPr>
          <w:rFonts w:cs="Arial"/>
          <w:szCs w:val="18"/>
        </w:rPr>
        <w:t xml:space="preserve"> a 46 % </w:t>
      </w:r>
      <w:r>
        <w:rPr>
          <w:rFonts w:cs="Arial"/>
          <w:szCs w:val="18"/>
        </w:rPr>
        <w:t>jednoduše</w:t>
      </w:r>
      <w:r w:rsidR="00A13F1D" w:rsidRPr="00A13F1D">
        <w:rPr>
          <w:rFonts w:cs="Arial"/>
          <w:szCs w:val="18"/>
        </w:rPr>
        <w:t xml:space="preserve"> neví. </w:t>
      </w:r>
      <w:r w:rsidRPr="00A950F4">
        <w:rPr>
          <w:rFonts w:cs="Arial"/>
          <w:i/>
          <w:szCs w:val="18"/>
        </w:rPr>
        <w:t>„Obávám se, že t</w:t>
      </w:r>
      <w:r w:rsidR="00A13F1D" w:rsidRPr="00A950F4">
        <w:rPr>
          <w:rFonts w:cs="Arial"/>
          <w:i/>
          <w:szCs w:val="18"/>
        </w:rPr>
        <w:t xml:space="preserve">oto tvrzení </w:t>
      </w:r>
      <w:r>
        <w:rPr>
          <w:rFonts w:cs="Arial"/>
          <w:i/>
          <w:szCs w:val="18"/>
        </w:rPr>
        <w:t xml:space="preserve">či nevědomost </w:t>
      </w:r>
      <w:r w:rsidR="00975439" w:rsidRPr="00A950F4">
        <w:rPr>
          <w:rFonts w:cs="Arial"/>
          <w:i/>
          <w:szCs w:val="18"/>
        </w:rPr>
        <w:t>souvisí</w:t>
      </w:r>
      <w:r w:rsidR="00A13F1D" w:rsidRPr="00A950F4">
        <w:rPr>
          <w:rFonts w:cs="Arial"/>
          <w:i/>
          <w:szCs w:val="18"/>
        </w:rPr>
        <w:t xml:space="preserve"> spíše s neochotou lidí číst bankovní výpisy a jiné zprávy obdržené od banky</w:t>
      </w:r>
      <w:r w:rsidRPr="00A950F4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</w:t>
      </w:r>
      <w:r w:rsidR="00E528C6">
        <w:rPr>
          <w:rFonts w:cs="Arial"/>
          <w:szCs w:val="18"/>
        </w:rPr>
        <w:t xml:space="preserve">uzavírá </w:t>
      </w:r>
      <w:r>
        <w:rPr>
          <w:rFonts w:cs="Arial"/>
          <w:szCs w:val="18"/>
        </w:rPr>
        <w:t>Vladimír Staňura</w:t>
      </w:r>
      <w:r w:rsidR="00975439">
        <w:rPr>
          <w:rFonts w:cs="Arial"/>
          <w:szCs w:val="18"/>
        </w:rPr>
        <w:t>.</w:t>
      </w:r>
    </w:p>
    <w:p w14:paraId="0C45834D" w14:textId="77777777" w:rsidR="00A13F1D" w:rsidRDefault="00A13F1D" w:rsidP="00A13F1D">
      <w:pPr>
        <w:spacing w:line="276" w:lineRule="auto"/>
        <w:contextualSpacing/>
        <w:rPr>
          <w:rFonts w:cs="Arial"/>
          <w:szCs w:val="18"/>
        </w:rPr>
      </w:pPr>
    </w:p>
    <w:p w14:paraId="408F9AF9" w14:textId="77777777" w:rsidR="00020581" w:rsidRDefault="00020581" w:rsidP="008B1C16">
      <w:pPr>
        <w:spacing w:line="276" w:lineRule="auto"/>
        <w:contextualSpacing/>
        <w:rPr>
          <w:rFonts w:cs="Arial"/>
          <w:szCs w:val="18"/>
        </w:rPr>
      </w:pPr>
    </w:p>
    <w:p w14:paraId="77F18521" w14:textId="2135CE9B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68266C73" w14:textId="4502B5A6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28F953D1" w14:textId="16FE49A4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2F5F8BE4" w14:textId="5A13DAF1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64BE4A37" w14:textId="21F6AC49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0F3C31FC" w14:textId="19B6069B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772824B3" w14:textId="5A14D04D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6B87FBC0" w14:textId="5AD1F686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43EB6399" w14:textId="77777777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522C36FA" w14:textId="783C6653" w:rsidR="004B7ECE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504AA837" w14:textId="1B3FFD98" w:rsidR="004B7ECE" w:rsidRPr="00010564" w:rsidRDefault="004B7ECE" w:rsidP="008B1C16">
      <w:pPr>
        <w:spacing w:line="276" w:lineRule="auto"/>
        <w:contextualSpacing/>
        <w:rPr>
          <w:rFonts w:cs="Arial"/>
          <w:szCs w:val="18"/>
        </w:rPr>
      </w:pPr>
    </w:p>
    <w:p w14:paraId="70288B44" w14:textId="0EFD5DAC" w:rsidR="0098257D" w:rsidRDefault="0098257D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0E688FDA" w14:textId="77777777" w:rsidR="00020581" w:rsidRDefault="00020581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517B6ABF" w14:textId="06BB0BF0" w:rsidR="009F3268" w:rsidRDefault="009F3268" w:rsidP="008B1C16">
      <w:pPr>
        <w:spacing w:line="276" w:lineRule="auto"/>
        <w:contextualSpacing/>
        <w:rPr>
          <w:rFonts w:cs="Arial"/>
          <w:szCs w:val="18"/>
        </w:rPr>
      </w:pPr>
    </w:p>
    <w:p w14:paraId="73EDB31F" w14:textId="00FDA80C" w:rsidR="003028DC" w:rsidRDefault="003028DC" w:rsidP="008B1C16">
      <w:pPr>
        <w:spacing w:line="276" w:lineRule="auto"/>
        <w:contextualSpacing/>
        <w:rPr>
          <w:rFonts w:cs="Arial"/>
          <w:szCs w:val="18"/>
        </w:rPr>
      </w:pPr>
    </w:p>
    <w:p w14:paraId="1E248A89" w14:textId="7AE369C2" w:rsidR="003028DC" w:rsidRDefault="003028DC" w:rsidP="008B1C16">
      <w:pPr>
        <w:spacing w:line="276" w:lineRule="auto"/>
        <w:contextualSpacing/>
        <w:rPr>
          <w:rFonts w:cs="Arial"/>
          <w:szCs w:val="18"/>
        </w:rPr>
      </w:pPr>
    </w:p>
    <w:p w14:paraId="64755104" w14:textId="15E6F40D" w:rsidR="009F3268" w:rsidRDefault="009F3268" w:rsidP="008B1C16">
      <w:pPr>
        <w:spacing w:line="276" w:lineRule="auto"/>
        <w:contextualSpacing/>
        <w:rPr>
          <w:rFonts w:cs="Arial"/>
          <w:szCs w:val="18"/>
        </w:rPr>
      </w:pPr>
    </w:p>
    <w:p w14:paraId="48DE608A" w14:textId="582D500B" w:rsidR="00FF052C" w:rsidRDefault="003C373E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606BA" wp14:editId="6721F05E">
                <wp:simplePos x="0" y="0"/>
                <wp:positionH relativeFrom="margin">
                  <wp:posOffset>-60325</wp:posOffset>
                </wp:positionH>
                <wp:positionV relativeFrom="paragraph">
                  <wp:posOffset>47625</wp:posOffset>
                </wp:positionV>
                <wp:extent cx="6574790" cy="713105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71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9F7A0" w14:textId="77777777" w:rsidR="00C2020E" w:rsidRPr="003028DC" w:rsidRDefault="00C2020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3028DC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Průzkumu </w:t>
                            </w:r>
                          </w:p>
                          <w:p w14:paraId="7564CDDA" w14:textId="6E50DA07" w:rsidR="00C2020E" w:rsidRPr="003028DC" w:rsidRDefault="00C2020E" w:rsidP="003C373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Průzkum</w:t>
                            </w:r>
                            <w:r w:rsidR="00573F62">
                              <w:rPr>
                                <w:rFonts w:cs="Arial"/>
                                <w:szCs w:val="18"/>
                              </w:rPr>
                              <w:t xml:space="preserve">, který 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se zaměřoval na image bankovního sektoru a povědomí klientů o pojištění vkladů</w:t>
                            </w:r>
                            <w:r w:rsidR="00987232">
                              <w:rPr>
                                <w:rFonts w:cs="Arial"/>
                                <w:szCs w:val="18"/>
                              </w:rPr>
                              <w:t>. P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ro ČBA</w:t>
                            </w:r>
                            <w:r w:rsidR="00987232">
                              <w:rPr>
                                <w:rFonts w:cs="Arial"/>
                                <w:szCs w:val="18"/>
                              </w:rPr>
                              <w:t xml:space="preserve"> ho </w:t>
                            </w:r>
                            <w:r w:rsidR="00987232" w:rsidRPr="003028DC">
                              <w:rPr>
                                <w:rFonts w:cs="Arial"/>
                                <w:szCs w:val="18"/>
                              </w:rPr>
                              <w:t xml:space="preserve">v únoru 2019 realizovala 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agentura SC&amp;C</w:t>
                            </w:r>
                            <w:r w:rsidR="00987232">
                              <w:rPr>
                                <w:rFonts w:cs="Arial"/>
                                <w:szCs w:val="18"/>
                              </w:rPr>
                              <w:t>, a to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 xml:space="preserve"> na reprezentativním vzorku 1028 respondentů ve věku od 18-79 let.</w:t>
                            </w:r>
                          </w:p>
                          <w:p w14:paraId="3C318137" w14:textId="147DDF6A" w:rsidR="00C2020E" w:rsidRPr="009F3268" w:rsidRDefault="00C2020E" w:rsidP="00060D7F">
                            <w:pPr>
                              <w:pStyle w:val="Zhlav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06BA" id="Obdélník 5" o:spid="_x0000_s1028" style="position:absolute;left:0;text-align:left;margin-left:-4.75pt;margin-top:3.75pt;width:517.7pt;height:56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ZOrQIAAL0FAAAOAAAAZHJzL2Uyb0RvYy54bWysVMFu2zAMvQ/YPwi6r7azpemCOkXQosOA&#10;ri3WDj0rshQbk0VNUhJnf7TDvqI/Nkqy3aUrdhh2sUmJfCSfSJ6eda0iW2FdA7qkxVFOidAcqkav&#10;S/rl/vLNCSXOM10xBVqUdC8cPVu8fnW6M3MxgRpUJSxBEO3mO1PS2nszzzLHa9EydwRGaLyUYFvm&#10;UbXrrLJsh+ityiZ5fpztwFbGAhfO4elFuqSLiC+l4P5GSic8USXF3Hz82vhdhW+2OGXztWWmbnif&#10;BvuHLFrWaAw6Ql0wz8jGNn9AtQ234ED6Iw5tBlI2XMQasJoif1bNXc2MiLUgOc6MNLn/B8uvt7eW&#10;NFVJp5Ro1uIT3ayqxx9KP/78SqaBn51xczS7M7e21xyKodhO2jb8sQzSRU73I6ei84Tj4fF09m72&#10;HqnneDcr3hZ5BM2evI11/oOAlgShpBbfLFLJtlfOY0Q0HUxCMAeqqS4bpaIS+kScK0u2DF94tS6i&#10;q9q0n6BKZ7Npnsd3RpzYVsE8oh4gKR3wNATkFDScZKH4VG6U/F6JYKf0ZyGRNixwEiOOyCko41xo&#10;n5JxNatEOg6pvJxLBAzIEuOP2D3AYZEDdsqytw+uIvb76Jz/LbHkPHrEyKD96Nw2GuxLAAqr6iMn&#10;+4GkRE1gyXerLrbUZGifFVR7bDMLaf6c4ZcNPvYVc/6WWRw47A9cIv4GP1LBrqTQS5TUYL+/dB7s&#10;cQ7wlpIdDnBJ3bcNs4IS9VHjhBT5SSCb+APNHmirA01v2nPALipwZRkeRfS3Xg2itNA+4L5Zhsh4&#10;xTTH+CX1g3ju02rBfcXFchmNcM4N81f6zvAAHZgO7XzfPTBr+p73OC3XMIw7mz9r/WQbPDUsNx5k&#10;E+cicJ2Y7d8Ad0Rs7H6fhSX0ux6tnrbu4hcAAAD//wMAUEsDBBQABgAIAAAAIQADr6/r3AAAAAkB&#10;AAAPAAAAZHJzL2Rvd25yZXYueG1sTI9BT8MwDIXvSPyHyEjctnRFhbY0nRASF04wJsTRa0xb0Til&#10;ybry7/FOcLKt9/Te52q7uEHNNIXes4HNOgFF3Hjbc2tg//a0ykGFiGxx8EwGfijAtr68qLC0/sSv&#10;NO9iqySEQ4kGuhjHUuvQdOQwrP1ILNqnnxxGOadW2wlPEu4GnSbJrXbYszR0ONJjR83X7uikNw8v&#10;3ynPN8/ve8w+UI86iZkx11fLwz2oSEv8M8MZX9ChFqaDP7INajCwKjJxGriTcZaTNCtAHWTbFDno&#10;utL/P6h/AQAA//8DAFBLAQItABQABgAIAAAAIQC2gziS/gAAAOEBAAATAAAAAAAAAAAAAAAAAAAA&#10;AABbQ29udGVudF9UeXBlc10ueG1sUEsBAi0AFAAGAAgAAAAhADj9If/WAAAAlAEAAAsAAAAAAAAA&#10;AAAAAAAALwEAAF9yZWxzLy5yZWxzUEsBAi0AFAAGAAgAAAAhAMo7Rk6tAgAAvQUAAA4AAAAAAAAA&#10;AAAAAAAALgIAAGRycy9lMm9Eb2MueG1sUEsBAi0AFAAGAAgAAAAhAAOvr+vcAAAACQEAAA8AAAAA&#10;AAAAAAAAAAAABwUAAGRycy9kb3ducmV2LnhtbFBLBQYAAAAABAAEAPMAAAAQBgAAAAA=&#10;" fillcolor="#bfbfbf [2412]" stroked="f" strokeweight="1pt">
                <v:textbox inset="3mm,3mm,3mm,3mm">
                  <w:txbxContent>
                    <w:p w14:paraId="2399F7A0" w14:textId="77777777" w:rsidR="00C2020E" w:rsidRPr="003028DC" w:rsidRDefault="00C2020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3028DC">
                        <w:rPr>
                          <w:rFonts w:cs="Arial"/>
                          <w:b/>
                          <w:szCs w:val="18"/>
                        </w:rPr>
                        <w:t xml:space="preserve">O Průzkumu </w:t>
                      </w:r>
                    </w:p>
                    <w:p w14:paraId="7564CDDA" w14:textId="6E50DA07" w:rsidR="00C2020E" w:rsidRPr="003028DC" w:rsidRDefault="00C2020E" w:rsidP="003C373E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3028DC">
                        <w:rPr>
                          <w:rFonts w:cs="Arial"/>
                          <w:szCs w:val="18"/>
                        </w:rPr>
                        <w:t>Průzkum</w:t>
                      </w:r>
                      <w:r w:rsidR="00573F62">
                        <w:rPr>
                          <w:rFonts w:cs="Arial"/>
                          <w:szCs w:val="18"/>
                        </w:rPr>
                        <w:t xml:space="preserve">, který </w:t>
                      </w:r>
                      <w:r w:rsidRPr="003028DC">
                        <w:rPr>
                          <w:rFonts w:cs="Arial"/>
                          <w:szCs w:val="18"/>
                        </w:rPr>
                        <w:t>se zaměřoval na image bankovního sektoru a povědomí klientů o pojištění vkladů</w:t>
                      </w:r>
                      <w:r w:rsidR="00987232">
                        <w:rPr>
                          <w:rFonts w:cs="Arial"/>
                          <w:szCs w:val="18"/>
                        </w:rPr>
                        <w:t>. P</w:t>
                      </w:r>
                      <w:r w:rsidRPr="003028DC">
                        <w:rPr>
                          <w:rFonts w:cs="Arial"/>
                          <w:szCs w:val="18"/>
                        </w:rPr>
                        <w:t>ro ČBA</w:t>
                      </w:r>
                      <w:r w:rsidR="00987232">
                        <w:rPr>
                          <w:rFonts w:cs="Arial"/>
                          <w:szCs w:val="18"/>
                        </w:rPr>
                        <w:t xml:space="preserve"> ho </w:t>
                      </w:r>
                      <w:r w:rsidR="00987232" w:rsidRPr="003028DC">
                        <w:rPr>
                          <w:rFonts w:cs="Arial"/>
                          <w:szCs w:val="18"/>
                        </w:rPr>
                        <w:t xml:space="preserve">v únoru 2019 realizovala </w:t>
                      </w:r>
                      <w:r w:rsidRPr="003028DC">
                        <w:rPr>
                          <w:rFonts w:cs="Arial"/>
                          <w:szCs w:val="18"/>
                        </w:rPr>
                        <w:t>agentura SC&amp;C</w:t>
                      </w:r>
                      <w:r w:rsidR="00987232">
                        <w:rPr>
                          <w:rFonts w:cs="Arial"/>
                          <w:szCs w:val="18"/>
                        </w:rPr>
                        <w:t>, a to</w:t>
                      </w:r>
                      <w:r w:rsidRPr="003028DC">
                        <w:rPr>
                          <w:rFonts w:cs="Arial"/>
                          <w:szCs w:val="18"/>
                        </w:rPr>
                        <w:t xml:space="preserve"> na reprezentativním vzorku 1028 respondentů ve věku od 18-79 let.</w:t>
                      </w:r>
                    </w:p>
                    <w:p w14:paraId="3C318137" w14:textId="147DDF6A" w:rsidR="00C2020E" w:rsidRPr="009F3268" w:rsidRDefault="00C2020E" w:rsidP="00060D7F">
                      <w:pPr>
                        <w:pStyle w:val="Zhlav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C7D9B" w14:textId="23B5EDFD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03C63DF" w14:textId="66003B0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496CD930" w14:textId="58F1C3C9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4FA71F9" w14:textId="16F0A5CB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C216A55" w14:textId="0DA0D044" w:rsidR="00FF052C" w:rsidRDefault="009F326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5DE28AAC">
                <wp:simplePos x="0" y="0"/>
                <wp:positionH relativeFrom="margin">
                  <wp:posOffset>4370705</wp:posOffset>
                </wp:positionH>
                <wp:positionV relativeFrom="paragraph">
                  <wp:posOffset>127058</wp:posOffset>
                </wp:positionV>
                <wp:extent cx="2141682" cy="1557770"/>
                <wp:effectExtent l="0" t="0" r="0" b="444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682" cy="155777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C2020E" w:rsidRPr="005A44FF" w:rsidRDefault="00C2020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C2020E" w:rsidRPr="005A44FF" w:rsidRDefault="00C2020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C2020E" w:rsidRPr="003D3951" w:rsidRDefault="00C2020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C2020E" w:rsidRPr="005A44FF" w:rsidRDefault="00C2020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C2020E" w:rsidRPr="005A44FF" w:rsidRDefault="00C2020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C2020E" w:rsidRPr="005A44FF" w:rsidRDefault="00C2020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C2020E" w:rsidRPr="005A44FF" w:rsidRDefault="00C2020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C2020E" w:rsidRDefault="00C2020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9" style="position:absolute;left:0;text-align:left;margin-left:344.15pt;margin-top:10pt;width:168.65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LgtwIAAMAFAAAOAAAAZHJzL2Uyb0RvYy54bWysVM1u2zAMvg/YOwi6r7aztkmDOkXQrsOA&#10;Yi3WDj0rshQbkyVNUuJkb7TDnqIvNlKy3Z8VOwzLwSEl8iP5ieTp2a5VZCucb4wuaXGQUyI0N1Wj&#10;1yX9enf5bkaJD0xXTBktSroXnp4t3r457excTExtVCUcARDt550taR2CnWeZ57VomT8wVmi4lMa1&#10;LIDq1lnlWAforcomeX6cdcZV1hkuvIfTi3RJFxFfSsHDtZReBKJKCrmF+HXxu8Jvtjhl87Vjtm54&#10;nwb7hyxa1mgIOkJdsMDIxjV/QLUNd8YbGQ64aTMjZcNFrAGqKfIX1dzWzIpYC5Dj7UiT/3+w/PP2&#10;xpGmKimwSYlmLTzS9ap6+Kn0w69vBE+Bo876OZje2hvXax5ELHgnXYv/UArZRV73I69iFwiHw0lx&#10;WBzPJpRwuCuOjqbTaUTNHt2t8+GjMC1BoaQOHi7yybZXPkBIMB1MMJo3qqkuG6Wi4tarc+XIluEj&#10;59MP05Pkq2zN0unhySw/xEIAxyfzJD/FURrRtEHcZIonGdaeqo1S2CuBdkp/ERKYw/piuNizYkyE&#10;cS50KNJVzSqRMjnK4Tdkgl2OHjGXCIjIEuKP2D3AYJlABuyUZW+PriK2/Oic/y2x5Dx6xMhGh9G5&#10;bbRxrwEoqKqPnOwHkhI1yFLYrXaxq96jJZ6sTLWHTnMmjaC3/LKBp75iPtwwBzMH3Qd7JFzDRyrT&#10;ldT0EiW1cT9eO0d7GAW4paSDGS6p/75hTlCiPmkYkiKfIdkkPNPcM231TNOb9txAFxWwtSyPIvi7&#10;oAZROtPew8pZYmS4YppD/JKGQTwPabvAyuJiuYxGMOqWhSt9azlCI9PYzHe7e+Zs3/EBhuWzGSae&#10;zV80frJFT22Wm2BkE6fikdn+DWBNxGbqVxruoad6tHpcvIvfAAAA//8DAFBLAwQUAAYACAAAACEA&#10;Jxai7+AAAAALAQAADwAAAGRycy9kb3ducmV2LnhtbEyPwWrDMAyG74O9g1Fht9Vpu4SQxSmlUBiM&#10;baxN747tJaG2HGK3Td9+6mk7Svr4/0/lenKWXcwYeo8CFvMEmEHldY+tgPqwe86BhShRS+vRCLiZ&#10;AOvq8aGUhfZX/DaXfWwZhWAopIAuxqHgPKjOOBnmfjBItx8/OhlpHFuuR3mlcGf5Mkky7mSP1NDJ&#10;wWw7o077sxOw2d7sZ/2Svtc79XZq+OGoPr6OQjzNps0rsGim+AfDXZ/UoSKnxp9RB2YFZHm+IlQA&#10;1QC7A8kyzYA1tMnSFfCq5P9/qH4BAAD//wMAUEsBAi0AFAAGAAgAAAAhALaDOJL+AAAA4QEAABMA&#10;AAAAAAAAAAAAAAAAAAAAAFtDb250ZW50X1R5cGVzXS54bWxQSwECLQAUAAYACAAAACEAOP0h/9YA&#10;AACUAQAACwAAAAAAAAAAAAAAAAAvAQAAX3JlbHMvLnJlbHNQSwECLQAUAAYACAAAACEAujqC4LcC&#10;AADABQAADgAAAAAAAAAAAAAAAAAuAgAAZHJzL2Uyb0RvYy54bWxQSwECLQAUAAYACAAAACEAJxai&#10;7+AAAAALAQAADwAAAAAAAAAAAAAAAAARBQAAZHJzL2Rvd25yZXYueG1sUEsFBgAAAAAEAAQA8wAA&#10;AB4GAAAAAA==&#10;" fillcolor="#007e79" stroked="f" strokeweight="1pt">
                <v:fill opacity="32639f"/>
                <v:textbox inset="3mm,3mm,3mm,3mm">
                  <w:txbxContent>
                    <w:p w14:paraId="7AC95292" w14:textId="77777777" w:rsidR="00C2020E" w:rsidRPr="005A44FF" w:rsidRDefault="00C2020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C2020E" w:rsidRPr="005A44FF" w:rsidRDefault="00C2020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C2020E" w:rsidRPr="003D3951" w:rsidRDefault="00C2020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C2020E" w:rsidRPr="005A44FF" w:rsidRDefault="00C2020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C2020E" w:rsidRPr="005A44FF" w:rsidRDefault="00C2020E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C2020E" w:rsidRPr="005A44FF" w:rsidRDefault="00C2020E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C2020E" w:rsidRPr="005A44FF" w:rsidRDefault="00C2020E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C2020E" w:rsidRDefault="00C2020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2DDFB6B8">
                <wp:simplePos x="0" y="0"/>
                <wp:positionH relativeFrom="margin">
                  <wp:posOffset>-62230</wp:posOffset>
                </wp:positionH>
                <wp:positionV relativeFrom="paragraph">
                  <wp:posOffset>126423</wp:posOffset>
                </wp:positionV>
                <wp:extent cx="4322618" cy="1558636"/>
                <wp:effectExtent l="0" t="0" r="1905" b="381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15586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C2020E" w:rsidRPr="009F3268" w:rsidRDefault="00C2020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C2020E" w:rsidRPr="009F3268" w:rsidRDefault="00C2020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30" style="position:absolute;left:0;text-align:left;margin-left:-4.9pt;margin-top:9.95pt;width:340.35pt;height:1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hWrwIAAMIFAAAOAAAAZHJzL2Uyb0RvYy54bWysVM1O3DAQvlfqO1i+lyQLbGFFFq1AVJUo&#10;oELF2evYm6iOx7W9m92+UQ99Cl6sYzsJXYp6qHpJZsYz3/zP2fm2VWQjrGtAl7Q4yCkRmkPV6FVJ&#10;vzxcvTuhxHmmK6ZAi5LuhKPn87dvzjozExOoQVXCEgTRbtaZktbem1mWOV6LlrkDMELjowTbMo+s&#10;XWWVZR2ityqb5Pk068BWxgIXzqH0Mj3SecSXUnB/K6UTnqiSYmw+fm38LsM3m5+x2coyUze8D4P9&#10;QxQtazQ6HaEumWdkbZs/oNqGW3Ag/QGHNgMpGy5iDphNkb/I5r5mRsRcsDjOjGVy/w+W32zuLGkq&#10;7N3pKSWatdik22X19EPpp59fSZBijTrjZqh6b+5szzkkQ8Jbadvwx1TINtZ1N9ZVbD3hKDw6nEym&#10;BU4Cx7fi+PhkejgNqNmzubHOfxDQkkCU1GLjYj3Z5tr5pDqoBG8OVFNdNUpFJgyLuFCWbBi2ebkq&#10;oqlat5+gSrL3x3kem40u42wF9RjAHpLSAU9DQE5OgyQL2ad8I+V3SgQ9pT8LibXDDCfR44icnDLO&#10;hfYpGFezSiRxCOX1WCJgQJbof8TuAfaTHLBTlL1+MBVx6Efj/G+BJePRInoG7UfjttFgXwNQmFXv&#10;OekPRUqlCVXy2+U2ztXRMD9LqHY4axbSEjrDrxps9jVz/o5Z3DrcT7wk/hY/UkFXUugpSmqw31+T&#10;B31cBnylpMMtLqn7tmZWUKI+alyTIj8JxSZ+j7N73HKP0+v2AnCKCrxbhkcS7a1XAykttI94dBbB&#10;Mz4xzdF/Sf1AXvh0X/BocbFYRCVcdsP8tb43PECHSodxftg+Mmv6mfe4Ljcw7DybvRj9pBssNSzW&#10;HmQT9yLUOlW27wEeijjY/VELl+h3Pmo9n975LwAAAP//AwBQSwMEFAAGAAgAAAAhAPq2/RbcAAAA&#10;CQEAAA8AAABkcnMvZG93bnJldi54bWxMj0FPwzAMhe9I/IfISNy2lELLWppOCIkLJxgT4ug1pq1o&#10;nNJkXfn3mBPcbD/rve9V28UNaqYp9J4NXK0TUMSNtz23Bvavj6sNqBCRLQ6eycA3BdjW52cVltaf&#10;+IXmXWyVmHAo0UAX41hqHZqOHIa1H4lF+/CTwyjr1Go74UnM3aDTJMm1w54locORHjpqPndHJ7mb&#10;8PyV8nz99LbH7B31qJOYGXN5sdzfgYq0xL9n+MUXdKiF6eCPbIMaDKwKIY9yLwpQoue3iQwHA2me&#10;3YCuK/2/Qf0DAAD//wMAUEsBAi0AFAAGAAgAAAAhALaDOJL+AAAA4QEAABMAAAAAAAAAAAAAAAAA&#10;AAAAAFtDb250ZW50X1R5cGVzXS54bWxQSwECLQAUAAYACAAAACEAOP0h/9YAAACUAQAACwAAAAAA&#10;AAAAAAAAAAAvAQAAX3JlbHMvLnJlbHNQSwECLQAUAAYACAAAACEAMKeoVq8CAADCBQAADgAAAAAA&#10;AAAAAAAAAAAuAgAAZHJzL2Uyb0RvYy54bWxQSwECLQAUAAYACAAAACEA+rb9FtwAAAAJAQAADwAA&#10;AAAAAAAAAAAAAAAJBQAAZHJzL2Rvd25yZXYueG1sUEsFBgAAAAAEAAQA8wAAABIGAAAAAA==&#10;" fillcolor="#bfbfbf [2412]" stroked="f" strokeweight="1pt">
                <v:textbox inset="3mm,3mm,3mm,3mm">
                  <w:txbxContent>
                    <w:p w14:paraId="4C1160DE" w14:textId="77777777" w:rsidR="00C2020E" w:rsidRPr="009F3268" w:rsidRDefault="00C2020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C2020E" w:rsidRPr="009F3268" w:rsidRDefault="00C2020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B1969" w14:textId="76872CAA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1EE89B66" w14:textId="0C2EE235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17DA2EF1" w14:textId="3617B13B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EC2BECB" w14:textId="74C79B48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99C193E" w14:textId="700B258F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2A8D0EB" w14:textId="0567ABC1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6BF56699" w14:textId="530B1FD9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25305E">
      <w:headerReference w:type="default" r:id="rId9"/>
      <w:footerReference w:type="default" r:id="rId10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D397" w14:textId="77777777" w:rsidR="002E5E57" w:rsidRDefault="002E5E57" w:rsidP="00F573F1">
      <w:r>
        <w:separator/>
      </w:r>
    </w:p>
  </w:endnote>
  <w:endnote w:type="continuationSeparator" w:id="0">
    <w:p w14:paraId="7D22F27B" w14:textId="77777777" w:rsidR="002E5E57" w:rsidRDefault="002E5E5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77777777" w:rsidR="00C2020E" w:rsidRPr="00FB4A1C" w:rsidRDefault="00C2020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C2020E" w:rsidRPr="00FB4A1C" w:rsidRDefault="00C2020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ACA8" w14:textId="77777777" w:rsidR="002E5E57" w:rsidRDefault="002E5E57" w:rsidP="00F573F1">
      <w:r>
        <w:separator/>
      </w:r>
    </w:p>
  </w:footnote>
  <w:footnote w:type="continuationSeparator" w:id="0">
    <w:p w14:paraId="4E50DD69" w14:textId="77777777" w:rsidR="002E5E57" w:rsidRDefault="002E5E5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C2020E" w:rsidRDefault="00C2020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10564"/>
    <w:rsid w:val="000118C2"/>
    <w:rsid w:val="000159E5"/>
    <w:rsid w:val="00020581"/>
    <w:rsid w:val="00037707"/>
    <w:rsid w:val="00044002"/>
    <w:rsid w:val="00051A5B"/>
    <w:rsid w:val="00060D7F"/>
    <w:rsid w:val="00072447"/>
    <w:rsid w:val="0007445A"/>
    <w:rsid w:val="000842AE"/>
    <w:rsid w:val="000A2C3B"/>
    <w:rsid w:val="000D4F26"/>
    <w:rsid w:val="000D5D2B"/>
    <w:rsid w:val="000E563F"/>
    <w:rsid w:val="001126B2"/>
    <w:rsid w:val="0011443F"/>
    <w:rsid w:val="00131E94"/>
    <w:rsid w:val="00146F46"/>
    <w:rsid w:val="00165DDC"/>
    <w:rsid w:val="00195C6D"/>
    <w:rsid w:val="001A46CC"/>
    <w:rsid w:val="001C7F88"/>
    <w:rsid w:val="001D5BB9"/>
    <w:rsid w:val="001E15FD"/>
    <w:rsid w:val="001E27B8"/>
    <w:rsid w:val="001E6F5D"/>
    <w:rsid w:val="00244923"/>
    <w:rsid w:val="00247512"/>
    <w:rsid w:val="0025305E"/>
    <w:rsid w:val="00262B7F"/>
    <w:rsid w:val="00266980"/>
    <w:rsid w:val="00267ACA"/>
    <w:rsid w:val="00290498"/>
    <w:rsid w:val="002A31A1"/>
    <w:rsid w:val="002A6290"/>
    <w:rsid w:val="002D1376"/>
    <w:rsid w:val="002D49FB"/>
    <w:rsid w:val="002E5E57"/>
    <w:rsid w:val="002F477C"/>
    <w:rsid w:val="003028DC"/>
    <w:rsid w:val="00327407"/>
    <w:rsid w:val="003472AF"/>
    <w:rsid w:val="003508FE"/>
    <w:rsid w:val="003608FD"/>
    <w:rsid w:val="003677E2"/>
    <w:rsid w:val="00370F35"/>
    <w:rsid w:val="00376F07"/>
    <w:rsid w:val="00391FA6"/>
    <w:rsid w:val="003952ED"/>
    <w:rsid w:val="00397430"/>
    <w:rsid w:val="003A5636"/>
    <w:rsid w:val="003B0433"/>
    <w:rsid w:val="003B4F01"/>
    <w:rsid w:val="003C373E"/>
    <w:rsid w:val="003C3D7F"/>
    <w:rsid w:val="003D079C"/>
    <w:rsid w:val="003D224C"/>
    <w:rsid w:val="003E14DF"/>
    <w:rsid w:val="003E3DCB"/>
    <w:rsid w:val="003F021E"/>
    <w:rsid w:val="003F1CB9"/>
    <w:rsid w:val="003F7F31"/>
    <w:rsid w:val="00402FA1"/>
    <w:rsid w:val="004325D3"/>
    <w:rsid w:val="00437589"/>
    <w:rsid w:val="00445609"/>
    <w:rsid w:val="004476C2"/>
    <w:rsid w:val="0046651A"/>
    <w:rsid w:val="0047757F"/>
    <w:rsid w:val="0048354D"/>
    <w:rsid w:val="0048489E"/>
    <w:rsid w:val="00490E1A"/>
    <w:rsid w:val="00492636"/>
    <w:rsid w:val="004A1724"/>
    <w:rsid w:val="004A53BB"/>
    <w:rsid w:val="004A6CE0"/>
    <w:rsid w:val="004A74F4"/>
    <w:rsid w:val="004B7ECE"/>
    <w:rsid w:val="004C0A56"/>
    <w:rsid w:val="004C50BF"/>
    <w:rsid w:val="004C751A"/>
    <w:rsid w:val="004D6531"/>
    <w:rsid w:val="004E1AC6"/>
    <w:rsid w:val="004E4B5B"/>
    <w:rsid w:val="004F6EA8"/>
    <w:rsid w:val="004F70A7"/>
    <w:rsid w:val="005069C2"/>
    <w:rsid w:val="00512176"/>
    <w:rsid w:val="00517111"/>
    <w:rsid w:val="00537D95"/>
    <w:rsid w:val="00552694"/>
    <w:rsid w:val="00561ED7"/>
    <w:rsid w:val="005642DD"/>
    <w:rsid w:val="00571C08"/>
    <w:rsid w:val="00573F62"/>
    <w:rsid w:val="00584718"/>
    <w:rsid w:val="005A2501"/>
    <w:rsid w:val="005A44FF"/>
    <w:rsid w:val="005A51C6"/>
    <w:rsid w:val="005A5BAB"/>
    <w:rsid w:val="005B3439"/>
    <w:rsid w:val="005C1943"/>
    <w:rsid w:val="005C6D52"/>
    <w:rsid w:val="005D4BC8"/>
    <w:rsid w:val="005D55D6"/>
    <w:rsid w:val="005E092E"/>
    <w:rsid w:val="005E1DD8"/>
    <w:rsid w:val="005E58E1"/>
    <w:rsid w:val="005F73A6"/>
    <w:rsid w:val="0060552B"/>
    <w:rsid w:val="00611C5C"/>
    <w:rsid w:val="0063314F"/>
    <w:rsid w:val="006513A0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23EF"/>
    <w:rsid w:val="00714837"/>
    <w:rsid w:val="00720DE3"/>
    <w:rsid w:val="00727012"/>
    <w:rsid w:val="0072723A"/>
    <w:rsid w:val="00733C05"/>
    <w:rsid w:val="007402C2"/>
    <w:rsid w:val="00786BB9"/>
    <w:rsid w:val="00786FE5"/>
    <w:rsid w:val="007964DC"/>
    <w:rsid w:val="007B02A8"/>
    <w:rsid w:val="007B6B28"/>
    <w:rsid w:val="007B7B44"/>
    <w:rsid w:val="007C4C83"/>
    <w:rsid w:val="007D275E"/>
    <w:rsid w:val="007D4025"/>
    <w:rsid w:val="007F166D"/>
    <w:rsid w:val="007F1EDF"/>
    <w:rsid w:val="007F40D6"/>
    <w:rsid w:val="00802F9F"/>
    <w:rsid w:val="00803E55"/>
    <w:rsid w:val="00807F85"/>
    <w:rsid w:val="00811FE2"/>
    <w:rsid w:val="0082668B"/>
    <w:rsid w:val="00830214"/>
    <w:rsid w:val="008363D1"/>
    <w:rsid w:val="00843386"/>
    <w:rsid w:val="008466C4"/>
    <w:rsid w:val="00854190"/>
    <w:rsid w:val="00854682"/>
    <w:rsid w:val="00870102"/>
    <w:rsid w:val="00872847"/>
    <w:rsid w:val="0088460D"/>
    <w:rsid w:val="008857AA"/>
    <w:rsid w:val="008B19B7"/>
    <w:rsid w:val="008B1C16"/>
    <w:rsid w:val="008C1507"/>
    <w:rsid w:val="009038F9"/>
    <w:rsid w:val="009139AF"/>
    <w:rsid w:val="00935EAC"/>
    <w:rsid w:val="00944D10"/>
    <w:rsid w:val="00946929"/>
    <w:rsid w:val="00975439"/>
    <w:rsid w:val="00977317"/>
    <w:rsid w:val="0098257D"/>
    <w:rsid w:val="00987232"/>
    <w:rsid w:val="00994CC4"/>
    <w:rsid w:val="009A11ED"/>
    <w:rsid w:val="009A7026"/>
    <w:rsid w:val="009B393A"/>
    <w:rsid w:val="009C0DD6"/>
    <w:rsid w:val="009D24D7"/>
    <w:rsid w:val="009D2F47"/>
    <w:rsid w:val="009D7835"/>
    <w:rsid w:val="009E172B"/>
    <w:rsid w:val="009E5367"/>
    <w:rsid w:val="009F3268"/>
    <w:rsid w:val="009F6C56"/>
    <w:rsid w:val="00A0323B"/>
    <w:rsid w:val="00A13F1D"/>
    <w:rsid w:val="00A155ED"/>
    <w:rsid w:val="00A15F37"/>
    <w:rsid w:val="00A163E3"/>
    <w:rsid w:val="00A425BA"/>
    <w:rsid w:val="00A7149F"/>
    <w:rsid w:val="00A72FF3"/>
    <w:rsid w:val="00A8750A"/>
    <w:rsid w:val="00A90878"/>
    <w:rsid w:val="00A950F4"/>
    <w:rsid w:val="00A97F5A"/>
    <w:rsid w:val="00AB365A"/>
    <w:rsid w:val="00AE2387"/>
    <w:rsid w:val="00AE6E19"/>
    <w:rsid w:val="00AF18CA"/>
    <w:rsid w:val="00B15438"/>
    <w:rsid w:val="00B2310C"/>
    <w:rsid w:val="00B24E54"/>
    <w:rsid w:val="00B27646"/>
    <w:rsid w:val="00B44EAC"/>
    <w:rsid w:val="00B506AC"/>
    <w:rsid w:val="00B73636"/>
    <w:rsid w:val="00B76C42"/>
    <w:rsid w:val="00B84219"/>
    <w:rsid w:val="00B85546"/>
    <w:rsid w:val="00B913AA"/>
    <w:rsid w:val="00B95673"/>
    <w:rsid w:val="00BA18D1"/>
    <w:rsid w:val="00BA47DA"/>
    <w:rsid w:val="00BA4E91"/>
    <w:rsid w:val="00BB50DE"/>
    <w:rsid w:val="00BC0CB8"/>
    <w:rsid w:val="00BD0100"/>
    <w:rsid w:val="00BD297C"/>
    <w:rsid w:val="00BD7A55"/>
    <w:rsid w:val="00BE00E4"/>
    <w:rsid w:val="00BE48B7"/>
    <w:rsid w:val="00BE5574"/>
    <w:rsid w:val="00BF0B84"/>
    <w:rsid w:val="00C05E06"/>
    <w:rsid w:val="00C17244"/>
    <w:rsid w:val="00C2020E"/>
    <w:rsid w:val="00C461EB"/>
    <w:rsid w:val="00C520D7"/>
    <w:rsid w:val="00C627A3"/>
    <w:rsid w:val="00C6528A"/>
    <w:rsid w:val="00C7375A"/>
    <w:rsid w:val="00C74048"/>
    <w:rsid w:val="00C8685C"/>
    <w:rsid w:val="00CA7866"/>
    <w:rsid w:val="00CB4072"/>
    <w:rsid w:val="00CC68BF"/>
    <w:rsid w:val="00CC7C45"/>
    <w:rsid w:val="00CF4CD4"/>
    <w:rsid w:val="00D0142A"/>
    <w:rsid w:val="00D10717"/>
    <w:rsid w:val="00D2261D"/>
    <w:rsid w:val="00D24515"/>
    <w:rsid w:val="00D32A14"/>
    <w:rsid w:val="00D32B43"/>
    <w:rsid w:val="00D477C3"/>
    <w:rsid w:val="00D67470"/>
    <w:rsid w:val="00D775D2"/>
    <w:rsid w:val="00D8118D"/>
    <w:rsid w:val="00D85155"/>
    <w:rsid w:val="00D97E49"/>
    <w:rsid w:val="00DD4F3E"/>
    <w:rsid w:val="00DF431A"/>
    <w:rsid w:val="00DF6D21"/>
    <w:rsid w:val="00E02136"/>
    <w:rsid w:val="00E10053"/>
    <w:rsid w:val="00E3317B"/>
    <w:rsid w:val="00E3386F"/>
    <w:rsid w:val="00E350BD"/>
    <w:rsid w:val="00E373B4"/>
    <w:rsid w:val="00E528C6"/>
    <w:rsid w:val="00E642DC"/>
    <w:rsid w:val="00E703B1"/>
    <w:rsid w:val="00E718EA"/>
    <w:rsid w:val="00E71A6E"/>
    <w:rsid w:val="00E77101"/>
    <w:rsid w:val="00E82DCF"/>
    <w:rsid w:val="00E85DE8"/>
    <w:rsid w:val="00E9372A"/>
    <w:rsid w:val="00EA5747"/>
    <w:rsid w:val="00EC03D2"/>
    <w:rsid w:val="00EC202F"/>
    <w:rsid w:val="00EC5679"/>
    <w:rsid w:val="00ED2264"/>
    <w:rsid w:val="00ED452D"/>
    <w:rsid w:val="00EF038F"/>
    <w:rsid w:val="00EF6331"/>
    <w:rsid w:val="00F1303C"/>
    <w:rsid w:val="00F247BC"/>
    <w:rsid w:val="00F53132"/>
    <w:rsid w:val="00F573F1"/>
    <w:rsid w:val="00F57CAC"/>
    <w:rsid w:val="00F6767A"/>
    <w:rsid w:val="00F67E6A"/>
    <w:rsid w:val="00F7568A"/>
    <w:rsid w:val="00F8461A"/>
    <w:rsid w:val="00FB4A1C"/>
    <w:rsid w:val="00FB60FB"/>
    <w:rsid w:val="00FC5B2A"/>
    <w:rsid w:val="00FD12DB"/>
    <w:rsid w:val="00FD1306"/>
    <w:rsid w:val="00FD3713"/>
    <w:rsid w:val="00FD57E2"/>
    <w:rsid w:val="00FF052C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359-BB87-44B0-9441-6DF160FA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10</cp:revision>
  <cp:lastPrinted>2019-03-25T15:33:00Z</cp:lastPrinted>
  <dcterms:created xsi:type="dcterms:W3CDTF">2019-03-25T10:12:00Z</dcterms:created>
  <dcterms:modified xsi:type="dcterms:W3CDTF">2019-03-25T15:44:00Z</dcterms:modified>
</cp:coreProperties>
</file>