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713B" w14:textId="0FFB7A52" w:rsidR="00BA5A7C" w:rsidRDefault="00D1082D" w:rsidP="00242BCA">
      <w:pPr>
        <w:ind w:left="360" w:hanging="360"/>
        <w:jc w:val="center"/>
        <w:rPr>
          <w:rFonts w:ascii="Arial" w:hAnsi="Arial" w:cs="Arial"/>
          <w:b/>
          <w:color w:val="007E79"/>
          <w:sz w:val="28"/>
          <w:szCs w:val="20"/>
        </w:rPr>
      </w:pPr>
      <w:r>
        <w:rPr>
          <w:rFonts w:ascii="Arial" w:hAnsi="Arial" w:cs="Arial"/>
          <w:b/>
          <w:color w:val="007E79"/>
          <w:sz w:val="28"/>
          <w:szCs w:val="20"/>
        </w:rPr>
        <w:t>Proč je b</w:t>
      </w:r>
      <w:r w:rsidR="00BA5A7C" w:rsidRPr="00242BCA">
        <w:rPr>
          <w:rFonts w:ascii="Arial" w:hAnsi="Arial" w:cs="Arial"/>
          <w:b/>
          <w:color w:val="007E79"/>
          <w:sz w:val="28"/>
          <w:szCs w:val="20"/>
        </w:rPr>
        <w:t xml:space="preserve">ankovní sektorová daň </w:t>
      </w:r>
      <w:r>
        <w:rPr>
          <w:rFonts w:ascii="Arial" w:hAnsi="Arial" w:cs="Arial"/>
          <w:b/>
          <w:color w:val="007E79"/>
          <w:sz w:val="28"/>
          <w:szCs w:val="20"/>
        </w:rPr>
        <w:t xml:space="preserve">špatný nápad </w:t>
      </w:r>
      <w:r w:rsidR="00BA5A7C" w:rsidRPr="00242BCA">
        <w:rPr>
          <w:rFonts w:ascii="Arial" w:hAnsi="Arial" w:cs="Arial"/>
          <w:b/>
          <w:color w:val="007E79"/>
          <w:sz w:val="28"/>
          <w:szCs w:val="20"/>
        </w:rPr>
        <w:t>v otázkách a odpovědích</w:t>
      </w:r>
    </w:p>
    <w:p w14:paraId="3A016E92" w14:textId="77777777" w:rsidR="00242BCA" w:rsidRPr="00242BCA" w:rsidRDefault="00242BCA" w:rsidP="00242BCA">
      <w:pPr>
        <w:ind w:left="360" w:hanging="360"/>
        <w:jc w:val="center"/>
        <w:rPr>
          <w:rFonts w:ascii="Arial" w:hAnsi="Arial" w:cs="Arial"/>
          <w:b/>
          <w:color w:val="007E79"/>
          <w:sz w:val="28"/>
          <w:szCs w:val="20"/>
        </w:rPr>
      </w:pPr>
    </w:p>
    <w:p w14:paraId="745C6DFC" w14:textId="77777777" w:rsidR="00BA5A7C" w:rsidRPr="00242BCA" w:rsidRDefault="00BA5A7C" w:rsidP="00C57282">
      <w:pPr>
        <w:ind w:left="360" w:hanging="360"/>
        <w:jc w:val="both"/>
        <w:rPr>
          <w:rFonts w:ascii="Arial" w:hAnsi="Arial" w:cs="Arial"/>
          <w:sz w:val="20"/>
          <w:szCs w:val="20"/>
        </w:rPr>
      </w:pPr>
    </w:p>
    <w:p w14:paraId="3E516FC6" w14:textId="37977046" w:rsidR="00627767" w:rsidRPr="00242BCA" w:rsidRDefault="00627767" w:rsidP="00C57282">
      <w:pPr>
        <w:pStyle w:val="Odstavecseseznamem"/>
        <w:numPr>
          <w:ilvl w:val="0"/>
          <w:numId w:val="8"/>
        </w:numPr>
        <w:jc w:val="both"/>
        <w:rPr>
          <w:rFonts w:ascii="Arial" w:hAnsi="Arial" w:cs="Arial"/>
          <w:b/>
          <w:iCs/>
          <w:color w:val="30905F"/>
          <w:sz w:val="20"/>
          <w:szCs w:val="20"/>
        </w:rPr>
      </w:pPr>
      <w:r w:rsidRPr="00242BCA">
        <w:rPr>
          <w:rFonts w:ascii="Arial" w:hAnsi="Arial" w:cs="Arial"/>
          <w:b/>
          <w:iCs/>
          <w:color w:val="30905F"/>
          <w:sz w:val="20"/>
          <w:szCs w:val="20"/>
        </w:rPr>
        <w:t xml:space="preserve">Jak se k zavedení </w:t>
      </w:r>
      <w:r w:rsidR="002423EB" w:rsidRPr="00242BCA">
        <w:rPr>
          <w:rFonts w:ascii="Arial" w:hAnsi="Arial" w:cs="Arial"/>
          <w:b/>
          <w:iCs/>
          <w:color w:val="30905F"/>
          <w:sz w:val="20"/>
          <w:szCs w:val="20"/>
        </w:rPr>
        <w:t>sektorové</w:t>
      </w:r>
      <w:r w:rsidRPr="00242BCA">
        <w:rPr>
          <w:rFonts w:ascii="Arial" w:hAnsi="Arial" w:cs="Arial"/>
          <w:b/>
          <w:iCs/>
          <w:color w:val="30905F"/>
          <w:sz w:val="20"/>
          <w:szCs w:val="20"/>
        </w:rPr>
        <w:t xml:space="preserve"> daně v</w:t>
      </w:r>
      <w:r w:rsidR="002423EB" w:rsidRPr="00242BCA">
        <w:rPr>
          <w:rFonts w:ascii="Arial" w:hAnsi="Arial" w:cs="Arial"/>
          <w:b/>
          <w:iCs/>
          <w:color w:val="30905F"/>
          <w:sz w:val="20"/>
          <w:szCs w:val="20"/>
        </w:rPr>
        <w:t> </w:t>
      </w:r>
      <w:r w:rsidRPr="00242BCA">
        <w:rPr>
          <w:rFonts w:ascii="Arial" w:hAnsi="Arial" w:cs="Arial"/>
          <w:b/>
          <w:iCs/>
          <w:color w:val="30905F"/>
          <w:sz w:val="20"/>
          <w:szCs w:val="20"/>
        </w:rPr>
        <w:t>Česku</w:t>
      </w:r>
      <w:r w:rsidR="002423EB" w:rsidRPr="00242BCA">
        <w:rPr>
          <w:rFonts w:ascii="Arial" w:hAnsi="Arial" w:cs="Arial"/>
          <w:b/>
          <w:iCs/>
          <w:color w:val="30905F"/>
          <w:sz w:val="20"/>
          <w:szCs w:val="20"/>
        </w:rPr>
        <w:t xml:space="preserve"> staví Česká bankovní asociace</w:t>
      </w:r>
      <w:r w:rsidRPr="00242BCA">
        <w:rPr>
          <w:rFonts w:ascii="Arial" w:hAnsi="Arial" w:cs="Arial"/>
          <w:b/>
          <w:iCs/>
          <w:color w:val="30905F"/>
          <w:sz w:val="20"/>
          <w:szCs w:val="20"/>
        </w:rPr>
        <w:t>?</w:t>
      </w:r>
    </w:p>
    <w:p w14:paraId="5539C2E4" w14:textId="77777777" w:rsidR="00627767" w:rsidRPr="00242BCA" w:rsidRDefault="00627767" w:rsidP="009459EA">
      <w:pPr>
        <w:pStyle w:val="Odstavecseseznamem"/>
        <w:jc w:val="both"/>
        <w:rPr>
          <w:rFonts w:ascii="Arial" w:hAnsi="Arial" w:cs="Arial"/>
          <w:iCs/>
          <w:sz w:val="20"/>
          <w:szCs w:val="20"/>
        </w:rPr>
      </w:pPr>
    </w:p>
    <w:p w14:paraId="23F67501" w14:textId="1FDDC602" w:rsidR="00627767" w:rsidRPr="00242BCA" w:rsidRDefault="00627767" w:rsidP="009459EA">
      <w:pPr>
        <w:jc w:val="both"/>
        <w:rPr>
          <w:rFonts w:ascii="Arial" w:hAnsi="Arial" w:cs="Arial"/>
          <w:iCs/>
          <w:sz w:val="20"/>
          <w:szCs w:val="20"/>
        </w:rPr>
      </w:pPr>
      <w:r w:rsidRPr="00242BCA">
        <w:rPr>
          <w:rFonts w:ascii="Arial" w:hAnsi="Arial" w:cs="Arial"/>
          <w:iCs/>
          <w:sz w:val="20"/>
          <w:szCs w:val="20"/>
        </w:rPr>
        <w:t>Návrhy na sektorové zdanění bank</w:t>
      </w:r>
      <w:r w:rsidR="00C57282" w:rsidRPr="00242BCA">
        <w:rPr>
          <w:rFonts w:ascii="Arial" w:hAnsi="Arial" w:cs="Arial"/>
          <w:iCs/>
          <w:sz w:val="20"/>
          <w:szCs w:val="20"/>
        </w:rPr>
        <w:t xml:space="preserve"> </w:t>
      </w:r>
      <w:r w:rsidR="00D11C54" w:rsidRPr="00242BCA">
        <w:rPr>
          <w:rFonts w:ascii="Arial" w:hAnsi="Arial" w:cs="Arial"/>
          <w:iCs/>
          <w:sz w:val="20"/>
          <w:szCs w:val="20"/>
        </w:rPr>
        <w:t>nejsou</w:t>
      </w:r>
      <w:r w:rsidR="00C57282" w:rsidRPr="00242BCA">
        <w:rPr>
          <w:rFonts w:ascii="Arial" w:hAnsi="Arial" w:cs="Arial"/>
          <w:iCs/>
          <w:sz w:val="20"/>
          <w:szCs w:val="20"/>
        </w:rPr>
        <w:t xml:space="preserve"> rozumné. </w:t>
      </w:r>
      <w:r w:rsidR="00D11C54" w:rsidRPr="00242BCA">
        <w:rPr>
          <w:rFonts w:ascii="Arial" w:hAnsi="Arial" w:cs="Arial"/>
          <w:iCs/>
          <w:sz w:val="20"/>
          <w:szCs w:val="20"/>
        </w:rPr>
        <w:t>N</w:t>
      </w:r>
      <w:r w:rsidR="0047316E" w:rsidRPr="00242BCA">
        <w:rPr>
          <w:rFonts w:ascii="Arial" w:hAnsi="Arial" w:cs="Arial"/>
          <w:iCs/>
          <w:sz w:val="20"/>
          <w:szCs w:val="20"/>
        </w:rPr>
        <w:t>ejen</w:t>
      </w:r>
      <w:r w:rsidR="00C57282" w:rsidRPr="00242BCA">
        <w:rPr>
          <w:rFonts w:ascii="Arial" w:hAnsi="Arial" w:cs="Arial"/>
          <w:iCs/>
          <w:sz w:val="20"/>
          <w:szCs w:val="20"/>
        </w:rPr>
        <w:t>že jsou</w:t>
      </w:r>
      <w:r w:rsidR="0047316E" w:rsidRPr="00242BCA">
        <w:rPr>
          <w:rFonts w:ascii="Arial" w:hAnsi="Arial" w:cs="Arial"/>
          <w:iCs/>
          <w:sz w:val="20"/>
          <w:szCs w:val="20"/>
        </w:rPr>
        <w:t xml:space="preserve"> </w:t>
      </w:r>
      <w:r w:rsidR="00D11C54" w:rsidRPr="00242BCA">
        <w:rPr>
          <w:rFonts w:ascii="Arial" w:hAnsi="Arial" w:cs="Arial"/>
          <w:iCs/>
          <w:sz w:val="20"/>
          <w:szCs w:val="20"/>
        </w:rPr>
        <w:t xml:space="preserve">tyto daně </w:t>
      </w:r>
      <w:r w:rsidR="0047316E" w:rsidRPr="00242BCA">
        <w:rPr>
          <w:rFonts w:ascii="Arial" w:hAnsi="Arial" w:cs="Arial"/>
          <w:iCs/>
          <w:sz w:val="20"/>
          <w:szCs w:val="20"/>
        </w:rPr>
        <w:t xml:space="preserve">nesystémové, ale </w:t>
      </w:r>
      <w:r w:rsidRPr="00242BCA">
        <w:rPr>
          <w:rFonts w:ascii="Arial" w:hAnsi="Arial" w:cs="Arial"/>
          <w:iCs/>
          <w:sz w:val="20"/>
          <w:szCs w:val="20"/>
        </w:rPr>
        <w:t>z pohledu růstu ekonomiky, udržení zaměstnanosti a koneckonců i z pohledu celkových příjmů státního rozpočtu</w:t>
      </w:r>
      <w:r w:rsidR="0047316E" w:rsidRPr="00242BCA">
        <w:rPr>
          <w:rFonts w:ascii="Arial" w:hAnsi="Arial" w:cs="Arial"/>
          <w:iCs/>
          <w:sz w:val="20"/>
          <w:szCs w:val="20"/>
        </w:rPr>
        <w:t xml:space="preserve"> by</w:t>
      </w:r>
      <w:r w:rsidRPr="00242BCA">
        <w:rPr>
          <w:rFonts w:ascii="Arial" w:hAnsi="Arial" w:cs="Arial"/>
          <w:iCs/>
          <w:sz w:val="20"/>
          <w:szCs w:val="20"/>
        </w:rPr>
        <w:t xml:space="preserve"> byly ve svém důsledku </w:t>
      </w:r>
      <w:r w:rsidR="00D11C54" w:rsidRPr="00242BCA">
        <w:rPr>
          <w:rFonts w:ascii="Arial" w:hAnsi="Arial" w:cs="Arial"/>
          <w:iCs/>
          <w:sz w:val="20"/>
          <w:szCs w:val="20"/>
        </w:rPr>
        <w:t xml:space="preserve">pro stát i jeho občany </w:t>
      </w:r>
      <w:r w:rsidRPr="00242BCA">
        <w:rPr>
          <w:rFonts w:ascii="Arial" w:hAnsi="Arial" w:cs="Arial"/>
          <w:iCs/>
          <w:sz w:val="20"/>
          <w:szCs w:val="20"/>
        </w:rPr>
        <w:t>nevýhodné.</w:t>
      </w:r>
      <w:r w:rsidR="00D91D9D" w:rsidRPr="00242BCA">
        <w:rPr>
          <w:rFonts w:ascii="Arial" w:hAnsi="Arial" w:cs="Arial"/>
          <w:iCs/>
          <w:sz w:val="20"/>
          <w:szCs w:val="20"/>
        </w:rPr>
        <w:t xml:space="preserve"> </w:t>
      </w:r>
      <w:r w:rsidRPr="00242BCA">
        <w:rPr>
          <w:rFonts w:ascii="Arial" w:hAnsi="Arial" w:cs="Arial"/>
          <w:iCs/>
          <w:sz w:val="20"/>
          <w:szCs w:val="20"/>
        </w:rPr>
        <w:t>Vážit je třeba také dopady na stabilitu podnikatelského prostředí a rovnost podmínek pro podnikání – tedy na to, co bylo dosud vnímáno jako jedna z</w:t>
      </w:r>
      <w:r w:rsidR="004F276D" w:rsidRPr="00242BCA">
        <w:rPr>
          <w:rFonts w:ascii="Arial" w:hAnsi="Arial" w:cs="Arial"/>
          <w:iCs/>
          <w:sz w:val="20"/>
          <w:szCs w:val="20"/>
        </w:rPr>
        <w:t xml:space="preserve"> dlouhodobých </w:t>
      </w:r>
      <w:r w:rsidRPr="00242BCA">
        <w:rPr>
          <w:rFonts w:ascii="Arial" w:hAnsi="Arial" w:cs="Arial"/>
          <w:iCs/>
          <w:sz w:val="20"/>
          <w:szCs w:val="20"/>
        </w:rPr>
        <w:t>předností české ekonomiky</w:t>
      </w:r>
      <w:r w:rsidR="00D91D9D" w:rsidRPr="00242BCA">
        <w:rPr>
          <w:rFonts w:ascii="Arial" w:hAnsi="Arial" w:cs="Arial"/>
          <w:iCs/>
          <w:sz w:val="20"/>
          <w:szCs w:val="20"/>
        </w:rPr>
        <w:t>.</w:t>
      </w:r>
      <w:r w:rsidRPr="00242BCA">
        <w:rPr>
          <w:rFonts w:ascii="Arial" w:hAnsi="Arial" w:cs="Arial"/>
          <w:iCs/>
          <w:sz w:val="20"/>
          <w:szCs w:val="20"/>
        </w:rPr>
        <w:t xml:space="preserve">  </w:t>
      </w:r>
    </w:p>
    <w:p w14:paraId="40F3687A" w14:textId="77777777" w:rsidR="00BE39C0" w:rsidRPr="00242BCA" w:rsidRDefault="00BE39C0" w:rsidP="009459EA">
      <w:pPr>
        <w:jc w:val="both"/>
        <w:rPr>
          <w:rFonts w:ascii="Arial" w:hAnsi="Arial" w:cs="Arial"/>
          <w:iCs/>
          <w:sz w:val="20"/>
          <w:szCs w:val="20"/>
        </w:rPr>
      </w:pPr>
    </w:p>
    <w:p w14:paraId="54FBE43D" w14:textId="62D6658A" w:rsidR="00BE39C0" w:rsidRPr="00242BCA" w:rsidRDefault="00BE39C0" w:rsidP="009459EA">
      <w:pPr>
        <w:jc w:val="both"/>
        <w:rPr>
          <w:rFonts w:ascii="Arial" w:hAnsi="Arial" w:cs="Arial"/>
          <w:iCs/>
          <w:sz w:val="20"/>
          <w:szCs w:val="20"/>
        </w:rPr>
      </w:pPr>
      <w:r w:rsidRPr="00242BCA">
        <w:rPr>
          <w:rFonts w:ascii="Arial" w:hAnsi="Arial" w:cs="Arial"/>
          <w:iCs/>
          <w:sz w:val="20"/>
          <w:szCs w:val="20"/>
        </w:rPr>
        <w:t>Sektorové zdanění bank bývá často odůvodňováno odlivem dividend k jejich zahraničním vlastníkům</w:t>
      </w:r>
      <w:r w:rsidR="00D11C54" w:rsidRPr="00242BCA">
        <w:rPr>
          <w:rFonts w:ascii="Arial" w:hAnsi="Arial" w:cs="Arial"/>
          <w:iCs/>
          <w:sz w:val="20"/>
          <w:szCs w:val="20"/>
        </w:rPr>
        <w:t>.</w:t>
      </w:r>
      <w:r w:rsidRPr="00242BCA">
        <w:rPr>
          <w:rFonts w:ascii="Arial" w:hAnsi="Arial" w:cs="Arial"/>
          <w:iCs/>
          <w:sz w:val="20"/>
          <w:szCs w:val="20"/>
        </w:rPr>
        <w:t xml:space="preserve"> </w:t>
      </w:r>
      <w:r w:rsidR="00D11C54" w:rsidRPr="00242BCA">
        <w:rPr>
          <w:rFonts w:ascii="Arial" w:hAnsi="Arial" w:cs="Arial"/>
          <w:iCs/>
          <w:sz w:val="20"/>
          <w:szCs w:val="20"/>
        </w:rPr>
        <w:t>T</w:t>
      </w:r>
      <w:r w:rsidRPr="00242BCA">
        <w:rPr>
          <w:rFonts w:ascii="Arial" w:hAnsi="Arial" w:cs="Arial"/>
          <w:iCs/>
          <w:sz w:val="20"/>
          <w:szCs w:val="20"/>
        </w:rPr>
        <w:t xml:space="preserve">ento argument je však lichý. Motivem jakéhokoli podnikání a tím i motorem hospodářství je zisk, zahraniční vlastníci se v tomto ohledu chovají stejně jako </w:t>
      </w:r>
      <w:r w:rsidR="00D11C54" w:rsidRPr="00242BCA">
        <w:rPr>
          <w:rFonts w:ascii="Arial" w:hAnsi="Arial" w:cs="Arial"/>
          <w:iCs/>
          <w:sz w:val="20"/>
          <w:szCs w:val="20"/>
        </w:rPr>
        <w:t xml:space="preserve">ti </w:t>
      </w:r>
      <w:r w:rsidRPr="00242BCA">
        <w:rPr>
          <w:rFonts w:ascii="Arial" w:hAnsi="Arial" w:cs="Arial"/>
          <w:iCs/>
          <w:sz w:val="20"/>
          <w:szCs w:val="20"/>
        </w:rPr>
        <w:t xml:space="preserve">domácí. </w:t>
      </w:r>
      <w:r w:rsidR="006D567E" w:rsidRPr="00242BCA">
        <w:rPr>
          <w:rFonts w:ascii="Arial" w:hAnsi="Arial" w:cs="Arial"/>
          <w:iCs/>
          <w:sz w:val="20"/>
          <w:szCs w:val="20"/>
        </w:rPr>
        <w:t>V</w:t>
      </w:r>
      <w:r w:rsidRPr="00242BCA">
        <w:rPr>
          <w:rFonts w:ascii="Arial" w:hAnsi="Arial" w:cs="Arial"/>
          <w:iCs/>
          <w:sz w:val="20"/>
          <w:szCs w:val="20"/>
        </w:rPr>
        <w:t>zhledem k vlastnické struktuře české ekonomiky</w:t>
      </w:r>
      <w:r w:rsidR="006D567E" w:rsidRPr="00242BCA">
        <w:rPr>
          <w:rFonts w:ascii="Arial" w:hAnsi="Arial" w:cs="Arial"/>
          <w:iCs/>
          <w:sz w:val="20"/>
          <w:szCs w:val="20"/>
        </w:rPr>
        <w:t xml:space="preserve"> by stejný argument </w:t>
      </w:r>
      <w:r w:rsidR="00BA3489" w:rsidRPr="00242BCA">
        <w:rPr>
          <w:rFonts w:ascii="Arial" w:hAnsi="Arial" w:cs="Arial"/>
          <w:iCs/>
          <w:sz w:val="20"/>
          <w:szCs w:val="20"/>
        </w:rPr>
        <w:t>bylo možné p</w:t>
      </w:r>
      <w:r w:rsidR="006D567E" w:rsidRPr="00242BCA">
        <w:rPr>
          <w:rFonts w:ascii="Arial" w:hAnsi="Arial" w:cs="Arial"/>
          <w:iCs/>
          <w:sz w:val="20"/>
          <w:szCs w:val="20"/>
        </w:rPr>
        <w:t xml:space="preserve">oužít i </w:t>
      </w:r>
      <w:r w:rsidR="00BA3489" w:rsidRPr="00242BCA">
        <w:rPr>
          <w:rFonts w:ascii="Arial" w:hAnsi="Arial" w:cs="Arial"/>
          <w:iCs/>
          <w:sz w:val="20"/>
          <w:szCs w:val="20"/>
        </w:rPr>
        <w:t xml:space="preserve">ve prospěch zavedení </w:t>
      </w:r>
      <w:r w:rsidR="006D567E" w:rsidRPr="00242BCA">
        <w:rPr>
          <w:rFonts w:ascii="Arial" w:hAnsi="Arial" w:cs="Arial"/>
          <w:iCs/>
          <w:sz w:val="20"/>
          <w:szCs w:val="20"/>
        </w:rPr>
        <w:t>sektorov</w:t>
      </w:r>
      <w:r w:rsidR="00BA3489" w:rsidRPr="00242BCA">
        <w:rPr>
          <w:rFonts w:ascii="Arial" w:hAnsi="Arial" w:cs="Arial"/>
          <w:iCs/>
          <w:sz w:val="20"/>
          <w:szCs w:val="20"/>
        </w:rPr>
        <w:t>é</w:t>
      </w:r>
      <w:r w:rsidR="006D567E" w:rsidRPr="00242BCA">
        <w:rPr>
          <w:rFonts w:ascii="Arial" w:hAnsi="Arial" w:cs="Arial"/>
          <w:iCs/>
          <w:sz w:val="20"/>
          <w:szCs w:val="20"/>
        </w:rPr>
        <w:t xml:space="preserve"> da</w:t>
      </w:r>
      <w:r w:rsidR="00BA3489" w:rsidRPr="00242BCA">
        <w:rPr>
          <w:rFonts w:ascii="Arial" w:hAnsi="Arial" w:cs="Arial"/>
          <w:iCs/>
          <w:sz w:val="20"/>
          <w:szCs w:val="20"/>
        </w:rPr>
        <w:t>ně</w:t>
      </w:r>
      <w:r w:rsidR="006D567E" w:rsidRPr="00242BCA">
        <w:rPr>
          <w:rFonts w:ascii="Arial" w:hAnsi="Arial" w:cs="Arial"/>
          <w:iCs/>
          <w:sz w:val="20"/>
          <w:szCs w:val="20"/>
        </w:rPr>
        <w:t xml:space="preserve"> např. na automobilky či vodárny</w:t>
      </w:r>
      <w:r w:rsidR="00D1082D">
        <w:rPr>
          <w:rFonts w:ascii="Arial" w:hAnsi="Arial" w:cs="Arial"/>
          <w:iCs/>
          <w:sz w:val="20"/>
          <w:szCs w:val="20"/>
        </w:rPr>
        <w:t>.</w:t>
      </w:r>
    </w:p>
    <w:p w14:paraId="5E6FE2C8" w14:textId="77777777" w:rsidR="00627767" w:rsidRPr="00242BCA" w:rsidRDefault="00627767" w:rsidP="009459EA">
      <w:pPr>
        <w:jc w:val="both"/>
        <w:rPr>
          <w:rFonts w:ascii="Arial" w:hAnsi="Arial" w:cs="Arial"/>
          <w:iCs/>
          <w:color w:val="FF0000"/>
          <w:sz w:val="20"/>
          <w:szCs w:val="20"/>
        </w:rPr>
      </w:pPr>
    </w:p>
    <w:p w14:paraId="055BFEB5" w14:textId="77777777" w:rsidR="00C57282" w:rsidRPr="00242BCA" w:rsidRDefault="00C57282" w:rsidP="009459EA">
      <w:pPr>
        <w:jc w:val="both"/>
        <w:rPr>
          <w:rFonts w:ascii="Arial" w:hAnsi="Arial" w:cs="Arial"/>
          <w:iCs/>
          <w:color w:val="FF0000"/>
          <w:sz w:val="20"/>
          <w:szCs w:val="20"/>
        </w:rPr>
      </w:pPr>
    </w:p>
    <w:p w14:paraId="0D9B90B3" w14:textId="07543693" w:rsidR="003D1C7A" w:rsidRPr="00242BCA" w:rsidRDefault="00DC2C93" w:rsidP="00C57282">
      <w:pPr>
        <w:pStyle w:val="Odstavecseseznamem"/>
        <w:numPr>
          <w:ilvl w:val="0"/>
          <w:numId w:val="8"/>
        </w:numPr>
        <w:jc w:val="both"/>
        <w:rPr>
          <w:rFonts w:ascii="Arial" w:hAnsi="Arial" w:cs="Arial"/>
          <w:b/>
          <w:color w:val="30905F"/>
          <w:sz w:val="20"/>
          <w:szCs w:val="20"/>
        </w:rPr>
      </w:pPr>
      <w:r w:rsidRPr="00242BCA">
        <w:rPr>
          <w:rFonts w:ascii="Arial" w:hAnsi="Arial" w:cs="Arial"/>
          <w:b/>
          <w:color w:val="30905F"/>
          <w:sz w:val="20"/>
          <w:szCs w:val="20"/>
        </w:rPr>
        <w:t xml:space="preserve">Kdy </w:t>
      </w:r>
      <w:r w:rsidR="00F35A4D" w:rsidRPr="00242BCA">
        <w:rPr>
          <w:rFonts w:ascii="Arial" w:hAnsi="Arial" w:cs="Arial"/>
          <w:b/>
          <w:color w:val="30905F"/>
          <w:sz w:val="20"/>
          <w:szCs w:val="20"/>
        </w:rPr>
        <w:t xml:space="preserve">a proč </w:t>
      </w:r>
      <w:r w:rsidRPr="00242BCA">
        <w:rPr>
          <w:rFonts w:ascii="Arial" w:hAnsi="Arial" w:cs="Arial"/>
          <w:b/>
          <w:color w:val="30905F"/>
          <w:sz w:val="20"/>
          <w:szCs w:val="20"/>
        </w:rPr>
        <w:t>se o sektorových daních začalo hovořit</w:t>
      </w:r>
      <w:r w:rsidR="003D1C7A" w:rsidRPr="00242BCA">
        <w:rPr>
          <w:rFonts w:ascii="Arial" w:hAnsi="Arial" w:cs="Arial"/>
          <w:b/>
          <w:color w:val="30905F"/>
          <w:sz w:val="20"/>
          <w:szCs w:val="20"/>
        </w:rPr>
        <w:t>?</w:t>
      </w:r>
    </w:p>
    <w:p w14:paraId="240ADE39" w14:textId="77777777" w:rsidR="003D1C7A" w:rsidRPr="00242BCA" w:rsidRDefault="003D1C7A" w:rsidP="009459EA">
      <w:pPr>
        <w:jc w:val="both"/>
        <w:rPr>
          <w:rFonts w:ascii="Arial" w:hAnsi="Arial" w:cs="Arial"/>
          <w:color w:val="1F4E79" w:themeColor="accent1" w:themeShade="80"/>
          <w:sz w:val="20"/>
          <w:szCs w:val="20"/>
        </w:rPr>
      </w:pPr>
    </w:p>
    <w:p w14:paraId="7CEE92A0" w14:textId="7C9E34C7" w:rsidR="00273D3C" w:rsidRPr="00242BCA" w:rsidRDefault="003D1C7A" w:rsidP="009459EA">
      <w:pPr>
        <w:jc w:val="both"/>
        <w:rPr>
          <w:rFonts w:ascii="Arial" w:hAnsi="Arial" w:cs="Arial"/>
          <w:sz w:val="20"/>
          <w:szCs w:val="20"/>
        </w:rPr>
      </w:pPr>
      <w:r w:rsidRPr="00242BCA">
        <w:rPr>
          <w:rFonts w:ascii="Arial" w:hAnsi="Arial" w:cs="Arial"/>
          <w:sz w:val="20"/>
          <w:szCs w:val="20"/>
        </w:rPr>
        <w:t xml:space="preserve">Sektorové zdanění bank </w:t>
      </w:r>
      <w:r w:rsidR="00DC2C93" w:rsidRPr="00242BCA">
        <w:rPr>
          <w:rFonts w:ascii="Arial" w:hAnsi="Arial" w:cs="Arial"/>
          <w:sz w:val="20"/>
          <w:szCs w:val="20"/>
        </w:rPr>
        <w:t xml:space="preserve">se dostalo do popředí zájmu a bylo zavedeno v mnoha zemích </w:t>
      </w:r>
      <w:r w:rsidR="00C24E37" w:rsidRPr="00242BCA">
        <w:rPr>
          <w:rFonts w:ascii="Arial" w:hAnsi="Arial" w:cs="Arial"/>
          <w:sz w:val="20"/>
          <w:szCs w:val="20"/>
        </w:rPr>
        <w:t>po finanční krizi 2008/2009</w:t>
      </w:r>
      <w:r w:rsidR="00DC2C93" w:rsidRPr="00242BCA">
        <w:rPr>
          <w:rFonts w:ascii="Arial" w:hAnsi="Arial" w:cs="Arial"/>
          <w:sz w:val="20"/>
          <w:szCs w:val="20"/>
        </w:rPr>
        <w:t>. Velké – takzvaně systémově významné banky</w:t>
      </w:r>
      <w:r w:rsidR="00E308D0" w:rsidRPr="00242BCA">
        <w:rPr>
          <w:rFonts w:ascii="Arial" w:hAnsi="Arial" w:cs="Arial"/>
          <w:sz w:val="20"/>
          <w:szCs w:val="20"/>
        </w:rPr>
        <w:t xml:space="preserve"> </w:t>
      </w:r>
      <w:r w:rsidR="00E308D0" w:rsidRPr="00242BCA">
        <w:rPr>
          <w:rFonts w:ascii="Arial" w:hAnsi="Arial" w:cs="Arial"/>
          <w:i/>
          <w:sz w:val="20"/>
          <w:szCs w:val="20"/>
        </w:rPr>
        <w:t>(*systémově významná banka je taková, jejíž pád by vyvolal zhoubnou řetězovou reakci v národním hospodářství)</w:t>
      </w:r>
      <w:r w:rsidR="00E308D0" w:rsidRPr="00242BCA">
        <w:rPr>
          <w:rFonts w:ascii="Arial" w:hAnsi="Arial" w:cs="Arial"/>
          <w:sz w:val="20"/>
          <w:szCs w:val="20"/>
        </w:rPr>
        <w:t xml:space="preserve"> –</w:t>
      </w:r>
      <w:r w:rsidR="00C24E37" w:rsidRPr="00242BCA">
        <w:rPr>
          <w:rFonts w:ascii="Arial" w:hAnsi="Arial" w:cs="Arial"/>
          <w:sz w:val="20"/>
          <w:szCs w:val="20"/>
        </w:rPr>
        <w:t xml:space="preserve"> </w:t>
      </w:r>
      <w:r w:rsidR="00DC2C93" w:rsidRPr="00242BCA">
        <w:rPr>
          <w:rFonts w:ascii="Arial" w:hAnsi="Arial" w:cs="Arial"/>
          <w:sz w:val="20"/>
          <w:szCs w:val="20"/>
        </w:rPr>
        <w:t xml:space="preserve">se v řadě zemí dostaly do problémů a byly </w:t>
      </w:r>
      <w:r w:rsidR="00C24E37" w:rsidRPr="00242BCA">
        <w:rPr>
          <w:rFonts w:ascii="Arial" w:hAnsi="Arial" w:cs="Arial"/>
          <w:sz w:val="20"/>
          <w:szCs w:val="20"/>
        </w:rPr>
        <w:t>zachraňovány z peněz daňových poplatníků</w:t>
      </w:r>
      <w:r w:rsidRPr="00242BCA">
        <w:rPr>
          <w:rFonts w:ascii="Arial" w:hAnsi="Arial" w:cs="Arial"/>
          <w:sz w:val="20"/>
          <w:szCs w:val="20"/>
        </w:rPr>
        <w:t xml:space="preserve">. Důvodem </w:t>
      </w:r>
      <w:r w:rsidR="00DC2C93" w:rsidRPr="00242BCA">
        <w:rPr>
          <w:rFonts w:ascii="Arial" w:hAnsi="Arial" w:cs="Arial"/>
          <w:sz w:val="20"/>
          <w:szCs w:val="20"/>
        </w:rPr>
        <w:t xml:space="preserve">zavedení sektorových daní pak </w:t>
      </w:r>
      <w:r w:rsidRPr="00242BCA">
        <w:rPr>
          <w:rFonts w:ascii="Arial" w:hAnsi="Arial" w:cs="Arial"/>
          <w:sz w:val="20"/>
          <w:szCs w:val="20"/>
        </w:rPr>
        <w:t xml:space="preserve">bylo buď </w:t>
      </w:r>
      <w:r w:rsidR="00DC2C93" w:rsidRPr="00242BCA">
        <w:rPr>
          <w:rFonts w:ascii="Arial" w:hAnsi="Arial" w:cs="Arial"/>
          <w:sz w:val="20"/>
          <w:szCs w:val="20"/>
        </w:rPr>
        <w:t xml:space="preserve">vytvoření finančních rezerv pro </w:t>
      </w:r>
      <w:r w:rsidR="00EC2B4D" w:rsidRPr="00242BCA">
        <w:rPr>
          <w:rFonts w:ascii="Arial" w:hAnsi="Arial" w:cs="Arial"/>
          <w:sz w:val="20"/>
          <w:szCs w:val="20"/>
        </w:rPr>
        <w:t>zvý</w:t>
      </w:r>
      <w:r w:rsidRPr="00242BCA">
        <w:rPr>
          <w:rFonts w:ascii="Arial" w:hAnsi="Arial" w:cs="Arial"/>
          <w:sz w:val="20"/>
          <w:szCs w:val="20"/>
        </w:rPr>
        <w:t xml:space="preserve">šení odolnosti systému, nebo aby banky zaplatily svůj podíl na nákladech </w:t>
      </w:r>
      <w:r w:rsidR="00BA5A7C" w:rsidRPr="00242BCA">
        <w:rPr>
          <w:rFonts w:ascii="Arial" w:hAnsi="Arial" w:cs="Arial"/>
          <w:sz w:val="20"/>
          <w:szCs w:val="20"/>
        </w:rPr>
        <w:t>na své ozdravení, které hradil</w:t>
      </w:r>
      <w:r w:rsidR="00E308D0" w:rsidRPr="00242BCA">
        <w:rPr>
          <w:rFonts w:ascii="Arial" w:hAnsi="Arial" w:cs="Arial"/>
          <w:sz w:val="20"/>
          <w:szCs w:val="20"/>
        </w:rPr>
        <w:t>y</w:t>
      </w:r>
      <w:r w:rsidR="00BA5A7C" w:rsidRPr="00242BCA">
        <w:rPr>
          <w:rFonts w:ascii="Arial" w:hAnsi="Arial" w:cs="Arial"/>
          <w:sz w:val="20"/>
          <w:szCs w:val="20"/>
        </w:rPr>
        <w:t xml:space="preserve"> </w:t>
      </w:r>
      <w:r w:rsidR="00E308D0" w:rsidRPr="00242BCA">
        <w:rPr>
          <w:rFonts w:ascii="Arial" w:hAnsi="Arial" w:cs="Arial"/>
          <w:sz w:val="20"/>
          <w:szCs w:val="20"/>
        </w:rPr>
        <w:t xml:space="preserve">státy, respektive jejich </w:t>
      </w:r>
      <w:r w:rsidR="00BA5A7C" w:rsidRPr="00242BCA">
        <w:rPr>
          <w:rFonts w:ascii="Arial" w:hAnsi="Arial" w:cs="Arial"/>
          <w:sz w:val="20"/>
          <w:szCs w:val="20"/>
        </w:rPr>
        <w:t>daňoví poplatníci</w:t>
      </w:r>
      <w:r w:rsidR="00E308D0" w:rsidRPr="00242BCA">
        <w:rPr>
          <w:rFonts w:ascii="Arial" w:hAnsi="Arial" w:cs="Arial"/>
          <w:sz w:val="20"/>
          <w:szCs w:val="20"/>
        </w:rPr>
        <w:t>.</w:t>
      </w:r>
      <w:r w:rsidR="00BA5A7C" w:rsidRPr="00242BCA">
        <w:rPr>
          <w:rFonts w:ascii="Arial" w:hAnsi="Arial" w:cs="Arial"/>
          <w:sz w:val="20"/>
          <w:szCs w:val="20"/>
        </w:rPr>
        <w:t xml:space="preserve"> </w:t>
      </w:r>
    </w:p>
    <w:p w14:paraId="26EC00BB" w14:textId="77777777" w:rsidR="00E308D0" w:rsidRPr="00242BCA" w:rsidRDefault="00E308D0" w:rsidP="009459EA">
      <w:pPr>
        <w:jc w:val="both"/>
        <w:rPr>
          <w:rFonts w:ascii="Arial" w:hAnsi="Arial" w:cs="Arial"/>
          <w:sz w:val="20"/>
          <w:szCs w:val="20"/>
        </w:rPr>
      </w:pPr>
    </w:p>
    <w:p w14:paraId="61A1BB0A" w14:textId="7DB29F4D" w:rsidR="00E308D0" w:rsidRPr="00242BCA" w:rsidRDefault="00E308D0" w:rsidP="00E308D0">
      <w:pPr>
        <w:jc w:val="both"/>
        <w:rPr>
          <w:rFonts w:ascii="Arial" w:hAnsi="Arial" w:cs="Arial"/>
          <w:sz w:val="20"/>
          <w:szCs w:val="20"/>
        </w:rPr>
      </w:pPr>
      <w:r w:rsidRPr="00242BCA">
        <w:rPr>
          <w:rFonts w:ascii="Arial" w:hAnsi="Arial" w:cs="Arial"/>
          <w:sz w:val="20"/>
          <w:szCs w:val="20"/>
        </w:rPr>
        <w:t xml:space="preserve">V České republice byla ovšem situace jiná – banky byly dostatečně kapitálově silné, krizi přestály bez pomoci daňových poplatníků, a naopak v nejtěžších chvílích hospodářského poklesu prokazatelně pomáhaly hospodářský pokles </w:t>
      </w:r>
      <w:r w:rsidR="00242BCA" w:rsidRPr="00242BCA">
        <w:rPr>
          <w:rFonts w:ascii="Arial" w:hAnsi="Arial" w:cs="Arial"/>
          <w:sz w:val="20"/>
          <w:szCs w:val="20"/>
        </w:rPr>
        <w:t>i</w:t>
      </w:r>
      <w:r w:rsidRPr="00242BCA">
        <w:rPr>
          <w:rFonts w:ascii="Arial" w:hAnsi="Arial" w:cs="Arial"/>
          <w:sz w:val="20"/>
          <w:szCs w:val="20"/>
        </w:rPr>
        <w:t xml:space="preserve"> jeho důsledky zmírňovat. </w:t>
      </w:r>
    </w:p>
    <w:p w14:paraId="1047CFE7" w14:textId="77777777" w:rsidR="00683A49" w:rsidRPr="00242BCA" w:rsidRDefault="00683A49" w:rsidP="009459EA">
      <w:pPr>
        <w:jc w:val="both"/>
        <w:rPr>
          <w:rFonts w:ascii="Arial" w:hAnsi="Arial" w:cs="Arial"/>
          <w:sz w:val="20"/>
          <w:szCs w:val="20"/>
        </w:rPr>
      </w:pPr>
    </w:p>
    <w:p w14:paraId="500952BC" w14:textId="30B4BE95" w:rsidR="00BA5A7C" w:rsidRPr="00242BCA" w:rsidRDefault="00E308D0" w:rsidP="009459EA">
      <w:pPr>
        <w:jc w:val="both"/>
        <w:rPr>
          <w:rFonts w:ascii="Arial" w:hAnsi="Arial" w:cs="Arial"/>
          <w:sz w:val="20"/>
          <w:szCs w:val="20"/>
        </w:rPr>
      </w:pPr>
      <w:r w:rsidRPr="00242BCA">
        <w:rPr>
          <w:rFonts w:ascii="Arial" w:hAnsi="Arial" w:cs="Arial"/>
          <w:sz w:val="20"/>
          <w:szCs w:val="20"/>
        </w:rPr>
        <w:t>Nutno dodat, že na</w:t>
      </w:r>
      <w:r w:rsidR="00C24E37" w:rsidRPr="00242BCA">
        <w:rPr>
          <w:rFonts w:ascii="Arial" w:hAnsi="Arial" w:cs="Arial"/>
          <w:sz w:val="20"/>
          <w:szCs w:val="20"/>
        </w:rPr>
        <w:t xml:space="preserve"> základě zkušeností </w:t>
      </w:r>
      <w:r w:rsidR="00D1082D">
        <w:rPr>
          <w:rFonts w:ascii="Arial" w:hAnsi="Arial" w:cs="Arial"/>
          <w:sz w:val="20"/>
          <w:szCs w:val="20"/>
        </w:rPr>
        <w:t>s</w:t>
      </w:r>
      <w:r w:rsidR="00C24E37" w:rsidRPr="00242BCA">
        <w:rPr>
          <w:rFonts w:ascii="Arial" w:hAnsi="Arial" w:cs="Arial"/>
          <w:sz w:val="20"/>
          <w:szCs w:val="20"/>
        </w:rPr>
        <w:t> finanční kriz</w:t>
      </w:r>
      <w:r w:rsidR="00242BCA" w:rsidRPr="00242BCA">
        <w:rPr>
          <w:rFonts w:ascii="Arial" w:hAnsi="Arial" w:cs="Arial"/>
          <w:sz w:val="20"/>
          <w:szCs w:val="20"/>
        </w:rPr>
        <w:t>í</w:t>
      </w:r>
      <w:r w:rsidR="00C24E37" w:rsidRPr="00242BCA">
        <w:rPr>
          <w:rFonts w:ascii="Arial" w:hAnsi="Arial" w:cs="Arial"/>
          <w:sz w:val="20"/>
          <w:szCs w:val="20"/>
        </w:rPr>
        <w:t xml:space="preserve"> byly v zemích Evropské unie</w:t>
      </w:r>
      <w:r w:rsidR="00BA5A7C" w:rsidRPr="00242BCA">
        <w:rPr>
          <w:rFonts w:ascii="Arial" w:hAnsi="Arial" w:cs="Arial"/>
          <w:sz w:val="20"/>
          <w:szCs w:val="20"/>
        </w:rPr>
        <w:t xml:space="preserve">, tedy i </w:t>
      </w:r>
      <w:r w:rsidR="00683A49" w:rsidRPr="00242BCA">
        <w:rPr>
          <w:rFonts w:ascii="Arial" w:hAnsi="Arial" w:cs="Arial"/>
          <w:sz w:val="20"/>
          <w:szCs w:val="20"/>
        </w:rPr>
        <w:t>v</w:t>
      </w:r>
      <w:r w:rsidR="00BA5A7C" w:rsidRPr="00242BCA">
        <w:rPr>
          <w:rFonts w:ascii="Arial" w:hAnsi="Arial" w:cs="Arial"/>
          <w:sz w:val="20"/>
          <w:szCs w:val="20"/>
        </w:rPr>
        <w:t> </w:t>
      </w:r>
      <w:r w:rsidR="00683A49" w:rsidRPr="00242BCA">
        <w:rPr>
          <w:rFonts w:ascii="Arial" w:hAnsi="Arial" w:cs="Arial"/>
          <w:sz w:val="20"/>
          <w:szCs w:val="20"/>
        </w:rPr>
        <w:t>Č</w:t>
      </w:r>
      <w:r w:rsidR="00BA5A7C" w:rsidRPr="00242BCA">
        <w:rPr>
          <w:rFonts w:ascii="Arial" w:hAnsi="Arial" w:cs="Arial"/>
          <w:sz w:val="20"/>
          <w:szCs w:val="20"/>
        </w:rPr>
        <w:t>eské republice</w:t>
      </w:r>
      <w:r w:rsidRPr="00242BCA">
        <w:rPr>
          <w:rFonts w:ascii="Arial" w:hAnsi="Arial" w:cs="Arial"/>
          <w:sz w:val="20"/>
          <w:szCs w:val="20"/>
        </w:rPr>
        <w:t>,</w:t>
      </w:r>
      <w:r w:rsidR="00683A49" w:rsidRPr="00242BCA">
        <w:rPr>
          <w:rFonts w:ascii="Arial" w:hAnsi="Arial" w:cs="Arial"/>
          <w:sz w:val="20"/>
          <w:szCs w:val="20"/>
        </w:rPr>
        <w:t xml:space="preserve"> </w:t>
      </w:r>
      <w:r w:rsidR="00C24E37" w:rsidRPr="00242BCA">
        <w:rPr>
          <w:rFonts w:ascii="Arial" w:hAnsi="Arial" w:cs="Arial"/>
          <w:sz w:val="20"/>
          <w:szCs w:val="20"/>
        </w:rPr>
        <w:t>zavedeny tzv. rezoluční fondy</w:t>
      </w:r>
      <w:r w:rsidR="00BA5A7C" w:rsidRPr="00242BCA">
        <w:rPr>
          <w:rFonts w:ascii="Arial" w:hAnsi="Arial" w:cs="Arial"/>
          <w:sz w:val="20"/>
          <w:szCs w:val="20"/>
        </w:rPr>
        <w:t>,</w:t>
      </w:r>
      <w:r w:rsidR="00C24E37" w:rsidRPr="00242BCA">
        <w:rPr>
          <w:rFonts w:ascii="Arial" w:hAnsi="Arial" w:cs="Arial"/>
          <w:sz w:val="20"/>
          <w:szCs w:val="20"/>
        </w:rPr>
        <w:t xml:space="preserve"> do nichž banky přispívají nemalými částkami jako </w:t>
      </w:r>
      <w:r w:rsidR="00683A49" w:rsidRPr="00242BCA">
        <w:rPr>
          <w:rFonts w:ascii="Arial" w:hAnsi="Arial" w:cs="Arial"/>
          <w:sz w:val="20"/>
          <w:szCs w:val="20"/>
        </w:rPr>
        <w:t>„</w:t>
      </w:r>
      <w:r w:rsidR="00C24E37" w:rsidRPr="00242BCA">
        <w:rPr>
          <w:rFonts w:ascii="Arial" w:hAnsi="Arial" w:cs="Arial"/>
          <w:sz w:val="20"/>
          <w:szCs w:val="20"/>
        </w:rPr>
        <w:t>pojištění</w:t>
      </w:r>
      <w:r w:rsidR="00683A49" w:rsidRPr="00242BCA">
        <w:rPr>
          <w:rFonts w:ascii="Arial" w:hAnsi="Arial" w:cs="Arial"/>
          <w:sz w:val="20"/>
          <w:szCs w:val="20"/>
        </w:rPr>
        <w:t>“</w:t>
      </w:r>
      <w:r w:rsidR="00C24E37" w:rsidRPr="00242BCA">
        <w:rPr>
          <w:rFonts w:ascii="Arial" w:hAnsi="Arial" w:cs="Arial"/>
          <w:sz w:val="20"/>
          <w:szCs w:val="20"/>
        </w:rPr>
        <w:t xml:space="preserve"> právě pro případ krize. </w:t>
      </w:r>
      <w:r w:rsidR="00BA3489" w:rsidRPr="00242BCA">
        <w:rPr>
          <w:rFonts w:ascii="Arial" w:hAnsi="Arial" w:cs="Arial"/>
          <w:sz w:val="20"/>
          <w:szCs w:val="20"/>
        </w:rPr>
        <w:t xml:space="preserve">Zároveň byly </w:t>
      </w:r>
      <w:r w:rsidR="00C24E37" w:rsidRPr="00242BCA">
        <w:rPr>
          <w:rFonts w:ascii="Arial" w:hAnsi="Arial" w:cs="Arial"/>
          <w:sz w:val="20"/>
          <w:szCs w:val="20"/>
        </w:rPr>
        <w:t>zvýšen</w:t>
      </w:r>
      <w:r w:rsidR="00BA3489" w:rsidRPr="00242BCA">
        <w:rPr>
          <w:rFonts w:ascii="Arial" w:hAnsi="Arial" w:cs="Arial"/>
          <w:sz w:val="20"/>
          <w:szCs w:val="20"/>
        </w:rPr>
        <w:t>y</w:t>
      </w:r>
      <w:r w:rsidR="00C24E37" w:rsidRPr="00242BCA">
        <w:rPr>
          <w:rFonts w:ascii="Arial" w:hAnsi="Arial" w:cs="Arial"/>
          <w:sz w:val="20"/>
          <w:szCs w:val="20"/>
        </w:rPr>
        <w:t xml:space="preserve"> požadavky na vlastní kapitál</w:t>
      </w:r>
      <w:r w:rsidRPr="00242BCA">
        <w:rPr>
          <w:rFonts w:ascii="Arial" w:hAnsi="Arial" w:cs="Arial"/>
          <w:sz w:val="20"/>
          <w:szCs w:val="20"/>
        </w:rPr>
        <w:t xml:space="preserve"> bank</w:t>
      </w:r>
      <w:r w:rsidR="00C24E37" w:rsidRPr="00242BCA">
        <w:rPr>
          <w:rFonts w:ascii="Arial" w:hAnsi="Arial" w:cs="Arial"/>
          <w:sz w:val="20"/>
          <w:szCs w:val="20"/>
        </w:rPr>
        <w:t xml:space="preserve"> a </w:t>
      </w:r>
      <w:r w:rsidR="00BA3489" w:rsidRPr="00242BCA">
        <w:rPr>
          <w:rFonts w:ascii="Arial" w:hAnsi="Arial" w:cs="Arial"/>
          <w:sz w:val="20"/>
          <w:szCs w:val="20"/>
        </w:rPr>
        <w:t>byla s</w:t>
      </w:r>
      <w:r w:rsidR="00C24E37" w:rsidRPr="00242BCA">
        <w:rPr>
          <w:rFonts w:ascii="Arial" w:hAnsi="Arial" w:cs="Arial"/>
          <w:sz w:val="20"/>
          <w:szCs w:val="20"/>
        </w:rPr>
        <w:t>jednocen</w:t>
      </w:r>
      <w:r w:rsidR="00BA3489" w:rsidRPr="00242BCA">
        <w:rPr>
          <w:rFonts w:ascii="Arial" w:hAnsi="Arial" w:cs="Arial"/>
          <w:sz w:val="20"/>
          <w:szCs w:val="20"/>
        </w:rPr>
        <w:t>a</w:t>
      </w:r>
      <w:r w:rsidR="00C24E37" w:rsidRPr="00242BCA">
        <w:rPr>
          <w:rFonts w:ascii="Arial" w:hAnsi="Arial" w:cs="Arial"/>
          <w:sz w:val="20"/>
          <w:szCs w:val="20"/>
        </w:rPr>
        <w:t xml:space="preserve"> pravidl</w:t>
      </w:r>
      <w:r w:rsidR="00BA3489" w:rsidRPr="00242BCA">
        <w:rPr>
          <w:rFonts w:ascii="Arial" w:hAnsi="Arial" w:cs="Arial"/>
          <w:sz w:val="20"/>
          <w:szCs w:val="20"/>
        </w:rPr>
        <w:t>a</w:t>
      </w:r>
      <w:r w:rsidR="00C24E37" w:rsidRPr="00242BCA">
        <w:rPr>
          <w:rFonts w:ascii="Arial" w:hAnsi="Arial" w:cs="Arial"/>
          <w:sz w:val="20"/>
          <w:szCs w:val="20"/>
        </w:rPr>
        <w:t xml:space="preserve"> pro úhradu ztrát v případě insolvence banky (tzv. pravidlo </w:t>
      </w:r>
      <w:proofErr w:type="spellStart"/>
      <w:r w:rsidR="00C24E37" w:rsidRPr="00242BCA">
        <w:rPr>
          <w:rFonts w:ascii="Arial" w:hAnsi="Arial" w:cs="Arial"/>
          <w:i/>
          <w:sz w:val="20"/>
          <w:szCs w:val="20"/>
        </w:rPr>
        <w:t>bail</w:t>
      </w:r>
      <w:proofErr w:type="spellEnd"/>
      <w:r w:rsidR="00C24E37" w:rsidRPr="00242BCA">
        <w:rPr>
          <w:rFonts w:ascii="Arial" w:hAnsi="Arial" w:cs="Arial"/>
          <w:i/>
          <w:sz w:val="20"/>
          <w:szCs w:val="20"/>
        </w:rPr>
        <w:t>-in</w:t>
      </w:r>
      <w:r w:rsidR="00C24E37" w:rsidRPr="00242BCA">
        <w:rPr>
          <w:rFonts w:ascii="Arial" w:hAnsi="Arial" w:cs="Arial"/>
          <w:sz w:val="20"/>
          <w:szCs w:val="20"/>
        </w:rPr>
        <w:t xml:space="preserve">, kdy ztrátu uhrazují v první řadě akcionáři, pak nezajištění věřitelé a </w:t>
      </w:r>
      <w:r w:rsidR="006A425F" w:rsidRPr="00242BCA">
        <w:rPr>
          <w:rFonts w:ascii="Arial" w:hAnsi="Arial" w:cs="Arial"/>
          <w:sz w:val="20"/>
          <w:szCs w:val="20"/>
        </w:rPr>
        <w:t xml:space="preserve">teprve poté, </w:t>
      </w:r>
      <w:r w:rsidR="00683A49" w:rsidRPr="00242BCA">
        <w:rPr>
          <w:rFonts w:ascii="Arial" w:hAnsi="Arial" w:cs="Arial"/>
          <w:sz w:val="20"/>
          <w:szCs w:val="20"/>
        </w:rPr>
        <w:t>je-li banka systémově významná a není tedy žádoucí ji nechat zbankrotovat, přichází na řadu rezoluční fond).</w:t>
      </w:r>
    </w:p>
    <w:p w14:paraId="7A4AB742" w14:textId="77777777" w:rsidR="00BA5A7C" w:rsidRPr="00242BCA" w:rsidRDefault="00BA5A7C" w:rsidP="009459EA">
      <w:pPr>
        <w:jc w:val="both"/>
        <w:rPr>
          <w:rFonts w:ascii="Arial" w:hAnsi="Arial" w:cs="Arial"/>
          <w:sz w:val="20"/>
          <w:szCs w:val="20"/>
        </w:rPr>
      </w:pPr>
    </w:p>
    <w:p w14:paraId="17620B26" w14:textId="746BCFEB" w:rsidR="00BA5A7C" w:rsidRPr="00242BCA" w:rsidRDefault="00BA5A7C" w:rsidP="009459EA">
      <w:pPr>
        <w:jc w:val="both"/>
        <w:rPr>
          <w:rFonts w:ascii="Arial" w:hAnsi="Arial" w:cs="Arial"/>
          <w:sz w:val="20"/>
          <w:szCs w:val="20"/>
        </w:rPr>
      </w:pPr>
      <w:r w:rsidRPr="00242BCA">
        <w:rPr>
          <w:rFonts w:ascii="Arial" w:hAnsi="Arial" w:cs="Arial"/>
          <w:sz w:val="20"/>
          <w:szCs w:val="20"/>
        </w:rPr>
        <w:t>Banky také přispívají</w:t>
      </w:r>
      <w:r w:rsidR="00683A49" w:rsidRPr="00242BCA">
        <w:rPr>
          <w:rFonts w:ascii="Arial" w:hAnsi="Arial" w:cs="Arial"/>
          <w:sz w:val="20"/>
          <w:szCs w:val="20"/>
        </w:rPr>
        <w:t xml:space="preserve"> </w:t>
      </w:r>
      <w:r w:rsidRPr="00242BCA">
        <w:rPr>
          <w:rFonts w:ascii="Arial" w:hAnsi="Arial" w:cs="Arial"/>
          <w:sz w:val="20"/>
          <w:szCs w:val="20"/>
        </w:rPr>
        <w:t>finančními prostředky do fondu pojištění vkladů.</w:t>
      </w:r>
    </w:p>
    <w:p w14:paraId="671471EA" w14:textId="34817144" w:rsidR="00D85C64" w:rsidRPr="00242BCA" w:rsidRDefault="00D85C64" w:rsidP="009459EA">
      <w:pPr>
        <w:jc w:val="both"/>
        <w:rPr>
          <w:rFonts w:ascii="Arial" w:hAnsi="Arial" w:cs="Arial"/>
          <w:sz w:val="20"/>
          <w:szCs w:val="20"/>
        </w:rPr>
      </w:pPr>
    </w:p>
    <w:p w14:paraId="64E3184A" w14:textId="77777777" w:rsidR="00242BCA" w:rsidRPr="00242BCA" w:rsidRDefault="00242BCA" w:rsidP="009459EA">
      <w:pPr>
        <w:jc w:val="both"/>
        <w:rPr>
          <w:rFonts w:ascii="Arial" w:hAnsi="Arial" w:cs="Arial"/>
          <w:sz w:val="20"/>
          <w:szCs w:val="20"/>
        </w:rPr>
      </w:pPr>
    </w:p>
    <w:p w14:paraId="72864A98" w14:textId="091E0549" w:rsidR="00D85C64" w:rsidRPr="00242BCA" w:rsidRDefault="00D85C64" w:rsidP="00D85C64">
      <w:pPr>
        <w:pStyle w:val="Odstavecseseznamem"/>
        <w:numPr>
          <w:ilvl w:val="0"/>
          <w:numId w:val="8"/>
        </w:numPr>
        <w:jc w:val="both"/>
        <w:rPr>
          <w:rFonts w:ascii="Arial" w:hAnsi="Arial" w:cs="Arial"/>
          <w:b/>
          <w:iCs/>
          <w:color w:val="30905F"/>
          <w:sz w:val="20"/>
          <w:szCs w:val="20"/>
        </w:rPr>
      </w:pPr>
      <w:r w:rsidRPr="00242BCA">
        <w:rPr>
          <w:rFonts w:ascii="Arial" w:hAnsi="Arial" w:cs="Arial"/>
          <w:b/>
          <w:iCs/>
          <w:color w:val="30905F"/>
          <w:sz w:val="20"/>
          <w:szCs w:val="20"/>
        </w:rPr>
        <w:t>Kde, kdy a proč byla sektorová daň zavedena a jak se vyvíjela?</w:t>
      </w:r>
    </w:p>
    <w:p w14:paraId="24E88E86" w14:textId="77777777" w:rsidR="00D85C64" w:rsidRPr="00242BCA" w:rsidRDefault="00D85C64" w:rsidP="00D85C64">
      <w:pPr>
        <w:jc w:val="both"/>
        <w:rPr>
          <w:rFonts w:ascii="Arial" w:hAnsi="Arial" w:cs="Arial"/>
          <w:iCs/>
          <w:sz w:val="20"/>
          <w:szCs w:val="20"/>
        </w:rPr>
      </w:pPr>
    </w:p>
    <w:p w14:paraId="08B07457" w14:textId="33A4F691" w:rsidR="00242BCA" w:rsidRDefault="00D85C64" w:rsidP="00D85C64">
      <w:pPr>
        <w:jc w:val="both"/>
        <w:rPr>
          <w:rFonts w:ascii="Arial" w:hAnsi="Arial" w:cs="Arial"/>
          <w:iCs/>
          <w:sz w:val="20"/>
          <w:szCs w:val="20"/>
        </w:rPr>
      </w:pPr>
      <w:r w:rsidRPr="00242BCA">
        <w:rPr>
          <w:rFonts w:ascii="Arial" w:hAnsi="Arial" w:cs="Arial"/>
          <w:iCs/>
          <w:sz w:val="20"/>
          <w:szCs w:val="20"/>
        </w:rPr>
        <w:t xml:space="preserve">Uvádí se, že sektorové bankovní daně existují v 15 zemích EU. Sektorové daně byly zavedeny převážně jako reakce na poslední finanční a ekonomickou krizi v letech 2010-2013. Jen dvě země zavedly daň později, tj. Polsko v roce 2016 a Rumunsko ve snaze o snížení rozpočtového schodku daň od roku 2019. A naopak Finsko daň zrušilo v roce 2015 a další země ji snížily. </w:t>
      </w:r>
      <w:r w:rsidRPr="00242BCA">
        <w:rPr>
          <w:rFonts w:ascii="Arial" w:eastAsia="Times New Roman" w:hAnsi="Arial" w:cs="Arial"/>
          <w:iCs/>
          <w:sz w:val="20"/>
          <w:szCs w:val="20"/>
        </w:rPr>
        <w:t>Rakousko přistoupilo nejen ke snížení celkového výnosu sektorové daně z původních 640 milionů eur na 100 milionů eur, ale také upravilo základ pro výpočet daně – nově jím je zisk, nikoliv bilanční suma bank.</w:t>
      </w:r>
      <w:r w:rsidRPr="00242BCA">
        <w:rPr>
          <w:rFonts w:ascii="Arial" w:hAnsi="Arial" w:cs="Arial"/>
          <w:iCs/>
          <w:sz w:val="20"/>
          <w:szCs w:val="20"/>
        </w:rPr>
        <w:t xml:space="preserve"> </w:t>
      </w:r>
      <w:r w:rsidRPr="00242BCA">
        <w:rPr>
          <w:rFonts w:ascii="Arial" w:eastAsia="Times New Roman" w:hAnsi="Arial" w:cs="Arial"/>
          <w:iCs/>
          <w:sz w:val="20"/>
          <w:szCs w:val="20"/>
        </w:rPr>
        <w:t>Sazbu daně snižovali z 0,4 procenta na 0,2 procenta i na Slovensku K radikálnímu snižování bankovní daně přistoupila v posledních dvou letech i vláda v Maďarsku.</w:t>
      </w:r>
      <w:r w:rsidRPr="00242BCA">
        <w:rPr>
          <w:rFonts w:ascii="Arial" w:hAnsi="Arial" w:cs="Arial"/>
          <w:iCs/>
          <w:sz w:val="20"/>
          <w:szCs w:val="20"/>
        </w:rPr>
        <w:t xml:space="preserve"> </w:t>
      </w:r>
    </w:p>
    <w:p w14:paraId="5A93F43D" w14:textId="77777777" w:rsidR="00242BCA" w:rsidRDefault="00242BCA">
      <w:pPr>
        <w:spacing w:after="160" w:line="259" w:lineRule="auto"/>
        <w:rPr>
          <w:rFonts w:ascii="Arial" w:hAnsi="Arial" w:cs="Arial"/>
          <w:iCs/>
          <w:sz w:val="20"/>
          <w:szCs w:val="20"/>
        </w:rPr>
      </w:pPr>
      <w:r>
        <w:rPr>
          <w:rFonts w:ascii="Arial" w:hAnsi="Arial" w:cs="Arial"/>
          <w:iCs/>
          <w:sz w:val="20"/>
          <w:szCs w:val="20"/>
        </w:rPr>
        <w:br w:type="page"/>
      </w:r>
    </w:p>
    <w:p w14:paraId="72A8832B" w14:textId="1ED9029D" w:rsidR="00D85C64" w:rsidRPr="00242BCA" w:rsidRDefault="00D85C64" w:rsidP="00D85C64">
      <w:pPr>
        <w:pStyle w:val="Odstavecseseznamem"/>
        <w:numPr>
          <w:ilvl w:val="0"/>
          <w:numId w:val="8"/>
        </w:numPr>
        <w:jc w:val="both"/>
        <w:rPr>
          <w:rFonts w:ascii="Arial" w:hAnsi="Arial" w:cs="Arial"/>
          <w:b/>
          <w:iCs/>
          <w:color w:val="30905F"/>
          <w:sz w:val="20"/>
          <w:szCs w:val="20"/>
        </w:rPr>
      </w:pPr>
      <w:r w:rsidRPr="00242BCA">
        <w:rPr>
          <w:rFonts w:ascii="Arial" w:hAnsi="Arial" w:cs="Arial"/>
          <w:b/>
          <w:iCs/>
          <w:color w:val="30905F"/>
          <w:sz w:val="20"/>
          <w:szCs w:val="20"/>
        </w:rPr>
        <w:lastRenderedPageBreak/>
        <w:t>Jaké modely sektorové daně přinesla</w:t>
      </w:r>
      <w:r w:rsidR="00242BCA" w:rsidRPr="00242BCA">
        <w:rPr>
          <w:rFonts w:ascii="Arial" w:hAnsi="Arial" w:cs="Arial"/>
          <w:b/>
          <w:iCs/>
          <w:color w:val="30905F"/>
          <w:sz w:val="20"/>
          <w:szCs w:val="20"/>
        </w:rPr>
        <w:t xml:space="preserve"> praxe</w:t>
      </w:r>
      <w:r w:rsidRPr="00242BCA">
        <w:rPr>
          <w:rFonts w:ascii="Arial" w:hAnsi="Arial" w:cs="Arial"/>
          <w:b/>
          <w:iCs/>
          <w:color w:val="30905F"/>
          <w:sz w:val="20"/>
          <w:szCs w:val="20"/>
        </w:rPr>
        <w:t>?</w:t>
      </w:r>
    </w:p>
    <w:p w14:paraId="45BCF0FF" w14:textId="77777777" w:rsidR="00D85C64" w:rsidRPr="00242BCA" w:rsidRDefault="00D85C64" w:rsidP="00D85C64">
      <w:pPr>
        <w:pStyle w:val="Odstavecseseznamem"/>
        <w:jc w:val="both"/>
        <w:rPr>
          <w:rFonts w:ascii="Arial" w:hAnsi="Arial" w:cs="Arial"/>
          <w:iCs/>
          <w:sz w:val="20"/>
          <w:szCs w:val="20"/>
        </w:rPr>
      </w:pPr>
    </w:p>
    <w:p w14:paraId="7C764185" w14:textId="21003817" w:rsidR="00D85C64" w:rsidRPr="00242BCA" w:rsidRDefault="00D85C64" w:rsidP="00D85C64">
      <w:pPr>
        <w:jc w:val="both"/>
        <w:rPr>
          <w:rFonts w:ascii="Arial" w:hAnsi="Arial" w:cs="Arial"/>
          <w:iCs/>
          <w:sz w:val="20"/>
          <w:szCs w:val="20"/>
        </w:rPr>
      </w:pPr>
      <w:r w:rsidRPr="00242BCA">
        <w:rPr>
          <w:rFonts w:ascii="Arial" w:hAnsi="Arial" w:cs="Arial"/>
          <w:iCs/>
          <w:sz w:val="20"/>
          <w:szCs w:val="20"/>
        </w:rPr>
        <w:t>Způsob konstrukce bankovních daní je dle dostupných informací různorod</w:t>
      </w:r>
      <w:r w:rsidR="00242BCA">
        <w:rPr>
          <w:rFonts w:ascii="Arial" w:hAnsi="Arial" w:cs="Arial"/>
          <w:iCs/>
          <w:sz w:val="20"/>
          <w:szCs w:val="20"/>
        </w:rPr>
        <w:t>á. Z</w:t>
      </w:r>
      <w:r w:rsidRPr="00242BCA">
        <w:rPr>
          <w:rFonts w:ascii="Arial" w:hAnsi="Arial" w:cs="Arial"/>
          <w:iCs/>
          <w:sz w:val="20"/>
          <w:szCs w:val="20"/>
        </w:rPr>
        <w:t>ákladem bývají například rozvahové položky, tj. upravená pasiva, vklady nebo vlastní kapitál banky, finanční transakce nebo zisk banky. Některé modely této daně, zejména pokud nejsou napojeny na tvorbu zisku, jsou pro banky a ekonomiku škodlivější než jiné, ale škodlivé jsou všechny do jednoho. Necitlivé zavedení bankovní daně může dokonce vést k chaosu, jak</w:t>
      </w:r>
      <w:r w:rsidR="00D1082D">
        <w:rPr>
          <w:rFonts w:ascii="Arial" w:hAnsi="Arial" w:cs="Arial"/>
          <w:iCs/>
          <w:sz w:val="20"/>
          <w:szCs w:val="20"/>
        </w:rPr>
        <w:t>ý</w:t>
      </w:r>
      <w:r w:rsidRPr="00242BCA">
        <w:rPr>
          <w:rFonts w:ascii="Arial" w:hAnsi="Arial" w:cs="Arial"/>
          <w:iCs/>
          <w:sz w:val="20"/>
          <w:szCs w:val="20"/>
        </w:rPr>
        <w:t xml:space="preserve"> jsme viděli nedávno v Rumunsku.</w:t>
      </w:r>
    </w:p>
    <w:p w14:paraId="39292182" w14:textId="4D5A26FD" w:rsidR="00DC2C93" w:rsidRPr="00242BCA" w:rsidRDefault="00DC2C93" w:rsidP="009459EA">
      <w:pPr>
        <w:jc w:val="both"/>
        <w:rPr>
          <w:rFonts w:ascii="Arial" w:hAnsi="Arial" w:cs="Arial"/>
          <w:sz w:val="20"/>
          <w:szCs w:val="20"/>
        </w:rPr>
      </w:pPr>
    </w:p>
    <w:p w14:paraId="16968A69" w14:textId="2848A81A" w:rsidR="00E64B98" w:rsidRPr="00242BCA" w:rsidRDefault="00E64B98" w:rsidP="009459EA">
      <w:pPr>
        <w:jc w:val="both"/>
        <w:rPr>
          <w:rFonts w:ascii="Arial" w:hAnsi="Arial" w:cs="Arial"/>
          <w:sz w:val="20"/>
          <w:szCs w:val="20"/>
        </w:rPr>
      </w:pPr>
    </w:p>
    <w:p w14:paraId="05765CEB" w14:textId="09604787" w:rsidR="00E64B98" w:rsidRPr="00242BCA" w:rsidRDefault="00E64B98" w:rsidP="00E64B98">
      <w:pPr>
        <w:pStyle w:val="Odstavecseseznamem"/>
        <w:numPr>
          <w:ilvl w:val="0"/>
          <w:numId w:val="8"/>
        </w:numPr>
        <w:jc w:val="both"/>
        <w:rPr>
          <w:rFonts w:ascii="Arial" w:hAnsi="Arial" w:cs="Arial"/>
          <w:b/>
          <w:iCs/>
          <w:color w:val="30905F"/>
          <w:sz w:val="20"/>
          <w:szCs w:val="20"/>
        </w:rPr>
      </w:pPr>
      <w:r w:rsidRPr="00242BCA">
        <w:rPr>
          <w:rFonts w:ascii="Arial" w:hAnsi="Arial" w:cs="Arial"/>
          <w:b/>
          <w:iCs/>
          <w:color w:val="30905F"/>
          <w:sz w:val="20"/>
          <w:szCs w:val="20"/>
        </w:rPr>
        <w:t xml:space="preserve">Jaké dopady na banky, jejich klienty </w:t>
      </w:r>
      <w:r w:rsidR="00AF55AB" w:rsidRPr="00242BCA">
        <w:rPr>
          <w:rFonts w:ascii="Arial" w:hAnsi="Arial" w:cs="Arial"/>
          <w:b/>
          <w:iCs/>
          <w:color w:val="30905F"/>
          <w:sz w:val="20"/>
          <w:szCs w:val="20"/>
        </w:rPr>
        <w:t>i</w:t>
      </w:r>
      <w:r w:rsidRPr="00242BCA">
        <w:rPr>
          <w:rFonts w:ascii="Arial" w:hAnsi="Arial" w:cs="Arial"/>
          <w:b/>
          <w:iCs/>
          <w:color w:val="30905F"/>
          <w:sz w:val="20"/>
          <w:szCs w:val="20"/>
        </w:rPr>
        <w:t xml:space="preserve"> na</w:t>
      </w:r>
      <w:r w:rsidR="00AF55AB" w:rsidRPr="00242BCA">
        <w:rPr>
          <w:rFonts w:ascii="Arial" w:hAnsi="Arial" w:cs="Arial"/>
          <w:b/>
          <w:iCs/>
          <w:color w:val="30905F"/>
          <w:sz w:val="20"/>
          <w:szCs w:val="20"/>
        </w:rPr>
        <w:t xml:space="preserve"> celou</w:t>
      </w:r>
      <w:r w:rsidRPr="00242BCA">
        <w:rPr>
          <w:rFonts w:ascii="Arial" w:hAnsi="Arial" w:cs="Arial"/>
          <w:b/>
          <w:iCs/>
          <w:color w:val="30905F"/>
          <w:sz w:val="20"/>
          <w:szCs w:val="20"/>
        </w:rPr>
        <w:t xml:space="preserve"> ekonomiku by mělo zavedení sektorové daně?</w:t>
      </w:r>
    </w:p>
    <w:p w14:paraId="28D7488A" w14:textId="77777777" w:rsidR="00E64B98" w:rsidRPr="00242BCA" w:rsidRDefault="00E64B98" w:rsidP="00E64B98">
      <w:pPr>
        <w:jc w:val="both"/>
        <w:rPr>
          <w:rFonts w:ascii="Arial" w:hAnsi="Arial" w:cs="Arial"/>
          <w:iCs/>
          <w:sz w:val="20"/>
          <w:szCs w:val="20"/>
        </w:rPr>
      </w:pPr>
    </w:p>
    <w:p w14:paraId="66068D34" w14:textId="77777777" w:rsidR="00E64B98" w:rsidRPr="00242BCA" w:rsidRDefault="00E64B98" w:rsidP="00E64B98">
      <w:pPr>
        <w:jc w:val="both"/>
        <w:rPr>
          <w:rFonts w:ascii="Arial" w:hAnsi="Arial" w:cs="Arial"/>
          <w:iCs/>
          <w:sz w:val="20"/>
          <w:szCs w:val="20"/>
        </w:rPr>
      </w:pPr>
      <w:r w:rsidRPr="00242BCA">
        <w:rPr>
          <w:rFonts w:ascii="Arial" w:hAnsi="Arial" w:cs="Arial"/>
          <w:iCs/>
          <w:sz w:val="20"/>
          <w:szCs w:val="20"/>
        </w:rPr>
        <w:t>Sektorová daň na banky by významným způsobem zasáhla do finanční obslužnosti ekonomiky, omezila by disponibilní zdroje bank na poskytování úvěrů a tím by vyvolala nebezpečí oslabení ekonomického výkonu a zvýšení nezaměstnanosti. Zdražily by se úvěry firmám i individuálním klientům. Daň by negativně ovlivnila důvěru investorů v ekonomiku a stabilitu podnikatelského prostředí.</w:t>
      </w:r>
    </w:p>
    <w:p w14:paraId="0665ABA4" w14:textId="77777777" w:rsidR="00E64B98" w:rsidRPr="00242BCA" w:rsidRDefault="00E64B98" w:rsidP="009459EA">
      <w:pPr>
        <w:jc w:val="both"/>
        <w:rPr>
          <w:rFonts w:ascii="Arial" w:hAnsi="Arial" w:cs="Arial"/>
          <w:sz w:val="20"/>
          <w:szCs w:val="20"/>
        </w:rPr>
      </w:pPr>
    </w:p>
    <w:p w14:paraId="61270921" w14:textId="09AB240C" w:rsidR="00D85C64" w:rsidRPr="00242BCA" w:rsidRDefault="00D85C64" w:rsidP="009459EA">
      <w:pPr>
        <w:jc w:val="both"/>
        <w:rPr>
          <w:rFonts w:ascii="Arial" w:hAnsi="Arial" w:cs="Arial"/>
          <w:sz w:val="20"/>
          <w:szCs w:val="20"/>
        </w:rPr>
      </w:pPr>
    </w:p>
    <w:p w14:paraId="2B3FCB93" w14:textId="77777777" w:rsidR="00AF55AB" w:rsidRPr="00242BCA" w:rsidRDefault="00AF55AB" w:rsidP="001514B3">
      <w:pPr>
        <w:pStyle w:val="Odstavecseseznamem"/>
        <w:numPr>
          <w:ilvl w:val="0"/>
          <w:numId w:val="8"/>
        </w:numPr>
        <w:tabs>
          <w:tab w:val="center" w:pos="142"/>
          <w:tab w:val="center" w:pos="426"/>
        </w:tabs>
        <w:ind w:left="0" w:firstLine="0"/>
        <w:jc w:val="both"/>
        <w:rPr>
          <w:rFonts w:ascii="Arial" w:hAnsi="Arial" w:cs="Arial"/>
          <w:b/>
          <w:iCs/>
          <w:color w:val="30905F"/>
          <w:sz w:val="20"/>
          <w:szCs w:val="20"/>
        </w:rPr>
      </w:pPr>
      <w:r w:rsidRPr="00242BCA">
        <w:rPr>
          <w:rFonts w:ascii="Arial" w:hAnsi="Arial" w:cs="Arial"/>
          <w:b/>
          <w:iCs/>
          <w:color w:val="30905F"/>
          <w:sz w:val="20"/>
          <w:szCs w:val="20"/>
        </w:rPr>
        <w:t xml:space="preserve">Promítly by banky náklady daně do cen a nechaly tyto náklady dopadnout na klienty, nebo tomu zamezí konkurenční prostředí? </w:t>
      </w:r>
    </w:p>
    <w:p w14:paraId="497190CE" w14:textId="77777777" w:rsidR="00AF55AB" w:rsidRPr="00242BCA" w:rsidRDefault="00AF55AB" w:rsidP="00AF55AB">
      <w:pPr>
        <w:jc w:val="both"/>
        <w:rPr>
          <w:rFonts w:ascii="Arial" w:hAnsi="Arial" w:cs="Arial"/>
          <w:iCs/>
          <w:color w:val="FF0000"/>
          <w:sz w:val="20"/>
          <w:szCs w:val="20"/>
        </w:rPr>
      </w:pPr>
    </w:p>
    <w:p w14:paraId="24CD16D7" w14:textId="506E294B" w:rsidR="00AF55AB" w:rsidRPr="00242BCA" w:rsidRDefault="00AF55AB" w:rsidP="00AF55AB">
      <w:pPr>
        <w:jc w:val="both"/>
        <w:rPr>
          <w:rFonts w:ascii="Arial" w:hAnsi="Arial" w:cs="Arial"/>
          <w:bCs/>
          <w:iCs/>
          <w:sz w:val="20"/>
          <w:szCs w:val="20"/>
        </w:rPr>
      </w:pPr>
      <w:r w:rsidRPr="00242BCA">
        <w:rPr>
          <w:rFonts w:ascii="Arial" w:hAnsi="Arial" w:cs="Arial"/>
          <w:iCs/>
          <w:sz w:val="20"/>
          <w:szCs w:val="20"/>
        </w:rPr>
        <w:t>Objevil se názor, že prostředí v českém bankovnictví je velmi konkurenční, a proto vlastníci bank nepřenesou dopad daně na své klienty ani partnery. Skutečnost, že tržní prostředí je vysoce konkurenční</w:t>
      </w:r>
      <w:r w:rsidR="000D0C77">
        <w:rPr>
          <w:rFonts w:ascii="Arial" w:hAnsi="Arial" w:cs="Arial"/>
          <w:iCs/>
          <w:sz w:val="20"/>
          <w:szCs w:val="20"/>
        </w:rPr>
        <w:t>,</w:t>
      </w:r>
      <w:r w:rsidRPr="00242BCA">
        <w:rPr>
          <w:rFonts w:ascii="Arial" w:hAnsi="Arial" w:cs="Arial"/>
          <w:iCs/>
          <w:sz w:val="20"/>
          <w:szCs w:val="20"/>
        </w:rPr>
        <w:t xml:space="preserve"> potvrzuje i výše tzv. </w:t>
      </w:r>
      <w:proofErr w:type="spellStart"/>
      <w:r w:rsidRPr="00242BCA">
        <w:rPr>
          <w:rFonts w:ascii="Arial" w:hAnsi="Arial" w:cs="Arial"/>
          <w:iCs/>
          <w:sz w:val="20"/>
          <w:szCs w:val="20"/>
        </w:rPr>
        <w:t>Herfindahl-Hirschmanův</w:t>
      </w:r>
      <w:proofErr w:type="spellEnd"/>
      <w:r w:rsidRPr="00242BCA">
        <w:rPr>
          <w:rFonts w:ascii="Arial" w:hAnsi="Arial" w:cs="Arial"/>
          <w:iCs/>
          <w:sz w:val="20"/>
          <w:szCs w:val="20"/>
        </w:rPr>
        <w:t xml:space="preserve"> indexu koncentrace trhu. Ten se používá pro vyjádření intenzity konkurenčního prostředí a v naprosté většině oblastí bankovní aktivity se pohybuje </w:t>
      </w:r>
      <w:r w:rsidRPr="00242BCA">
        <w:rPr>
          <w:rFonts w:ascii="Arial" w:hAnsi="Arial" w:cs="Arial"/>
          <w:bCs/>
          <w:iCs/>
          <w:sz w:val="20"/>
          <w:szCs w:val="20"/>
        </w:rPr>
        <w:t>hluboko pod limitně přijatelnými hodnotami koncentrace, a to</w:t>
      </w:r>
      <w:r w:rsidRPr="00242BCA">
        <w:rPr>
          <w:rFonts w:ascii="Arial" w:hAnsi="Arial" w:cs="Arial"/>
          <w:iCs/>
          <w:sz w:val="20"/>
          <w:szCs w:val="20"/>
        </w:rPr>
        <w:t xml:space="preserve"> podle přístupů Evropské komise (DG </w:t>
      </w:r>
      <w:proofErr w:type="spellStart"/>
      <w:r w:rsidRPr="00242BCA">
        <w:rPr>
          <w:rFonts w:ascii="Arial" w:hAnsi="Arial" w:cs="Arial"/>
          <w:iCs/>
          <w:sz w:val="20"/>
          <w:szCs w:val="20"/>
        </w:rPr>
        <w:t>Competition</w:t>
      </w:r>
      <w:proofErr w:type="spellEnd"/>
      <w:r w:rsidRPr="00242BCA">
        <w:rPr>
          <w:rFonts w:ascii="Arial" w:hAnsi="Arial" w:cs="Arial"/>
          <w:iCs/>
          <w:sz w:val="20"/>
          <w:szCs w:val="20"/>
        </w:rPr>
        <w:t xml:space="preserve">). Navíc tento ukazatel ve většině oblastí dlouhodobě soustavně klesá – </w:t>
      </w:r>
      <w:r w:rsidRPr="00242BCA">
        <w:rPr>
          <w:rFonts w:ascii="Arial" w:hAnsi="Arial" w:cs="Arial"/>
          <w:bCs/>
          <w:iCs/>
          <w:sz w:val="20"/>
          <w:szCs w:val="20"/>
        </w:rPr>
        <w:t>to znamená, že intenzita konkurence v českém bankovním systému v průběhu času narůstá.</w:t>
      </w:r>
    </w:p>
    <w:p w14:paraId="6AF1EE13" w14:textId="77777777" w:rsidR="00AF55AB" w:rsidRPr="00242BCA" w:rsidRDefault="00AF55AB" w:rsidP="00AF55AB">
      <w:pPr>
        <w:jc w:val="both"/>
        <w:rPr>
          <w:rFonts w:ascii="Arial" w:hAnsi="Arial" w:cs="Arial"/>
          <w:bCs/>
          <w:iCs/>
          <w:sz w:val="20"/>
          <w:szCs w:val="20"/>
        </w:rPr>
      </w:pPr>
    </w:p>
    <w:p w14:paraId="5E47430A" w14:textId="77777777" w:rsidR="00AF55AB" w:rsidRPr="00242BCA" w:rsidRDefault="00AF55AB" w:rsidP="00AF55AB">
      <w:pPr>
        <w:jc w:val="both"/>
        <w:rPr>
          <w:rFonts w:ascii="Arial" w:hAnsi="Arial" w:cs="Arial"/>
          <w:bCs/>
          <w:iCs/>
          <w:sz w:val="20"/>
          <w:szCs w:val="20"/>
        </w:rPr>
      </w:pPr>
      <w:r w:rsidRPr="00242BCA">
        <w:rPr>
          <w:rFonts w:ascii="Arial" w:hAnsi="Arial" w:cs="Arial"/>
          <w:bCs/>
          <w:iCs/>
          <w:sz w:val="20"/>
          <w:szCs w:val="20"/>
        </w:rPr>
        <w:t xml:space="preserve">Je však iluzí si myslet, že konkurence odvrátí dopad daně na klienty. Mezinárodní zkušenosti, zmapované studiemi renomovaných institucí na více než reprezentativním vzorku evropských bank, ukazují, že bankovní daně na klienty dopadají zcela jistě v oblasti cenotvorby produktů a služeb. </w:t>
      </w:r>
    </w:p>
    <w:p w14:paraId="6EE3C573" w14:textId="77777777" w:rsidR="00AF55AB" w:rsidRPr="00242BCA" w:rsidRDefault="00AF55AB" w:rsidP="00AF55AB">
      <w:pPr>
        <w:jc w:val="both"/>
        <w:rPr>
          <w:rFonts w:ascii="Arial" w:hAnsi="Arial" w:cs="Arial"/>
          <w:bCs/>
          <w:iCs/>
          <w:sz w:val="20"/>
          <w:szCs w:val="20"/>
        </w:rPr>
      </w:pPr>
    </w:p>
    <w:p w14:paraId="331ABF6B" w14:textId="77777777" w:rsidR="00AF55AB" w:rsidRPr="00242BCA" w:rsidRDefault="00AF55AB" w:rsidP="00AF55AB">
      <w:pPr>
        <w:jc w:val="both"/>
        <w:rPr>
          <w:rFonts w:ascii="Arial" w:hAnsi="Arial" w:cs="Arial"/>
          <w:bCs/>
          <w:iCs/>
          <w:sz w:val="20"/>
          <w:szCs w:val="20"/>
        </w:rPr>
      </w:pPr>
      <w:r w:rsidRPr="00242BCA">
        <w:rPr>
          <w:rFonts w:ascii="Arial" w:hAnsi="Arial" w:cs="Arial"/>
          <w:bCs/>
          <w:iCs/>
          <w:sz w:val="20"/>
          <w:szCs w:val="20"/>
        </w:rPr>
        <w:t>Ostatně i obecnější pohled na daně říká, že přenos rostoucího daňového břemene na spotřebitele je běžným jevem – viděli jsme to třeba u spotřebních daní na paliva nebo cigarety (kde stát dokonce daně zvyšoval i proto, aby cenu cigaret zvýšil).</w:t>
      </w:r>
    </w:p>
    <w:p w14:paraId="242E426A" w14:textId="77777777" w:rsidR="00AF55AB" w:rsidRPr="00242BCA" w:rsidRDefault="00AF55AB" w:rsidP="00AF55AB">
      <w:pPr>
        <w:jc w:val="both"/>
        <w:rPr>
          <w:rFonts w:ascii="Arial" w:hAnsi="Arial" w:cs="Arial"/>
          <w:bCs/>
          <w:iCs/>
          <w:sz w:val="20"/>
          <w:szCs w:val="20"/>
        </w:rPr>
      </w:pPr>
    </w:p>
    <w:p w14:paraId="1DB6AE7B" w14:textId="77777777" w:rsidR="00AF55AB" w:rsidRPr="00242BCA" w:rsidRDefault="00AF55AB" w:rsidP="00AF55AB">
      <w:pPr>
        <w:jc w:val="both"/>
        <w:rPr>
          <w:rFonts w:ascii="Arial" w:hAnsi="Arial" w:cs="Arial"/>
          <w:iCs/>
          <w:sz w:val="20"/>
          <w:szCs w:val="20"/>
        </w:rPr>
      </w:pPr>
      <w:r w:rsidRPr="00242BCA">
        <w:rPr>
          <w:rFonts w:ascii="Arial" w:hAnsi="Arial" w:cs="Arial"/>
          <w:bCs/>
          <w:iCs/>
          <w:sz w:val="20"/>
          <w:szCs w:val="20"/>
        </w:rPr>
        <w:t>Současně by však bylo přílišným zjednodušením redukovat otázku dopadu daní pouze na cenu produktů a služeb. V žádném případě totiž nelze odhlédnout od dalších souvislostí, jako je negativní dopad na finanční obslužnost ekonomiky, na výkon ekonomiky, na nezaměstnanost a v neposlední řadě v konečném důsledku i na oslabení příjmů státního rozpočtu. Pominout nelze ani nepříznivý dopad sektorové daně na vnímání země a jejího trhu zahraničními investory.</w:t>
      </w:r>
    </w:p>
    <w:p w14:paraId="05929E7B" w14:textId="64D6780C" w:rsidR="00AF55AB" w:rsidRPr="00242BCA" w:rsidRDefault="00AF55AB" w:rsidP="009459EA">
      <w:pPr>
        <w:jc w:val="both"/>
        <w:rPr>
          <w:rFonts w:ascii="Arial" w:hAnsi="Arial" w:cs="Arial"/>
          <w:sz w:val="20"/>
          <w:szCs w:val="20"/>
        </w:rPr>
      </w:pPr>
    </w:p>
    <w:p w14:paraId="12C85A60" w14:textId="77777777" w:rsidR="00AF55AB" w:rsidRPr="00242BCA" w:rsidRDefault="00AF55AB" w:rsidP="009459EA">
      <w:pPr>
        <w:jc w:val="both"/>
        <w:rPr>
          <w:rFonts w:ascii="Arial" w:hAnsi="Arial" w:cs="Arial"/>
          <w:sz w:val="20"/>
          <w:szCs w:val="20"/>
        </w:rPr>
      </w:pPr>
    </w:p>
    <w:p w14:paraId="202B26D1" w14:textId="78AF5D20" w:rsidR="00DC2C93" w:rsidRPr="00242BCA" w:rsidRDefault="002A5A1A" w:rsidP="00DC2C93">
      <w:pPr>
        <w:pStyle w:val="Odstavecseseznamem"/>
        <w:numPr>
          <w:ilvl w:val="0"/>
          <w:numId w:val="8"/>
        </w:numPr>
        <w:jc w:val="both"/>
        <w:rPr>
          <w:rFonts w:ascii="Arial" w:hAnsi="Arial" w:cs="Arial"/>
          <w:b/>
          <w:color w:val="30905F"/>
          <w:sz w:val="20"/>
          <w:szCs w:val="20"/>
        </w:rPr>
      </w:pPr>
      <w:r w:rsidRPr="00242BCA">
        <w:rPr>
          <w:rFonts w:ascii="Arial" w:hAnsi="Arial" w:cs="Arial"/>
          <w:b/>
          <w:color w:val="30905F"/>
          <w:sz w:val="20"/>
          <w:szCs w:val="20"/>
        </w:rPr>
        <w:t xml:space="preserve">Posílí sektorová daň příjmy státního rozpočtu? </w:t>
      </w:r>
    </w:p>
    <w:p w14:paraId="58DF4ECF" w14:textId="77777777" w:rsidR="00DC2C93" w:rsidRPr="00242BCA" w:rsidRDefault="00DC2C93" w:rsidP="009459EA">
      <w:pPr>
        <w:jc w:val="both"/>
        <w:rPr>
          <w:rFonts w:ascii="Arial" w:hAnsi="Arial" w:cs="Arial"/>
          <w:sz w:val="20"/>
          <w:szCs w:val="20"/>
        </w:rPr>
      </w:pPr>
    </w:p>
    <w:p w14:paraId="3DA05A7A" w14:textId="06BF08BB" w:rsidR="00DC2C93" w:rsidRPr="00242BCA" w:rsidRDefault="00EC2B4D" w:rsidP="009459EA">
      <w:pPr>
        <w:jc w:val="both"/>
        <w:rPr>
          <w:rFonts w:ascii="Arial" w:hAnsi="Arial" w:cs="Arial"/>
          <w:sz w:val="20"/>
          <w:szCs w:val="20"/>
        </w:rPr>
      </w:pPr>
      <w:r w:rsidRPr="00242BCA">
        <w:rPr>
          <w:rFonts w:ascii="Arial" w:hAnsi="Arial" w:cs="Arial"/>
          <w:sz w:val="20"/>
          <w:szCs w:val="20"/>
        </w:rPr>
        <w:t>E</w:t>
      </w:r>
      <w:r w:rsidR="003D1C7A" w:rsidRPr="00242BCA">
        <w:rPr>
          <w:rFonts w:ascii="Arial" w:hAnsi="Arial" w:cs="Arial"/>
          <w:sz w:val="20"/>
          <w:szCs w:val="20"/>
        </w:rPr>
        <w:t xml:space="preserve">xistují také případy, kdy </w:t>
      </w:r>
      <w:r w:rsidR="00C166C9" w:rsidRPr="00242BCA">
        <w:rPr>
          <w:rFonts w:ascii="Arial" w:hAnsi="Arial" w:cs="Arial"/>
          <w:sz w:val="20"/>
          <w:szCs w:val="20"/>
        </w:rPr>
        <w:t xml:space="preserve">státy </w:t>
      </w:r>
      <w:r w:rsidR="006860FF" w:rsidRPr="00242BCA">
        <w:rPr>
          <w:rFonts w:ascii="Arial" w:hAnsi="Arial" w:cs="Arial"/>
          <w:sz w:val="20"/>
          <w:szCs w:val="20"/>
        </w:rPr>
        <w:t xml:space="preserve">bankovní sektorovou </w:t>
      </w:r>
      <w:r w:rsidR="00C166C9" w:rsidRPr="00242BCA">
        <w:rPr>
          <w:rFonts w:ascii="Arial" w:hAnsi="Arial" w:cs="Arial"/>
          <w:sz w:val="20"/>
          <w:szCs w:val="20"/>
        </w:rPr>
        <w:t>daň zavedly s vizí zvýšení</w:t>
      </w:r>
      <w:r w:rsidR="000501B3" w:rsidRPr="00242BCA">
        <w:rPr>
          <w:rFonts w:ascii="Arial" w:hAnsi="Arial" w:cs="Arial"/>
          <w:sz w:val="20"/>
          <w:szCs w:val="20"/>
        </w:rPr>
        <w:t xml:space="preserve"> </w:t>
      </w:r>
      <w:r w:rsidR="003D1C7A" w:rsidRPr="00242BCA">
        <w:rPr>
          <w:rFonts w:ascii="Arial" w:hAnsi="Arial" w:cs="Arial"/>
          <w:sz w:val="20"/>
          <w:szCs w:val="20"/>
        </w:rPr>
        <w:t>obecných rozpočtových příjmů</w:t>
      </w:r>
      <w:r w:rsidR="00C166C9" w:rsidRPr="00242BCA">
        <w:rPr>
          <w:rFonts w:ascii="Arial" w:hAnsi="Arial" w:cs="Arial"/>
          <w:sz w:val="20"/>
          <w:szCs w:val="20"/>
        </w:rPr>
        <w:t>, v konečném důsledku</w:t>
      </w:r>
      <w:r w:rsidR="006860FF" w:rsidRPr="00242BCA">
        <w:rPr>
          <w:rFonts w:ascii="Arial" w:hAnsi="Arial" w:cs="Arial"/>
          <w:sz w:val="20"/>
          <w:szCs w:val="20"/>
        </w:rPr>
        <w:t xml:space="preserve"> však tento krok</w:t>
      </w:r>
      <w:r w:rsidR="00C166C9" w:rsidRPr="00242BCA">
        <w:rPr>
          <w:rFonts w:ascii="Arial" w:hAnsi="Arial" w:cs="Arial"/>
          <w:sz w:val="20"/>
          <w:szCs w:val="20"/>
        </w:rPr>
        <w:t xml:space="preserve"> </w:t>
      </w:r>
      <w:r w:rsidR="006860FF" w:rsidRPr="00242BCA">
        <w:rPr>
          <w:rFonts w:ascii="Arial" w:hAnsi="Arial" w:cs="Arial"/>
          <w:sz w:val="20"/>
          <w:szCs w:val="20"/>
        </w:rPr>
        <w:t>nesplnil očekávání</w:t>
      </w:r>
      <w:r w:rsidR="003D1C7A" w:rsidRPr="00242BCA">
        <w:rPr>
          <w:rFonts w:ascii="Arial" w:hAnsi="Arial" w:cs="Arial"/>
          <w:sz w:val="20"/>
          <w:szCs w:val="20"/>
        </w:rPr>
        <w:t xml:space="preserve">. </w:t>
      </w:r>
      <w:r w:rsidR="006860FF" w:rsidRPr="00242BCA">
        <w:rPr>
          <w:rFonts w:ascii="Arial" w:hAnsi="Arial" w:cs="Arial"/>
          <w:sz w:val="20"/>
          <w:szCs w:val="20"/>
        </w:rPr>
        <w:t>M</w:t>
      </w:r>
      <w:r w:rsidR="003D1C7A" w:rsidRPr="00242BCA">
        <w:rPr>
          <w:rFonts w:ascii="Arial" w:hAnsi="Arial" w:cs="Arial"/>
          <w:sz w:val="20"/>
          <w:szCs w:val="20"/>
        </w:rPr>
        <w:t>nohé respektované mezinárodní instituce</w:t>
      </w:r>
      <w:r w:rsidR="006860FF" w:rsidRPr="00242BCA">
        <w:rPr>
          <w:rFonts w:ascii="Arial" w:hAnsi="Arial" w:cs="Arial"/>
          <w:sz w:val="20"/>
          <w:szCs w:val="20"/>
        </w:rPr>
        <w:t xml:space="preserve"> </w:t>
      </w:r>
      <w:r w:rsidR="002A5A1A" w:rsidRPr="00242BCA">
        <w:rPr>
          <w:rFonts w:ascii="Arial" w:hAnsi="Arial" w:cs="Arial"/>
          <w:sz w:val="20"/>
          <w:szCs w:val="20"/>
        </w:rPr>
        <w:t xml:space="preserve">navíc </w:t>
      </w:r>
      <w:r w:rsidR="006860FF" w:rsidRPr="00242BCA">
        <w:rPr>
          <w:rFonts w:ascii="Arial" w:hAnsi="Arial" w:cs="Arial"/>
          <w:sz w:val="20"/>
          <w:szCs w:val="20"/>
        </w:rPr>
        <w:t xml:space="preserve">zastávají názor, že </w:t>
      </w:r>
      <w:r w:rsidR="003D1C7A" w:rsidRPr="00242BCA">
        <w:rPr>
          <w:rFonts w:ascii="Arial" w:hAnsi="Arial" w:cs="Arial"/>
          <w:sz w:val="20"/>
          <w:szCs w:val="20"/>
        </w:rPr>
        <w:t>zavedení daně za účelem podpory státního rozpočtu</w:t>
      </w:r>
      <w:r w:rsidR="006860FF" w:rsidRPr="00242BCA">
        <w:rPr>
          <w:rFonts w:ascii="Arial" w:hAnsi="Arial" w:cs="Arial"/>
          <w:sz w:val="20"/>
          <w:szCs w:val="20"/>
        </w:rPr>
        <w:t xml:space="preserve"> může významně narušit finanční stabilitu systému. Takovéto kroky by měly být pečlivě zváženy, respektive porovnat veškeré </w:t>
      </w:r>
      <w:r w:rsidR="003D1C7A" w:rsidRPr="00242BCA">
        <w:rPr>
          <w:rFonts w:ascii="Arial" w:hAnsi="Arial" w:cs="Arial"/>
          <w:sz w:val="20"/>
          <w:szCs w:val="20"/>
        </w:rPr>
        <w:t>náklady a rizika.</w:t>
      </w:r>
    </w:p>
    <w:p w14:paraId="0056B41B" w14:textId="77777777" w:rsidR="00DC2C93" w:rsidRPr="00242BCA" w:rsidRDefault="00DC2C93" w:rsidP="009459EA">
      <w:pPr>
        <w:jc w:val="both"/>
        <w:rPr>
          <w:rFonts w:ascii="Arial" w:hAnsi="Arial" w:cs="Arial"/>
          <w:sz w:val="20"/>
          <w:szCs w:val="20"/>
        </w:rPr>
      </w:pPr>
    </w:p>
    <w:p w14:paraId="41891AC1" w14:textId="2F32DCDE" w:rsidR="003D1C7A" w:rsidRPr="00242BCA" w:rsidRDefault="006860FF" w:rsidP="009459EA">
      <w:pPr>
        <w:jc w:val="both"/>
        <w:rPr>
          <w:rFonts w:ascii="Arial" w:hAnsi="Arial" w:cs="Arial"/>
          <w:iCs/>
          <w:sz w:val="20"/>
          <w:szCs w:val="20"/>
        </w:rPr>
      </w:pPr>
      <w:r w:rsidRPr="00242BCA">
        <w:rPr>
          <w:rFonts w:ascii="Arial" w:hAnsi="Arial" w:cs="Arial"/>
          <w:sz w:val="20"/>
          <w:szCs w:val="20"/>
        </w:rPr>
        <w:t xml:space="preserve">Získat dodatečné příjmy do rozpočtu je motivací návrhů na sektorovou daň i v </w:t>
      </w:r>
      <w:r w:rsidR="00DC2C93" w:rsidRPr="00242BCA">
        <w:rPr>
          <w:rFonts w:ascii="Arial" w:hAnsi="Arial" w:cs="Arial"/>
          <w:sz w:val="20"/>
          <w:szCs w:val="20"/>
        </w:rPr>
        <w:t>České republi</w:t>
      </w:r>
      <w:r w:rsidRPr="00242BCA">
        <w:rPr>
          <w:rFonts w:ascii="Arial" w:hAnsi="Arial" w:cs="Arial"/>
          <w:sz w:val="20"/>
          <w:szCs w:val="20"/>
        </w:rPr>
        <w:t>ce</w:t>
      </w:r>
      <w:r w:rsidR="000501B3" w:rsidRPr="00242BCA">
        <w:rPr>
          <w:rFonts w:ascii="Arial" w:hAnsi="Arial" w:cs="Arial"/>
          <w:sz w:val="20"/>
          <w:szCs w:val="20"/>
        </w:rPr>
        <w:t xml:space="preserve">. Ti, co bankovní daň chtějí zavést, argumentují zejména tím, že bude </w:t>
      </w:r>
      <w:r w:rsidR="00437FE7" w:rsidRPr="00242BCA">
        <w:rPr>
          <w:rFonts w:ascii="Arial" w:hAnsi="Arial" w:cs="Arial"/>
          <w:sz w:val="20"/>
          <w:szCs w:val="20"/>
        </w:rPr>
        <w:t xml:space="preserve">zdrojem pro zvýšení sociálních plateb </w:t>
      </w:r>
      <w:r w:rsidR="000501B3" w:rsidRPr="00242BCA">
        <w:rPr>
          <w:rFonts w:ascii="Arial" w:hAnsi="Arial" w:cs="Arial"/>
          <w:sz w:val="20"/>
          <w:szCs w:val="20"/>
        </w:rPr>
        <w:t xml:space="preserve">– </w:t>
      </w:r>
      <w:r w:rsidR="00437FE7" w:rsidRPr="00242BCA">
        <w:rPr>
          <w:rFonts w:ascii="Arial" w:hAnsi="Arial" w:cs="Arial"/>
          <w:sz w:val="20"/>
          <w:szCs w:val="20"/>
        </w:rPr>
        <w:t>jednou důchodcům, jindy</w:t>
      </w:r>
      <w:r w:rsidR="002E36EC" w:rsidRPr="00242BCA">
        <w:rPr>
          <w:rFonts w:ascii="Arial" w:hAnsi="Arial" w:cs="Arial"/>
          <w:sz w:val="20"/>
          <w:szCs w:val="20"/>
        </w:rPr>
        <w:t xml:space="preserve"> </w:t>
      </w:r>
      <w:r w:rsidR="000501B3" w:rsidRPr="00242BCA">
        <w:rPr>
          <w:rFonts w:ascii="Arial" w:hAnsi="Arial" w:cs="Arial"/>
          <w:sz w:val="20"/>
          <w:szCs w:val="20"/>
        </w:rPr>
        <w:t>rodinám...</w:t>
      </w:r>
      <w:r w:rsidR="002E36EC" w:rsidRPr="00242BCA">
        <w:rPr>
          <w:rFonts w:ascii="Arial" w:hAnsi="Arial" w:cs="Arial"/>
          <w:sz w:val="20"/>
          <w:szCs w:val="20"/>
        </w:rPr>
        <w:t xml:space="preserve"> </w:t>
      </w:r>
      <w:r w:rsidR="000501B3" w:rsidRPr="00242BCA">
        <w:rPr>
          <w:rFonts w:ascii="Arial" w:hAnsi="Arial" w:cs="Arial"/>
          <w:sz w:val="20"/>
          <w:szCs w:val="20"/>
        </w:rPr>
        <w:t>Tato argumentace je však čistě populistická a zavádějící. Č</w:t>
      </w:r>
      <w:r w:rsidR="00437FE7" w:rsidRPr="00242BCA">
        <w:rPr>
          <w:rFonts w:ascii="Arial" w:hAnsi="Arial" w:cs="Arial"/>
          <w:sz w:val="20"/>
          <w:szCs w:val="20"/>
        </w:rPr>
        <w:t xml:space="preserve">eské právo </w:t>
      </w:r>
      <w:r w:rsidR="000501B3" w:rsidRPr="00242BCA">
        <w:rPr>
          <w:rFonts w:ascii="Arial" w:hAnsi="Arial" w:cs="Arial"/>
          <w:sz w:val="20"/>
          <w:szCs w:val="20"/>
        </w:rPr>
        <w:t xml:space="preserve">nezná </w:t>
      </w:r>
      <w:r w:rsidR="00437FE7" w:rsidRPr="00242BCA">
        <w:rPr>
          <w:rFonts w:ascii="Arial" w:hAnsi="Arial" w:cs="Arial"/>
          <w:sz w:val="20"/>
          <w:szCs w:val="20"/>
        </w:rPr>
        <w:t xml:space="preserve">účelovou vazbu </w:t>
      </w:r>
      <w:r w:rsidR="002E36EC" w:rsidRPr="00242BCA">
        <w:rPr>
          <w:rFonts w:ascii="Arial" w:hAnsi="Arial" w:cs="Arial"/>
          <w:sz w:val="20"/>
          <w:szCs w:val="20"/>
        </w:rPr>
        <w:t xml:space="preserve">státních </w:t>
      </w:r>
      <w:r w:rsidR="00437FE7" w:rsidRPr="00242BCA">
        <w:rPr>
          <w:rFonts w:ascii="Arial" w:hAnsi="Arial" w:cs="Arial"/>
          <w:sz w:val="20"/>
          <w:szCs w:val="20"/>
        </w:rPr>
        <w:t xml:space="preserve">rozpočtových </w:t>
      </w:r>
      <w:r w:rsidR="00BA3489" w:rsidRPr="00242BCA">
        <w:rPr>
          <w:rFonts w:ascii="Arial" w:hAnsi="Arial" w:cs="Arial"/>
          <w:sz w:val="20"/>
          <w:szCs w:val="20"/>
        </w:rPr>
        <w:t>příjmů</w:t>
      </w:r>
      <w:r w:rsidR="00437FE7" w:rsidRPr="00242BCA">
        <w:rPr>
          <w:rFonts w:ascii="Arial" w:hAnsi="Arial" w:cs="Arial"/>
          <w:sz w:val="20"/>
          <w:szCs w:val="20"/>
        </w:rPr>
        <w:t xml:space="preserve"> na rozpočtové výdaje a ani neexistují </w:t>
      </w:r>
      <w:r w:rsidR="000501B3" w:rsidRPr="00242BCA">
        <w:rPr>
          <w:rFonts w:ascii="Arial" w:hAnsi="Arial" w:cs="Arial"/>
          <w:sz w:val="20"/>
          <w:szCs w:val="20"/>
        </w:rPr>
        <w:t xml:space="preserve">žádné </w:t>
      </w:r>
      <w:r w:rsidR="00437FE7" w:rsidRPr="00242BCA">
        <w:rPr>
          <w:rFonts w:ascii="Arial" w:hAnsi="Arial" w:cs="Arial"/>
          <w:sz w:val="20"/>
          <w:szCs w:val="20"/>
        </w:rPr>
        <w:t xml:space="preserve">kontrolní mechanismy, které by dokázaly </w:t>
      </w:r>
      <w:r w:rsidR="000501B3" w:rsidRPr="00242BCA">
        <w:rPr>
          <w:rFonts w:ascii="Arial" w:hAnsi="Arial" w:cs="Arial"/>
          <w:sz w:val="20"/>
          <w:szCs w:val="20"/>
        </w:rPr>
        <w:t>ohlídat</w:t>
      </w:r>
      <w:r w:rsidR="00437FE7" w:rsidRPr="00242BCA">
        <w:rPr>
          <w:rFonts w:ascii="Arial" w:hAnsi="Arial" w:cs="Arial"/>
          <w:sz w:val="20"/>
          <w:szCs w:val="20"/>
        </w:rPr>
        <w:t>, aby výnos</w:t>
      </w:r>
      <w:r w:rsidR="000501B3" w:rsidRPr="00242BCA">
        <w:rPr>
          <w:rFonts w:ascii="Arial" w:hAnsi="Arial" w:cs="Arial"/>
          <w:sz w:val="20"/>
          <w:szCs w:val="20"/>
        </w:rPr>
        <w:t xml:space="preserve"> jakékoliv</w:t>
      </w:r>
      <w:r w:rsidR="00437FE7" w:rsidRPr="00242BCA">
        <w:rPr>
          <w:rFonts w:ascii="Arial" w:hAnsi="Arial" w:cs="Arial"/>
          <w:sz w:val="20"/>
          <w:szCs w:val="20"/>
        </w:rPr>
        <w:t xml:space="preserve"> nové daně byl použit </w:t>
      </w:r>
      <w:r w:rsidR="000501B3" w:rsidRPr="00242BCA">
        <w:rPr>
          <w:rFonts w:ascii="Arial" w:hAnsi="Arial" w:cs="Arial"/>
          <w:sz w:val="20"/>
          <w:szCs w:val="20"/>
        </w:rPr>
        <w:t>na</w:t>
      </w:r>
      <w:r w:rsidR="00087CBB">
        <w:rPr>
          <w:rFonts w:ascii="Arial" w:hAnsi="Arial" w:cs="Arial"/>
          <w:sz w:val="20"/>
          <w:szCs w:val="20"/>
        </w:rPr>
        <w:t xml:space="preserve"> slíbený účel.</w:t>
      </w:r>
      <w:r w:rsidR="000501B3" w:rsidRPr="00242BCA">
        <w:rPr>
          <w:rFonts w:ascii="Arial" w:hAnsi="Arial" w:cs="Arial"/>
          <w:sz w:val="20"/>
          <w:szCs w:val="20"/>
        </w:rPr>
        <w:t xml:space="preserve"> </w:t>
      </w:r>
    </w:p>
    <w:p w14:paraId="3D11F8BB" w14:textId="2D3313D7" w:rsidR="00EC2B4D" w:rsidRPr="00242BCA" w:rsidRDefault="002A5A1A" w:rsidP="00394A2B">
      <w:pPr>
        <w:pStyle w:val="Odstavecseseznamem"/>
        <w:numPr>
          <w:ilvl w:val="0"/>
          <w:numId w:val="8"/>
        </w:numPr>
        <w:jc w:val="both"/>
        <w:rPr>
          <w:rFonts w:ascii="Arial" w:hAnsi="Arial" w:cs="Arial"/>
          <w:b/>
          <w:iCs/>
          <w:color w:val="30905F"/>
          <w:sz w:val="20"/>
          <w:szCs w:val="20"/>
        </w:rPr>
      </w:pPr>
      <w:r w:rsidRPr="00242BCA">
        <w:rPr>
          <w:rFonts w:ascii="Arial" w:hAnsi="Arial" w:cs="Arial"/>
          <w:b/>
          <w:iCs/>
          <w:color w:val="30905F"/>
          <w:sz w:val="20"/>
          <w:szCs w:val="20"/>
        </w:rPr>
        <w:lastRenderedPageBreak/>
        <w:t>Jak je</w:t>
      </w:r>
      <w:r w:rsidR="00AF55AB" w:rsidRPr="00242BCA">
        <w:rPr>
          <w:rFonts w:ascii="Arial" w:hAnsi="Arial" w:cs="Arial"/>
          <w:b/>
          <w:iCs/>
          <w:color w:val="30905F"/>
          <w:sz w:val="20"/>
          <w:szCs w:val="20"/>
        </w:rPr>
        <w:t xml:space="preserve"> </w:t>
      </w:r>
      <w:r w:rsidRPr="00242BCA">
        <w:rPr>
          <w:rFonts w:ascii="Arial" w:hAnsi="Arial" w:cs="Arial"/>
          <w:b/>
          <w:iCs/>
          <w:color w:val="30905F"/>
          <w:sz w:val="20"/>
          <w:szCs w:val="20"/>
        </w:rPr>
        <w:t xml:space="preserve">to s odlivem dividend do zahraničí a zpětnými investicemi? </w:t>
      </w:r>
    </w:p>
    <w:p w14:paraId="757FEEA1" w14:textId="77777777" w:rsidR="00EC2B4D" w:rsidRPr="00242BCA" w:rsidRDefault="00EC2B4D" w:rsidP="00EC2B4D">
      <w:pPr>
        <w:pStyle w:val="Odstavecseseznamem"/>
        <w:jc w:val="both"/>
        <w:rPr>
          <w:rFonts w:ascii="Arial" w:hAnsi="Arial" w:cs="Arial"/>
          <w:iCs/>
          <w:sz w:val="20"/>
          <w:szCs w:val="20"/>
        </w:rPr>
      </w:pPr>
    </w:p>
    <w:p w14:paraId="47F28861" w14:textId="1B0B3077" w:rsidR="00EC2B4D" w:rsidRPr="00242BCA" w:rsidRDefault="002A5A1A" w:rsidP="009459EA">
      <w:pPr>
        <w:jc w:val="both"/>
        <w:rPr>
          <w:rFonts w:ascii="Arial" w:hAnsi="Arial" w:cs="Arial"/>
          <w:iCs/>
          <w:sz w:val="20"/>
          <w:szCs w:val="20"/>
        </w:rPr>
      </w:pPr>
      <w:r w:rsidRPr="00242BCA">
        <w:rPr>
          <w:rFonts w:ascii="Arial" w:hAnsi="Arial" w:cs="Arial"/>
          <w:iCs/>
          <w:sz w:val="20"/>
          <w:szCs w:val="20"/>
        </w:rPr>
        <w:t>Z </w:t>
      </w:r>
      <w:r w:rsidR="00B12D40" w:rsidRPr="00242BCA">
        <w:rPr>
          <w:rFonts w:ascii="Arial" w:hAnsi="Arial" w:cs="Arial"/>
          <w:iCs/>
          <w:sz w:val="20"/>
          <w:szCs w:val="20"/>
        </w:rPr>
        <w:t>databáz</w:t>
      </w:r>
      <w:r w:rsidRPr="00242BCA">
        <w:rPr>
          <w:rFonts w:ascii="Arial" w:hAnsi="Arial" w:cs="Arial"/>
          <w:iCs/>
          <w:sz w:val="20"/>
          <w:szCs w:val="20"/>
        </w:rPr>
        <w:t xml:space="preserve">e České národní banky </w:t>
      </w:r>
      <w:r w:rsidR="00B12D40" w:rsidRPr="00242BCA">
        <w:rPr>
          <w:rFonts w:ascii="Arial" w:hAnsi="Arial" w:cs="Arial"/>
          <w:iCs/>
          <w:sz w:val="20"/>
          <w:szCs w:val="20"/>
        </w:rPr>
        <w:t xml:space="preserve">ARAD </w:t>
      </w:r>
      <w:r w:rsidRPr="00242BCA">
        <w:rPr>
          <w:rFonts w:ascii="Arial" w:hAnsi="Arial" w:cs="Arial"/>
          <w:iCs/>
          <w:sz w:val="20"/>
          <w:szCs w:val="20"/>
        </w:rPr>
        <w:t xml:space="preserve">lze vyčíst, že </w:t>
      </w:r>
      <w:r w:rsidR="00682813" w:rsidRPr="00242BCA">
        <w:rPr>
          <w:rFonts w:ascii="Arial" w:hAnsi="Arial" w:cs="Arial"/>
          <w:iCs/>
          <w:sz w:val="20"/>
          <w:szCs w:val="20"/>
        </w:rPr>
        <w:t xml:space="preserve">do zahraničí </w:t>
      </w:r>
      <w:r w:rsidRPr="00242BCA">
        <w:rPr>
          <w:rFonts w:ascii="Arial" w:hAnsi="Arial" w:cs="Arial"/>
          <w:iCs/>
          <w:sz w:val="20"/>
          <w:szCs w:val="20"/>
        </w:rPr>
        <w:t>v letech 2000-201</w:t>
      </w:r>
      <w:r w:rsidR="006B07DB">
        <w:rPr>
          <w:rFonts w:ascii="Arial" w:hAnsi="Arial" w:cs="Arial"/>
          <w:iCs/>
          <w:sz w:val="20"/>
          <w:szCs w:val="20"/>
        </w:rPr>
        <w:t>8</w:t>
      </w:r>
      <w:r w:rsidRPr="00242BCA">
        <w:rPr>
          <w:rFonts w:ascii="Arial" w:hAnsi="Arial" w:cs="Arial"/>
          <w:iCs/>
          <w:sz w:val="20"/>
          <w:szCs w:val="20"/>
        </w:rPr>
        <w:t xml:space="preserve"> odešlo </w:t>
      </w:r>
      <w:r w:rsidR="00682813" w:rsidRPr="00242BCA">
        <w:rPr>
          <w:rFonts w:ascii="Arial" w:hAnsi="Arial" w:cs="Arial"/>
          <w:iCs/>
          <w:sz w:val="20"/>
          <w:szCs w:val="20"/>
        </w:rPr>
        <w:t>ve</w:t>
      </w:r>
      <w:r w:rsidRPr="00242BCA">
        <w:rPr>
          <w:rFonts w:ascii="Arial" w:hAnsi="Arial" w:cs="Arial"/>
          <w:iCs/>
          <w:sz w:val="20"/>
          <w:szCs w:val="20"/>
        </w:rPr>
        <w:t xml:space="preserve"> formě dividend z českého finančního sektoru </w:t>
      </w:r>
      <w:r w:rsidR="006B07DB">
        <w:rPr>
          <w:rFonts w:ascii="Arial" w:hAnsi="Arial" w:cs="Arial"/>
          <w:iCs/>
          <w:sz w:val="20"/>
          <w:szCs w:val="20"/>
        </w:rPr>
        <w:t>685</w:t>
      </w:r>
      <w:r w:rsidRPr="00242BCA">
        <w:rPr>
          <w:rFonts w:ascii="Arial" w:hAnsi="Arial" w:cs="Arial"/>
          <w:iCs/>
          <w:sz w:val="20"/>
          <w:szCs w:val="20"/>
        </w:rPr>
        <w:t xml:space="preserve"> miliard korun. </w:t>
      </w:r>
      <w:r w:rsidR="00E66253">
        <w:rPr>
          <w:rFonts w:ascii="Arial" w:hAnsi="Arial" w:cs="Arial"/>
          <w:iCs/>
          <w:sz w:val="20"/>
          <w:szCs w:val="20"/>
        </w:rPr>
        <w:t>Naleznout</w:t>
      </w:r>
      <w:r w:rsidR="00B12D40" w:rsidRPr="00242BCA">
        <w:rPr>
          <w:rFonts w:ascii="Arial" w:hAnsi="Arial" w:cs="Arial"/>
          <w:iCs/>
          <w:sz w:val="20"/>
          <w:szCs w:val="20"/>
        </w:rPr>
        <w:t xml:space="preserve"> </w:t>
      </w:r>
      <w:r w:rsidR="00682813" w:rsidRPr="00242BCA">
        <w:rPr>
          <w:rFonts w:ascii="Arial" w:hAnsi="Arial" w:cs="Arial"/>
          <w:iCs/>
          <w:sz w:val="20"/>
          <w:szCs w:val="20"/>
        </w:rPr>
        <w:t xml:space="preserve">zde </w:t>
      </w:r>
      <w:r w:rsidR="00E66253">
        <w:rPr>
          <w:rFonts w:ascii="Arial" w:hAnsi="Arial" w:cs="Arial"/>
          <w:iCs/>
          <w:sz w:val="20"/>
          <w:szCs w:val="20"/>
        </w:rPr>
        <w:t xml:space="preserve">lze </w:t>
      </w:r>
      <w:r w:rsidR="00B12D40" w:rsidRPr="00242BCA">
        <w:rPr>
          <w:rFonts w:ascii="Arial" w:hAnsi="Arial" w:cs="Arial"/>
          <w:iCs/>
          <w:sz w:val="20"/>
          <w:szCs w:val="20"/>
        </w:rPr>
        <w:t xml:space="preserve">i údaje o tom, že </w:t>
      </w:r>
      <w:r w:rsidR="00627767" w:rsidRPr="00242BCA">
        <w:rPr>
          <w:rFonts w:ascii="Arial" w:hAnsi="Arial" w:cs="Arial"/>
          <w:iCs/>
          <w:sz w:val="20"/>
          <w:szCs w:val="20"/>
        </w:rPr>
        <w:t xml:space="preserve">z vytvořeného zisku </w:t>
      </w:r>
      <w:r w:rsidR="00B12D40" w:rsidRPr="00242BCA">
        <w:rPr>
          <w:rFonts w:ascii="Arial" w:hAnsi="Arial" w:cs="Arial"/>
          <w:iCs/>
          <w:sz w:val="20"/>
          <w:szCs w:val="20"/>
        </w:rPr>
        <w:t xml:space="preserve">bylo </w:t>
      </w:r>
      <w:r w:rsidR="00D91D9D" w:rsidRPr="00242BCA">
        <w:rPr>
          <w:rFonts w:ascii="Arial" w:hAnsi="Arial" w:cs="Arial"/>
          <w:iCs/>
          <w:sz w:val="20"/>
          <w:szCs w:val="20"/>
        </w:rPr>
        <w:t xml:space="preserve">ve stejném období </w:t>
      </w:r>
      <w:r w:rsidR="00627767" w:rsidRPr="00242BCA">
        <w:rPr>
          <w:rFonts w:ascii="Arial" w:hAnsi="Arial" w:cs="Arial"/>
          <w:iCs/>
          <w:sz w:val="20"/>
          <w:szCs w:val="20"/>
        </w:rPr>
        <w:t>zpětně investováno do posí</w:t>
      </w:r>
      <w:r w:rsidR="00D91D9D" w:rsidRPr="00242BCA">
        <w:rPr>
          <w:rFonts w:ascii="Arial" w:hAnsi="Arial" w:cs="Arial"/>
          <w:iCs/>
          <w:sz w:val="20"/>
          <w:szCs w:val="20"/>
        </w:rPr>
        <w:t>lení tuzemsk</w:t>
      </w:r>
      <w:r w:rsidR="00EC2B4D" w:rsidRPr="00242BCA">
        <w:rPr>
          <w:rFonts w:ascii="Arial" w:hAnsi="Arial" w:cs="Arial"/>
          <w:iCs/>
          <w:sz w:val="20"/>
          <w:szCs w:val="20"/>
        </w:rPr>
        <w:t xml:space="preserve">ého finančního sektoru </w:t>
      </w:r>
      <w:r w:rsidR="00B12D40" w:rsidRPr="00242BCA">
        <w:rPr>
          <w:rFonts w:ascii="Arial" w:hAnsi="Arial" w:cs="Arial"/>
          <w:iCs/>
          <w:sz w:val="20"/>
          <w:szCs w:val="20"/>
        </w:rPr>
        <w:t xml:space="preserve">téměř </w:t>
      </w:r>
      <w:r w:rsidR="006B07DB">
        <w:rPr>
          <w:rFonts w:ascii="Arial" w:hAnsi="Arial" w:cs="Arial"/>
          <w:iCs/>
          <w:sz w:val="20"/>
          <w:szCs w:val="20"/>
        </w:rPr>
        <w:t>636</w:t>
      </w:r>
      <w:r w:rsidR="00627767" w:rsidRPr="00242BCA">
        <w:rPr>
          <w:rFonts w:ascii="Arial" w:hAnsi="Arial" w:cs="Arial"/>
          <w:iCs/>
          <w:sz w:val="20"/>
          <w:szCs w:val="20"/>
        </w:rPr>
        <w:t xml:space="preserve"> miliard korun. Pokud k tomu přičteme i vstupní investice, vychází z toho, že do dnešního dne zahraniční vlastníci do </w:t>
      </w:r>
      <w:r w:rsidR="00EC2B4D" w:rsidRPr="00242BCA">
        <w:rPr>
          <w:rFonts w:ascii="Arial" w:hAnsi="Arial" w:cs="Arial"/>
          <w:iCs/>
          <w:sz w:val="20"/>
          <w:szCs w:val="20"/>
        </w:rPr>
        <w:t>českého finančního sektoru investovali více, než z něj</w:t>
      </w:r>
      <w:r w:rsidR="00627767" w:rsidRPr="00242BCA">
        <w:rPr>
          <w:rFonts w:ascii="Arial" w:hAnsi="Arial" w:cs="Arial"/>
          <w:iCs/>
          <w:sz w:val="20"/>
          <w:szCs w:val="20"/>
        </w:rPr>
        <w:t xml:space="preserve"> </w:t>
      </w:r>
      <w:r w:rsidR="00682813" w:rsidRPr="00242BCA">
        <w:rPr>
          <w:rFonts w:ascii="Arial" w:hAnsi="Arial" w:cs="Arial"/>
          <w:iCs/>
          <w:sz w:val="20"/>
          <w:szCs w:val="20"/>
        </w:rPr>
        <w:t xml:space="preserve">formou dividendy </w:t>
      </w:r>
      <w:r w:rsidR="00627767" w:rsidRPr="00242BCA">
        <w:rPr>
          <w:rFonts w:ascii="Arial" w:hAnsi="Arial" w:cs="Arial"/>
          <w:iCs/>
          <w:sz w:val="20"/>
          <w:szCs w:val="20"/>
        </w:rPr>
        <w:t>získali.</w:t>
      </w:r>
    </w:p>
    <w:p w14:paraId="3E66CEAD" w14:textId="77777777" w:rsidR="00EC2B4D" w:rsidRPr="00242BCA" w:rsidRDefault="00EC2B4D" w:rsidP="009459EA">
      <w:pPr>
        <w:jc w:val="both"/>
        <w:rPr>
          <w:rFonts w:ascii="Arial" w:hAnsi="Arial" w:cs="Arial"/>
          <w:iCs/>
          <w:sz w:val="20"/>
          <w:szCs w:val="20"/>
        </w:rPr>
      </w:pPr>
    </w:p>
    <w:p w14:paraId="091389BC" w14:textId="47942B62" w:rsidR="00627767" w:rsidRPr="00242BCA" w:rsidRDefault="00627767" w:rsidP="009459EA">
      <w:pPr>
        <w:jc w:val="both"/>
        <w:rPr>
          <w:rFonts w:ascii="Arial" w:hAnsi="Arial" w:cs="Arial"/>
          <w:iCs/>
          <w:sz w:val="20"/>
          <w:szCs w:val="20"/>
        </w:rPr>
      </w:pPr>
      <w:r w:rsidRPr="00242BCA">
        <w:rPr>
          <w:rFonts w:ascii="Arial" w:hAnsi="Arial" w:cs="Arial"/>
          <w:iCs/>
          <w:sz w:val="20"/>
          <w:szCs w:val="20"/>
        </w:rPr>
        <w:t>Nicméně</w:t>
      </w:r>
      <w:r w:rsidR="00EC2B4D" w:rsidRPr="00242BCA">
        <w:rPr>
          <w:rFonts w:ascii="Arial" w:hAnsi="Arial" w:cs="Arial"/>
          <w:iCs/>
          <w:sz w:val="20"/>
          <w:szCs w:val="20"/>
        </w:rPr>
        <w:t xml:space="preserve">, mluvíme-li o bankách, </w:t>
      </w:r>
      <w:r w:rsidRPr="00242BCA">
        <w:rPr>
          <w:rFonts w:ascii="Arial" w:hAnsi="Arial" w:cs="Arial"/>
          <w:iCs/>
          <w:sz w:val="20"/>
          <w:szCs w:val="20"/>
        </w:rPr>
        <w:t xml:space="preserve">zúžit </w:t>
      </w:r>
      <w:r w:rsidR="00EC2B4D" w:rsidRPr="00242BCA">
        <w:rPr>
          <w:rFonts w:ascii="Arial" w:hAnsi="Arial" w:cs="Arial"/>
          <w:iCs/>
          <w:sz w:val="20"/>
          <w:szCs w:val="20"/>
        </w:rPr>
        <w:t xml:space="preserve">jejich </w:t>
      </w:r>
      <w:r w:rsidRPr="00242BCA">
        <w:rPr>
          <w:rFonts w:ascii="Arial" w:hAnsi="Arial" w:cs="Arial"/>
          <w:iCs/>
          <w:sz w:val="20"/>
          <w:szCs w:val="20"/>
        </w:rPr>
        <w:t>e</w:t>
      </w:r>
      <w:r w:rsidR="004F276D" w:rsidRPr="00242BCA">
        <w:rPr>
          <w:rFonts w:ascii="Arial" w:hAnsi="Arial" w:cs="Arial"/>
          <w:iCs/>
          <w:sz w:val="20"/>
          <w:szCs w:val="20"/>
        </w:rPr>
        <w:t xml:space="preserve">konomický přínos na otázku </w:t>
      </w:r>
      <w:r w:rsidRPr="00242BCA">
        <w:rPr>
          <w:rFonts w:ascii="Arial" w:hAnsi="Arial" w:cs="Arial"/>
          <w:iCs/>
          <w:sz w:val="20"/>
          <w:szCs w:val="20"/>
        </w:rPr>
        <w:t>zisku</w:t>
      </w:r>
      <w:r w:rsidR="00B12D40" w:rsidRPr="00242BCA">
        <w:rPr>
          <w:rFonts w:ascii="Arial" w:hAnsi="Arial" w:cs="Arial"/>
          <w:iCs/>
          <w:sz w:val="20"/>
          <w:szCs w:val="20"/>
        </w:rPr>
        <w:t>,</w:t>
      </w:r>
      <w:r w:rsidRPr="00242BCA">
        <w:rPr>
          <w:rFonts w:ascii="Arial" w:hAnsi="Arial" w:cs="Arial"/>
          <w:iCs/>
          <w:sz w:val="20"/>
          <w:szCs w:val="20"/>
        </w:rPr>
        <w:t xml:space="preserve"> resp. dividendy</w:t>
      </w:r>
      <w:r w:rsidR="002A5A1A" w:rsidRPr="00242BCA">
        <w:rPr>
          <w:rFonts w:ascii="Arial" w:hAnsi="Arial" w:cs="Arial"/>
          <w:iCs/>
          <w:sz w:val="20"/>
          <w:szCs w:val="20"/>
        </w:rPr>
        <w:t>,</w:t>
      </w:r>
      <w:r w:rsidRPr="00242BCA">
        <w:rPr>
          <w:rFonts w:ascii="Arial" w:hAnsi="Arial" w:cs="Arial"/>
          <w:iCs/>
          <w:sz w:val="20"/>
          <w:szCs w:val="20"/>
        </w:rPr>
        <w:t xml:space="preserve"> by bylo krátkozraké. </w:t>
      </w:r>
      <w:r w:rsidR="002E36EC" w:rsidRPr="00242BCA">
        <w:rPr>
          <w:rFonts w:ascii="Arial" w:hAnsi="Arial" w:cs="Arial"/>
          <w:iCs/>
          <w:sz w:val="20"/>
          <w:szCs w:val="20"/>
        </w:rPr>
        <w:t>N</w:t>
      </w:r>
      <w:r w:rsidRPr="00242BCA">
        <w:rPr>
          <w:rFonts w:ascii="Arial" w:hAnsi="Arial" w:cs="Arial"/>
          <w:iCs/>
          <w:sz w:val="20"/>
          <w:szCs w:val="20"/>
        </w:rPr>
        <w:t>a podnikání</w:t>
      </w:r>
      <w:r w:rsidR="002E36EC" w:rsidRPr="00242BCA">
        <w:rPr>
          <w:rFonts w:ascii="Arial" w:hAnsi="Arial" w:cs="Arial"/>
          <w:iCs/>
          <w:sz w:val="20"/>
          <w:szCs w:val="20"/>
        </w:rPr>
        <w:t xml:space="preserve"> bank</w:t>
      </w:r>
      <w:r w:rsidRPr="00242BCA">
        <w:rPr>
          <w:rFonts w:ascii="Arial" w:hAnsi="Arial" w:cs="Arial"/>
          <w:iCs/>
          <w:sz w:val="20"/>
          <w:szCs w:val="20"/>
        </w:rPr>
        <w:t xml:space="preserve"> je navázáno několik set tisíc dalších pracovních míst. Jsou tedy</w:t>
      </w:r>
      <w:r w:rsidR="00273D3C" w:rsidRPr="00242BCA">
        <w:rPr>
          <w:rFonts w:ascii="Arial" w:hAnsi="Arial" w:cs="Arial"/>
          <w:iCs/>
          <w:sz w:val="20"/>
          <w:szCs w:val="20"/>
        </w:rPr>
        <w:t xml:space="preserve"> činitelem, který napomáhá</w:t>
      </w:r>
      <w:r w:rsidR="00EB0010">
        <w:rPr>
          <w:rFonts w:ascii="Arial" w:hAnsi="Arial" w:cs="Arial"/>
          <w:iCs/>
          <w:sz w:val="20"/>
          <w:szCs w:val="20"/>
        </w:rPr>
        <w:t xml:space="preserve"> tvorbě</w:t>
      </w:r>
      <w:r w:rsidRPr="00242BCA">
        <w:rPr>
          <w:rFonts w:ascii="Arial" w:hAnsi="Arial" w:cs="Arial"/>
          <w:iCs/>
          <w:sz w:val="20"/>
          <w:szCs w:val="20"/>
        </w:rPr>
        <w:t xml:space="preserve"> zdroj</w:t>
      </w:r>
      <w:r w:rsidR="00273D3C" w:rsidRPr="00242BCA">
        <w:rPr>
          <w:rFonts w:ascii="Arial" w:hAnsi="Arial" w:cs="Arial"/>
          <w:iCs/>
          <w:sz w:val="20"/>
          <w:szCs w:val="20"/>
        </w:rPr>
        <w:t>ů</w:t>
      </w:r>
      <w:r w:rsidR="002E36EC" w:rsidRPr="00242BCA">
        <w:rPr>
          <w:rFonts w:ascii="Arial" w:hAnsi="Arial" w:cs="Arial"/>
          <w:iCs/>
          <w:sz w:val="20"/>
          <w:szCs w:val="20"/>
        </w:rPr>
        <w:t xml:space="preserve">. Banky se </w:t>
      </w:r>
      <w:r w:rsidRPr="00242BCA">
        <w:rPr>
          <w:rFonts w:ascii="Arial" w:hAnsi="Arial" w:cs="Arial"/>
          <w:iCs/>
          <w:sz w:val="20"/>
          <w:szCs w:val="20"/>
        </w:rPr>
        <w:t>starají o to, aby če</w:t>
      </w:r>
      <w:r w:rsidR="004F276D" w:rsidRPr="00242BCA">
        <w:rPr>
          <w:rFonts w:ascii="Arial" w:hAnsi="Arial" w:cs="Arial"/>
          <w:iCs/>
          <w:sz w:val="20"/>
          <w:szCs w:val="20"/>
        </w:rPr>
        <w:t xml:space="preserve">ské podniky </w:t>
      </w:r>
      <w:r w:rsidR="002E36EC" w:rsidRPr="00242BCA">
        <w:rPr>
          <w:rFonts w:ascii="Arial" w:hAnsi="Arial" w:cs="Arial"/>
          <w:iCs/>
          <w:sz w:val="20"/>
          <w:szCs w:val="20"/>
        </w:rPr>
        <w:t>měly za co nejlepších podmínek k dispozici potřebné financování pro svůj rozvoj</w:t>
      </w:r>
      <w:r w:rsidRPr="00242BCA">
        <w:rPr>
          <w:rFonts w:ascii="Arial" w:hAnsi="Arial" w:cs="Arial"/>
          <w:iCs/>
          <w:sz w:val="20"/>
          <w:szCs w:val="20"/>
        </w:rPr>
        <w:t>.</w:t>
      </w:r>
      <w:r w:rsidR="00100A60" w:rsidRPr="00242BCA">
        <w:rPr>
          <w:rFonts w:ascii="Arial" w:hAnsi="Arial" w:cs="Arial"/>
          <w:iCs/>
          <w:sz w:val="20"/>
          <w:szCs w:val="20"/>
        </w:rPr>
        <w:t xml:space="preserve"> </w:t>
      </w:r>
    </w:p>
    <w:p w14:paraId="7F1E85F4" w14:textId="77777777" w:rsidR="00C06127" w:rsidRPr="00242BCA" w:rsidRDefault="00C06127" w:rsidP="00C06127">
      <w:pPr>
        <w:jc w:val="both"/>
        <w:rPr>
          <w:rFonts w:ascii="Arial" w:hAnsi="Arial" w:cs="Arial"/>
          <w:sz w:val="20"/>
          <w:szCs w:val="20"/>
        </w:rPr>
      </w:pPr>
    </w:p>
    <w:p w14:paraId="5105E510" w14:textId="58A05A77" w:rsidR="00C06127" w:rsidRPr="00242BCA" w:rsidRDefault="00C06127" w:rsidP="00C06127">
      <w:pPr>
        <w:jc w:val="both"/>
        <w:rPr>
          <w:rFonts w:ascii="Arial" w:hAnsi="Arial" w:cs="Arial"/>
          <w:sz w:val="20"/>
          <w:szCs w:val="20"/>
        </w:rPr>
      </w:pPr>
      <w:r w:rsidRPr="00242BCA">
        <w:rPr>
          <w:rFonts w:ascii="Arial" w:hAnsi="Arial" w:cs="Arial"/>
          <w:sz w:val="20"/>
          <w:szCs w:val="20"/>
        </w:rPr>
        <w:t xml:space="preserve">Tvrzení o údajné nadměrné repatriaci zisků směrem k vlastníkům bank neobstojí </w:t>
      </w:r>
      <w:r w:rsidR="00AA44A2" w:rsidRPr="00242BCA">
        <w:rPr>
          <w:rFonts w:ascii="Arial" w:hAnsi="Arial" w:cs="Arial"/>
          <w:sz w:val="20"/>
          <w:szCs w:val="20"/>
        </w:rPr>
        <w:t xml:space="preserve">ani </w:t>
      </w:r>
      <w:r w:rsidRPr="00242BCA">
        <w:rPr>
          <w:rFonts w:ascii="Arial" w:hAnsi="Arial" w:cs="Arial"/>
          <w:sz w:val="20"/>
          <w:szCs w:val="20"/>
        </w:rPr>
        <w:t xml:space="preserve">v mezinárodním srovnání. S využitím metodiky z analýzy Úřadu vlády k otázce odlivu zisků do zahraničí lze odvodit, že v období 2000-2017 bylo ve finančnictví kumulativně reinvestováno 47 % celkového zisku. Průměrný podíl reinvestovaného zisku v tranzitivních ekonomikách se přitom v dlouhém období dle statistik UNCTAD pohybuje od 23 % do 32 %. V ČR jsou tedy reinvestice ve finančním sektoru vysoce nadprůměrné. </w:t>
      </w:r>
      <w:r w:rsidRPr="00242BCA">
        <w:rPr>
          <w:rFonts w:ascii="Arial" w:hAnsi="Arial" w:cs="Arial"/>
          <w:bCs/>
          <w:sz w:val="20"/>
          <w:szCs w:val="20"/>
        </w:rPr>
        <w:t xml:space="preserve">Součet vstupních investic a reinvestic přesahuje odliv zisků o 52 </w:t>
      </w:r>
      <w:r w:rsidR="00E66253">
        <w:rPr>
          <w:rFonts w:ascii="Arial" w:hAnsi="Arial" w:cs="Arial"/>
          <w:bCs/>
          <w:sz w:val="20"/>
          <w:szCs w:val="20"/>
        </w:rPr>
        <w:t xml:space="preserve">% - </w:t>
      </w:r>
      <w:r w:rsidRPr="00242BCA">
        <w:rPr>
          <w:rFonts w:ascii="Arial" w:hAnsi="Arial" w:cs="Arial"/>
          <w:bCs/>
          <w:sz w:val="20"/>
          <w:szCs w:val="20"/>
        </w:rPr>
        <w:t>vlastníci zde proinvestovali o polovinu více než si vyplatili dividendou. V tomto smyslu lze české finančnictví označit nikoliv jako kapitálově „odtokový“ sektor ale naopak jako sektor “přílivový“.</w:t>
      </w:r>
    </w:p>
    <w:p w14:paraId="6A3187BA" w14:textId="77777777" w:rsidR="00C06127" w:rsidRPr="00242BCA" w:rsidRDefault="00C06127" w:rsidP="00C06127">
      <w:pPr>
        <w:jc w:val="both"/>
        <w:rPr>
          <w:rFonts w:ascii="Arial" w:hAnsi="Arial" w:cs="Arial"/>
          <w:sz w:val="20"/>
          <w:szCs w:val="20"/>
        </w:rPr>
      </w:pPr>
    </w:p>
    <w:p w14:paraId="67C4AC9A" w14:textId="77777777" w:rsidR="00C06127" w:rsidRPr="00242BCA" w:rsidRDefault="00C06127" w:rsidP="009459EA">
      <w:pPr>
        <w:jc w:val="both"/>
        <w:rPr>
          <w:rFonts w:ascii="Arial" w:hAnsi="Arial" w:cs="Arial"/>
          <w:iCs/>
          <w:sz w:val="20"/>
          <w:szCs w:val="20"/>
        </w:rPr>
      </w:pPr>
    </w:p>
    <w:p w14:paraId="4CA1DCB9" w14:textId="174EF556" w:rsidR="00627767" w:rsidRPr="00242BCA" w:rsidRDefault="00EC2B4D" w:rsidP="00E66253">
      <w:pPr>
        <w:pStyle w:val="Odstavecseseznamem"/>
        <w:numPr>
          <w:ilvl w:val="0"/>
          <w:numId w:val="8"/>
        </w:numPr>
        <w:tabs>
          <w:tab w:val="center" w:pos="284"/>
        </w:tabs>
        <w:ind w:left="0" w:firstLine="0"/>
        <w:jc w:val="both"/>
        <w:rPr>
          <w:rFonts w:ascii="Arial" w:hAnsi="Arial" w:cs="Arial"/>
          <w:b/>
          <w:iCs/>
          <w:color w:val="30905F"/>
          <w:sz w:val="20"/>
          <w:szCs w:val="20"/>
        </w:rPr>
      </w:pPr>
      <w:r w:rsidRPr="00242BCA">
        <w:rPr>
          <w:rFonts w:ascii="Arial" w:hAnsi="Arial" w:cs="Arial"/>
          <w:b/>
          <w:iCs/>
          <w:color w:val="30905F"/>
          <w:sz w:val="20"/>
          <w:szCs w:val="20"/>
        </w:rPr>
        <w:t>K</w:t>
      </w:r>
      <w:r w:rsidR="00627767" w:rsidRPr="00242BCA">
        <w:rPr>
          <w:rFonts w:ascii="Arial" w:hAnsi="Arial" w:cs="Arial"/>
          <w:b/>
          <w:iCs/>
          <w:color w:val="30905F"/>
          <w:sz w:val="20"/>
          <w:szCs w:val="20"/>
        </w:rPr>
        <w:t>olik zaplatily banky s</w:t>
      </w:r>
      <w:r w:rsidRPr="00242BCA">
        <w:rPr>
          <w:rFonts w:ascii="Arial" w:hAnsi="Arial" w:cs="Arial"/>
          <w:b/>
          <w:iCs/>
          <w:color w:val="30905F"/>
          <w:sz w:val="20"/>
          <w:szCs w:val="20"/>
        </w:rPr>
        <w:t>e zahraničními vlastníky na dani ze zisku</w:t>
      </w:r>
      <w:r w:rsidR="00627767" w:rsidRPr="00242BCA">
        <w:rPr>
          <w:rFonts w:ascii="Arial" w:hAnsi="Arial" w:cs="Arial"/>
          <w:b/>
          <w:iCs/>
          <w:color w:val="30905F"/>
          <w:sz w:val="20"/>
          <w:szCs w:val="20"/>
        </w:rPr>
        <w:t xml:space="preserve"> v Česku? </w:t>
      </w:r>
    </w:p>
    <w:p w14:paraId="789D87BC" w14:textId="77777777" w:rsidR="003D1C7A" w:rsidRPr="00242BCA" w:rsidRDefault="003D1C7A" w:rsidP="009459EA">
      <w:pPr>
        <w:jc w:val="both"/>
        <w:rPr>
          <w:rFonts w:ascii="Arial" w:hAnsi="Arial" w:cs="Arial"/>
          <w:iCs/>
          <w:sz w:val="20"/>
          <w:szCs w:val="20"/>
        </w:rPr>
      </w:pPr>
    </w:p>
    <w:p w14:paraId="4E6D3207" w14:textId="5226816E" w:rsidR="00D91D9D" w:rsidRPr="00242BCA" w:rsidRDefault="00D91D9D" w:rsidP="009459EA">
      <w:pPr>
        <w:jc w:val="both"/>
        <w:rPr>
          <w:rFonts w:ascii="Arial" w:hAnsi="Arial" w:cs="Arial"/>
          <w:iCs/>
          <w:sz w:val="20"/>
          <w:szCs w:val="20"/>
        </w:rPr>
      </w:pPr>
      <w:r w:rsidRPr="00242BCA">
        <w:rPr>
          <w:rFonts w:ascii="Arial" w:hAnsi="Arial" w:cs="Arial"/>
          <w:iCs/>
          <w:sz w:val="20"/>
          <w:szCs w:val="20"/>
        </w:rPr>
        <w:t xml:space="preserve">Za období </w:t>
      </w:r>
      <w:r w:rsidR="00627767" w:rsidRPr="00242BCA">
        <w:rPr>
          <w:rFonts w:ascii="Arial" w:hAnsi="Arial" w:cs="Arial"/>
          <w:iCs/>
          <w:sz w:val="20"/>
          <w:szCs w:val="20"/>
        </w:rPr>
        <w:t>2008-201</w:t>
      </w:r>
      <w:r w:rsidR="006B07DB">
        <w:rPr>
          <w:rFonts w:ascii="Arial" w:hAnsi="Arial" w:cs="Arial"/>
          <w:iCs/>
          <w:sz w:val="20"/>
          <w:szCs w:val="20"/>
        </w:rPr>
        <w:t>8</w:t>
      </w:r>
      <w:r w:rsidR="00627767" w:rsidRPr="00242BCA">
        <w:rPr>
          <w:rFonts w:ascii="Arial" w:hAnsi="Arial" w:cs="Arial"/>
          <w:iCs/>
          <w:sz w:val="20"/>
          <w:szCs w:val="20"/>
        </w:rPr>
        <w:t xml:space="preserve"> to bylo více </w:t>
      </w:r>
      <w:r w:rsidR="00D94815" w:rsidRPr="00242BCA">
        <w:rPr>
          <w:rFonts w:ascii="Arial" w:hAnsi="Arial" w:cs="Arial"/>
          <w:iCs/>
          <w:sz w:val="20"/>
          <w:szCs w:val="20"/>
        </w:rPr>
        <w:t>než</w:t>
      </w:r>
      <w:r w:rsidR="00627767" w:rsidRPr="00242BCA">
        <w:rPr>
          <w:rFonts w:ascii="Arial" w:hAnsi="Arial" w:cs="Arial"/>
          <w:iCs/>
          <w:sz w:val="20"/>
          <w:szCs w:val="20"/>
        </w:rPr>
        <w:t xml:space="preserve"> </w:t>
      </w:r>
      <w:r w:rsidR="006B07DB">
        <w:rPr>
          <w:rFonts w:ascii="Arial" w:hAnsi="Arial" w:cs="Arial"/>
          <w:iCs/>
          <w:sz w:val="20"/>
          <w:szCs w:val="20"/>
        </w:rPr>
        <w:t>137</w:t>
      </w:r>
      <w:r w:rsidR="00627767" w:rsidRPr="00242BCA">
        <w:rPr>
          <w:rFonts w:ascii="Arial" w:hAnsi="Arial" w:cs="Arial"/>
          <w:iCs/>
          <w:sz w:val="20"/>
          <w:szCs w:val="20"/>
        </w:rPr>
        <w:t xml:space="preserve"> miliard korun</w:t>
      </w:r>
      <w:r w:rsidRPr="00242BCA">
        <w:rPr>
          <w:rFonts w:ascii="Arial" w:hAnsi="Arial" w:cs="Arial"/>
          <w:iCs/>
          <w:sz w:val="20"/>
          <w:szCs w:val="20"/>
        </w:rPr>
        <w:t xml:space="preserve">. V průměru </w:t>
      </w:r>
      <w:r w:rsidR="00552920">
        <w:rPr>
          <w:rFonts w:ascii="Arial" w:hAnsi="Arial" w:cs="Arial"/>
          <w:iCs/>
          <w:sz w:val="20"/>
          <w:szCs w:val="20"/>
        </w:rPr>
        <w:t>pak</w:t>
      </w:r>
      <w:r w:rsidRPr="00242BCA">
        <w:rPr>
          <w:rFonts w:ascii="Arial" w:hAnsi="Arial" w:cs="Arial"/>
          <w:iCs/>
          <w:sz w:val="20"/>
          <w:szCs w:val="20"/>
        </w:rPr>
        <w:t xml:space="preserve"> více </w:t>
      </w:r>
      <w:r w:rsidR="00AA44A2" w:rsidRPr="00242BCA">
        <w:rPr>
          <w:rFonts w:ascii="Arial" w:hAnsi="Arial" w:cs="Arial"/>
          <w:iCs/>
          <w:sz w:val="20"/>
          <w:szCs w:val="20"/>
        </w:rPr>
        <w:t xml:space="preserve">než </w:t>
      </w:r>
      <w:r w:rsidRPr="00242BCA">
        <w:rPr>
          <w:rFonts w:ascii="Arial" w:hAnsi="Arial" w:cs="Arial"/>
          <w:iCs/>
          <w:sz w:val="20"/>
          <w:szCs w:val="20"/>
        </w:rPr>
        <w:t>1</w:t>
      </w:r>
      <w:r w:rsidR="00D94815" w:rsidRPr="00242BCA">
        <w:rPr>
          <w:rFonts w:ascii="Arial" w:hAnsi="Arial" w:cs="Arial"/>
          <w:iCs/>
          <w:sz w:val="20"/>
          <w:szCs w:val="20"/>
        </w:rPr>
        <w:t>2</w:t>
      </w:r>
      <w:r w:rsidR="006B07DB">
        <w:rPr>
          <w:rFonts w:ascii="Arial" w:hAnsi="Arial" w:cs="Arial"/>
          <w:iCs/>
          <w:sz w:val="20"/>
          <w:szCs w:val="20"/>
        </w:rPr>
        <w:t>,4</w:t>
      </w:r>
      <w:r w:rsidRPr="00242BCA">
        <w:rPr>
          <w:rFonts w:ascii="Arial" w:hAnsi="Arial" w:cs="Arial"/>
          <w:iCs/>
          <w:sz w:val="20"/>
          <w:szCs w:val="20"/>
        </w:rPr>
        <w:t xml:space="preserve"> miliard ročně.</w:t>
      </w:r>
      <w:r w:rsidR="006D567E" w:rsidRPr="00242BCA">
        <w:rPr>
          <w:rFonts w:ascii="Arial" w:hAnsi="Arial" w:cs="Arial"/>
          <w:iCs/>
          <w:sz w:val="20"/>
          <w:szCs w:val="20"/>
        </w:rPr>
        <w:t xml:space="preserve"> </w:t>
      </w:r>
    </w:p>
    <w:p w14:paraId="4E2524C3" w14:textId="69DBCF77" w:rsidR="00D91D9D" w:rsidRPr="00242BCA" w:rsidRDefault="00D91D9D" w:rsidP="009459EA">
      <w:pPr>
        <w:jc w:val="both"/>
        <w:rPr>
          <w:rFonts w:ascii="Arial" w:hAnsi="Arial" w:cs="Arial"/>
          <w:iCs/>
          <w:sz w:val="20"/>
          <w:szCs w:val="20"/>
        </w:rPr>
      </w:pPr>
    </w:p>
    <w:p w14:paraId="30B2E6A4" w14:textId="77777777" w:rsidR="00D85C64" w:rsidRPr="00242BCA" w:rsidRDefault="00D85C64" w:rsidP="009459EA">
      <w:pPr>
        <w:jc w:val="both"/>
        <w:rPr>
          <w:rFonts w:ascii="Arial" w:hAnsi="Arial" w:cs="Arial"/>
          <w:iCs/>
          <w:sz w:val="20"/>
          <w:szCs w:val="20"/>
        </w:rPr>
      </w:pPr>
    </w:p>
    <w:p w14:paraId="27C18090" w14:textId="60A2A236" w:rsidR="00687B59" w:rsidRPr="00242BCA" w:rsidRDefault="001A45C3" w:rsidP="00045E3C">
      <w:pPr>
        <w:pStyle w:val="Odstavecseseznamem"/>
        <w:numPr>
          <w:ilvl w:val="0"/>
          <w:numId w:val="8"/>
        </w:numPr>
        <w:rPr>
          <w:rFonts w:ascii="Arial" w:hAnsi="Arial" w:cs="Arial"/>
          <w:b/>
          <w:iCs/>
          <w:color w:val="30905F"/>
          <w:sz w:val="20"/>
          <w:szCs w:val="20"/>
        </w:rPr>
      </w:pPr>
      <w:r w:rsidRPr="00242BCA">
        <w:rPr>
          <w:rFonts w:ascii="Arial" w:hAnsi="Arial" w:cs="Arial"/>
          <w:b/>
          <w:iCs/>
          <w:color w:val="30905F"/>
          <w:sz w:val="20"/>
          <w:szCs w:val="20"/>
        </w:rPr>
        <w:t xml:space="preserve">Jakým způsobem by sektorová daň ovlivnila kapitálovou přiměřenost? </w:t>
      </w:r>
      <w:r w:rsidR="002E36EC" w:rsidRPr="00242BCA">
        <w:rPr>
          <w:rFonts w:ascii="Arial" w:hAnsi="Arial" w:cs="Arial"/>
          <w:b/>
          <w:iCs/>
          <w:color w:val="30905F"/>
          <w:sz w:val="20"/>
          <w:szCs w:val="20"/>
        </w:rPr>
        <w:t xml:space="preserve"> </w:t>
      </w:r>
      <w:r w:rsidR="00687B59" w:rsidRPr="00242BCA">
        <w:rPr>
          <w:rFonts w:ascii="Arial" w:hAnsi="Arial" w:cs="Arial"/>
          <w:b/>
          <w:iCs/>
          <w:color w:val="30905F"/>
          <w:sz w:val="20"/>
          <w:szCs w:val="20"/>
        </w:rPr>
        <w:t xml:space="preserve"> </w:t>
      </w:r>
    </w:p>
    <w:p w14:paraId="4427CC2C" w14:textId="77777777" w:rsidR="002E36EC" w:rsidRPr="00242BCA" w:rsidRDefault="002E36EC" w:rsidP="002E36EC">
      <w:pPr>
        <w:pStyle w:val="Odstavecseseznamem"/>
        <w:ind w:left="360"/>
        <w:rPr>
          <w:rFonts w:ascii="Arial" w:hAnsi="Arial" w:cs="Arial"/>
          <w:iCs/>
          <w:sz w:val="20"/>
          <w:szCs w:val="20"/>
        </w:rPr>
      </w:pPr>
    </w:p>
    <w:p w14:paraId="456DD1C1" w14:textId="45B02EDD" w:rsidR="004F1909" w:rsidRPr="00242BCA" w:rsidRDefault="00687B59" w:rsidP="009459EA">
      <w:pPr>
        <w:jc w:val="both"/>
        <w:rPr>
          <w:rFonts w:ascii="Arial" w:hAnsi="Arial" w:cs="Arial"/>
          <w:iCs/>
          <w:sz w:val="20"/>
          <w:szCs w:val="20"/>
        </w:rPr>
      </w:pPr>
      <w:r w:rsidRPr="00242BCA">
        <w:rPr>
          <w:rFonts w:ascii="Arial" w:hAnsi="Arial" w:cs="Arial"/>
          <w:iCs/>
          <w:sz w:val="20"/>
          <w:szCs w:val="20"/>
        </w:rPr>
        <w:t xml:space="preserve">Měřeno ukazatelem kapitálové přiměřenosti, patří české bankovnictví v evropském kontextu </w:t>
      </w:r>
      <w:r w:rsidR="002E36EC" w:rsidRPr="00242BCA">
        <w:rPr>
          <w:rFonts w:ascii="Arial" w:hAnsi="Arial" w:cs="Arial"/>
          <w:iCs/>
          <w:sz w:val="20"/>
          <w:szCs w:val="20"/>
        </w:rPr>
        <w:t xml:space="preserve">spíše </w:t>
      </w:r>
      <w:r w:rsidRPr="00242BCA">
        <w:rPr>
          <w:rFonts w:ascii="Arial" w:hAnsi="Arial" w:cs="Arial"/>
          <w:iCs/>
          <w:sz w:val="20"/>
          <w:szCs w:val="20"/>
        </w:rPr>
        <w:t>mezi ty kapitálově silné</w:t>
      </w:r>
      <w:r w:rsidR="002E36EC" w:rsidRPr="00242BCA">
        <w:rPr>
          <w:rFonts w:ascii="Arial" w:hAnsi="Arial" w:cs="Arial"/>
          <w:iCs/>
          <w:sz w:val="20"/>
          <w:szCs w:val="20"/>
        </w:rPr>
        <w:t xml:space="preserve"> a mělo by to tak zůstat</w:t>
      </w:r>
      <w:r w:rsidRPr="00242BCA">
        <w:rPr>
          <w:rFonts w:ascii="Arial" w:hAnsi="Arial" w:cs="Arial"/>
          <w:iCs/>
          <w:sz w:val="20"/>
          <w:szCs w:val="20"/>
        </w:rPr>
        <w:t>. Udržování této komparativní výhody</w:t>
      </w:r>
      <w:r w:rsidR="009459EA" w:rsidRPr="00242BCA">
        <w:rPr>
          <w:rFonts w:ascii="Arial" w:hAnsi="Arial" w:cs="Arial"/>
          <w:iCs/>
          <w:sz w:val="20"/>
          <w:szCs w:val="20"/>
        </w:rPr>
        <w:t xml:space="preserve"> je důležité pro důvěryhodnost bankovního systému</w:t>
      </w:r>
      <w:r w:rsidR="00100A60" w:rsidRPr="00242BCA">
        <w:rPr>
          <w:rFonts w:ascii="Arial" w:hAnsi="Arial" w:cs="Arial"/>
          <w:iCs/>
          <w:sz w:val="20"/>
          <w:szCs w:val="20"/>
        </w:rPr>
        <w:t xml:space="preserve"> a finanční stabilitu</w:t>
      </w:r>
      <w:r w:rsidR="009459EA" w:rsidRPr="00242BCA">
        <w:rPr>
          <w:rFonts w:ascii="Arial" w:hAnsi="Arial" w:cs="Arial"/>
          <w:iCs/>
          <w:sz w:val="20"/>
          <w:szCs w:val="20"/>
        </w:rPr>
        <w:t xml:space="preserve">. </w:t>
      </w:r>
      <w:r w:rsidR="001A45C3" w:rsidRPr="00242BCA">
        <w:rPr>
          <w:rFonts w:ascii="Arial" w:hAnsi="Arial" w:cs="Arial"/>
          <w:iCs/>
          <w:sz w:val="20"/>
          <w:szCs w:val="20"/>
        </w:rPr>
        <w:t>Neděje se tak samo od sebe</w:t>
      </w:r>
      <w:r w:rsidR="009459EA" w:rsidRPr="00242BCA">
        <w:rPr>
          <w:rFonts w:ascii="Arial" w:hAnsi="Arial" w:cs="Arial"/>
          <w:iCs/>
          <w:sz w:val="20"/>
          <w:szCs w:val="20"/>
        </w:rPr>
        <w:t>, ale znamená</w:t>
      </w:r>
      <w:r w:rsidR="001A45C3" w:rsidRPr="00242BCA">
        <w:rPr>
          <w:rFonts w:ascii="Arial" w:hAnsi="Arial" w:cs="Arial"/>
          <w:iCs/>
          <w:sz w:val="20"/>
          <w:szCs w:val="20"/>
        </w:rPr>
        <w:t xml:space="preserve"> to</w:t>
      </w:r>
      <w:r w:rsidR="009459EA" w:rsidRPr="00242BCA">
        <w:rPr>
          <w:rFonts w:ascii="Arial" w:hAnsi="Arial" w:cs="Arial"/>
          <w:iCs/>
          <w:sz w:val="20"/>
          <w:szCs w:val="20"/>
        </w:rPr>
        <w:t xml:space="preserve">, že banky musí </w:t>
      </w:r>
      <w:r w:rsidR="001A45C3" w:rsidRPr="00242BCA">
        <w:rPr>
          <w:rFonts w:ascii="Arial" w:hAnsi="Arial" w:cs="Arial"/>
          <w:iCs/>
          <w:sz w:val="20"/>
          <w:szCs w:val="20"/>
        </w:rPr>
        <w:t xml:space="preserve">investovat </w:t>
      </w:r>
      <w:r w:rsidR="009459EA" w:rsidRPr="00242BCA">
        <w:rPr>
          <w:rFonts w:ascii="Arial" w:hAnsi="Arial" w:cs="Arial"/>
          <w:iCs/>
          <w:sz w:val="20"/>
          <w:szCs w:val="20"/>
        </w:rPr>
        <w:t>nemalou část vytvořeného zisku zpět do posílení svého kapitálu. Například skupina velkých bank v letech 20</w:t>
      </w:r>
      <w:r w:rsidR="00D1734E" w:rsidRPr="00242BCA">
        <w:rPr>
          <w:rFonts w:ascii="Arial" w:hAnsi="Arial" w:cs="Arial"/>
          <w:iCs/>
          <w:sz w:val="20"/>
          <w:szCs w:val="20"/>
        </w:rPr>
        <w:t>08</w:t>
      </w:r>
      <w:r w:rsidR="009459EA" w:rsidRPr="00242BCA">
        <w:rPr>
          <w:rFonts w:ascii="Arial" w:hAnsi="Arial" w:cs="Arial"/>
          <w:iCs/>
          <w:sz w:val="20"/>
          <w:szCs w:val="20"/>
        </w:rPr>
        <w:t>-201</w:t>
      </w:r>
      <w:r w:rsidR="006B07DB">
        <w:rPr>
          <w:rFonts w:ascii="Arial" w:hAnsi="Arial" w:cs="Arial"/>
          <w:iCs/>
          <w:sz w:val="20"/>
          <w:szCs w:val="20"/>
        </w:rPr>
        <w:t>8</w:t>
      </w:r>
      <w:r w:rsidR="009459EA" w:rsidRPr="00242BCA">
        <w:rPr>
          <w:rFonts w:ascii="Arial" w:hAnsi="Arial" w:cs="Arial"/>
          <w:iCs/>
          <w:sz w:val="20"/>
          <w:szCs w:val="20"/>
        </w:rPr>
        <w:t xml:space="preserve"> investovala do vlastního kapitálu zhruba </w:t>
      </w:r>
      <w:r w:rsidR="006B07DB">
        <w:rPr>
          <w:rFonts w:ascii="Arial" w:hAnsi="Arial" w:cs="Arial"/>
          <w:iCs/>
          <w:sz w:val="20"/>
          <w:szCs w:val="20"/>
        </w:rPr>
        <w:t>174</w:t>
      </w:r>
      <w:bookmarkStart w:id="0" w:name="_GoBack"/>
      <w:bookmarkEnd w:id="0"/>
      <w:r w:rsidR="009459EA" w:rsidRPr="00242BCA">
        <w:rPr>
          <w:rFonts w:ascii="Arial" w:hAnsi="Arial" w:cs="Arial"/>
          <w:iCs/>
          <w:sz w:val="20"/>
          <w:szCs w:val="20"/>
        </w:rPr>
        <w:t xml:space="preserve"> miliard korun.</w:t>
      </w:r>
    </w:p>
    <w:p w14:paraId="2114B0DB" w14:textId="77777777" w:rsidR="009459EA" w:rsidRPr="00242BCA" w:rsidRDefault="009459EA" w:rsidP="009459EA">
      <w:pPr>
        <w:jc w:val="both"/>
        <w:rPr>
          <w:rFonts w:ascii="Arial" w:hAnsi="Arial" w:cs="Arial"/>
          <w:iCs/>
          <w:sz w:val="20"/>
          <w:szCs w:val="20"/>
        </w:rPr>
      </w:pPr>
    </w:p>
    <w:p w14:paraId="31D18FEF" w14:textId="79BD1F55" w:rsidR="009459EA" w:rsidRPr="00242BCA" w:rsidRDefault="009459EA" w:rsidP="009459EA">
      <w:pPr>
        <w:jc w:val="both"/>
        <w:rPr>
          <w:rFonts w:ascii="Arial" w:hAnsi="Arial" w:cs="Arial"/>
          <w:iCs/>
          <w:sz w:val="20"/>
          <w:szCs w:val="20"/>
        </w:rPr>
      </w:pPr>
      <w:r w:rsidRPr="00242BCA">
        <w:rPr>
          <w:rFonts w:ascii="Arial" w:hAnsi="Arial" w:cs="Arial"/>
          <w:iCs/>
          <w:sz w:val="20"/>
          <w:szCs w:val="20"/>
        </w:rPr>
        <w:t>Jen díky tomu, že banky dlouhodobě udržují svou kapitálovou přiměřenost nad úrovněmi požadovanými regulatorními předpisy a dohledovým orgánem, mohly v minulosti plynule reagovat na měnící se potřeby ekonomiky a finančně ji saturovat jak v časech prosperity, tak v čase recese</w:t>
      </w:r>
      <w:r w:rsidR="001A45C3" w:rsidRPr="00242BCA">
        <w:rPr>
          <w:rFonts w:ascii="Arial" w:hAnsi="Arial" w:cs="Arial"/>
          <w:iCs/>
          <w:sz w:val="20"/>
          <w:szCs w:val="20"/>
        </w:rPr>
        <w:t xml:space="preserve"> potažmo ekonomické krize</w:t>
      </w:r>
      <w:r w:rsidRPr="00242BCA">
        <w:rPr>
          <w:rFonts w:ascii="Arial" w:hAnsi="Arial" w:cs="Arial"/>
          <w:iCs/>
          <w:sz w:val="20"/>
          <w:szCs w:val="20"/>
        </w:rPr>
        <w:t>.</w:t>
      </w:r>
    </w:p>
    <w:p w14:paraId="4F8B9D83" w14:textId="77777777" w:rsidR="00687B59" w:rsidRPr="00242BCA" w:rsidRDefault="00687B59" w:rsidP="009459EA">
      <w:pPr>
        <w:jc w:val="both"/>
        <w:rPr>
          <w:rFonts w:ascii="Arial" w:hAnsi="Arial" w:cs="Arial"/>
          <w:iCs/>
          <w:sz w:val="20"/>
          <w:szCs w:val="20"/>
        </w:rPr>
      </w:pPr>
    </w:p>
    <w:p w14:paraId="3A2694B0" w14:textId="00916319" w:rsidR="009459EA" w:rsidRPr="00242BCA" w:rsidRDefault="00D02366" w:rsidP="009459EA">
      <w:pPr>
        <w:jc w:val="both"/>
        <w:rPr>
          <w:rFonts w:ascii="Arial" w:hAnsi="Arial" w:cs="Arial"/>
          <w:iCs/>
          <w:sz w:val="20"/>
          <w:szCs w:val="20"/>
        </w:rPr>
      </w:pPr>
      <w:r w:rsidRPr="00242BCA">
        <w:rPr>
          <w:rFonts w:ascii="Arial" w:hAnsi="Arial" w:cs="Arial"/>
          <w:iCs/>
          <w:sz w:val="20"/>
          <w:szCs w:val="20"/>
        </w:rPr>
        <w:t xml:space="preserve">Je zájmem nejen bank, ale celé ekonomiky, aby si </w:t>
      </w:r>
      <w:r w:rsidR="00120FAD" w:rsidRPr="00242BCA">
        <w:rPr>
          <w:rFonts w:ascii="Arial" w:hAnsi="Arial" w:cs="Arial"/>
          <w:iCs/>
          <w:sz w:val="20"/>
          <w:szCs w:val="20"/>
        </w:rPr>
        <w:t xml:space="preserve">banky </w:t>
      </w:r>
      <w:r w:rsidRPr="00242BCA">
        <w:rPr>
          <w:rFonts w:ascii="Arial" w:hAnsi="Arial" w:cs="Arial"/>
          <w:iCs/>
          <w:sz w:val="20"/>
          <w:szCs w:val="20"/>
        </w:rPr>
        <w:t xml:space="preserve">tuto flexibilitu </w:t>
      </w:r>
      <w:r w:rsidR="00120FAD" w:rsidRPr="00242BCA">
        <w:rPr>
          <w:rFonts w:ascii="Arial" w:hAnsi="Arial" w:cs="Arial"/>
          <w:iCs/>
          <w:sz w:val="20"/>
          <w:szCs w:val="20"/>
        </w:rPr>
        <w:t xml:space="preserve">i do budoucna </w:t>
      </w:r>
      <w:r w:rsidRPr="00242BCA">
        <w:rPr>
          <w:rFonts w:ascii="Arial" w:hAnsi="Arial" w:cs="Arial"/>
          <w:iCs/>
          <w:sz w:val="20"/>
          <w:szCs w:val="20"/>
        </w:rPr>
        <w:t xml:space="preserve">uchovaly. Bude to ovšem velmi náročné. Dlouhodobě totiž klesá ziskovost bank, což je </w:t>
      </w:r>
      <w:r w:rsidR="001A45C3" w:rsidRPr="00242BCA">
        <w:rPr>
          <w:rFonts w:ascii="Arial" w:hAnsi="Arial" w:cs="Arial"/>
          <w:iCs/>
          <w:sz w:val="20"/>
          <w:szCs w:val="20"/>
        </w:rPr>
        <w:t>důsledkem</w:t>
      </w:r>
      <w:r w:rsidRPr="00242BCA">
        <w:rPr>
          <w:rFonts w:ascii="Arial" w:hAnsi="Arial" w:cs="Arial"/>
          <w:iCs/>
          <w:sz w:val="20"/>
          <w:szCs w:val="20"/>
        </w:rPr>
        <w:t> neustále narůstající</w:t>
      </w:r>
      <w:r w:rsidR="00120FAD" w:rsidRPr="00242BCA">
        <w:rPr>
          <w:rFonts w:ascii="Arial" w:hAnsi="Arial" w:cs="Arial"/>
          <w:iCs/>
          <w:sz w:val="20"/>
          <w:szCs w:val="20"/>
        </w:rPr>
        <w:t>ch</w:t>
      </w:r>
      <w:r w:rsidRPr="00242BCA">
        <w:rPr>
          <w:rFonts w:ascii="Arial" w:hAnsi="Arial" w:cs="Arial"/>
          <w:iCs/>
          <w:sz w:val="20"/>
          <w:szCs w:val="20"/>
        </w:rPr>
        <w:t xml:space="preserve"> náklad</w:t>
      </w:r>
      <w:r w:rsidR="00120FAD" w:rsidRPr="00242BCA">
        <w:rPr>
          <w:rFonts w:ascii="Arial" w:hAnsi="Arial" w:cs="Arial"/>
          <w:iCs/>
          <w:sz w:val="20"/>
          <w:szCs w:val="20"/>
        </w:rPr>
        <w:t>ů</w:t>
      </w:r>
      <w:r w:rsidRPr="00242BCA">
        <w:rPr>
          <w:rFonts w:ascii="Arial" w:hAnsi="Arial" w:cs="Arial"/>
          <w:iCs/>
          <w:sz w:val="20"/>
          <w:szCs w:val="20"/>
        </w:rPr>
        <w:t xml:space="preserve"> regulace</w:t>
      </w:r>
      <w:r w:rsidR="00120FAD" w:rsidRPr="00242BCA">
        <w:rPr>
          <w:rFonts w:ascii="Arial" w:hAnsi="Arial" w:cs="Arial"/>
          <w:iCs/>
          <w:sz w:val="20"/>
          <w:szCs w:val="20"/>
        </w:rPr>
        <w:t>,</w:t>
      </w:r>
      <w:r w:rsidRPr="00242BCA">
        <w:rPr>
          <w:rFonts w:ascii="Arial" w:hAnsi="Arial" w:cs="Arial"/>
          <w:iCs/>
          <w:sz w:val="20"/>
          <w:szCs w:val="20"/>
        </w:rPr>
        <w:t xml:space="preserve"> vyšší</w:t>
      </w:r>
      <w:r w:rsidR="00120FAD" w:rsidRPr="00242BCA">
        <w:rPr>
          <w:rFonts w:ascii="Arial" w:hAnsi="Arial" w:cs="Arial"/>
          <w:iCs/>
          <w:sz w:val="20"/>
          <w:szCs w:val="20"/>
        </w:rPr>
        <w:t>ch</w:t>
      </w:r>
      <w:r w:rsidRPr="00242BCA">
        <w:rPr>
          <w:rFonts w:ascii="Arial" w:hAnsi="Arial" w:cs="Arial"/>
          <w:iCs/>
          <w:sz w:val="20"/>
          <w:szCs w:val="20"/>
        </w:rPr>
        <w:t xml:space="preserve"> nárok</w:t>
      </w:r>
      <w:r w:rsidR="00120FAD" w:rsidRPr="00242BCA">
        <w:rPr>
          <w:rFonts w:ascii="Arial" w:hAnsi="Arial" w:cs="Arial"/>
          <w:iCs/>
          <w:sz w:val="20"/>
          <w:szCs w:val="20"/>
        </w:rPr>
        <w:t>ů</w:t>
      </w:r>
      <w:r w:rsidR="00CF22F2" w:rsidRPr="00242BCA">
        <w:rPr>
          <w:rFonts w:ascii="Arial" w:hAnsi="Arial" w:cs="Arial"/>
          <w:iCs/>
          <w:sz w:val="20"/>
          <w:szCs w:val="20"/>
        </w:rPr>
        <w:t xml:space="preserve"> na regulatorní kapitálovou</w:t>
      </w:r>
      <w:r w:rsidR="00525AAA" w:rsidRPr="00242BCA">
        <w:rPr>
          <w:rFonts w:ascii="Arial" w:hAnsi="Arial" w:cs="Arial"/>
          <w:iCs/>
          <w:sz w:val="20"/>
          <w:szCs w:val="20"/>
        </w:rPr>
        <w:t xml:space="preserve"> </w:t>
      </w:r>
      <w:r w:rsidRPr="00242BCA">
        <w:rPr>
          <w:rFonts w:ascii="Arial" w:hAnsi="Arial" w:cs="Arial"/>
          <w:iCs/>
          <w:sz w:val="20"/>
          <w:szCs w:val="20"/>
        </w:rPr>
        <w:t>přiměřenost</w:t>
      </w:r>
      <w:r w:rsidR="00120FAD" w:rsidRPr="00242BCA">
        <w:rPr>
          <w:rFonts w:ascii="Arial" w:hAnsi="Arial" w:cs="Arial"/>
          <w:iCs/>
          <w:sz w:val="20"/>
          <w:szCs w:val="20"/>
        </w:rPr>
        <w:t xml:space="preserve"> a </w:t>
      </w:r>
      <w:r w:rsidRPr="00242BCA">
        <w:rPr>
          <w:rFonts w:ascii="Arial" w:hAnsi="Arial" w:cs="Arial"/>
          <w:iCs/>
          <w:sz w:val="20"/>
          <w:szCs w:val="20"/>
        </w:rPr>
        <w:t>mimořádn</w:t>
      </w:r>
      <w:r w:rsidR="00120FAD" w:rsidRPr="00242BCA">
        <w:rPr>
          <w:rFonts w:ascii="Arial" w:hAnsi="Arial" w:cs="Arial"/>
          <w:iCs/>
          <w:sz w:val="20"/>
          <w:szCs w:val="20"/>
        </w:rPr>
        <w:t>ých</w:t>
      </w:r>
      <w:r w:rsidRPr="00242BCA">
        <w:rPr>
          <w:rFonts w:ascii="Arial" w:hAnsi="Arial" w:cs="Arial"/>
          <w:iCs/>
          <w:sz w:val="20"/>
          <w:szCs w:val="20"/>
        </w:rPr>
        <w:t xml:space="preserve"> situací na finančních trzích s </w:t>
      </w:r>
      <w:r w:rsidR="00B121F5" w:rsidRPr="00242BCA">
        <w:rPr>
          <w:rFonts w:ascii="Arial" w:hAnsi="Arial" w:cs="Arial"/>
          <w:iCs/>
          <w:sz w:val="20"/>
          <w:szCs w:val="20"/>
        </w:rPr>
        <w:t>přetrvávajícími</w:t>
      </w:r>
      <w:r w:rsidRPr="00242BCA">
        <w:rPr>
          <w:rFonts w:ascii="Arial" w:hAnsi="Arial" w:cs="Arial"/>
          <w:iCs/>
          <w:sz w:val="20"/>
          <w:szCs w:val="20"/>
        </w:rPr>
        <w:t xml:space="preserve"> nízkými úrokovými sazbami</w:t>
      </w:r>
      <w:r w:rsidR="00120FAD" w:rsidRPr="00242BCA">
        <w:rPr>
          <w:rFonts w:ascii="Arial" w:hAnsi="Arial" w:cs="Arial"/>
          <w:iCs/>
          <w:sz w:val="20"/>
          <w:szCs w:val="20"/>
        </w:rPr>
        <w:t>. V</w:t>
      </w:r>
      <w:r w:rsidR="001A45C3" w:rsidRPr="00242BCA">
        <w:rPr>
          <w:rFonts w:ascii="Arial" w:hAnsi="Arial" w:cs="Arial"/>
          <w:iCs/>
          <w:sz w:val="20"/>
          <w:szCs w:val="20"/>
        </w:rPr>
        <w:t xml:space="preserve"> neposlední řadě </w:t>
      </w:r>
      <w:r w:rsidR="008C4D4E" w:rsidRPr="00242BCA">
        <w:rPr>
          <w:rFonts w:ascii="Arial" w:hAnsi="Arial" w:cs="Arial"/>
          <w:iCs/>
          <w:sz w:val="20"/>
          <w:szCs w:val="20"/>
        </w:rPr>
        <w:t xml:space="preserve">také </w:t>
      </w:r>
      <w:r w:rsidRPr="00242BCA">
        <w:rPr>
          <w:rFonts w:ascii="Arial" w:hAnsi="Arial" w:cs="Arial"/>
          <w:iCs/>
          <w:sz w:val="20"/>
          <w:szCs w:val="20"/>
        </w:rPr>
        <w:t xml:space="preserve">s neustále se vyostřujícím konkurenčním prostředím na finančním trhu v souvislosti s digitalizací a technologickými inovacemi. </w:t>
      </w:r>
      <w:r w:rsidR="0084745D" w:rsidRPr="00242BCA">
        <w:rPr>
          <w:rFonts w:ascii="Arial" w:hAnsi="Arial" w:cs="Arial"/>
          <w:iCs/>
          <w:sz w:val="20"/>
          <w:szCs w:val="20"/>
        </w:rPr>
        <w:t>To znamená, že v budoucnosti budou banky alokovat větší díl vytvořeného zisku na posílení kapitálu.</w:t>
      </w:r>
    </w:p>
    <w:p w14:paraId="75230591" w14:textId="77777777" w:rsidR="0084745D" w:rsidRPr="00242BCA" w:rsidRDefault="0084745D" w:rsidP="009459EA">
      <w:pPr>
        <w:jc w:val="both"/>
        <w:rPr>
          <w:rFonts w:ascii="Arial" w:hAnsi="Arial" w:cs="Arial"/>
          <w:iCs/>
          <w:sz w:val="20"/>
          <w:szCs w:val="20"/>
        </w:rPr>
      </w:pPr>
    </w:p>
    <w:p w14:paraId="5B997F83" w14:textId="742A1DF4" w:rsidR="0084745D" w:rsidRPr="00242BCA" w:rsidRDefault="0084745D" w:rsidP="009459EA">
      <w:pPr>
        <w:jc w:val="both"/>
        <w:rPr>
          <w:rFonts w:ascii="Arial" w:hAnsi="Arial" w:cs="Arial"/>
          <w:iCs/>
          <w:sz w:val="20"/>
          <w:szCs w:val="20"/>
        </w:rPr>
      </w:pPr>
      <w:r w:rsidRPr="00242BCA">
        <w:rPr>
          <w:rFonts w:ascii="Arial" w:hAnsi="Arial" w:cs="Arial"/>
          <w:iCs/>
          <w:sz w:val="20"/>
          <w:szCs w:val="20"/>
        </w:rPr>
        <w:t>V tomto smyslu jsou úvahy o zavedení bankovní sektorové daně nejen věcně pochybené, ale navíc přicházejí ve zcela nevhodný čas. Jej</w:t>
      </w:r>
      <w:r w:rsidR="00BB4A20" w:rsidRPr="00242BCA">
        <w:rPr>
          <w:rFonts w:ascii="Arial" w:hAnsi="Arial" w:cs="Arial"/>
          <w:iCs/>
          <w:sz w:val="20"/>
          <w:szCs w:val="20"/>
        </w:rPr>
        <w:t>í</w:t>
      </w:r>
      <w:r w:rsidRPr="00242BCA">
        <w:rPr>
          <w:rFonts w:ascii="Arial" w:hAnsi="Arial" w:cs="Arial"/>
          <w:iCs/>
          <w:sz w:val="20"/>
          <w:szCs w:val="20"/>
        </w:rPr>
        <w:t xml:space="preserve"> zavedení by ekonomiku proto poškodilo.</w:t>
      </w:r>
    </w:p>
    <w:p w14:paraId="2ABDBDE6" w14:textId="77777777" w:rsidR="00D02366" w:rsidRPr="00242BCA" w:rsidRDefault="00D02366" w:rsidP="009459EA">
      <w:pPr>
        <w:jc w:val="both"/>
        <w:rPr>
          <w:rFonts w:ascii="Arial" w:hAnsi="Arial" w:cs="Arial"/>
          <w:iCs/>
          <w:sz w:val="20"/>
          <w:szCs w:val="20"/>
        </w:rPr>
      </w:pPr>
    </w:p>
    <w:p w14:paraId="09A35459" w14:textId="77777777" w:rsidR="00D76454" w:rsidRPr="00242BCA" w:rsidRDefault="00D76454" w:rsidP="009459EA">
      <w:pPr>
        <w:jc w:val="both"/>
        <w:rPr>
          <w:rFonts w:ascii="Arial" w:hAnsi="Arial" w:cs="Arial"/>
          <w:iCs/>
          <w:sz w:val="20"/>
          <w:szCs w:val="20"/>
        </w:rPr>
      </w:pPr>
    </w:p>
    <w:p w14:paraId="6EE7DC2F" w14:textId="77777777" w:rsidR="00541D88" w:rsidRDefault="00541D88">
      <w:pPr>
        <w:spacing w:after="160" w:line="259" w:lineRule="auto"/>
        <w:rPr>
          <w:rFonts w:ascii="Arial" w:hAnsi="Arial" w:cs="Arial"/>
          <w:b/>
          <w:color w:val="30905F"/>
          <w:sz w:val="20"/>
          <w:szCs w:val="20"/>
        </w:rPr>
      </w:pPr>
      <w:r>
        <w:rPr>
          <w:rFonts w:ascii="Arial" w:hAnsi="Arial" w:cs="Arial"/>
          <w:b/>
          <w:color w:val="30905F"/>
          <w:sz w:val="20"/>
          <w:szCs w:val="20"/>
        </w:rPr>
        <w:br w:type="page"/>
      </w:r>
    </w:p>
    <w:p w14:paraId="1B3FBB3A" w14:textId="15581344" w:rsidR="003D1C7A" w:rsidRPr="00242BCA" w:rsidRDefault="003D1C7A" w:rsidP="00541D88">
      <w:pPr>
        <w:pStyle w:val="Odstavecseseznamem"/>
        <w:numPr>
          <w:ilvl w:val="0"/>
          <w:numId w:val="8"/>
        </w:numPr>
        <w:tabs>
          <w:tab w:val="center" w:pos="426"/>
        </w:tabs>
        <w:ind w:left="0" w:firstLine="0"/>
        <w:jc w:val="both"/>
        <w:rPr>
          <w:rFonts w:ascii="Arial" w:hAnsi="Arial" w:cs="Arial"/>
          <w:b/>
          <w:color w:val="30905F"/>
          <w:sz w:val="20"/>
          <w:szCs w:val="20"/>
        </w:rPr>
      </w:pPr>
      <w:r w:rsidRPr="00242BCA">
        <w:rPr>
          <w:rFonts w:ascii="Arial" w:hAnsi="Arial" w:cs="Arial"/>
          <w:b/>
          <w:color w:val="30905F"/>
          <w:sz w:val="20"/>
          <w:szCs w:val="20"/>
        </w:rPr>
        <w:lastRenderedPageBreak/>
        <w:t>Jaká je odezva bankovního sektoru k obviněním z nadměrných úrovní zisků a jejich vyvádění ze země?</w:t>
      </w:r>
    </w:p>
    <w:p w14:paraId="14F7BD9F" w14:textId="77777777" w:rsidR="00033778" w:rsidRPr="00242BCA" w:rsidRDefault="00033778" w:rsidP="009459EA">
      <w:pPr>
        <w:jc w:val="both"/>
        <w:rPr>
          <w:rFonts w:ascii="Arial" w:hAnsi="Arial" w:cs="Arial"/>
          <w:sz w:val="20"/>
          <w:szCs w:val="20"/>
        </w:rPr>
      </w:pPr>
    </w:p>
    <w:p w14:paraId="7F323E52" w14:textId="7E04E8E5" w:rsidR="005A26D4" w:rsidRPr="00242BCA" w:rsidRDefault="00033778" w:rsidP="00033778">
      <w:pPr>
        <w:jc w:val="both"/>
        <w:rPr>
          <w:rFonts w:ascii="Arial" w:hAnsi="Arial" w:cs="Arial"/>
          <w:sz w:val="20"/>
          <w:szCs w:val="20"/>
        </w:rPr>
      </w:pPr>
      <w:r w:rsidRPr="00242BCA">
        <w:rPr>
          <w:rFonts w:ascii="Arial" w:hAnsi="Arial" w:cs="Arial"/>
          <w:bCs/>
          <w:sz w:val="20"/>
          <w:szCs w:val="20"/>
        </w:rPr>
        <w:t>Pozitivní očekávání, spojená svého času s privatizací českých bank zahraničním</w:t>
      </w:r>
      <w:r w:rsidR="00AF55AB" w:rsidRPr="00242BCA">
        <w:rPr>
          <w:rFonts w:ascii="Arial" w:hAnsi="Arial" w:cs="Arial"/>
          <w:bCs/>
          <w:sz w:val="20"/>
          <w:szCs w:val="20"/>
        </w:rPr>
        <w:t>i</w:t>
      </w:r>
      <w:r w:rsidRPr="00242BCA">
        <w:rPr>
          <w:rFonts w:ascii="Arial" w:hAnsi="Arial" w:cs="Arial"/>
          <w:bCs/>
          <w:sz w:val="20"/>
          <w:szCs w:val="20"/>
        </w:rPr>
        <w:t xml:space="preserve"> vlastník</w:t>
      </w:r>
      <w:r w:rsidR="00AF55AB" w:rsidRPr="00242BCA">
        <w:rPr>
          <w:rFonts w:ascii="Arial" w:hAnsi="Arial" w:cs="Arial"/>
          <w:bCs/>
          <w:sz w:val="20"/>
          <w:szCs w:val="20"/>
        </w:rPr>
        <w:t>y</w:t>
      </w:r>
      <w:r w:rsidRPr="00242BCA">
        <w:rPr>
          <w:rFonts w:ascii="Arial" w:hAnsi="Arial" w:cs="Arial"/>
          <w:bCs/>
          <w:sz w:val="20"/>
          <w:szCs w:val="20"/>
        </w:rPr>
        <w:t xml:space="preserve"> se naplnila. Vlastníci bank přinesli do ekonomiky kapitál, stabilitu a nejvyšší standardy řízení firem. Tento přístup si zachovali po celou dobu</w:t>
      </w:r>
      <w:r w:rsidR="00F331C6" w:rsidRPr="00242BCA">
        <w:rPr>
          <w:rFonts w:ascii="Arial" w:hAnsi="Arial" w:cs="Arial"/>
          <w:bCs/>
          <w:sz w:val="20"/>
          <w:szCs w:val="20"/>
        </w:rPr>
        <w:t>,</w:t>
      </w:r>
      <w:r w:rsidRPr="00242BCA">
        <w:rPr>
          <w:rFonts w:ascii="Arial" w:hAnsi="Arial" w:cs="Arial"/>
          <w:bCs/>
          <w:sz w:val="20"/>
          <w:szCs w:val="20"/>
        </w:rPr>
        <w:t xml:space="preserve"> kdy banky vlastní. </w:t>
      </w:r>
      <w:r w:rsidR="00F331C6" w:rsidRPr="00242BCA">
        <w:rPr>
          <w:rFonts w:ascii="Arial" w:hAnsi="Arial" w:cs="Arial"/>
          <w:sz w:val="20"/>
          <w:szCs w:val="20"/>
        </w:rPr>
        <w:t>Český bankovní systém</w:t>
      </w:r>
      <w:r w:rsidR="00EC056F" w:rsidRPr="00242BCA">
        <w:rPr>
          <w:rFonts w:ascii="Arial" w:hAnsi="Arial" w:cs="Arial"/>
          <w:sz w:val="20"/>
          <w:szCs w:val="20"/>
        </w:rPr>
        <w:t xml:space="preserve"> – </w:t>
      </w:r>
      <w:r w:rsidR="00F331C6" w:rsidRPr="00242BCA">
        <w:rPr>
          <w:rFonts w:ascii="Arial" w:hAnsi="Arial" w:cs="Arial"/>
          <w:sz w:val="20"/>
          <w:szCs w:val="20"/>
        </w:rPr>
        <w:t>jako jeden z mála v</w:t>
      </w:r>
      <w:r w:rsidR="00EC056F" w:rsidRPr="00242BCA">
        <w:rPr>
          <w:rFonts w:ascii="Arial" w:hAnsi="Arial" w:cs="Arial"/>
          <w:sz w:val="20"/>
          <w:szCs w:val="20"/>
        </w:rPr>
        <w:t> </w:t>
      </w:r>
      <w:r w:rsidR="00F331C6" w:rsidRPr="00242BCA">
        <w:rPr>
          <w:rFonts w:ascii="Arial" w:hAnsi="Arial" w:cs="Arial"/>
          <w:sz w:val="20"/>
          <w:szCs w:val="20"/>
        </w:rPr>
        <w:t>Evropě</w:t>
      </w:r>
      <w:r w:rsidR="00EC056F" w:rsidRPr="00242BCA">
        <w:rPr>
          <w:rFonts w:ascii="Arial" w:hAnsi="Arial" w:cs="Arial"/>
          <w:sz w:val="20"/>
          <w:szCs w:val="20"/>
        </w:rPr>
        <w:t xml:space="preserve"> –</w:t>
      </w:r>
      <w:r w:rsidR="00F331C6" w:rsidRPr="00242BCA">
        <w:rPr>
          <w:rFonts w:ascii="Arial" w:hAnsi="Arial" w:cs="Arial"/>
          <w:sz w:val="20"/>
          <w:szCs w:val="20"/>
        </w:rPr>
        <w:t xml:space="preserve"> přestál poslední krizi bez jediné koruny podpory ze strany daňových poplatníků</w:t>
      </w:r>
      <w:r w:rsidRPr="00242BCA">
        <w:rPr>
          <w:rFonts w:ascii="Arial" w:hAnsi="Arial" w:cs="Arial"/>
          <w:sz w:val="20"/>
          <w:szCs w:val="20"/>
        </w:rPr>
        <w:t xml:space="preserve">. </w:t>
      </w:r>
      <w:r w:rsidR="00F331C6" w:rsidRPr="00242BCA">
        <w:rPr>
          <w:rFonts w:ascii="Arial" w:hAnsi="Arial" w:cs="Arial"/>
          <w:sz w:val="20"/>
          <w:szCs w:val="20"/>
        </w:rPr>
        <w:t>Banky patří mezi největší plátce daní do státního rozpočtu</w:t>
      </w:r>
      <w:r w:rsidR="00F3494B" w:rsidRPr="00242BCA">
        <w:rPr>
          <w:rFonts w:ascii="Arial" w:hAnsi="Arial" w:cs="Arial"/>
          <w:sz w:val="20"/>
          <w:szCs w:val="20"/>
        </w:rPr>
        <w:t>:</w:t>
      </w:r>
      <w:r w:rsidRPr="00242BCA">
        <w:rPr>
          <w:rFonts w:ascii="Arial" w:hAnsi="Arial" w:cs="Arial"/>
          <w:sz w:val="20"/>
          <w:szCs w:val="20"/>
        </w:rPr>
        <w:t xml:space="preserve"> v </w:t>
      </w:r>
      <w:r w:rsidR="00F331C6" w:rsidRPr="00242BCA">
        <w:rPr>
          <w:rFonts w:ascii="Arial" w:hAnsi="Arial" w:cs="Arial"/>
          <w:sz w:val="20"/>
          <w:szCs w:val="20"/>
        </w:rPr>
        <w:t>roce 201</w:t>
      </w:r>
      <w:r w:rsidR="00F3494B" w:rsidRPr="00242BCA">
        <w:rPr>
          <w:rFonts w:ascii="Arial" w:hAnsi="Arial" w:cs="Arial"/>
          <w:sz w:val="20"/>
          <w:szCs w:val="20"/>
        </w:rPr>
        <w:t>7</w:t>
      </w:r>
      <w:r w:rsidR="00F331C6" w:rsidRPr="00242BCA">
        <w:rPr>
          <w:rFonts w:ascii="Arial" w:hAnsi="Arial" w:cs="Arial"/>
          <w:sz w:val="20"/>
          <w:szCs w:val="20"/>
        </w:rPr>
        <w:t xml:space="preserve"> daně bank představovaly 9 % výnosu korporátních daní</w:t>
      </w:r>
      <w:r w:rsidR="00F3494B" w:rsidRPr="00242BCA">
        <w:rPr>
          <w:rFonts w:ascii="Arial" w:hAnsi="Arial" w:cs="Arial"/>
          <w:sz w:val="20"/>
          <w:szCs w:val="20"/>
        </w:rPr>
        <w:t>, ačkoli podíl sektoru finančnictví a pojišťovnictví jako celku na hrubé přidané hodnotě ČR nepřesáhl ve stejném roce 4 %</w:t>
      </w:r>
      <w:r w:rsidR="00F331C6" w:rsidRPr="00242BCA">
        <w:rPr>
          <w:rFonts w:ascii="Arial" w:hAnsi="Arial" w:cs="Arial"/>
          <w:sz w:val="20"/>
          <w:szCs w:val="20"/>
        </w:rPr>
        <w:t>.</w:t>
      </w:r>
    </w:p>
    <w:p w14:paraId="458DCD85" w14:textId="77777777" w:rsidR="00033778" w:rsidRPr="00242BCA" w:rsidRDefault="00033778" w:rsidP="009459EA">
      <w:pPr>
        <w:jc w:val="both"/>
        <w:rPr>
          <w:rFonts w:ascii="Arial" w:hAnsi="Arial" w:cs="Arial"/>
          <w:sz w:val="20"/>
          <w:szCs w:val="20"/>
        </w:rPr>
      </w:pPr>
    </w:p>
    <w:p w14:paraId="6C12395C" w14:textId="6A6123C8" w:rsidR="003D1C7A" w:rsidRPr="00242BCA" w:rsidRDefault="00F331C6" w:rsidP="009459EA">
      <w:pPr>
        <w:jc w:val="both"/>
        <w:rPr>
          <w:rFonts w:ascii="Arial" w:hAnsi="Arial" w:cs="Arial"/>
          <w:sz w:val="20"/>
          <w:szCs w:val="20"/>
        </w:rPr>
      </w:pPr>
      <w:r w:rsidRPr="00242BCA">
        <w:rPr>
          <w:rFonts w:ascii="Arial" w:hAnsi="Arial" w:cs="Arial"/>
          <w:sz w:val="20"/>
          <w:szCs w:val="20"/>
        </w:rPr>
        <w:t>Navíc mezinárodní srovnání ukazuje, že dividendy vyplácené akcionářům nejsou přehnané. B</w:t>
      </w:r>
      <w:r w:rsidR="003D1C7A" w:rsidRPr="00242BCA">
        <w:rPr>
          <w:rFonts w:ascii="Arial" w:hAnsi="Arial" w:cs="Arial"/>
          <w:sz w:val="20"/>
          <w:szCs w:val="20"/>
        </w:rPr>
        <w:t>ankovní sektor byl a je odhodlán sloužit zemi, jejímu hospodářství a lidem. Banky jsou chloubou a konkurenční výhodu naší ekonomiky. Mají plnou důvěru svých klientů.</w:t>
      </w:r>
    </w:p>
    <w:p w14:paraId="122F7AA8" w14:textId="77777777" w:rsidR="003D1C7A" w:rsidRPr="00242BCA" w:rsidRDefault="003D1C7A" w:rsidP="009459EA">
      <w:pPr>
        <w:jc w:val="both"/>
        <w:rPr>
          <w:rFonts w:ascii="Arial" w:hAnsi="Arial" w:cs="Arial"/>
          <w:sz w:val="20"/>
          <w:szCs w:val="20"/>
        </w:rPr>
      </w:pPr>
    </w:p>
    <w:p w14:paraId="57FCE21B" w14:textId="762EF834" w:rsidR="00A40312" w:rsidRPr="00242BCA" w:rsidRDefault="00A40312" w:rsidP="00A40312">
      <w:pPr>
        <w:jc w:val="both"/>
        <w:rPr>
          <w:rFonts w:ascii="Arial" w:hAnsi="Arial" w:cs="Arial"/>
          <w:bCs/>
          <w:iCs/>
          <w:sz w:val="20"/>
          <w:szCs w:val="20"/>
        </w:rPr>
      </w:pPr>
      <w:r w:rsidRPr="00242BCA">
        <w:rPr>
          <w:rFonts w:ascii="Arial" w:hAnsi="Arial" w:cs="Arial"/>
          <w:bCs/>
          <w:iCs/>
          <w:sz w:val="20"/>
          <w:szCs w:val="20"/>
        </w:rPr>
        <w:t>Banky nejsou nepřítelem a nepřítelem nejsou ani jejich vlastníci, kteří z českých bank vytvořili velkou konkurenční výhodu české ekonomiky. Proto by byla škoda, kdyby politici neuváženě nabízeli široké veřejnosti představu – a veřejnost této představě pod vlivem politiků uvěřila – že banky jsou nástrojem vysávání ekonomiky zahraničními vlastníky.</w:t>
      </w:r>
    </w:p>
    <w:p w14:paraId="1B333A97" w14:textId="77777777" w:rsidR="00A40312" w:rsidRPr="00242BCA" w:rsidRDefault="00A40312" w:rsidP="00A40312">
      <w:pPr>
        <w:jc w:val="both"/>
        <w:rPr>
          <w:rFonts w:ascii="Arial" w:hAnsi="Arial" w:cs="Arial"/>
          <w:bCs/>
          <w:iCs/>
          <w:sz w:val="20"/>
          <w:szCs w:val="20"/>
        </w:rPr>
      </w:pPr>
    </w:p>
    <w:p w14:paraId="32E0D1AD" w14:textId="77777777" w:rsidR="00C06127" w:rsidRPr="00242BCA" w:rsidRDefault="00C06127" w:rsidP="00C06127">
      <w:pPr>
        <w:pStyle w:val="Odstavecseseznamem"/>
        <w:ind w:left="360"/>
        <w:jc w:val="both"/>
        <w:rPr>
          <w:rFonts w:ascii="Arial" w:hAnsi="Arial" w:cs="Arial"/>
          <w:bCs/>
          <w:iCs/>
          <w:color w:val="FF0000"/>
          <w:sz w:val="20"/>
          <w:szCs w:val="20"/>
        </w:rPr>
      </w:pPr>
    </w:p>
    <w:p w14:paraId="2BA4D7B2" w14:textId="2BA6A3A6" w:rsidR="00A40312" w:rsidRPr="00242BCA" w:rsidRDefault="00A40312" w:rsidP="0039374F">
      <w:pPr>
        <w:pStyle w:val="Odstavecseseznamem"/>
        <w:numPr>
          <w:ilvl w:val="0"/>
          <w:numId w:val="8"/>
        </w:numPr>
        <w:tabs>
          <w:tab w:val="center" w:pos="426"/>
        </w:tabs>
        <w:ind w:left="0" w:firstLine="0"/>
        <w:jc w:val="both"/>
        <w:rPr>
          <w:rFonts w:ascii="Arial" w:hAnsi="Arial" w:cs="Arial"/>
          <w:b/>
          <w:bCs/>
          <w:iCs/>
          <w:color w:val="30905F"/>
          <w:sz w:val="20"/>
          <w:szCs w:val="20"/>
        </w:rPr>
      </w:pPr>
      <w:r w:rsidRPr="00242BCA">
        <w:rPr>
          <w:rFonts w:ascii="Arial" w:hAnsi="Arial" w:cs="Arial"/>
          <w:b/>
          <w:bCs/>
          <w:iCs/>
          <w:color w:val="30905F"/>
          <w:sz w:val="20"/>
          <w:szCs w:val="20"/>
        </w:rPr>
        <w:t>Nehrozí riziko, že se tuzemská debata o bankovní dani nějak promítne do vnímání naší ekonomiky v zahraničí?</w:t>
      </w:r>
    </w:p>
    <w:p w14:paraId="6DF38973" w14:textId="77777777" w:rsidR="00A40312" w:rsidRPr="00242BCA" w:rsidRDefault="00A40312" w:rsidP="00A40312">
      <w:pPr>
        <w:jc w:val="both"/>
        <w:rPr>
          <w:rFonts w:ascii="Arial" w:hAnsi="Arial" w:cs="Arial"/>
          <w:iCs/>
          <w:color w:val="FF0000"/>
          <w:sz w:val="20"/>
          <w:szCs w:val="20"/>
        </w:rPr>
      </w:pPr>
    </w:p>
    <w:p w14:paraId="32ECED0D" w14:textId="71B0B31B" w:rsidR="00A40312" w:rsidRPr="00242BCA" w:rsidRDefault="00A40312" w:rsidP="009459EA">
      <w:pPr>
        <w:jc w:val="both"/>
        <w:rPr>
          <w:rFonts w:ascii="Arial" w:hAnsi="Arial" w:cs="Arial"/>
          <w:iCs/>
          <w:sz w:val="20"/>
          <w:szCs w:val="20"/>
        </w:rPr>
      </w:pPr>
      <w:r w:rsidRPr="00242BCA">
        <w:rPr>
          <w:rFonts w:ascii="Arial" w:hAnsi="Arial" w:cs="Arial"/>
          <w:iCs/>
          <w:sz w:val="20"/>
          <w:szCs w:val="20"/>
        </w:rPr>
        <w:t xml:space="preserve">Zahraničí sleduje českou ekonomiku velmi bedlivě. Může nás těšit, že jsme doposud byli vnímání jako ostrůvek stability a pragmatické </w:t>
      </w:r>
      <w:r w:rsidR="0076118B" w:rsidRPr="00242BCA">
        <w:rPr>
          <w:rFonts w:ascii="Arial" w:hAnsi="Arial" w:cs="Arial"/>
          <w:iCs/>
          <w:sz w:val="20"/>
          <w:szCs w:val="20"/>
        </w:rPr>
        <w:t xml:space="preserve">a </w:t>
      </w:r>
      <w:r w:rsidRPr="00242BCA">
        <w:rPr>
          <w:rFonts w:ascii="Arial" w:hAnsi="Arial" w:cs="Arial"/>
          <w:iCs/>
          <w:sz w:val="20"/>
          <w:szCs w:val="20"/>
        </w:rPr>
        <w:t>odpovědné</w:t>
      </w:r>
      <w:r w:rsidR="0076118B" w:rsidRPr="00242BCA">
        <w:rPr>
          <w:rFonts w:ascii="Arial" w:hAnsi="Arial" w:cs="Arial"/>
          <w:iCs/>
          <w:sz w:val="20"/>
          <w:szCs w:val="20"/>
        </w:rPr>
        <w:t xml:space="preserve"> hospodářské politiky. První ohlasy</w:t>
      </w:r>
      <w:r w:rsidR="00E64B98" w:rsidRPr="00242BCA">
        <w:rPr>
          <w:rFonts w:ascii="Arial" w:hAnsi="Arial" w:cs="Arial"/>
          <w:iCs/>
          <w:sz w:val="20"/>
          <w:szCs w:val="20"/>
        </w:rPr>
        <w:t xml:space="preserve"> ze zahraničí, které jsme</w:t>
      </w:r>
      <w:r w:rsidR="0076118B" w:rsidRPr="00242BCA">
        <w:rPr>
          <w:rFonts w:ascii="Arial" w:hAnsi="Arial" w:cs="Arial"/>
          <w:iCs/>
          <w:sz w:val="20"/>
          <w:szCs w:val="20"/>
        </w:rPr>
        <w:t xml:space="preserve"> k debatě o </w:t>
      </w:r>
      <w:r w:rsidR="00E64B98" w:rsidRPr="00242BCA">
        <w:rPr>
          <w:rFonts w:ascii="Arial" w:hAnsi="Arial" w:cs="Arial"/>
          <w:iCs/>
          <w:sz w:val="20"/>
          <w:szCs w:val="20"/>
        </w:rPr>
        <w:t xml:space="preserve">bankovní </w:t>
      </w:r>
      <w:r w:rsidR="0076118B" w:rsidRPr="00242BCA">
        <w:rPr>
          <w:rFonts w:ascii="Arial" w:hAnsi="Arial" w:cs="Arial"/>
          <w:iCs/>
          <w:sz w:val="20"/>
          <w:szCs w:val="20"/>
        </w:rPr>
        <w:t>sektorové dani zaznamenali,</w:t>
      </w:r>
      <w:r w:rsidR="00E64B98" w:rsidRPr="00242BCA">
        <w:rPr>
          <w:rFonts w:ascii="Arial" w:hAnsi="Arial" w:cs="Arial"/>
          <w:iCs/>
          <w:sz w:val="20"/>
          <w:szCs w:val="20"/>
        </w:rPr>
        <w:t xml:space="preserve"> </w:t>
      </w:r>
      <w:r w:rsidR="0076118B" w:rsidRPr="00242BCA">
        <w:rPr>
          <w:rFonts w:ascii="Arial" w:hAnsi="Arial" w:cs="Arial"/>
          <w:iCs/>
          <w:sz w:val="20"/>
          <w:szCs w:val="20"/>
        </w:rPr>
        <w:t xml:space="preserve">bohužel naznačují, že </w:t>
      </w:r>
      <w:r w:rsidR="00E64B98" w:rsidRPr="00242BCA">
        <w:rPr>
          <w:rFonts w:ascii="Arial" w:hAnsi="Arial" w:cs="Arial"/>
          <w:iCs/>
          <w:sz w:val="20"/>
          <w:szCs w:val="20"/>
        </w:rPr>
        <w:t xml:space="preserve">existuje </w:t>
      </w:r>
      <w:r w:rsidR="0076118B" w:rsidRPr="00242BCA">
        <w:rPr>
          <w:rFonts w:ascii="Arial" w:hAnsi="Arial" w:cs="Arial"/>
          <w:iCs/>
          <w:sz w:val="20"/>
          <w:szCs w:val="20"/>
        </w:rPr>
        <w:t>akutní riziko</w:t>
      </w:r>
      <w:r w:rsidR="00E64B98" w:rsidRPr="00242BCA">
        <w:rPr>
          <w:rFonts w:ascii="Arial" w:hAnsi="Arial" w:cs="Arial"/>
          <w:iCs/>
          <w:sz w:val="20"/>
          <w:szCs w:val="20"/>
        </w:rPr>
        <w:t xml:space="preserve"> poškození našeho obrazu, jako stabilní ekonomiky. Stejně </w:t>
      </w:r>
      <w:r w:rsidR="0076118B" w:rsidRPr="00242BCA">
        <w:rPr>
          <w:rFonts w:ascii="Arial" w:hAnsi="Arial" w:cs="Arial"/>
          <w:iCs/>
          <w:sz w:val="20"/>
          <w:szCs w:val="20"/>
        </w:rPr>
        <w:t>jako se to stalo v případě některých sousedních zemí. Je to velká škoda. Oslabená důvěra se zpátky získává jen velmi těžko.</w:t>
      </w:r>
    </w:p>
    <w:p w14:paraId="464ED155" w14:textId="77777777" w:rsidR="003D1C7A" w:rsidRPr="00242BCA" w:rsidRDefault="003D1C7A" w:rsidP="009459EA">
      <w:pPr>
        <w:jc w:val="both"/>
        <w:rPr>
          <w:rFonts w:ascii="Arial" w:hAnsi="Arial" w:cs="Arial"/>
          <w:i/>
          <w:iCs/>
          <w:sz w:val="20"/>
          <w:szCs w:val="20"/>
        </w:rPr>
      </w:pPr>
    </w:p>
    <w:p w14:paraId="58C179E7" w14:textId="77777777" w:rsidR="003D1C7A" w:rsidRPr="00242BCA" w:rsidRDefault="003D1C7A" w:rsidP="009459EA">
      <w:pPr>
        <w:jc w:val="both"/>
        <w:rPr>
          <w:rFonts w:ascii="Arial" w:hAnsi="Arial" w:cs="Arial"/>
          <w:i/>
          <w:sz w:val="20"/>
          <w:szCs w:val="20"/>
        </w:rPr>
      </w:pPr>
    </w:p>
    <w:sectPr w:rsidR="003D1C7A" w:rsidRPr="00242BCA" w:rsidSect="00087CBB">
      <w:headerReference w:type="default" r:id="rId7"/>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7A6F" w14:textId="77777777" w:rsidR="0052587B" w:rsidRDefault="0052587B" w:rsidP="00242BCA">
      <w:r>
        <w:separator/>
      </w:r>
    </w:p>
  </w:endnote>
  <w:endnote w:type="continuationSeparator" w:id="0">
    <w:p w14:paraId="77AF7277" w14:textId="77777777" w:rsidR="0052587B" w:rsidRDefault="0052587B" w:rsidP="0024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AE20" w14:textId="77777777" w:rsidR="0052587B" w:rsidRDefault="0052587B" w:rsidP="00242BCA">
      <w:r>
        <w:separator/>
      </w:r>
    </w:p>
  </w:footnote>
  <w:footnote w:type="continuationSeparator" w:id="0">
    <w:p w14:paraId="2A76761B" w14:textId="77777777" w:rsidR="0052587B" w:rsidRDefault="0052587B" w:rsidP="0024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FB24" w14:textId="2790C8B0" w:rsidR="00242BCA" w:rsidRDefault="00242BCA">
    <w:pPr>
      <w:pStyle w:val="Zhlav"/>
    </w:pPr>
    <w:r>
      <w:rPr>
        <w:noProof/>
      </w:rPr>
      <w:drawing>
        <wp:anchor distT="0" distB="0" distL="114300" distR="114300" simplePos="0" relativeHeight="251659264" behindDoc="1" locked="0" layoutInCell="1" allowOverlap="1" wp14:anchorId="786FE1C6" wp14:editId="0ED3BCA0">
          <wp:simplePos x="0" y="0"/>
          <wp:positionH relativeFrom="page">
            <wp:posOffset>2979</wp:posOffset>
          </wp:positionH>
          <wp:positionV relativeFrom="paragraph">
            <wp:posOffset>-440250</wp:posOffset>
          </wp:positionV>
          <wp:extent cx="7575496" cy="10715661"/>
          <wp:effectExtent l="0" t="0" r="6985"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avickový papír_kryti.jpg"/>
                  <pic:cNvPicPr/>
                </pic:nvPicPr>
                <pic:blipFill>
                  <a:blip r:embed="rId1">
                    <a:extLst>
                      <a:ext uri="{28A0092B-C50C-407E-A947-70E740481C1C}">
                        <a14:useLocalDpi xmlns:a14="http://schemas.microsoft.com/office/drawing/2010/main" val="0"/>
                      </a:ext>
                    </a:extLst>
                  </a:blip>
                  <a:stretch>
                    <a:fillRect/>
                  </a:stretch>
                </pic:blipFill>
                <pic:spPr>
                  <a:xfrm>
                    <a:off x="0" y="0"/>
                    <a:ext cx="7575496" cy="10715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683"/>
    <w:multiLevelType w:val="hybridMultilevel"/>
    <w:tmpl w:val="466E44FE"/>
    <w:lvl w:ilvl="0" w:tplc="542C7D44">
      <w:start w:val="1"/>
      <w:numFmt w:val="bullet"/>
      <w:lvlText w:val="•"/>
      <w:lvlJc w:val="left"/>
      <w:pPr>
        <w:tabs>
          <w:tab w:val="num" w:pos="720"/>
        </w:tabs>
        <w:ind w:left="720" w:hanging="360"/>
      </w:pPr>
      <w:rPr>
        <w:rFonts w:ascii="Arial" w:hAnsi="Arial" w:hint="default"/>
      </w:rPr>
    </w:lvl>
    <w:lvl w:ilvl="1" w:tplc="3D3815F2" w:tentative="1">
      <w:start w:val="1"/>
      <w:numFmt w:val="bullet"/>
      <w:lvlText w:val="•"/>
      <w:lvlJc w:val="left"/>
      <w:pPr>
        <w:tabs>
          <w:tab w:val="num" w:pos="1440"/>
        </w:tabs>
        <w:ind w:left="1440" w:hanging="360"/>
      </w:pPr>
      <w:rPr>
        <w:rFonts w:ascii="Arial" w:hAnsi="Arial" w:hint="default"/>
      </w:rPr>
    </w:lvl>
    <w:lvl w:ilvl="2" w:tplc="33605DAE" w:tentative="1">
      <w:start w:val="1"/>
      <w:numFmt w:val="bullet"/>
      <w:lvlText w:val="•"/>
      <w:lvlJc w:val="left"/>
      <w:pPr>
        <w:tabs>
          <w:tab w:val="num" w:pos="2160"/>
        </w:tabs>
        <w:ind w:left="2160" w:hanging="360"/>
      </w:pPr>
      <w:rPr>
        <w:rFonts w:ascii="Arial" w:hAnsi="Arial" w:hint="default"/>
      </w:rPr>
    </w:lvl>
    <w:lvl w:ilvl="3" w:tplc="348EA924" w:tentative="1">
      <w:start w:val="1"/>
      <w:numFmt w:val="bullet"/>
      <w:lvlText w:val="•"/>
      <w:lvlJc w:val="left"/>
      <w:pPr>
        <w:tabs>
          <w:tab w:val="num" w:pos="2880"/>
        </w:tabs>
        <w:ind w:left="2880" w:hanging="360"/>
      </w:pPr>
      <w:rPr>
        <w:rFonts w:ascii="Arial" w:hAnsi="Arial" w:hint="default"/>
      </w:rPr>
    </w:lvl>
    <w:lvl w:ilvl="4" w:tplc="7A626A62" w:tentative="1">
      <w:start w:val="1"/>
      <w:numFmt w:val="bullet"/>
      <w:lvlText w:val="•"/>
      <w:lvlJc w:val="left"/>
      <w:pPr>
        <w:tabs>
          <w:tab w:val="num" w:pos="3600"/>
        </w:tabs>
        <w:ind w:left="3600" w:hanging="360"/>
      </w:pPr>
      <w:rPr>
        <w:rFonts w:ascii="Arial" w:hAnsi="Arial" w:hint="default"/>
      </w:rPr>
    </w:lvl>
    <w:lvl w:ilvl="5" w:tplc="A74C9CFA" w:tentative="1">
      <w:start w:val="1"/>
      <w:numFmt w:val="bullet"/>
      <w:lvlText w:val="•"/>
      <w:lvlJc w:val="left"/>
      <w:pPr>
        <w:tabs>
          <w:tab w:val="num" w:pos="4320"/>
        </w:tabs>
        <w:ind w:left="4320" w:hanging="360"/>
      </w:pPr>
      <w:rPr>
        <w:rFonts w:ascii="Arial" w:hAnsi="Arial" w:hint="default"/>
      </w:rPr>
    </w:lvl>
    <w:lvl w:ilvl="6" w:tplc="B12A47C6" w:tentative="1">
      <w:start w:val="1"/>
      <w:numFmt w:val="bullet"/>
      <w:lvlText w:val="•"/>
      <w:lvlJc w:val="left"/>
      <w:pPr>
        <w:tabs>
          <w:tab w:val="num" w:pos="5040"/>
        </w:tabs>
        <w:ind w:left="5040" w:hanging="360"/>
      </w:pPr>
      <w:rPr>
        <w:rFonts w:ascii="Arial" w:hAnsi="Arial" w:hint="default"/>
      </w:rPr>
    </w:lvl>
    <w:lvl w:ilvl="7" w:tplc="DE1466B2" w:tentative="1">
      <w:start w:val="1"/>
      <w:numFmt w:val="bullet"/>
      <w:lvlText w:val="•"/>
      <w:lvlJc w:val="left"/>
      <w:pPr>
        <w:tabs>
          <w:tab w:val="num" w:pos="5760"/>
        </w:tabs>
        <w:ind w:left="5760" w:hanging="360"/>
      </w:pPr>
      <w:rPr>
        <w:rFonts w:ascii="Arial" w:hAnsi="Arial" w:hint="default"/>
      </w:rPr>
    </w:lvl>
    <w:lvl w:ilvl="8" w:tplc="54E081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7C7284"/>
    <w:multiLevelType w:val="hybridMultilevel"/>
    <w:tmpl w:val="265A9226"/>
    <w:lvl w:ilvl="0" w:tplc="43DA7842">
      <w:start w:val="1"/>
      <w:numFmt w:val="bullet"/>
      <w:lvlText w:val="•"/>
      <w:lvlJc w:val="left"/>
      <w:pPr>
        <w:tabs>
          <w:tab w:val="num" w:pos="720"/>
        </w:tabs>
        <w:ind w:left="720" w:hanging="360"/>
      </w:pPr>
      <w:rPr>
        <w:rFonts w:ascii="Arial" w:hAnsi="Arial" w:hint="default"/>
      </w:rPr>
    </w:lvl>
    <w:lvl w:ilvl="1" w:tplc="186C5D8A" w:tentative="1">
      <w:start w:val="1"/>
      <w:numFmt w:val="bullet"/>
      <w:lvlText w:val="•"/>
      <w:lvlJc w:val="left"/>
      <w:pPr>
        <w:tabs>
          <w:tab w:val="num" w:pos="1440"/>
        </w:tabs>
        <w:ind w:left="1440" w:hanging="360"/>
      </w:pPr>
      <w:rPr>
        <w:rFonts w:ascii="Arial" w:hAnsi="Arial" w:hint="default"/>
      </w:rPr>
    </w:lvl>
    <w:lvl w:ilvl="2" w:tplc="D3F62E78" w:tentative="1">
      <w:start w:val="1"/>
      <w:numFmt w:val="bullet"/>
      <w:lvlText w:val="•"/>
      <w:lvlJc w:val="left"/>
      <w:pPr>
        <w:tabs>
          <w:tab w:val="num" w:pos="2160"/>
        </w:tabs>
        <w:ind w:left="2160" w:hanging="360"/>
      </w:pPr>
      <w:rPr>
        <w:rFonts w:ascii="Arial" w:hAnsi="Arial" w:hint="default"/>
      </w:rPr>
    </w:lvl>
    <w:lvl w:ilvl="3" w:tplc="2A6823A6" w:tentative="1">
      <w:start w:val="1"/>
      <w:numFmt w:val="bullet"/>
      <w:lvlText w:val="•"/>
      <w:lvlJc w:val="left"/>
      <w:pPr>
        <w:tabs>
          <w:tab w:val="num" w:pos="2880"/>
        </w:tabs>
        <w:ind w:left="2880" w:hanging="360"/>
      </w:pPr>
      <w:rPr>
        <w:rFonts w:ascii="Arial" w:hAnsi="Arial" w:hint="default"/>
      </w:rPr>
    </w:lvl>
    <w:lvl w:ilvl="4" w:tplc="DE9A44AA" w:tentative="1">
      <w:start w:val="1"/>
      <w:numFmt w:val="bullet"/>
      <w:lvlText w:val="•"/>
      <w:lvlJc w:val="left"/>
      <w:pPr>
        <w:tabs>
          <w:tab w:val="num" w:pos="3600"/>
        </w:tabs>
        <w:ind w:left="3600" w:hanging="360"/>
      </w:pPr>
      <w:rPr>
        <w:rFonts w:ascii="Arial" w:hAnsi="Arial" w:hint="default"/>
      </w:rPr>
    </w:lvl>
    <w:lvl w:ilvl="5" w:tplc="AA54DD10" w:tentative="1">
      <w:start w:val="1"/>
      <w:numFmt w:val="bullet"/>
      <w:lvlText w:val="•"/>
      <w:lvlJc w:val="left"/>
      <w:pPr>
        <w:tabs>
          <w:tab w:val="num" w:pos="4320"/>
        </w:tabs>
        <w:ind w:left="4320" w:hanging="360"/>
      </w:pPr>
      <w:rPr>
        <w:rFonts w:ascii="Arial" w:hAnsi="Arial" w:hint="default"/>
      </w:rPr>
    </w:lvl>
    <w:lvl w:ilvl="6" w:tplc="3ADEA678" w:tentative="1">
      <w:start w:val="1"/>
      <w:numFmt w:val="bullet"/>
      <w:lvlText w:val="•"/>
      <w:lvlJc w:val="left"/>
      <w:pPr>
        <w:tabs>
          <w:tab w:val="num" w:pos="5040"/>
        </w:tabs>
        <w:ind w:left="5040" w:hanging="360"/>
      </w:pPr>
      <w:rPr>
        <w:rFonts w:ascii="Arial" w:hAnsi="Arial" w:hint="default"/>
      </w:rPr>
    </w:lvl>
    <w:lvl w:ilvl="7" w:tplc="D6B0D4DC" w:tentative="1">
      <w:start w:val="1"/>
      <w:numFmt w:val="bullet"/>
      <w:lvlText w:val="•"/>
      <w:lvlJc w:val="left"/>
      <w:pPr>
        <w:tabs>
          <w:tab w:val="num" w:pos="5760"/>
        </w:tabs>
        <w:ind w:left="5760" w:hanging="360"/>
      </w:pPr>
      <w:rPr>
        <w:rFonts w:ascii="Arial" w:hAnsi="Arial" w:hint="default"/>
      </w:rPr>
    </w:lvl>
    <w:lvl w:ilvl="8" w:tplc="9C0CFE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90142E"/>
    <w:multiLevelType w:val="hybridMultilevel"/>
    <w:tmpl w:val="9B467108"/>
    <w:lvl w:ilvl="0" w:tplc="DA9295B0">
      <w:start w:val="1"/>
      <w:numFmt w:val="decimal"/>
      <w:lvlText w:val="%1."/>
      <w:lvlJc w:val="left"/>
      <w:pPr>
        <w:tabs>
          <w:tab w:val="num" w:pos="720"/>
        </w:tabs>
        <w:ind w:left="720" w:hanging="360"/>
      </w:pPr>
    </w:lvl>
    <w:lvl w:ilvl="1" w:tplc="0DAA7B0A" w:tentative="1">
      <w:start w:val="1"/>
      <w:numFmt w:val="decimal"/>
      <w:lvlText w:val="%2."/>
      <w:lvlJc w:val="left"/>
      <w:pPr>
        <w:tabs>
          <w:tab w:val="num" w:pos="1440"/>
        </w:tabs>
        <w:ind w:left="1440" w:hanging="360"/>
      </w:pPr>
    </w:lvl>
    <w:lvl w:ilvl="2" w:tplc="CDA84E2A" w:tentative="1">
      <w:start w:val="1"/>
      <w:numFmt w:val="decimal"/>
      <w:lvlText w:val="%3."/>
      <w:lvlJc w:val="left"/>
      <w:pPr>
        <w:tabs>
          <w:tab w:val="num" w:pos="2160"/>
        </w:tabs>
        <w:ind w:left="2160" w:hanging="360"/>
      </w:pPr>
    </w:lvl>
    <w:lvl w:ilvl="3" w:tplc="0B922462" w:tentative="1">
      <w:start w:val="1"/>
      <w:numFmt w:val="decimal"/>
      <w:lvlText w:val="%4."/>
      <w:lvlJc w:val="left"/>
      <w:pPr>
        <w:tabs>
          <w:tab w:val="num" w:pos="2880"/>
        </w:tabs>
        <w:ind w:left="2880" w:hanging="360"/>
      </w:pPr>
    </w:lvl>
    <w:lvl w:ilvl="4" w:tplc="43CAFF1C" w:tentative="1">
      <w:start w:val="1"/>
      <w:numFmt w:val="decimal"/>
      <w:lvlText w:val="%5."/>
      <w:lvlJc w:val="left"/>
      <w:pPr>
        <w:tabs>
          <w:tab w:val="num" w:pos="3600"/>
        </w:tabs>
        <w:ind w:left="3600" w:hanging="360"/>
      </w:pPr>
    </w:lvl>
    <w:lvl w:ilvl="5" w:tplc="6AD00672" w:tentative="1">
      <w:start w:val="1"/>
      <w:numFmt w:val="decimal"/>
      <w:lvlText w:val="%6."/>
      <w:lvlJc w:val="left"/>
      <w:pPr>
        <w:tabs>
          <w:tab w:val="num" w:pos="4320"/>
        </w:tabs>
        <w:ind w:left="4320" w:hanging="360"/>
      </w:pPr>
    </w:lvl>
    <w:lvl w:ilvl="6" w:tplc="AA26EDFE" w:tentative="1">
      <w:start w:val="1"/>
      <w:numFmt w:val="decimal"/>
      <w:lvlText w:val="%7."/>
      <w:lvlJc w:val="left"/>
      <w:pPr>
        <w:tabs>
          <w:tab w:val="num" w:pos="5040"/>
        </w:tabs>
        <w:ind w:left="5040" w:hanging="360"/>
      </w:pPr>
    </w:lvl>
    <w:lvl w:ilvl="7" w:tplc="F000E4AE" w:tentative="1">
      <w:start w:val="1"/>
      <w:numFmt w:val="decimal"/>
      <w:lvlText w:val="%8."/>
      <w:lvlJc w:val="left"/>
      <w:pPr>
        <w:tabs>
          <w:tab w:val="num" w:pos="5760"/>
        </w:tabs>
        <w:ind w:left="5760" w:hanging="360"/>
      </w:pPr>
    </w:lvl>
    <w:lvl w:ilvl="8" w:tplc="9B269370" w:tentative="1">
      <w:start w:val="1"/>
      <w:numFmt w:val="decimal"/>
      <w:lvlText w:val="%9."/>
      <w:lvlJc w:val="left"/>
      <w:pPr>
        <w:tabs>
          <w:tab w:val="num" w:pos="6480"/>
        </w:tabs>
        <w:ind w:left="6480" w:hanging="360"/>
      </w:pPr>
    </w:lvl>
  </w:abstractNum>
  <w:abstractNum w:abstractNumId="3" w15:restartNumberingAfterBreak="0">
    <w:nsid w:val="50CE2721"/>
    <w:multiLevelType w:val="hybridMultilevel"/>
    <w:tmpl w:val="AD4A5F54"/>
    <w:lvl w:ilvl="0" w:tplc="B164C13A">
      <w:start w:val="1"/>
      <w:numFmt w:val="bullet"/>
      <w:lvlText w:val="•"/>
      <w:lvlJc w:val="left"/>
      <w:pPr>
        <w:tabs>
          <w:tab w:val="num" w:pos="720"/>
        </w:tabs>
        <w:ind w:left="720" w:hanging="360"/>
      </w:pPr>
      <w:rPr>
        <w:rFonts w:ascii="Arial" w:hAnsi="Arial" w:hint="default"/>
      </w:rPr>
    </w:lvl>
    <w:lvl w:ilvl="1" w:tplc="5E6851CE" w:tentative="1">
      <w:start w:val="1"/>
      <w:numFmt w:val="bullet"/>
      <w:lvlText w:val="•"/>
      <w:lvlJc w:val="left"/>
      <w:pPr>
        <w:tabs>
          <w:tab w:val="num" w:pos="1440"/>
        </w:tabs>
        <w:ind w:left="1440" w:hanging="360"/>
      </w:pPr>
      <w:rPr>
        <w:rFonts w:ascii="Arial" w:hAnsi="Arial" w:hint="default"/>
      </w:rPr>
    </w:lvl>
    <w:lvl w:ilvl="2" w:tplc="C1EC094A" w:tentative="1">
      <w:start w:val="1"/>
      <w:numFmt w:val="bullet"/>
      <w:lvlText w:val="•"/>
      <w:lvlJc w:val="left"/>
      <w:pPr>
        <w:tabs>
          <w:tab w:val="num" w:pos="2160"/>
        </w:tabs>
        <w:ind w:left="2160" w:hanging="360"/>
      </w:pPr>
      <w:rPr>
        <w:rFonts w:ascii="Arial" w:hAnsi="Arial" w:hint="default"/>
      </w:rPr>
    </w:lvl>
    <w:lvl w:ilvl="3" w:tplc="99608C26" w:tentative="1">
      <w:start w:val="1"/>
      <w:numFmt w:val="bullet"/>
      <w:lvlText w:val="•"/>
      <w:lvlJc w:val="left"/>
      <w:pPr>
        <w:tabs>
          <w:tab w:val="num" w:pos="2880"/>
        </w:tabs>
        <w:ind w:left="2880" w:hanging="360"/>
      </w:pPr>
      <w:rPr>
        <w:rFonts w:ascii="Arial" w:hAnsi="Arial" w:hint="default"/>
      </w:rPr>
    </w:lvl>
    <w:lvl w:ilvl="4" w:tplc="036A459A" w:tentative="1">
      <w:start w:val="1"/>
      <w:numFmt w:val="bullet"/>
      <w:lvlText w:val="•"/>
      <w:lvlJc w:val="left"/>
      <w:pPr>
        <w:tabs>
          <w:tab w:val="num" w:pos="3600"/>
        </w:tabs>
        <w:ind w:left="3600" w:hanging="360"/>
      </w:pPr>
      <w:rPr>
        <w:rFonts w:ascii="Arial" w:hAnsi="Arial" w:hint="default"/>
      </w:rPr>
    </w:lvl>
    <w:lvl w:ilvl="5" w:tplc="77FA4A84" w:tentative="1">
      <w:start w:val="1"/>
      <w:numFmt w:val="bullet"/>
      <w:lvlText w:val="•"/>
      <w:lvlJc w:val="left"/>
      <w:pPr>
        <w:tabs>
          <w:tab w:val="num" w:pos="4320"/>
        </w:tabs>
        <w:ind w:left="4320" w:hanging="360"/>
      </w:pPr>
      <w:rPr>
        <w:rFonts w:ascii="Arial" w:hAnsi="Arial" w:hint="default"/>
      </w:rPr>
    </w:lvl>
    <w:lvl w:ilvl="6" w:tplc="1986906E" w:tentative="1">
      <w:start w:val="1"/>
      <w:numFmt w:val="bullet"/>
      <w:lvlText w:val="•"/>
      <w:lvlJc w:val="left"/>
      <w:pPr>
        <w:tabs>
          <w:tab w:val="num" w:pos="5040"/>
        </w:tabs>
        <w:ind w:left="5040" w:hanging="360"/>
      </w:pPr>
      <w:rPr>
        <w:rFonts w:ascii="Arial" w:hAnsi="Arial" w:hint="default"/>
      </w:rPr>
    </w:lvl>
    <w:lvl w:ilvl="7" w:tplc="2FDA3C04" w:tentative="1">
      <w:start w:val="1"/>
      <w:numFmt w:val="bullet"/>
      <w:lvlText w:val="•"/>
      <w:lvlJc w:val="left"/>
      <w:pPr>
        <w:tabs>
          <w:tab w:val="num" w:pos="5760"/>
        </w:tabs>
        <w:ind w:left="5760" w:hanging="360"/>
      </w:pPr>
      <w:rPr>
        <w:rFonts w:ascii="Arial" w:hAnsi="Arial" w:hint="default"/>
      </w:rPr>
    </w:lvl>
    <w:lvl w:ilvl="8" w:tplc="F6E8E2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EF14DB"/>
    <w:multiLevelType w:val="hybridMultilevel"/>
    <w:tmpl w:val="F72A94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406D01"/>
    <w:multiLevelType w:val="hybridMultilevel"/>
    <w:tmpl w:val="337ED6EC"/>
    <w:lvl w:ilvl="0" w:tplc="BE6CD52C">
      <w:start w:val="1"/>
      <w:numFmt w:val="bullet"/>
      <w:lvlText w:val="-"/>
      <w:lvlJc w:val="left"/>
      <w:pPr>
        <w:tabs>
          <w:tab w:val="num" w:pos="720"/>
        </w:tabs>
        <w:ind w:left="720" w:hanging="360"/>
      </w:pPr>
      <w:rPr>
        <w:rFonts w:ascii="Times New Roman" w:hAnsi="Times New Roman" w:hint="default"/>
      </w:rPr>
    </w:lvl>
    <w:lvl w:ilvl="1" w:tplc="B53A1E10" w:tentative="1">
      <w:start w:val="1"/>
      <w:numFmt w:val="bullet"/>
      <w:lvlText w:val="-"/>
      <w:lvlJc w:val="left"/>
      <w:pPr>
        <w:tabs>
          <w:tab w:val="num" w:pos="1440"/>
        </w:tabs>
        <w:ind w:left="1440" w:hanging="360"/>
      </w:pPr>
      <w:rPr>
        <w:rFonts w:ascii="Times New Roman" w:hAnsi="Times New Roman" w:hint="default"/>
      </w:rPr>
    </w:lvl>
    <w:lvl w:ilvl="2" w:tplc="94CE0C3A" w:tentative="1">
      <w:start w:val="1"/>
      <w:numFmt w:val="bullet"/>
      <w:lvlText w:val="-"/>
      <w:lvlJc w:val="left"/>
      <w:pPr>
        <w:tabs>
          <w:tab w:val="num" w:pos="2160"/>
        </w:tabs>
        <w:ind w:left="2160" w:hanging="360"/>
      </w:pPr>
      <w:rPr>
        <w:rFonts w:ascii="Times New Roman" w:hAnsi="Times New Roman" w:hint="default"/>
      </w:rPr>
    </w:lvl>
    <w:lvl w:ilvl="3" w:tplc="601EF8E8" w:tentative="1">
      <w:start w:val="1"/>
      <w:numFmt w:val="bullet"/>
      <w:lvlText w:val="-"/>
      <w:lvlJc w:val="left"/>
      <w:pPr>
        <w:tabs>
          <w:tab w:val="num" w:pos="2880"/>
        </w:tabs>
        <w:ind w:left="2880" w:hanging="360"/>
      </w:pPr>
      <w:rPr>
        <w:rFonts w:ascii="Times New Roman" w:hAnsi="Times New Roman" w:hint="default"/>
      </w:rPr>
    </w:lvl>
    <w:lvl w:ilvl="4" w:tplc="9316312A" w:tentative="1">
      <w:start w:val="1"/>
      <w:numFmt w:val="bullet"/>
      <w:lvlText w:val="-"/>
      <w:lvlJc w:val="left"/>
      <w:pPr>
        <w:tabs>
          <w:tab w:val="num" w:pos="3600"/>
        </w:tabs>
        <w:ind w:left="3600" w:hanging="360"/>
      </w:pPr>
      <w:rPr>
        <w:rFonts w:ascii="Times New Roman" w:hAnsi="Times New Roman" w:hint="default"/>
      </w:rPr>
    </w:lvl>
    <w:lvl w:ilvl="5" w:tplc="8D3EFE02" w:tentative="1">
      <w:start w:val="1"/>
      <w:numFmt w:val="bullet"/>
      <w:lvlText w:val="-"/>
      <w:lvlJc w:val="left"/>
      <w:pPr>
        <w:tabs>
          <w:tab w:val="num" w:pos="4320"/>
        </w:tabs>
        <w:ind w:left="4320" w:hanging="360"/>
      </w:pPr>
      <w:rPr>
        <w:rFonts w:ascii="Times New Roman" w:hAnsi="Times New Roman" w:hint="default"/>
      </w:rPr>
    </w:lvl>
    <w:lvl w:ilvl="6" w:tplc="22102D08" w:tentative="1">
      <w:start w:val="1"/>
      <w:numFmt w:val="bullet"/>
      <w:lvlText w:val="-"/>
      <w:lvlJc w:val="left"/>
      <w:pPr>
        <w:tabs>
          <w:tab w:val="num" w:pos="5040"/>
        </w:tabs>
        <w:ind w:left="5040" w:hanging="360"/>
      </w:pPr>
      <w:rPr>
        <w:rFonts w:ascii="Times New Roman" w:hAnsi="Times New Roman" w:hint="default"/>
      </w:rPr>
    </w:lvl>
    <w:lvl w:ilvl="7" w:tplc="E2F2052A" w:tentative="1">
      <w:start w:val="1"/>
      <w:numFmt w:val="bullet"/>
      <w:lvlText w:val="-"/>
      <w:lvlJc w:val="left"/>
      <w:pPr>
        <w:tabs>
          <w:tab w:val="num" w:pos="5760"/>
        </w:tabs>
        <w:ind w:left="5760" w:hanging="360"/>
      </w:pPr>
      <w:rPr>
        <w:rFonts w:ascii="Times New Roman" w:hAnsi="Times New Roman" w:hint="default"/>
      </w:rPr>
    </w:lvl>
    <w:lvl w:ilvl="8" w:tplc="70C225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D00BBC"/>
    <w:multiLevelType w:val="hybridMultilevel"/>
    <w:tmpl w:val="D91A48EA"/>
    <w:lvl w:ilvl="0" w:tplc="B370766E">
      <w:start w:val="1"/>
      <w:numFmt w:val="bullet"/>
      <w:lvlText w:val="•"/>
      <w:lvlJc w:val="left"/>
      <w:pPr>
        <w:tabs>
          <w:tab w:val="num" w:pos="720"/>
        </w:tabs>
        <w:ind w:left="720" w:hanging="360"/>
      </w:pPr>
      <w:rPr>
        <w:rFonts w:ascii="Arial" w:hAnsi="Arial" w:hint="default"/>
      </w:rPr>
    </w:lvl>
    <w:lvl w:ilvl="1" w:tplc="B840ECF2" w:tentative="1">
      <w:start w:val="1"/>
      <w:numFmt w:val="bullet"/>
      <w:lvlText w:val="•"/>
      <w:lvlJc w:val="left"/>
      <w:pPr>
        <w:tabs>
          <w:tab w:val="num" w:pos="1440"/>
        </w:tabs>
        <w:ind w:left="1440" w:hanging="360"/>
      </w:pPr>
      <w:rPr>
        <w:rFonts w:ascii="Arial" w:hAnsi="Arial" w:hint="default"/>
      </w:rPr>
    </w:lvl>
    <w:lvl w:ilvl="2" w:tplc="948E8220" w:tentative="1">
      <w:start w:val="1"/>
      <w:numFmt w:val="bullet"/>
      <w:lvlText w:val="•"/>
      <w:lvlJc w:val="left"/>
      <w:pPr>
        <w:tabs>
          <w:tab w:val="num" w:pos="2160"/>
        </w:tabs>
        <w:ind w:left="2160" w:hanging="360"/>
      </w:pPr>
      <w:rPr>
        <w:rFonts w:ascii="Arial" w:hAnsi="Arial" w:hint="default"/>
      </w:rPr>
    </w:lvl>
    <w:lvl w:ilvl="3" w:tplc="A6AEF32C" w:tentative="1">
      <w:start w:val="1"/>
      <w:numFmt w:val="bullet"/>
      <w:lvlText w:val="•"/>
      <w:lvlJc w:val="left"/>
      <w:pPr>
        <w:tabs>
          <w:tab w:val="num" w:pos="2880"/>
        </w:tabs>
        <w:ind w:left="2880" w:hanging="360"/>
      </w:pPr>
      <w:rPr>
        <w:rFonts w:ascii="Arial" w:hAnsi="Arial" w:hint="default"/>
      </w:rPr>
    </w:lvl>
    <w:lvl w:ilvl="4" w:tplc="78780CC4" w:tentative="1">
      <w:start w:val="1"/>
      <w:numFmt w:val="bullet"/>
      <w:lvlText w:val="•"/>
      <w:lvlJc w:val="left"/>
      <w:pPr>
        <w:tabs>
          <w:tab w:val="num" w:pos="3600"/>
        </w:tabs>
        <w:ind w:left="3600" w:hanging="360"/>
      </w:pPr>
      <w:rPr>
        <w:rFonts w:ascii="Arial" w:hAnsi="Arial" w:hint="default"/>
      </w:rPr>
    </w:lvl>
    <w:lvl w:ilvl="5" w:tplc="F8684654" w:tentative="1">
      <w:start w:val="1"/>
      <w:numFmt w:val="bullet"/>
      <w:lvlText w:val="•"/>
      <w:lvlJc w:val="left"/>
      <w:pPr>
        <w:tabs>
          <w:tab w:val="num" w:pos="4320"/>
        </w:tabs>
        <w:ind w:left="4320" w:hanging="360"/>
      </w:pPr>
      <w:rPr>
        <w:rFonts w:ascii="Arial" w:hAnsi="Arial" w:hint="default"/>
      </w:rPr>
    </w:lvl>
    <w:lvl w:ilvl="6" w:tplc="6826DBC6" w:tentative="1">
      <w:start w:val="1"/>
      <w:numFmt w:val="bullet"/>
      <w:lvlText w:val="•"/>
      <w:lvlJc w:val="left"/>
      <w:pPr>
        <w:tabs>
          <w:tab w:val="num" w:pos="5040"/>
        </w:tabs>
        <w:ind w:left="5040" w:hanging="360"/>
      </w:pPr>
      <w:rPr>
        <w:rFonts w:ascii="Arial" w:hAnsi="Arial" w:hint="default"/>
      </w:rPr>
    </w:lvl>
    <w:lvl w:ilvl="7" w:tplc="D2DCDD8C" w:tentative="1">
      <w:start w:val="1"/>
      <w:numFmt w:val="bullet"/>
      <w:lvlText w:val="•"/>
      <w:lvlJc w:val="left"/>
      <w:pPr>
        <w:tabs>
          <w:tab w:val="num" w:pos="5760"/>
        </w:tabs>
        <w:ind w:left="5760" w:hanging="360"/>
      </w:pPr>
      <w:rPr>
        <w:rFonts w:ascii="Arial" w:hAnsi="Arial" w:hint="default"/>
      </w:rPr>
    </w:lvl>
    <w:lvl w:ilvl="8" w:tplc="C038DE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3E7535"/>
    <w:multiLevelType w:val="hybridMultilevel"/>
    <w:tmpl w:val="3026766C"/>
    <w:lvl w:ilvl="0" w:tplc="7368B674">
      <w:start w:val="1"/>
      <w:numFmt w:val="decimal"/>
      <w:lvlText w:val="%1."/>
      <w:lvlJc w:val="left"/>
      <w:pPr>
        <w:ind w:left="360" w:hanging="360"/>
      </w:pPr>
      <w:rPr>
        <w:color w:val="30905F"/>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67"/>
    <w:rsid w:val="00003E62"/>
    <w:rsid w:val="000121E0"/>
    <w:rsid w:val="00016A32"/>
    <w:rsid w:val="00033778"/>
    <w:rsid w:val="000501B3"/>
    <w:rsid w:val="00087CBB"/>
    <w:rsid w:val="000D0C77"/>
    <w:rsid w:val="00100A60"/>
    <w:rsid w:val="001029BE"/>
    <w:rsid w:val="00120FAD"/>
    <w:rsid w:val="001514B3"/>
    <w:rsid w:val="001A45C3"/>
    <w:rsid w:val="001B4D7B"/>
    <w:rsid w:val="002423EB"/>
    <w:rsid w:val="00242BCA"/>
    <w:rsid w:val="00273D3C"/>
    <w:rsid w:val="002A5A1A"/>
    <w:rsid w:val="002E36EC"/>
    <w:rsid w:val="002E5579"/>
    <w:rsid w:val="00311739"/>
    <w:rsid w:val="0031545F"/>
    <w:rsid w:val="0039374F"/>
    <w:rsid w:val="003C1E77"/>
    <w:rsid w:val="003D1C7A"/>
    <w:rsid w:val="003E373D"/>
    <w:rsid w:val="00404AD5"/>
    <w:rsid w:val="00420EB8"/>
    <w:rsid w:val="00437FE7"/>
    <w:rsid w:val="00471316"/>
    <w:rsid w:val="0047316E"/>
    <w:rsid w:val="004F1909"/>
    <w:rsid w:val="004F276D"/>
    <w:rsid w:val="0052587B"/>
    <w:rsid w:val="00525AAA"/>
    <w:rsid w:val="00541D88"/>
    <w:rsid w:val="00552920"/>
    <w:rsid w:val="005A26D4"/>
    <w:rsid w:val="005A3730"/>
    <w:rsid w:val="005C1F9F"/>
    <w:rsid w:val="00620433"/>
    <w:rsid w:val="0062667A"/>
    <w:rsid w:val="00627767"/>
    <w:rsid w:val="006725A8"/>
    <w:rsid w:val="00682813"/>
    <w:rsid w:val="00683A49"/>
    <w:rsid w:val="006860FF"/>
    <w:rsid w:val="00687B59"/>
    <w:rsid w:val="006A425F"/>
    <w:rsid w:val="006B07DB"/>
    <w:rsid w:val="006D567E"/>
    <w:rsid w:val="006E3783"/>
    <w:rsid w:val="00756629"/>
    <w:rsid w:val="0076118B"/>
    <w:rsid w:val="007966DE"/>
    <w:rsid w:val="007A7537"/>
    <w:rsid w:val="0084745D"/>
    <w:rsid w:val="008854DA"/>
    <w:rsid w:val="008961BD"/>
    <w:rsid w:val="008C4D4E"/>
    <w:rsid w:val="008C5046"/>
    <w:rsid w:val="008E1B40"/>
    <w:rsid w:val="009459EA"/>
    <w:rsid w:val="00953873"/>
    <w:rsid w:val="00973722"/>
    <w:rsid w:val="00994EC3"/>
    <w:rsid w:val="009B425B"/>
    <w:rsid w:val="009B4A52"/>
    <w:rsid w:val="00A40312"/>
    <w:rsid w:val="00AA44A2"/>
    <w:rsid w:val="00AF55AB"/>
    <w:rsid w:val="00B121F5"/>
    <w:rsid w:val="00B12D40"/>
    <w:rsid w:val="00B52DEC"/>
    <w:rsid w:val="00B612A3"/>
    <w:rsid w:val="00BA3489"/>
    <w:rsid w:val="00BA5A7C"/>
    <w:rsid w:val="00BB4A20"/>
    <w:rsid w:val="00BE39C0"/>
    <w:rsid w:val="00C06127"/>
    <w:rsid w:val="00C166C9"/>
    <w:rsid w:val="00C24E37"/>
    <w:rsid w:val="00C33908"/>
    <w:rsid w:val="00C57282"/>
    <w:rsid w:val="00C6558E"/>
    <w:rsid w:val="00CF22F2"/>
    <w:rsid w:val="00D02366"/>
    <w:rsid w:val="00D1082D"/>
    <w:rsid w:val="00D11C54"/>
    <w:rsid w:val="00D14F15"/>
    <w:rsid w:val="00D1734E"/>
    <w:rsid w:val="00D54E66"/>
    <w:rsid w:val="00D76454"/>
    <w:rsid w:val="00D85C64"/>
    <w:rsid w:val="00D91D9D"/>
    <w:rsid w:val="00D94815"/>
    <w:rsid w:val="00DC2C93"/>
    <w:rsid w:val="00E20904"/>
    <w:rsid w:val="00E308D0"/>
    <w:rsid w:val="00E473FB"/>
    <w:rsid w:val="00E64B98"/>
    <w:rsid w:val="00E66253"/>
    <w:rsid w:val="00EA79EE"/>
    <w:rsid w:val="00EB0010"/>
    <w:rsid w:val="00EC056F"/>
    <w:rsid w:val="00EC2B4D"/>
    <w:rsid w:val="00F331C6"/>
    <w:rsid w:val="00F3494B"/>
    <w:rsid w:val="00F35A4D"/>
    <w:rsid w:val="00FB7767"/>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2AD6"/>
  <w15:chartTrackingRefBased/>
  <w15:docId w15:val="{40A1933C-6D66-4A6B-B9B1-E2C59D49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27767"/>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7767"/>
    <w:pPr>
      <w:ind w:left="720"/>
      <w:contextualSpacing/>
    </w:pPr>
  </w:style>
  <w:style w:type="paragraph" w:styleId="Normlnweb">
    <w:name w:val="Normal (Web)"/>
    <w:basedOn w:val="Normln"/>
    <w:uiPriority w:val="99"/>
    <w:semiHidden/>
    <w:unhideWhenUsed/>
    <w:rsid w:val="0084745D"/>
    <w:pPr>
      <w:spacing w:before="100" w:beforeAutospacing="1" w:after="100" w:afterAutospacing="1"/>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683A4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3A49"/>
    <w:rPr>
      <w:rFonts w:ascii="Segoe UI" w:hAnsi="Segoe UI" w:cs="Segoe UI"/>
      <w:sz w:val="18"/>
      <w:szCs w:val="18"/>
      <w:lang w:eastAsia="cs-CZ"/>
    </w:rPr>
  </w:style>
  <w:style w:type="character" w:styleId="Odkaznakoment">
    <w:name w:val="annotation reference"/>
    <w:basedOn w:val="Standardnpsmoodstavce"/>
    <w:uiPriority w:val="99"/>
    <w:semiHidden/>
    <w:unhideWhenUsed/>
    <w:rsid w:val="002E5579"/>
    <w:rPr>
      <w:sz w:val="16"/>
      <w:szCs w:val="16"/>
    </w:rPr>
  </w:style>
  <w:style w:type="paragraph" w:styleId="Textkomente">
    <w:name w:val="annotation text"/>
    <w:basedOn w:val="Normln"/>
    <w:link w:val="TextkomenteChar"/>
    <w:uiPriority w:val="99"/>
    <w:semiHidden/>
    <w:unhideWhenUsed/>
    <w:rsid w:val="002E5579"/>
    <w:rPr>
      <w:sz w:val="20"/>
      <w:szCs w:val="20"/>
    </w:rPr>
  </w:style>
  <w:style w:type="character" w:customStyle="1" w:styleId="TextkomenteChar">
    <w:name w:val="Text komentáře Char"/>
    <w:basedOn w:val="Standardnpsmoodstavce"/>
    <w:link w:val="Textkomente"/>
    <w:uiPriority w:val="99"/>
    <w:semiHidden/>
    <w:rsid w:val="002E5579"/>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2E5579"/>
    <w:rPr>
      <w:b/>
      <w:bCs/>
    </w:rPr>
  </w:style>
  <w:style w:type="character" w:customStyle="1" w:styleId="PedmtkomenteChar">
    <w:name w:val="Předmět komentáře Char"/>
    <w:basedOn w:val="TextkomenteChar"/>
    <w:link w:val="Pedmtkomente"/>
    <w:uiPriority w:val="99"/>
    <w:semiHidden/>
    <w:rsid w:val="002E5579"/>
    <w:rPr>
      <w:rFonts w:ascii="Calibri" w:hAnsi="Calibri" w:cs="Calibri"/>
      <w:b/>
      <w:bCs/>
      <w:sz w:val="20"/>
      <w:szCs w:val="20"/>
      <w:lang w:eastAsia="cs-CZ"/>
    </w:rPr>
  </w:style>
  <w:style w:type="paragraph" w:styleId="Zhlav">
    <w:name w:val="header"/>
    <w:basedOn w:val="Normln"/>
    <w:link w:val="ZhlavChar"/>
    <w:uiPriority w:val="99"/>
    <w:unhideWhenUsed/>
    <w:rsid w:val="00242BCA"/>
    <w:pPr>
      <w:tabs>
        <w:tab w:val="center" w:pos="4536"/>
        <w:tab w:val="right" w:pos="9072"/>
      </w:tabs>
    </w:pPr>
  </w:style>
  <w:style w:type="character" w:customStyle="1" w:styleId="ZhlavChar">
    <w:name w:val="Záhlaví Char"/>
    <w:basedOn w:val="Standardnpsmoodstavce"/>
    <w:link w:val="Zhlav"/>
    <w:uiPriority w:val="99"/>
    <w:rsid w:val="00242BCA"/>
    <w:rPr>
      <w:rFonts w:ascii="Calibri" w:hAnsi="Calibri" w:cs="Calibri"/>
      <w:lang w:eastAsia="cs-CZ"/>
    </w:rPr>
  </w:style>
  <w:style w:type="paragraph" w:styleId="Zpat">
    <w:name w:val="footer"/>
    <w:basedOn w:val="Normln"/>
    <w:link w:val="ZpatChar"/>
    <w:uiPriority w:val="99"/>
    <w:unhideWhenUsed/>
    <w:rsid w:val="00242BCA"/>
    <w:pPr>
      <w:tabs>
        <w:tab w:val="center" w:pos="4536"/>
        <w:tab w:val="right" w:pos="9072"/>
      </w:tabs>
    </w:pPr>
  </w:style>
  <w:style w:type="character" w:customStyle="1" w:styleId="ZpatChar">
    <w:name w:val="Zápatí Char"/>
    <w:basedOn w:val="Standardnpsmoodstavce"/>
    <w:link w:val="Zpat"/>
    <w:uiPriority w:val="99"/>
    <w:rsid w:val="00242BCA"/>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057">
      <w:bodyDiv w:val="1"/>
      <w:marLeft w:val="0"/>
      <w:marRight w:val="0"/>
      <w:marTop w:val="0"/>
      <w:marBottom w:val="0"/>
      <w:divBdr>
        <w:top w:val="none" w:sz="0" w:space="0" w:color="auto"/>
        <w:left w:val="none" w:sz="0" w:space="0" w:color="auto"/>
        <w:bottom w:val="none" w:sz="0" w:space="0" w:color="auto"/>
        <w:right w:val="none" w:sz="0" w:space="0" w:color="auto"/>
      </w:divBdr>
      <w:divsChild>
        <w:div w:id="1068109322">
          <w:marLeft w:val="634"/>
          <w:marRight w:val="0"/>
          <w:marTop w:val="86"/>
          <w:marBottom w:val="0"/>
          <w:divBdr>
            <w:top w:val="none" w:sz="0" w:space="0" w:color="auto"/>
            <w:left w:val="none" w:sz="0" w:space="0" w:color="auto"/>
            <w:bottom w:val="none" w:sz="0" w:space="0" w:color="auto"/>
            <w:right w:val="none" w:sz="0" w:space="0" w:color="auto"/>
          </w:divBdr>
        </w:div>
        <w:div w:id="1236159810">
          <w:marLeft w:val="634"/>
          <w:marRight w:val="0"/>
          <w:marTop w:val="86"/>
          <w:marBottom w:val="0"/>
          <w:divBdr>
            <w:top w:val="none" w:sz="0" w:space="0" w:color="auto"/>
            <w:left w:val="none" w:sz="0" w:space="0" w:color="auto"/>
            <w:bottom w:val="none" w:sz="0" w:space="0" w:color="auto"/>
            <w:right w:val="none" w:sz="0" w:space="0" w:color="auto"/>
          </w:divBdr>
        </w:div>
      </w:divsChild>
    </w:div>
    <w:div w:id="226258728">
      <w:bodyDiv w:val="1"/>
      <w:marLeft w:val="0"/>
      <w:marRight w:val="0"/>
      <w:marTop w:val="0"/>
      <w:marBottom w:val="0"/>
      <w:divBdr>
        <w:top w:val="none" w:sz="0" w:space="0" w:color="auto"/>
        <w:left w:val="none" w:sz="0" w:space="0" w:color="auto"/>
        <w:bottom w:val="none" w:sz="0" w:space="0" w:color="auto"/>
        <w:right w:val="none" w:sz="0" w:space="0" w:color="auto"/>
      </w:divBdr>
      <w:divsChild>
        <w:div w:id="1996371692">
          <w:marLeft w:val="547"/>
          <w:marRight w:val="0"/>
          <w:marTop w:val="115"/>
          <w:marBottom w:val="0"/>
          <w:divBdr>
            <w:top w:val="none" w:sz="0" w:space="0" w:color="auto"/>
            <w:left w:val="none" w:sz="0" w:space="0" w:color="auto"/>
            <w:bottom w:val="none" w:sz="0" w:space="0" w:color="auto"/>
            <w:right w:val="none" w:sz="0" w:space="0" w:color="auto"/>
          </w:divBdr>
        </w:div>
        <w:div w:id="1660035331">
          <w:marLeft w:val="547"/>
          <w:marRight w:val="0"/>
          <w:marTop w:val="115"/>
          <w:marBottom w:val="0"/>
          <w:divBdr>
            <w:top w:val="none" w:sz="0" w:space="0" w:color="auto"/>
            <w:left w:val="none" w:sz="0" w:space="0" w:color="auto"/>
            <w:bottom w:val="none" w:sz="0" w:space="0" w:color="auto"/>
            <w:right w:val="none" w:sz="0" w:space="0" w:color="auto"/>
          </w:divBdr>
        </w:div>
        <w:div w:id="1530683120">
          <w:marLeft w:val="547"/>
          <w:marRight w:val="0"/>
          <w:marTop w:val="115"/>
          <w:marBottom w:val="0"/>
          <w:divBdr>
            <w:top w:val="none" w:sz="0" w:space="0" w:color="auto"/>
            <w:left w:val="none" w:sz="0" w:space="0" w:color="auto"/>
            <w:bottom w:val="none" w:sz="0" w:space="0" w:color="auto"/>
            <w:right w:val="none" w:sz="0" w:space="0" w:color="auto"/>
          </w:divBdr>
        </w:div>
        <w:div w:id="1683779422">
          <w:marLeft w:val="547"/>
          <w:marRight w:val="0"/>
          <w:marTop w:val="115"/>
          <w:marBottom w:val="0"/>
          <w:divBdr>
            <w:top w:val="none" w:sz="0" w:space="0" w:color="auto"/>
            <w:left w:val="none" w:sz="0" w:space="0" w:color="auto"/>
            <w:bottom w:val="none" w:sz="0" w:space="0" w:color="auto"/>
            <w:right w:val="none" w:sz="0" w:space="0" w:color="auto"/>
          </w:divBdr>
        </w:div>
      </w:divsChild>
    </w:div>
    <w:div w:id="486358956">
      <w:bodyDiv w:val="1"/>
      <w:marLeft w:val="0"/>
      <w:marRight w:val="0"/>
      <w:marTop w:val="0"/>
      <w:marBottom w:val="0"/>
      <w:divBdr>
        <w:top w:val="none" w:sz="0" w:space="0" w:color="auto"/>
        <w:left w:val="none" w:sz="0" w:space="0" w:color="auto"/>
        <w:bottom w:val="none" w:sz="0" w:space="0" w:color="auto"/>
        <w:right w:val="none" w:sz="0" w:space="0" w:color="auto"/>
      </w:divBdr>
      <w:divsChild>
        <w:div w:id="941837884">
          <w:marLeft w:val="547"/>
          <w:marRight w:val="0"/>
          <w:marTop w:val="120"/>
          <w:marBottom w:val="0"/>
          <w:divBdr>
            <w:top w:val="none" w:sz="0" w:space="0" w:color="auto"/>
            <w:left w:val="none" w:sz="0" w:space="0" w:color="auto"/>
            <w:bottom w:val="none" w:sz="0" w:space="0" w:color="auto"/>
            <w:right w:val="none" w:sz="0" w:space="0" w:color="auto"/>
          </w:divBdr>
        </w:div>
        <w:div w:id="361057450">
          <w:marLeft w:val="547"/>
          <w:marRight w:val="0"/>
          <w:marTop w:val="120"/>
          <w:marBottom w:val="0"/>
          <w:divBdr>
            <w:top w:val="none" w:sz="0" w:space="0" w:color="auto"/>
            <w:left w:val="none" w:sz="0" w:space="0" w:color="auto"/>
            <w:bottom w:val="none" w:sz="0" w:space="0" w:color="auto"/>
            <w:right w:val="none" w:sz="0" w:space="0" w:color="auto"/>
          </w:divBdr>
        </w:div>
        <w:div w:id="117652208">
          <w:marLeft w:val="547"/>
          <w:marRight w:val="0"/>
          <w:marTop w:val="120"/>
          <w:marBottom w:val="0"/>
          <w:divBdr>
            <w:top w:val="none" w:sz="0" w:space="0" w:color="auto"/>
            <w:left w:val="none" w:sz="0" w:space="0" w:color="auto"/>
            <w:bottom w:val="none" w:sz="0" w:space="0" w:color="auto"/>
            <w:right w:val="none" w:sz="0" w:space="0" w:color="auto"/>
          </w:divBdr>
        </w:div>
        <w:div w:id="1871645931">
          <w:marLeft w:val="547"/>
          <w:marRight w:val="0"/>
          <w:marTop w:val="120"/>
          <w:marBottom w:val="0"/>
          <w:divBdr>
            <w:top w:val="none" w:sz="0" w:space="0" w:color="auto"/>
            <w:left w:val="none" w:sz="0" w:space="0" w:color="auto"/>
            <w:bottom w:val="none" w:sz="0" w:space="0" w:color="auto"/>
            <w:right w:val="none" w:sz="0" w:space="0" w:color="auto"/>
          </w:divBdr>
        </w:div>
      </w:divsChild>
    </w:div>
    <w:div w:id="690956897">
      <w:bodyDiv w:val="1"/>
      <w:marLeft w:val="0"/>
      <w:marRight w:val="0"/>
      <w:marTop w:val="0"/>
      <w:marBottom w:val="0"/>
      <w:divBdr>
        <w:top w:val="none" w:sz="0" w:space="0" w:color="auto"/>
        <w:left w:val="none" w:sz="0" w:space="0" w:color="auto"/>
        <w:bottom w:val="none" w:sz="0" w:space="0" w:color="auto"/>
        <w:right w:val="none" w:sz="0" w:space="0" w:color="auto"/>
      </w:divBdr>
      <w:divsChild>
        <w:div w:id="13265921">
          <w:marLeft w:val="720"/>
          <w:marRight w:val="0"/>
          <w:marTop w:val="115"/>
          <w:marBottom w:val="0"/>
          <w:divBdr>
            <w:top w:val="none" w:sz="0" w:space="0" w:color="auto"/>
            <w:left w:val="none" w:sz="0" w:space="0" w:color="auto"/>
            <w:bottom w:val="none" w:sz="0" w:space="0" w:color="auto"/>
            <w:right w:val="none" w:sz="0" w:space="0" w:color="auto"/>
          </w:divBdr>
        </w:div>
        <w:div w:id="1982228588">
          <w:marLeft w:val="720"/>
          <w:marRight w:val="0"/>
          <w:marTop w:val="115"/>
          <w:marBottom w:val="0"/>
          <w:divBdr>
            <w:top w:val="none" w:sz="0" w:space="0" w:color="auto"/>
            <w:left w:val="none" w:sz="0" w:space="0" w:color="auto"/>
            <w:bottom w:val="none" w:sz="0" w:space="0" w:color="auto"/>
            <w:right w:val="none" w:sz="0" w:space="0" w:color="auto"/>
          </w:divBdr>
        </w:div>
        <w:div w:id="495265448">
          <w:marLeft w:val="720"/>
          <w:marRight w:val="0"/>
          <w:marTop w:val="115"/>
          <w:marBottom w:val="0"/>
          <w:divBdr>
            <w:top w:val="none" w:sz="0" w:space="0" w:color="auto"/>
            <w:left w:val="none" w:sz="0" w:space="0" w:color="auto"/>
            <w:bottom w:val="none" w:sz="0" w:space="0" w:color="auto"/>
            <w:right w:val="none" w:sz="0" w:space="0" w:color="auto"/>
          </w:divBdr>
        </w:div>
        <w:div w:id="1147625116">
          <w:marLeft w:val="720"/>
          <w:marRight w:val="0"/>
          <w:marTop w:val="115"/>
          <w:marBottom w:val="0"/>
          <w:divBdr>
            <w:top w:val="none" w:sz="0" w:space="0" w:color="auto"/>
            <w:left w:val="none" w:sz="0" w:space="0" w:color="auto"/>
            <w:bottom w:val="none" w:sz="0" w:space="0" w:color="auto"/>
            <w:right w:val="none" w:sz="0" w:space="0" w:color="auto"/>
          </w:divBdr>
        </w:div>
        <w:div w:id="833037096">
          <w:marLeft w:val="720"/>
          <w:marRight w:val="0"/>
          <w:marTop w:val="115"/>
          <w:marBottom w:val="0"/>
          <w:divBdr>
            <w:top w:val="none" w:sz="0" w:space="0" w:color="auto"/>
            <w:left w:val="none" w:sz="0" w:space="0" w:color="auto"/>
            <w:bottom w:val="none" w:sz="0" w:space="0" w:color="auto"/>
            <w:right w:val="none" w:sz="0" w:space="0" w:color="auto"/>
          </w:divBdr>
        </w:div>
        <w:div w:id="379134609">
          <w:marLeft w:val="720"/>
          <w:marRight w:val="0"/>
          <w:marTop w:val="115"/>
          <w:marBottom w:val="0"/>
          <w:divBdr>
            <w:top w:val="none" w:sz="0" w:space="0" w:color="auto"/>
            <w:left w:val="none" w:sz="0" w:space="0" w:color="auto"/>
            <w:bottom w:val="none" w:sz="0" w:space="0" w:color="auto"/>
            <w:right w:val="none" w:sz="0" w:space="0" w:color="auto"/>
          </w:divBdr>
        </w:div>
      </w:divsChild>
    </w:div>
    <w:div w:id="1009022530">
      <w:bodyDiv w:val="1"/>
      <w:marLeft w:val="0"/>
      <w:marRight w:val="0"/>
      <w:marTop w:val="0"/>
      <w:marBottom w:val="0"/>
      <w:divBdr>
        <w:top w:val="none" w:sz="0" w:space="0" w:color="auto"/>
        <w:left w:val="none" w:sz="0" w:space="0" w:color="auto"/>
        <w:bottom w:val="none" w:sz="0" w:space="0" w:color="auto"/>
        <w:right w:val="none" w:sz="0" w:space="0" w:color="auto"/>
      </w:divBdr>
    </w:div>
    <w:div w:id="1350645389">
      <w:bodyDiv w:val="1"/>
      <w:marLeft w:val="0"/>
      <w:marRight w:val="0"/>
      <w:marTop w:val="0"/>
      <w:marBottom w:val="0"/>
      <w:divBdr>
        <w:top w:val="none" w:sz="0" w:space="0" w:color="auto"/>
        <w:left w:val="none" w:sz="0" w:space="0" w:color="auto"/>
        <w:bottom w:val="none" w:sz="0" w:space="0" w:color="auto"/>
        <w:right w:val="none" w:sz="0" w:space="0" w:color="auto"/>
      </w:divBdr>
      <w:divsChild>
        <w:div w:id="109248656">
          <w:marLeft w:val="806"/>
          <w:marRight w:val="0"/>
          <w:marTop w:val="120"/>
          <w:marBottom w:val="0"/>
          <w:divBdr>
            <w:top w:val="none" w:sz="0" w:space="0" w:color="auto"/>
            <w:left w:val="none" w:sz="0" w:space="0" w:color="auto"/>
            <w:bottom w:val="none" w:sz="0" w:space="0" w:color="auto"/>
            <w:right w:val="none" w:sz="0" w:space="0" w:color="auto"/>
          </w:divBdr>
        </w:div>
        <w:div w:id="482048077">
          <w:marLeft w:val="806"/>
          <w:marRight w:val="0"/>
          <w:marTop w:val="120"/>
          <w:marBottom w:val="0"/>
          <w:divBdr>
            <w:top w:val="none" w:sz="0" w:space="0" w:color="auto"/>
            <w:left w:val="none" w:sz="0" w:space="0" w:color="auto"/>
            <w:bottom w:val="none" w:sz="0" w:space="0" w:color="auto"/>
            <w:right w:val="none" w:sz="0" w:space="0" w:color="auto"/>
          </w:divBdr>
        </w:div>
      </w:divsChild>
    </w:div>
    <w:div w:id="1525242159">
      <w:bodyDiv w:val="1"/>
      <w:marLeft w:val="0"/>
      <w:marRight w:val="0"/>
      <w:marTop w:val="0"/>
      <w:marBottom w:val="0"/>
      <w:divBdr>
        <w:top w:val="none" w:sz="0" w:space="0" w:color="auto"/>
        <w:left w:val="none" w:sz="0" w:space="0" w:color="auto"/>
        <w:bottom w:val="none" w:sz="0" w:space="0" w:color="auto"/>
        <w:right w:val="none" w:sz="0" w:space="0" w:color="auto"/>
      </w:divBdr>
    </w:div>
    <w:div w:id="1630866568">
      <w:bodyDiv w:val="1"/>
      <w:marLeft w:val="0"/>
      <w:marRight w:val="0"/>
      <w:marTop w:val="0"/>
      <w:marBottom w:val="0"/>
      <w:divBdr>
        <w:top w:val="none" w:sz="0" w:space="0" w:color="auto"/>
        <w:left w:val="none" w:sz="0" w:space="0" w:color="auto"/>
        <w:bottom w:val="none" w:sz="0" w:space="0" w:color="auto"/>
        <w:right w:val="none" w:sz="0" w:space="0" w:color="auto"/>
      </w:divBdr>
    </w:div>
    <w:div w:id="1722174944">
      <w:bodyDiv w:val="1"/>
      <w:marLeft w:val="0"/>
      <w:marRight w:val="0"/>
      <w:marTop w:val="0"/>
      <w:marBottom w:val="0"/>
      <w:divBdr>
        <w:top w:val="none" w:sz="0" w:space="0" w:color="auto"/>
        <w:left w:val="none" w:sz="0" w:space="0" w:color="auto"/>
        <w:bottom w:val="none" w:sz="0" w:space="0" w:color="auto"/>
        <w:right w:val="none" w:sz="0" w:space="0" w:color="auto"/>
      </w:divBdr>
      <w:divsChild>
        <w:div w:id="2118988975">
          <w:marLeft w:val="547"/>
          <w:marRight w:val="0"/>
          <w:marTop w:val="115"/>
          <w:marBottom w:val="0"/>
          <w:divBdr>
            <w:top w:val="none" w:sz="0" w:space="0" w:color="auto"/>
            <w:left w:val="none" w:sz="0" w:space="0" w:color="auto"/>
            <w:bottom w:val="none" w:sz="0" w:space="0" w:color="auto"/>
            <w:right w:val="none" w:sz="0" w:space="0" w:color="auto"/>
          </w:divBdr>
        </w:div>
        <w:div w:id="776559352">
          <w:marLeft w:val="547"/>
          <w:marRight w:val="0"/>
          <w:marTop w:val="115"/>
          <w:marBottom w:val="0"/>
          <w:divBdr>
            <w:top w:val="none" w:sz="0" w:space="0" w:color="auto"/>
            <w:left w:val="none" w:sz="0" w:space="0" w:color="auto"/>
            <w:bottom w:val="none" w:sz="0" w:space="0" w:color="auto"/>
            <w:right w:val="none" w:sz="0" w:space="0" w:color="auto"/>
          </w:divBdr>
        </w:div>
        <w:div w:id="1997801101">
          <w:marLeft w:val="547"/>
          <w:marRight w:val="0"/>
          <w:marTop w:val="115"/>
          <w:marBottom w:val="0"/>
          <w:divBdr>
            <w:top w:val="none" w:sz="0" w:space="0" w:color="auto"/>
            <w:left w:val="none" w:sz="0" w:space="0" w:color="auto"/>
            <w:bottom w:val="none" w:sz="0" w:space="0" w:color="auto"/>
            <w:right w:val="none" w:sz="0" w:space="0" w:color="auto"/>
          </w:divBdr>
        </w:div>
        <w:div w:id="904025730">
          <w:marLeft w:val="547"/>
          <w:marRight w:val="0"/>
          <w:marTop w:val="115"/>
          <w:marBottom w:val="0"/>
          <w:divBdr>
            <w:top w:val="none" w:sz="0" w:space="0" w:color="auto"/>
            <w:left w:val="none" w:sz="0" w:space="0" w:color="auto"/>
            <w:bottom w:val="none" w:sz="0" w:space="0" w:color="auto"/>
            <w:right w:val="none" w:sz="0" w:space="0" w:color="auto"/>
          </w:divBdr>
        </w:div>
      </w:divsChild>
    </w:div>
    <w:div w:id="2008509509">
      <w:bodyDiv w:val="1"/>
      <w:marLeft w:val="0"/>
      <w:marRight w:val="0"/>
      <w:marTop w:val="0"/>
      <w:marBottom w:val="0"/>
      <w:divBdr>
        <w:top w:val="none" w:sz="0" w:space="0" w:color="auto"/>
        <w:left w:val="none" w:sz="0" w:space="0" w:color="auto"/>
        <w:bottom w:val="none" w:sz="0" w:space="0" w:color="auto"/>
        <w:right w:val="none" w:sz="0" w:space="0" w:color="auto"/>
      </w:divBdr>
    </w:div>
    <w:div w:id="20719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1820</Words>
  <Characters>10742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Štěpánek</dc:creator>
  <cp:keywords/>
  <dc:description/>
  <cp:lastModifiedBy>Andrea Trudičová</cp:lastModifiedBy>
  <cp:revision>4</cp:revision>
  <cp:lastPrinted>2019-03-25T10:10:00Z</cp:lastPrinted>
  <dcterms:created xsi:type="dcterms:W3CDTF">2019-03-25T10:52:00Z</dcterms:created>
  <dcterms:modified xsi:type="dcterms:W3CDTF">2019-03-28T12:15:00Z</dcterms:modified>
</cp:coreProperties>
</file>