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F4" w:rsidRDefault="00877706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877706">
        <w:rPr>
          <w:rFonts w:cs="Arial"/>
          <w:b/>
          <w:color w:val="007E79"/>
          <w:sz w:val="28"/>
          <w:szCs w:val="28"/>
        </w:rPr>
        <w:t xml:space="preserve">Komentář České bankovní asociace k implementaci směrnice PSD2, resp. navazující technické normy RTS upravující </w:t>
      </w:r>
      <w:proofErr w:type="spellStart"/>
      <w:r w:rsidRPr="00877706">
        <w:rPr>
          <w:rFonts w:cs="Arial"/>
          <w:b/>
          <w:color w:val="007E79"/>
          <w:sz w:val="28"/>
          <w:szCs w:val="28"/>
        </w:rPr>
        <w:t>dvoufaktorové</w:t>
      </w:r>
      <w:proofErr w:type="spellEnd"/>
      <w:r w:rsidRPr="00877706">
        <w:rPr>
          <w:rFonts w:cs="Arial"/>
          <w:b/>
          <w:color w:val="007E79"/>
          <w:sz w:val="28"/>
          <w:szCs w:val="28"/>
        </w:rPr>
        <w:t xml:space="preserve"> ověřování</w:t>
      </w:r>
    </w:p>
    <w:p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:rsidR="00D13EDA" w:rsidRPr="00877706" w:rsidRDefault="00877706" w:rsidP="002B4617">
      <w:pPr>
        <w:spacing w:after="120" w:line="276" w:lineRule="auto"/>
        <w:contextualSpacing/>
        <w:rPr>
          <w:rFonts w:cs="Arial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>Autor: Tomáš Hládek, poradce ČBA pro platební styk a kyberbezpečnost</w:t>
      </w:r>
      <w:r w:rsidR="00BB7A89" w:rsidRPr="00877706">
        <w:rPr>
          <w:rFonts w:cs="Arial"/>
          <w:b/>
          <w:color w:val="007E79"/>
          <w:sz w:val="22"/>
          <w:szCs w:val="22"/>
        </w:rPr>
        <w:t xml:space="preserve"> </w:t>
      </w:r>
    </w:p>
    <w:p w:rsidR="00877706" w:rsidRP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28. srpna 2019 </w:t>
      </w:r>
    </w:p>
    <w:p w:rsidR="00D13EDA" w:rsidRPr="00E27F2F" w:rsidRDefault="00D13EDA" w:rsidP="002B4617">
      <w:pPr>
        <w:spacing w:after="120" w:line="276" w:lineRule="auto"/>
        <w:contextualSpacing/>
        <w:rPr>
          <w:rFonts w:cs="Arial"/>
          <w:szCs w:val="18"/>
        </w:rPr>
      </w:pPr>
    </w:p>
    <w:p w:rsidR="004371EE" w:rsidRPr="004371EE" w:rsidRDefault="004371EE" w:rsidP="004371EE">
      <w:pPr>
        <w:spacing w:line="276" w:lineRule="auto"/>
        <w:rPr>
          <w:sz w:val="20"/>
          <w:szCs w:val="22"/>
        </w:rPr>
      </w:pPr>
      <w:r w:rsidRPr="004371EE">
        <w:rPr>
          <w:sz w:val="20"/>
          <w:szCs w:val="22"/>
        </w:rPr>
        <w:t>Datum 14. září 2019 bylo označováno jako datum, kdy dojde k plné implementaci Revidované směrnice o platebních službách, pro kterou se vžila zkratka PSD 2. Jejím cílem byla a je podpora nejrůznějších inovací, zvýšení konkurence v oblasti platebních služeb, zlepšení bezpečnosti plateb a ochrana dat spotřebitelů.</w:t>
      </w:r>
    </w:p>
    <w:p w:rsidR="00E8148D" w:rsidRDefault="00E8148D" w:rsidP="004371EE">
      <w:pPr>
        <w:spacing w:line="276" w:lineRule="auto"/>
        <w:rPr>
          <w:sz w:val="20"/>
          <w:szCs w:val="22"/>
        </w:rPr>
      </w:pPr>
    </w:p>
    <w:p w:rsidR="00B60C22" w:rsidRPr="004371EE" w:rsidRDefault="004371EE" w:rsidP="004371EE">
      <w:pPr>
        <w:spacing w:line="276" w:lineRule="auto"/>
        <w:rPr>
          <w:rFonts w:cs="Arial"/>
          <w:color w:val="444444"/>
          <w:sz w:val="20"/>
          <w:szCs w:val="28"/>
          <w:shd w:val="clear" w:color="auto" w:fill="FFFFFF"/>
        </w:rPr>
      </w:pPr>
      <w:r w:rsidRPr="004371EE">
        <w:rPr>
          <w:sz w:val="20"/>
          <w:szCs w:val="22"/>
        </w:rPr>
        <w:t xml:space="preserve">Na uvedenou </w:t>
      </w:r>
      <w:r w:rsidRPr="0011059B">
        <w:rPr>
          <w:sz w:val="20"/>
          <w:szCs w:val="22"/>
        </w:rPr>
        <w:t>směrnici navazuje řada technických norem a pracovních postupů, které jsou určeny pro ty, kteří platební služby zajišťují. V určitých případech se ale týkají i klientů, kteří tyto služby využív</w:t>
      </w:r>
      <w:r w:rsidRPr="0011059B">
        <w:rPr>
          <w:rFonts w:cs="Arial"/>
          <w:sz w:val="20"/>
          <w:szCs w:val="28"/>
        </w:rPr>
        <w:t xml:space="preserve">ají. Jednou z takových norem je „Regulatorní technický standard stanovující pravidla pro </w:t>
      </w:r>
      <w:r w:rsidRPr="0011059B">
        <w:rPr>
          <w:rFonts w:cs="Arial"/>
          <w:sz w:val="20"/>
          <w:szCs w:val="28"/>
          <w:shd w:val="clear" w:color="auto" w:fill="FFFFFF"/>
        </w:rPr>
        <w:t>silné ověření klienta a společných a bezpečných otevřených standardů komunikace“ (RTS on SCA). A právě tato norma, která byla schválena a vydána až po účinnosti samotné směrnice, vstupuje dne 14. září 2019 v účinnost.</w:t>
      </w:r>
    </w:p>
    <w:p w:rsidR="004371EE" w:rsidRPr="004371EE" w:rsidRDefault="004371EE" w:rsidP="004371EE">
      <w:pPr>
        <w:spacing w:line="276" w:lineRule="auto"/>
        <w:rPr>
          <w:rFonts w:cs="Arial"/>
          <w:sz w:val="24"/>
          <w:szCs w:val="22"/>
        </w:rPr>
      </w:pPr>
    </w:p>
    <w:p w:rsidR="004371EE" w:rsidRPr="004371EE" w:rsidRDefault="004371EE" w:rsidP="004371E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cs="Arial"/>
          <w:b/>
          <w:color w:val="007E79"/>
          <w:sz w:val="20"/>
        </w:rPr>
      </w:pPr>
      <w:r w:rsidRPr="004371EE">
        <w:rPr>
          <w:rFonts w:cs="Arial"/>
          <w:b/>
          <w:color w:val="007E79"/>
          <w:sz w:val="20"/>
        </w:rPr>
        <w:t>Překvapující upřesnění EBA k platbám kartami na internetu</w:t>
      </w:r>
    </w:p>
    <w:p w:rsidR="004371EE" w:rsidRPr="0011059B" w:rsidRDefault="004371EE" w:rsidP="004371EE">
      <w:pPr>
        <w:spacing w:line="276" w:lineRule="auto"/>
        <w:rPr>
          <w:rFonts w:cs="Arial"/>
          <w:sz w:val="20"/>
          <w:szCs w:val="28"/>
          <w:shd w:val="clear" w:color="auto" w:fill="FFFFFF"/>
        </w:rPr>
      </w:pPr>
      <w:r w:rsidRPr="0011059B">
        <w:rPr>
          <w:rFonts w:cs="Arial"/>
          <w:sz w:val="20"/>
          <w:szCs w:val="28"/>
          <w:shd w:val="clear" w:color="auto" w:fill="FFFFFF"/>
        </w:rPr>
        <w:t xml:space="preserve">Uvedená norma vyžaduje, aby byla při autentizaci klienta, tedy při ověření toho, kdo se skutečně snaží komunikovat s bankou či jiným poskytovatelem platebních služeb, použita tzv. </w:t>
      </w:r>
      <w:proofErr w:type="spellStart"/>
      <w:r w:rsidRPr="0011059B">
        <w:rPr>
          <w:rFonts w:cs="Arial"/>
          <w:sz w:val="20"/>
          <w:szCs w:val="28"/>
          <w:shd w:val="clear" w:color="auto" w:fill="FFFFFF"/>
        </w:rPr>
        <w:t>dvoufaktorová</w:t>
      </w:r>
      <w:proofErr w:type="spellEnd"/>
      <w:r w:rsidRPr="0011059B">
        <w:rPr>
          <w:rFonts w:cs="Arial"/>
          <w:sz w:val="20"/>
          <w:szCs w:val="28"/>
          <w:shd w:val="clear" w:color="auto" w:fill="FFFFFF"/>
        </w:rPr>
        <w:t xml:space="preserve"> autentizace. Pro takové ověření je nutné použít nejméně dva faktory ze tř</w:t>
      </w:r>
      <w:r w:rsidR="0011059B">
        <w:rPr>
          <w:rFonts w:cs="Arial"/>
          <w:sz w:val="20"/>
          <w:szCs w:val="28"/>
          <w:shd w:val="clear" w:color="auto" w:fill="FFFFFF"/>
        </w:rPr>
        <w:t>í</w:t>
      </w:r>
      <w:r w:rsidRPr="0011059B">
        <w:rPr>
          <w:rFonts w:cs="Arial"/>
          <w:sz w:val="20"/>
          <w:szCs w:val="28"/>
          <w:shd w:val="clear" w:color="auto" w:fill="FFFFFF"/>
        </w:rPr>
        <w:t xml:space="preserve"> skupin, které je možné popsat jako:</w:t>
      </w:r>
    </w:p>
    <w:p w:rsidR="004371EE" w:rsidRPr="0011059B" w:rsidRDefault="004371EE" w:rsidP="004371EE">
      <w:pPr>
        <w:pStyle w:val="Odstavecseseznamem"/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textAlignment w:val="auto"/>
        <w:rPr>
          <w:rFonts w:cs="Arial"/>
          <w:sz w:val="20"/>
          <w:szCs w:val="28"/>
          <w:shd w:val="clear" w:color="auto" w:fill="FFFFFF"/>
        </w:rPr>
      </w:pPr>
      <w:r w:rsidRPr="0011059B">
        <w:rPr>
          <w:rFonts w:cs="Arial"/>
          <w:sz w:val="20"/>
          <w:szCs w:val="28"/>
          <w:shd w:val="clear" w:color="auto" w:fill="FFFFFF"/>
        </w:rPr>
        <w:t>něco, co klient zná (např. heslo, PIN)</w:t>
      </w:r>
    </w:p>
    <w:p w:rsidR="004371EE" w:rsidRPr="0011059B" w:rsidRDefault="004371EE" w:rsidP="004371EE">
      <w:pPr>
        <w:pStyle w:val="Odstavecseseznamem"/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textAlignment w:val="auto"/>
        <w:rPr>
          <w:rFonts w:cs="Arial"/>
          <w:sz w:val="20"/>
          <w:szCs w:val="28"/>
          <w:shd w:val="clear" w:color="auto" w:fill="FFFFFF"/>
        </w:rPr>
      </w:pPr>
      <w:r w:rsidRPr="0011059B">
        <w:rPr>
          <w:rFonts w:cs="Arial"/>
          <w:sz w:val="20"/>
          <w:szCs w:val="28"/>
          <w:shd w:val="clear" w:color="auto" w:fill="FFFFFF"/>
        </w:rPr>
        <w:t>něco, co klient má (např. telefon, token)</w:t>
      </w:r>
    </w:p>
    <w:p w:rsidR="004371EE" w:rsidRPr="0011059B" w:rsidRDefault="004371EE" w:rsidP="004371EE">
      <w:pPr>
        <w:pStyle w:val="Odstavecseseznamem"/>
        <w:numPr>
          <w:ilvl w:val="0"/>
          <w:numId w:val="26"/>
        </w:numPr>
        <w:overflowPunct/>
        <w:autoSpaceDE/>
        <w:autoSpaceDN/>
        <w:adjustRightInd/>
        <w:spacing w:after="120" w:line="276" w:lineRule="auto"/>
        <w:textAlignment w:val="auto"/>
        <w:rPr>
          <w:rFonts w:cs="Arial"/>
          <w:sz w:val="20"/>
          <w:szCs w:val="28"/>
          <w:shd w:val="clear" w:color="auto" w:fill="FFFFFF"/>
        </w:rPr>
      </w:pPr>
      <w:r w:rsidRPr="0011059B">
        <w:rPr>
          <w:rFonts w:cs="Arial"/>
          <w:sz w:val="20"/>
          <w:szCs w:val="28"/>
          <w:shd w:val="clear" w:color="auto" w:fill="FFFFFF"/>
        </w:rPr>
        <w:t>něco, čím klient je (biometrické prvky, otisk prstu, tvář)</w:t>
      </w:r>
    </w:p>
    <w:p w:rsidR="004371EE" w:rsidRPr="0011059B" w:rsidRDefault="004371EE" w:rsidP="004371EE">
      <w:pPr>
        <w:spacing w:line="276" w:lineRule="auto"/>
        <w:rPr>
          <w:rFonts w:cs="Arial"/>
          <w:sz w:val="20"/>
          <w:szCs w:val="28"/>
          <w:shd w:val="clear" w:color="auto" w:fill="FFFFFF"/>
        </w:rPr>
      </w:pPr>
      <w:r w:rsidRPr="0011059B">
        <w:rPr>
          <w:rFonts w:cs="Arial"/>
          <w:sz w:val="20"/>
          <w:szCs w:val="28"/>
          <w:shd w:val="clear" w:color="auto" w:fill="FFFFFF"/>
        </w:rPr>
        <w:t xml:space="preserve">V průběhu 18 měsíců, které byly stanoveny jako doba, během které by mělo dojít k plné implementaci uvedených pravidel, došlo k několika poněkud překvapivým rozhodnutím, která ovlivnila další vývoj. Jedním z takových bylo vyjádření Evropské bankovní autority (EBA) v tom smyslu, že nejrozšířenější způsob ověřování a potvrzování plateb iniciovaných platebními kartami na internetu, tzv. </w:t>
      </w:r>
      <w:proofErr w:type="gramStart"/>
      <w:r w:rsidRPr="0011059B">
        <w:rPr>
          <w:rFonts w:cs="Arial"/>
          <w:sz w:val="20"/>
          <w:szCs w:val="28"/>
          <w:shd w:val="clear" w:color="auto" w:fill="FFFFFF"/>
        </w:rPr>
        <w:t>3D</w:t>
      </w:r>
      <w:proofErr w:type="gramEnd"/>
      <w:r w:rsidRPr="0011059B">
        <w:rPr>
          <w:rFonts w:cs="Arial"/>
          <w:sz w:val="20"/>
          <w:szCs w:val="28"/>
          <w:shd w:val="clear" w:color="auto" w:fill="FFFFFF"/>
        </w:rPr>
        <w:t xml:space="preserve"> </w:t>
      </w:r>
      <w:proofErr w:type="spellStart"/>
      <w:r w:rsidRPr="0011059B">
        <w:rPr>
          <w:rFonts w:cs="Arial"/>
          <w:sz w:val="20"/>
          <w:szCs w:val="28"/>
          <w:shd w:val="clear" w:color="auto" w:fill="FFFFFF"/>
        </w:rPr>
        <w:t>Secure</w:t>
      </w:r>
      <w:proofErr w:type="spellEnd"/>
      <w:r w:rsidRPr="0011059B">
        <w:rPr>
          <w:rFonts w:cs="Arial"/>
          <w:sz w:val="20"/>
          <w:szCs w:val="28"/>
          <w:shd w:val="clear" w:color="auto" w:fill="FFFFFF"/>
        </w:rPr>
        <w:t>, tak, jak byl dosud používán, nesplňuje podmínky stanovené technickým standardem. Toto vyjádření vydala EBA dne 21. června 2019. Zároveň, vědoma si toho, že za 3 měsíce, které zbývaly do data účinnosti technické normy, bude nemožné vše upravit a změnit, dala EBA národním regulátorům možnost nevymáhat po poskytovatelích platebních služeb všechny náležitosti okamžitě od stanoveného data.</w:t>
      </w:r>
    </w:p>
    <w:p w:rsidR="004371EE" w:rsidRPr="00FD77C2" w:rsidRDefault="004371EE" w:rsidP="004371EE">
      <w:pPr>
        <w:spacing w:line="276" w:lineRule="auto"/>
        <w:rPr>
          <w:rFonts w:cs="Arial"/>
          <w:b/>
          <w:bCs/>
          <w:color w:val="444444"/>
          <w:sz w:val="20"/>
          <w:szCs w:val="28"/>
          <w:shd w:val="clear" w:color="auto" w:fill="FFFFFF"/>
        </w:rPr>
      </w:pPr>
    </w:p>
    <w:p w:rsidR="004371EE" w:rsidRPr="00FD77C2" w:rsidRDefault="004371EE" w:rsidP="004371EE">
      <w:pPr>
        <w:spacing w:line="276" w:lineRule="auto"/>
        <w:rPr>
          <w:rFonts w:cs="Arial"/>
          <w:b/>
          <w:bCs/>
          <w:color w:val="444444"/>
          <w:sz w:val="20"/>
          <w:szCs w:val="28"/>
          <w:shd w:val="clear" w:color="auto" w:fill="FFFFFF"/>
        </w:rPr>
      </w:pPr>
      <w:r w:rsidRPr="00FD77C2">
        <w:rPr>
          <w:rFonts w:cs="Arial"/>
          <w:b/>
          <w:bCs/>
          <w:color w:val="444444"/>
          <w:sz w:val="20"/>
          <w:szCs w:val="28"/>
          <w:shd w:val="clear" w:color="auto" w:fill="FFFFFF"/>
        </w:rPr>
        <w:t>ČBA konstatuje, že ze strany jejích členských bank od počátky byla, a i nadále je, problematice implementace požadavků PSD 2, resp. zákona o platebním styku, kter</w:t>
      </w:r>
      <w:bookmarkStart w:id="0" w:name="_GoBack"/>
      <w:bookmarkEnd w:id="0"/>
      <w:r w:rsidRPr="00FD77C2">
        <w:rPr>
          <w:rFonts w:cs="Arial"/>
          <w:b/>
          <w:bCs/>
          <w:color w:val="444444"/>
          <w:sz w:val="20"/>
          <w:szCs w:val="28"/>
          <w:shd w:val="clear" w:color="auto" w:fill="FFFFFF"/>
        </w:rPr>
        <w:t xml:space="preserve">ým byla uvedená směrnice promítnuta do české legislativy, věnována maximální pozornost. </w:t>
      </w:r>
    </w:p>
    <w:p w:rsidR="00FD77C2" w:rsidRPr="004371EE" w:rsidRDefault="00FD77C2" w:rsidP="004371EE">
      <w:pPr>
        <w:spacing w:line="276" w:lineRule="auto"/>
        <w:rPr>
          <w:rFonts w:cs="Arial"/>
          <w:color w:val="444444"/>
          <w:sz w:val="20"/>
          <w:szCs w:val="28"/>
          <w:shd w:val="clear" w:color="auto" w:fill="FFFFFF"/>
        </w:rPr>
      </w:pPr>
    </w:p>
    <w:p w:rsidR="004371EE" w:rsidRPr="004371EE" w:rsidRDefault="004371EE" w:rsidP="004371EE">
      <w:pPr>
        <w:spacing w:line="276" w:lineRule="auto"/>
        <w:rPr>
          <w:rFonts w:cs="Arial"/>
          <w:sz w:val="20"/>
          <w:szCs w:val="28"/>
          <w:shd w:val="clear" w:color="auto" w:fill="FFFFFF"/>
        </w:rPr>
      </w:pPr>
      <w:r w:rsidRPr="004371EE">
        <w:rPr>
          <w:rFonts w:cs="Arial"/>
          <w:color w:val="444444"/>
          <w:sz w:val="20"/>
          <w:szCs w:val="28"/>
          <w:shd w:val="clear" w:color="auto" w:fill="FFFFFF"/>
        </w:rPr>
        <w:t xml:space="preserve">Cílem bank je na jedné straně naplnit požadavky zákona a </w:t>
      </w:r>
      <w:r w:rsidRPr="004371EE">
        <w:rPr>
          <w:rFonts w:cs="Arial"/>
          <w:sz w:val="20"/>
          <w:szCs w:val="28"/>
          <w:shd w:val="clear" w:color="auto" w:fill="FFFFFF"/>
        </w:rPr>
        <w:t xml:space="preserve">příslušných evropských nařízení, na straně druhé však nemohou připustit, aby došlo k nějakým výpadkům poskytování platebních služeb, a to v oblasti, která patří mezi nejvíce používané, tedy platby kartami na internetu. Proto ocenily, že Česká národní banka vydala v minulých dnech následující sdělení </w:t>
      </w:r>
      <w:hyperlink r:id="rId8" w:history="1">
        <w:r w:rsidRPr="004371EE">
          <w:rPr>
            <w:rStyle w:val="Hypertextovodkaz"/>
            <w:sz w:val="20"/>
            <w:szCs w:val="22"/>
          </w:rPr>
          <w:t>https://www.cnb.cz/cs/dohled-financni-trh/novinky/sdeleni-české-narodni-banky-v-souvislosti-s-ucinnosti-narizeni-komise-v-prenesene-pravomoci-eu-2018-389/index.html</w:t>
        </w:r>
      </w:hyperlink>
      <w:r w:rsidRPr="004371EE">
        <w:rPr>
          <w:sz w:val="20"/>
          <w:szCs w:val="22"/>
        </w:rPr>
        <w:t>, ze kterého citujeme:</w:t>
      </w:r>
    </w:p>
    <w:p w:rsidR="004371EE" w:rsidRPr="0011059B" w:rsidRDefault="004371EE" w:rsidP="004371EE">
      <w:pPr>
        <w:overflowPunct/>
        <w:autoSpaceDE/>
        <w:autoSpaceDN/>
        <w:adjustRightInd/>
        <w:spacing w:line="276" w:lineRule="auto"/>
        <w:jc w:val="left"/>
        <w:textAlignment w:val="auto"/>
        <w:rPr>
          <w:rStyle w:val="Siln"/>
          <w:rFonts w:cs="Arial"/>
          <w:i/>
          <w:iCs/>
          <w:sz w:val="20"/>
          <w:szCs w:val="28"/>
          <w:shd w:val="clear" w:color="auto" w:fill="FFFFFF"/>
        </w:rPr>
      </w:pPr>
    </w:p>
    <w:p w:rsidR="004979BF" w:rsidRPr="0011059B" w:rsidRDefault="004371EE" w:rsidP="004371E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cs="Arial"/>
          <w:b/>
          <w:bCs/>
          <w:sz w:val="20"/>
        </w:rPr>
      </w:pPr>
      <w:r w:rsidRPr="0011059B">
        <w:rPr>
          <w:rStyle w:val="Siln"/>
          <w:rFonts w:cs="Arial"/>
          <w:b w:val="0"/>
          <w:bCs w:val="0"/>
          <w:i/>
          <w:iCs/>
          <w:sz w:val="20"/>
          <w:szCs w:val="28"/>
          <w:shd w:val="clear" w:color="auto" w:fill="FFFFFF"/>
        </w:rPr>
        <w:t>„Česká národní banka, stejně jako EBA, považuje za důležité, aby všichni držitelé karet mohli po 14. září 2019 platit v oblasti e-komerce. V úkonech dohledu vůči dohlíženým subjektům proto Česká národní banka zohlední mj.  lhůtu či lhůty pro plnou implementaci nařízení bez negativních dopadů na uživatele platebních služeb poté, co o nich EBA rozhodne. Poskytnutí dodatečného času na plnou implementaci nařízení v oblasti silného ověření uživatele se však v souladu se stanoviskem EBA nevztahuje na jiné karetní platby, na něž tato povinnost dopadá (zejm. karetní platby prostřednictvím terminálů pro jejich akceptaci).“</w:t>
      </w:r>
      <w:r w:rsidR="004979BF" w:rsidRPr="0011059B">
        <w:rPr>
          <w:rFonts w:cs="Arial"/>
          <w:b/>
          <w:bCs/>
          <w:i/>
          <w:iCs/>
          <w:sz w:val="20"/>
        </w:rPr>
        <w:t xml:space="preserve"> </w:t>
      </w:r>
    </w:p>
    <w:p w:rsidR="004371EE" w:rsidRPr="004371EE" w:rsidRDefault="004371EE" w:rsidP="004371EE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cs="Arial"/>
          <w:b/>
          <w:color w:val="007E79"/>
          <w:sz w:val="20"/>
        </w:rPr>
      </w:pPr>
      <w:r w:rsidRPr="004371EE">
        <w:rPr>
          <w:rFonts w:cs="Arial"/>
          <w:b/>
          <w:color w:val="007E79"/>
          <w:sz w:val="20"/>
        </w:rPr>
        <w:lastRenderedPageBreak/>
        <w:t>Bezkontaktní placení se může do</w:t>
      </w:r>
      <w:r w:rsidR="00584D4C">
        <w:rPr>
          <w:rFonts w:cs="Arial"/>
          <w:b/>
          <w:color w:val="007E79"/>
          <w:sz w:val="20"/>
        </w:rPr>
        <w:t>časně</w:t>
      </w:r>
      <w:r w:rsidRPr="004371EE">
        <w:rPr>
          <w:rFonts w:cs="Arial"/>
          <w:b/>
          <w:color w:val="007E79"/>
          <w:sz w:val="20"/>
        </w:rPr>
        <w:t xml:space="preserve"> zkomplikovat</w:t>
      </w:r>
    </w:p>
    <w:p w:rsidR="004371EE" w:rsidRPr="0011059B" w:rsidRDefault="004371EE" w:rsidP="004371EE">
      <w:pPr>
        <w:spacing w:after="120" w:line="276" w:lineRule="auto"/>
        <w:contextualSpacing/>
        <w:rPr>
          <w:rFonts w:cs="Arial"/>
          <w:sz w:val="20"/>
          <w:szCs w:val="28"/>
          <w:shd w:val="clear" w:color="auto" w:fill="FFFFFF"/>
        </w:rPr>
      </w:pPr>
      <w:r w:rsidRPr="0011059B">
        <w:rPr>
          <w:rFonts w:cs="Arial"/>
          <w:sz w:val="20"/>
          <w:szCs w:val="28"/>
          <w:shd w:val="clear" w:color="auto" w:fill="FFFFFF"/>
        </w:rPr>
        <w:t xml:space="preserve">Česká národní banka vydala ještě jedno sdělení, které se týká u nás velmi rozšířeného způsobu využití platebních karet: bezkontaktního placení malých částek, většinou do 500 Kč. Ty splňují a budou splňovat výjimky pro to, aby u nich k výše popsanému </w:t>
      </w:r>
      <w:proofErr w:type="spellStart"/>
      <w:r w:rsidRPr="0011059B">
        <w:rPr>
          <w:rFonts w:cs="Arial"/>
          <w:sz w:val="20"/>
          <w:szCs w:val="28"/>
          <w:shd w:val="clear" w:color="auto" w:fill="FFFFFF"/>
        </w:rPr>
        <w:t>dvoufaktorovému</w:t>
      </w:r>
      <w:proofErr w:type="spellEnd"/>
      <w:r w:rsidRPr="0011059B">
        <w:rPr>
          <w:rFonts w:cs="Arial"/>
          <w:sz w:val="20"/>
          <w:szCs w:val="28"/>
          <w:shd w:val="clear" w:color="auto" w:fill="FFFFFF"/>
        </w:rPr>
        <w:t xml:space="preserve"> ověření nemuselo docházet. Nicméně povinnost kontrolovat, kolik takových plateb již bylo danou kartou provedeno a v jaké výši, mají od 14. září 2019 banky. Dosud byl záznam o počtu provedených bezkontaktních transakcí od posledního zadání </w:t>
      </w:r>
      <w:proofErr w:type="spellStart"/>
      <w:r w:rsidRPr="0011059B">
        <w:rPr>
          <w:rFonts w:cs="Arial"/>
          <w:sz w:val="20"/>
          <w:szCs w:val="28"/>
          <w:shd w:val="clear" w:color="auto" w:fill="FFFFFF"/>
        </w:rPr>
        <w:t>PINu</w:t>
      </w:r>
      <w:proofErr w:type="spellEnd"/>
      <w:r w:rsidRPr="0011059B">
        <w:rPr>
          <w:rFonts w:cs="Arial"/>
          <w:sz w:val="20"/>
          <w:szCs w:val="28"/>
          <w:shd w:val="clear" w:color="auto" w:fill="FFFFFF"/>
        </w:rPr>
        <w:t xml:space="preserve"> prováděn jen na dané kartě. Ne všechny terminály u všech obchodníků a poskytovatelů nejrůznějších služeb jsou však na tuto změnu připraveny a bude nutná aktualizace jejich softwar</w:t>
      </w:r>
      <w:r w:rsidR="00584D4C" w:rsidRPr="0011059B">
        <w:rPr>
          <w:rFonts w:cs="Arial"/>
          <w:sz w:val="20"/>
          <w:szCs w:val="28"/>
          <w:shd w:val="clear" w:color="auto" w:fill="FFFFFF"/>
        </w:rPr>
        <w:t>u</w:t>
      </w:r>
      <w:r w:rsidRPr="0011059B">
        <w:rPr>
          <w:rFonts w:cs="Arial"/>
          <w:sz w:val="20"/>
          <w:szCs w:val="28"/>
          <w:shd w:val="clear" w:color="auto" w:fill="FFFFFF"/>
        </w:rPr>
        <w:t xml:space="preserve">. Proto ČNB všem klientům doporučila, aby v případě, že dojde k odmítnutí bezkontaktní platby, provedli tuto platbu znovu, ale „kontaktně“, zasunutím karty do čtečky daného terminálu a zadáním </w:t>
      </w:r>
      <w:proofErr w:type="spellStart"/>
      <w:r w:rsidRPr="0011059B">
        <w:rPr>
          <w:rFonts w:cs="Arial"/>
          <w:sz w:val="20"/>
          <w:szCs w:val="28"/>
          <w:shd w:val="clear" w:color="auto" w:fill="FFFFFF"/>
        </w:rPr>
        <w:t>PINu</w:t>
      </w:r>
      <w:proofErr w:type="spellEnd"/>
      <w:r w:rsidRPr="0011059B">
        <w:rPr>
          <w:rFonts w:cs="Arial"/>
          <w:sz w:val="20"/>
          <w:szCs w:val="28"/>
          <w:shd w:val="clear" w:color="auto" w:fill="FFFFFF"/>
        </w:rPr>
        <w:t>.</w:t>
      </w:r>
    </w:p>
    <w:p w:rsidR="004371EE" w:rsidRPr="0011059B" w:rsidRDefault="004371EE" w:rsidP="004371EE">
      <w:pPr>
        <w:spacing w:after="120" w:line="276" w:lineRule="auto"/>
        <w:contextualSpacing/>
        <w:rPr>
          <w:rFonts w:cs="Arial"/>
          <w:sz w:val="20"/>
          <w:szCs w:val="28"/>
          <w:shd w:val="clear" w:color="auto" w:fill="FFFFFF"/>
        </w:rPr>
      </w:pPr>
    </w:p>
    <w:p w:rsidR="004371EE" w:rsidRPr="0011059B" w:rsidRDefault="004371EE" w:rsidP="004371EE">
      <w:pPr>
        <w:spacing w:after="120" w:line="276" w:lineRule="auto"/>
        <w:contextualSpacing/>
        <w:rPr>
          <w:rFonts w:cs="Arial"/>
          <w:b/>
          <w:bCs/>
          <w:sz w:val="20"/>
          <w:szCs w:val="28"/>
          <w:shd w:val="clear" w:color="auto" w:fill="FFFFFF"/>
        </w:rPr>
      </w:pPr>
      <w:r w:rsidRPr="0011059B">
        <w:rPr>
          <w:rFonts w:cs="Arial"/>
          <w:b/>
          <w:bCs/>
          <w:sz w:val="20"/>
          <w:szCs w:val="28"/>
          <w:shd w:val="clear" w:color="auto" w:fill="FFFFFF"/>
        </w:rPr>
        <w:t xml:space="preserve">ČBA je tedy přesvědčena, že v následujících dnech a týdnech nedojde k žádným zásadním problémům, které by znamenaly nějaké zásadní omezení možnosti využívání platebních karet. </w:t>
      </w:r>
    </w:p>
    <w:p w:rsidR="00E8148D" w:rsidRPr="0011059B" w:rsidRDefault="00E8148D" w:rsidP="004371EE">
      <w:pPr>
        <w:spacing w:after="120" w:line="276" w:lineRule="auto"/>
        <w:contextualSpacing/>
        <w:rPr>
          <w:rFonts w:cs="Arial"/>
          <w:b/>
          <w:bCs/>
          <w:sz w:val="20"/>
          <w:szCs w:val="28"/>
          <w:shd w:val="clear" w:color="auto" w:fill="FFFFFF"/>
        </w:rPr>
      </w:pPr>
    </w:p>
    <w:p w:rsidR="00221FF5" w:rsidRPr="0011059B" w:rsidRDefault="004371EE" w:rsidP="004371EE">
      <w:pPr>
        <w:spacing w:after="120" w:line="276" w:lineRule="auto"/>
        <w:contextualSpacing/>
        <w:rPr>
          <w:rFonts w:cs="Arial"/>
          <w:sz w:val="20"/>
          <w:szCs w:val="28"/>
          <w:shd w:val="clear" w:color="auto" w:fill="FFFFFF"/>
        </w:rPr>
      </w:pPr>
      <w:r w:rsidRPr="0011059B">
        <w:rPr>
          <w:rFonts w:cs="Arial"/>
          <w:b/>
          <w:bCs/>
          <w:sz w:val="20"/>
          <w:szCs w:val="28"/>
          <w:shd w:val="clear" w:color="auto" w:fill="FFFFFF"/>
        </w:rPr>
        <w:t>ČBA zároveň upozorňuje na to, že jako klienti bank musíme být připraveni na to, že zvýšené požadavky na bezpečnost, které stanovila evropská legislativa, mohou přinášet zvýšené požadavky i na ně. Banky své klienty o změnách při přihlašování do nástrojů internetové bankovnictví a při zadávání a autorizaci plateb informovaly a o dalších úpravách informovat samozřejmě budou. Cílem všech takových změn není snížit komfort klientů, ale celkově zvýšit bezpečnost v tak citlivé oblasti, jakou poskytování platebních služeb je.</w:t>
      </w:r>
      <w:r w:rsidRPr="0011059B">
        <w:rPr>
          <w:rFonts w:cs="Arial"/>
          <w:sz w:val="20"/>
          <w:szCs w:val="28"/>
          <w:shd w:val="clear" w:color="auto" w:fill="FFFFFF"/>
        </w:rPr>
        <w:t xml:space="preserve"> </w:t>
      </w:r>
    </w:p>
    <w:p w:rsidR="0011059B" w:rsidRDefault="0011059B" w:rsidP="004371EE">
      <w:pPr>
        <w:spacing w:after="120" w:line="276" w:lineRule="auto"/>
        <w:contextualSpacing/>
        <w:rPr>
          <w:rFonts w:cs="Arial"/>
          <w:color w:val="444444"/>
          <w:sz w:val="20"/>
          <w:szCs w:val="28"/>
          <w:shd w:val="clear" w:color="auto" w:fill="FFFFFF"/>
        </w:rPr>
      </w:pPr>
    </w:p>
    <w:p w:rsidR="0011059B" w:rsidRDefault="0011059B" w:rsidP="004371EE">
      <w:pPr>
        <w:spacing w:after="120" w:line="276" w:lineRule="auto"/>
        <w:contextualSpacing/>
        <w:rPr>
          <w:rFonts w:cs="Arial"/>
          <w:color w:val="444444"/>
          <w:sz w:val="20"/>
          <w:szCs w:val="28"/>
          <w:shd w:val="clear" w:color="auto" w:fill="FFFFFF"/>
        </w:rPr>
      </w:pPr>
    </w:p>
    <w:p w:rsidR="0011059B" w:rsidRDefault="0011059B" w:rsidP="004371EE">
      <w:pPr>
        <w:spacing w:after="120" w:line="276" w:lineRule="auto"/>
        <w:contextualSpacing/>
        <w:rPr>
          <w:rFonts w:cs="Arial"/>
          <w:color w:val="444444"/>
          <w:sz w:val="20"/>
          <w:szCs w:val="28"/>
          <w:shd w:val="clear" w:color="auto" w:fill="FFFFFF"/>
        </w:rPr>
      </w:pPr>
    </w:p>
    <w:p w:rsidR="0011059B" w:rsidRDefault="0011059B" w:rsidP="004371EE">
      <w:pPr>
        <w:spacing w:after="120" w:line="276" w:lineRule="auto"/>
        <w:contextualSpacing/>
        <w:rPr>
          <w:rFonts w:cs="Arial"/>
          <w:color w:val="444444"/>
          <w:sz w:val="20"/>
          <w:szCs w:val="28"/>
          <w:shd w:val="clear" w:color="auto" w:fill="FFFFFF"/>
        </w:rPr>
      </w:pPr>
    </w:p>
    <w:p w:rsidR="0011059B" w:rsidRDefault="0011059B" w:rsidP="004371EE">
      <w:pPr>
        <w:spacing w:after="120" w:line="276" w:lineRule="auto"/>
        <w:contextualSpacing/>
        <w:rPr>
          <w:rFonts w:cs="Arial"/>
          <w:color w:val="444444"/>
          <w:sz w:val="20"/>
          <w:szCs w:val="28"/>
          <w:shd w:val="clear" w:color="auto" w:fill="FFFFFF"/>
        </w:rPr>
      </w:pPr>
    </w:p>
    <w:p w:rsidR="0011059B" w:rsidRDefault="0011059B" w:rsidP="004371EE">
      <w:pPr>
        <w:spacing w:after="120" w:line="276" w:lineRule="auto"/>
        <w:contextualSpacing/>
        <w:rPr>
          <w:rFonts w:cs="Arial"/>
          <w:color w:val="444444"/>
          <w:sz w:val="20"/>
          <w:szCs w:val="28"/>
          <w:shd w:val="clear" w:color="auto" w:fill="FFFFFF"/>
        </w:rPr>
      </w:pPr>
    </w:p>
    <w:p w:rsidR="0011059B" w:rsidRDefault="0011059B" w:rsidP="004371EE">
      <w:pPr>
        <w:spacing w:after="120" w:line="276" w:lineRule="auto"/>
        <w:contextualSpacing/>
        <w:rPr>
          <w:rFonts w:cs="Arial"/>
          <w:color w:val="444444"/>
          <w:sz w:val="20"/>
          <w:szCs w:val="28"/>
          <w:shd w:val="clear" w:color="auto" w:fill="FFFFFF"/>
        </w:rPr>
      </w:pPr>
    </w:p>
    <w:p w:rsidR="0011059B" w:rsidRPr="004371EE" w:rsidRDefault="0011059B" w:rsidP="004371EE">
      <w:pPr>
        <w:spacing w:after="120" w:line="276" w:lineRule="auto"/>
        <w:contextualSpacing/>
        <w:rPr>
          <w:rFonts w:cs="Arial"/>
          <w:color w:val="444444"/>
          <w:szCs w:val="24"/>
          <w:shd w:val="clear" w:color="auto" w:fill="FFFFFF"/>
        </w:rPr>
      </w:pPr>
    </w:p>
    <w:p w:rsidR="00962CB7" w:rsidRPr="00E27F2F" w:rsidRDefault="00962CB7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Pr="00E27F2F" w:rsidRDefault="006A7BEA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74790" cy="19812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98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:rsidR="006A7BEA" w:rsidRPr="006A7BEA" w:rsidRDefault="006A7BEA" w:rsidP="006A7BEA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B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Tomáš Hládek byl téměř 30 let pracovníkem centrální banky, kde působil na různých pozicích. Podílel se na rozvoji systémů platebního styku v ČR.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 w:rsidRPr="006A7B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íce než 10 let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měl v </w:t>
                            </w:r>
                            <w:r w:rsidRPr="006A7B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centrální ban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 na starosti </w:t>
                            </w:r>
                            <w:r w:rsidRPr="006A7B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jak bezhotovostní platební styk, tak i hotovostní peněžní oběh, a to jak po stránce legislativní či metodické, tak i po stránce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provozní, </w:t>
                            </w:r>
                            <w:r w:rsidRPr="006A7B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technické.</w:t>
                            </w:r>
                          </w:p>
                          <w:p w:rsidR="006A7BEA" w:rsidRPr="006A7BEA" w:rsidRDefault="006A7BEA" w:rsidP="006A7BEA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6A7B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osledních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6A7B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let působí v České bankovní asociaci, kde se věnuje otázkám spolupráce bank na poli platebního styku a peněžního oběhu a rovněž dalším oblastem, mezi které například patří obecně digitalizace a kybernetická bezpečnost.</w:t>
                            </w:r>
                          </w:p>
                          <w:p w:rsidR="006A7BEA" w:rsidRPr="006A7BEA" w:rsidRDefault="006A7BEA" w:rsidP="006A7BEA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T. Hládek d</w:t>
                            </w:r>
                            <w:r w:rsidRPr="006A7B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louhodobě spolupracuje s Mezinárodním měnovým fondem jako jeho externí poradce, přednáší na vysokých školách. V EU reprezentuje ČBA v pracovních strukturách Evropské bankovní federace, je členem představenstva Evropské platební rady a členem skupiny expertů Evropské komise pro otázky platebního styku.</w:t>
                            </w:r>
                          </w:p>
                          <w:p w:rsidR="006A7BEA" w:rsidRPr="006A7BEA" w:rsidRDefault="006A7BEA" w:rsidP="006A7BEA">
                            <w:pPr>
                              <w:pStyle w:val="THnor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0;margin-top:5.4pt;width:517.7pt;height:156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" fillcolor="#bfbfbf [2412]" stroked="f" strokeweight="1pt">
                <v:textbox inset="3mm,3mm,3mm,3mm">
                  <w:txbxContent>
                    <w:p w14:paraId="74396C44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59FB67F5" w14:textId="77777777" w:rsidR="006A7BEA" w:rsidRPr="006A7BEA" w:rsidRDefault="006A7BEA" w:rsidP="006A7BEA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B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Tomáš Hládek byl téměř 30 let pracovníkem centrální banky, kde působil na různých pozicích. Podílel se na rozvoji systémů platebního styku v ČR.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Pr="006A7B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íce než 10 let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měl v </w:t>
                      </w:r>
                      <w:r w:rsidRPr="006A7BEA">
                        <w:rPr>
                          <w:rFonts w:ascii="Arial" w:hAnsi="Arial" w:cs="Arial"/>
                          <w:sz w:val="20"/>
                          <w:szCs w:val="20"/>
                        </w:rPr>
                        <w:t>centrální ban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 na starosti </w:t>
                      </w:r>
                      <w:r w:rsidRPr="006A7B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jak bezhotovostní platební styk, tak i hotovostní peněžní oběh, a to jak po stránce legislativní či metodické, tak i po stránce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provozní, </w:t>
                      </w:r>
                      <w:r w:rsidRPr="006A7BEA">
                        <w:rPr>
                          <w:rFonts w:ascii="Arial" w:hAnsi="Arial" w:cs="Arial"/>
                          <w:sz w:val="20"/>
                          <w:szCs w:val="20"/>
                        </w:rPr>
                        <w:t>technické.</w:t>
                      </w:r>
                    </w:p>
                    <w:p w14:paraId="1CD01A91" w14:textId="77777777" w:rsidR="006A7BEA" w:rsidRPr="006A7BEA" w:rsidRDefault="006A7BEA" w:rsidP="006A7BEA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6A7B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osledních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6A7B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let působí v České bankovní asociaci, kde se věnuje otázkám spolupráce bank na poli platebního styku a peněžního oběhu a rovněž dalším oblastem, mezi které například patří obecně digitalizace a kybernetická bezpečnost.</w:t>
                      </w:r>
                    </w:p>
                    <w:p w14:paraId="7697EA1D" w14:textId="77777777" w:rsidR="006A7BEA" w:rsidRPr="006A7BEA" w:rsidRDefault="006A7BEA" w:rsidP="006A7BEA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T. Hládek d</w:t>
                      </w:r>
                      <w:r w:rsidRPr="006A7BEA">
                        <w:rPr>
                          <w:rFonts w:ascii="Arial" w:hAnsi="Arial" w:cs="Arial"/>
                          <w:sz w:val="20"/>
                          <w:szCs w:val="20"/>
                        </w:rPr>
                        <w:t>louhodobě spolupracuje s Mezinárodním měnovým fondem jako jeho externí poradce, přednáší na vysokých školách. V EU reprezentuje ČBA v pracovních strukturách Evropské bankovní federace, je členem představenstva Evropské platební rady a členem skupiny expertů Evropské komise pro otázky platebního styku.</w:t>
                      </w:r>
                    </w:p>
                    <w:p w14:paraId="3CFD58A4" w14:textId="77777777" w:rsidR="006A7BEA" w:rsidRPr="006A7BEA" w:rsidRDefault="006A7BEA" w:rsidP="006A7BEA">
                      <w:pPr>
                        <w:pStyle w:val="THnor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3E5A07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6F32" w:rsidRPr="00E27F2F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" fillcolor="#007e79" stroked="f" strokeweight="1pt">
                <v:fill opacity="56283f"/>
                <v:textbox inset="3mm,3mm,3mm,3mm">
                  <w:txbxContent>
                    <w:p w14:paraId="2DB84D82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2822FDF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277347F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0C9CB34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7296C837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1D8BD7E0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14:paraId="18E56373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3324F9A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5C877497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5390A763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62F" w:rsidRDefault="006F762F" w:rsidP="00F573F1">
      <w:r>
        <w:separator/>
      </w:r>
    </w:p>
  </w:endnote>
  <w:endnote w:type="continuationSeparator" w:id="0">
    <w:p w:rsidR="006F762F" w:rsidRDefault="006F762F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62F" w:rsidRDefault="006F762F" w:rsidP="00F573F1">
      <w:r>
        <w:separator/>
      </w:r>
    </w:p>
  </w:footnote>
  <w:footnote w:type="continuationSeparator" w:id="0">
    <w:p w:rsidR="006F762F" w:rsidRDefault="006F762F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059B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23EF"/>
    <w:rsid w:val="006D61DA"/>
    <w:rsid w:val="006E0941"/>
    <w:rsid w:val="006E1DC5"/>
    <w:rsid w:val="006E3420"/>
    <w:rsid w:val="006E3FA9"/>
    <w:rsid w:val="006F2196"/>
    <w:rsid w:val="006F2B29"/>
    <w:rsid w:val="006F762F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20D7"/>
    <w:rsid w:val="00C57869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77C3"/>
    <w:rsid w:val="00D55406"/>
    <w:rsid w:val="00D670D3"/>
    <w:rsid w:val="00D67470"/>
    <w:rsid w:val="00D67FC9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ECDF5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.cz/cs/dohled-financni-trh/novinky/sdeleni-ceske-narodni-banky-v-souvislosti-s-ucinnosti-narizeni-komise-v-prenesene-pravomoci-eu-2018-389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00EE-69BC-4803-AB1D-EF5C7344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3</cp:revision>
  <cp:lastPrinted>2019-08-27T11:23:00Z</cp:lastPrinted>
  <dcterms:created xsi:type="dcterms:W3CDTF">2019-09-13T09:56:00Z</dcterms:created>
  <dcterms:modified xsi:type="dcterms:W3CDTF">2019-10-03T07:45:00Z</dcterms:modified>
</cp:coreProperties>
</file>