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6" w:rsidRDefault="006E15C4" w:rsidP="00372B96">
      <w:pPr>
        <w:spacing w:after="168"/>
        <w:outlineLvl w:val="0"/>
        <w:rPr>
          <w:rFonts w:cs="Arial"/>
          <w:b/>
          <w:color w:val="31353D"/>
          <w:spacing w:val="-8"/>
          <w:kern w:val="36"/>
          <w:sz w:val="24"/>
          <w:szCs w:val="41"/>
        </w:rPr>
      </w:pPr>
      <w:r w:rsidRPr="00C92EEF">
        <w:rPr>
          <w:rFonts w:cs="Arial"/>
          <w:b/>
          <w:color w:val="007E79"/>
          <w:sz w:val="28"/>
          <w:szCs w:val="28"/>
        </w:rPr>
        <w:t xml:space="preserve">Komentář: </w:t>
      </w:r>
      <w:r w:rsidR="00372B96" w:rsidRPr="00372B96">
        <w:rPr>
          <w:rFonts w:cs="Arial"/>
          <w:b/>
          <w:color w:val="007E79"/>
          <w:sz w:val="28"/>
          <w:szCs w:val="28"/>
        </w:rPr>
        <w:t>Zmírnění pravidel poskytování hypoték pro mladé? Pojďme to vyzkoušet hned!</w:t>
      </w:r>
    </w:p>
    <w:p w:rsidR="006E15C4" w:rsidRPr="00B35B21" w:rsidRDefault="006E15C4" w:rsidP="006E15C4">
      <w:pPr>
        <w:rPr>
          <w:rFonts w:cs="Arial"/>
          <w:b/>
          <w:sz w:val="20"/>
        </w:rPr>
      </w:pPr>
    </w:p>
    <w:p w:rsidR="006E15C4" w:rsidRPr="00C92EEF" w:rsidRDefault="006E15C4" w:rsidP="006E15C4">
      <w:pPr>
        <w:spacing w:after="120" w:line="276" w:lineRule="auto"/>
        <w:contextualSpacing/>
        <w:rPr>
          <w:rFonts w:cs="Arial"/>
          <w:b/>
          <w:color w:val="007E79"/>
        </w:rPr>
      </w:pPr>
      <w:r w:rsidRPr="00C92EEF">
        <w:rPr>
          <w:rFonts w:cs="Arial"/>
          <w:b/>
          <w:color w:val="007E79"/>
          <w:sz w:val="22"/>
          <w:szCs w:val="22"/>
        </w:rPr>
        <w:t xml:space="preserve">Autor: </w:t>
      </w:r>
      <w:r w:rsidR="00372B96">
        <w:rPr>
          <w:rFonts w:cs="Arial"/>
          <w:b/>
          <w:color w:val="007E79"/>
          <w:sz w:val="22"/>
          <w:szCs w:val="22"/>
        </w:rPr>
        <w:t>Vladimír Staňura</w:t>
      </w:r>
      <w:r w:rsidRPr="006E15C4">
        <w:rPr>
          <w:rFonts w:cs="Arial"/>
          <w:b/>
          <w:color w:val="007E79"/>
          <w:sz w:val="22"/>
          <w:szCs w:val="22"/>
        </w:rPr>
        <w:t xml:space="preserve">, </w:t>
      </w:r>
      <w:r w:rsidR="00372B96">
        <w:rPr>
          <w:rFonts w:cs="Arial"/>
          <w:b/>
          <w:color w:val="007E79"/>
          <w:sz w:val="22"/>
          <w:szCs w:val="22"/>
        </w:rPr>
        <w:t xml:space="preserve">hlavní poradce </w:t>
      </w:r>
      <w:r w:rsidRPr="006E15C4">
        <w:rPr>
          <w:rFonts w:cs="Arial"/>
          <w:b/>
          <w:color w:val="007E79"/>
          <w:sz w:val="22"/>
          <w:szCs w:val="22"/>
        </w:rPr>
        <w:t>České bankovní asociace</w:t>
      </w:r>
      <w:r w:rsidRPr="00C92EEF">
        <w:rPr>
          <w:rFonts w:cs="Arial"/>
          <w:b/>
          <w:color w:val="007E79"/>
          <w:sz w:val="22"/>
          <w:szCs w:val="24"/>
        </w:rPr>
        <w:t xml:space="preserve"> </w:t>
      </w:r>
    </w:p>
    <w:p w:rsidR="006E15C4" w:rsidRPr="00C92EEF" w:rsidRDefault="006E15C4" w:rsidP="006E15C4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C92EEF">
        <w:rPr>
          <w:rFonts w:cs="Arial"/>
          <w:b/>
          <w:color w:val="007E79"/>
          <w:sz w:val="22"/>
          <w:szCs w:val="22"/>
        </w:rPr>
        <w:t xml:space="preserve">Praha, </w:t>
      </w:r>
      <w:r w:rsidR="005827A8">
        <w:rPr>
          <w:rFonts w:cs="Arial"/>
          <w:b/>
          <w:color w:val="007E79"/>
          <w:sz w:val="22"/>
          <w:szCs w:val="22"/>
        </w:rPr>
        <w:t>18</w:t>
      </w:r>
      <w:bookmarkStart w:id="0" w:name="_GoBack"/>
      <w:bookmarkEnd w:id="0"/>
      <w:r w:rsidRPr="00C92EEF">
        <w:rPr>
          <w:rFonts w:cs="Arial"/>
          <w:b/>
          <w:color w:val="007E79"/>
          <w:sz w:val="22"/>
          <w:szCs w:val="22"/>
        </w:rPr>
        <w:t xml:space="preserve">. </w:t>
      </w:r>
      <w:r w:rsidRPr="006E15C4">
        <w:rPr>
          <w:rFonts w:cs="Arial"/>
          <w:b/>
          <w:color w:val="007E79"/>
          <w:sz w:val="22"/>
          <w:szCs w:val="22"/>
        </w:rPr>
        <w:t>dubna</w:t>
      </w:r>
      <w:r w:rsidRPr="00C92EEF">
        <w:rPr>
          <w:rFonts w:cs="Arial"/>
          <w:b/>
          <w:color w:val="007E79"/>
          <w:sz w:val="22"/>
          <w:szCs w:val="22"/>
        </w:rPr>
        <w:t xml:space="preserve"> 2019 </w:t>
      </w:r>
    </w:p>
    <w:p w:rsidR="006E15C4" w:rsidRPr="00C92EEF" w:rsidRDefault="006E15C4" w:rsidP="006E15C4">
      <w:pPr>
        <w:rPr>
          <w:rFonts w:cs="Arial"/>
          <w:b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>Součástí novely zákona o České národní bance, kterou posílá Ministerstvo financí po dohodě s ČNB do vlády, je i návrh na „změkčení“ podmínek pro poskytování hypoték. Pokud tento návrh Parlament schválí, budou si moci mladí žadatelé do 36 let vzít za účelem pořízení vlastního bydlení v bance hypotéku až o 10 % nad limit zástavní hodnoty, který ČNB stanoví ostatním. Mladí by tak mohli dosáhnout i na 100% hypotéku. Na splátku hypotéky a dalších dluhů by pak mohli vydávat 50 % čistého příjmu, tj. až o pět procent více než lidé starší 36 let. Celková hypotéka by mohla být také vyšší než u ostatních žadatelů, protože limit celkového dluhu u mladých by nesměl překročit 10násobek čistého ročního příjmu.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>Ministerstvo financí k tomu uvádí poměrně logické zdůvodnění, že mladí žadatelé mají nižší příjmy a úspory, ale je silný předpoklad, že obojí jim v následujících letech poroste.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 xml:space="preserve">Reakce bank na změkčení podmínek pro poskytování hypoték pro mladé se různí. Každá banka má totiž jiný obchodní model, jinou věkovou strukturu klientů a jiné zacílení na produkty. Pozitivní reakce poukazují na to, že se otevírají obchodní možnosti u segmentu klientů, který je perspektivní. To je u banky vždy velmi žádaný klient. To jest mj. ten klient, který si pořizuje svoji první nemovitost a bude v ní bydlet. Zkušenost ukazuje, že právě tito klienti mají nejlepší disciplínu při splácení svých hypotečních úvěrů. Na rozdíl od těch, kteří si kupují nemovitost jako investici a nebude pro ně fatální, když by o ni z důvodu nesplácení přišli. Kladně je také hodnocena podpora mladých domácností. Negativní hlasy však říkají, že regulace bude ještě o něco složitější, změkčení jde proti původnímu záměru (formou zpřísnění ukazatelů předejít nárůstu nesplacených úvěrů v důsledku očekávatelného zhoršení vývoje ekonomiky) a vzbudí nepřiměřená očekávání, když mladým žadatelům stejně příliš nepomůže. Proč? 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 xml:space="preserve">Protože pro každou z bank je naprostou prioritou bonita klientů a její posuzování. Zmíněné ukazatelé nastavené ČNB představují jakési hrubé síto, kterým žadatel o hypoteční úvěr musí projít. Paralelně s tím běží ze strany banky další test – podrobné posouzení bonity žadatele. Parametry a metodika tohoto posuzování je alchymií patřící k nejpřísněji střeženým tajemstvím každé banky.   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 xml:space="preserve">Předpokládám, že jedním z důvodů, proč je návrh na změkčení ukazatelů předkládán, je skutečnost, že doporučeními nastavená regulace z června 2018 (kterou bylo nastaveno zmíněné „hrubé síto“) přispěla k výraznému propadu hypotečního trhu v lednu a únoru letošního roku. Březen už sice ukázal lepší čísla. Za březen si přišlo pro hypotéku 6,7 tis. žadatelů v objemu 14,8 mld. Kč. To je skoro o 30 % více než v lednu a únoru letošního roku. Ty ale byly zcela tragické. Takže i březnová vyšší čísla jsou hluboko pod průměrnými měsíčními výsledky několika posledních let. Totéž tím pádem platí i pro celé 1. čtvrtletí letošního roku, které je z hlediska počtu i objemu hypoték nejslabší za řadu let zpátky. Je ale zapotřebí dodat, že propad byl způsoben také vysokými cenami nemovitostí a vyššími úrokovými sazbami, než na jaké jsme byli v posledních letech zvyklí. 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>Návrh ministerstva má nyní tedy toto síto „zjemnit“. A nejen to. Soudím, že změkčení podmínek pro mladé přinese ministerstvu financí a ČNB podstatně lepší vyjednávací a přesvědčovací pozici na vládě i v Parlamentu při prosazování novely zákona o ČNB jako celku. Já osobně však velké změny na hypotečním trhu neočekávám. Ceny nemovitostí zůstávají vysoko a úrokové sazby oproti boomu hypotečního trhu v minulých letech rovněž. A hlavně, hrubým sítem ukazatelů sice projde více žadatelů, banky budou ale i nadále praktikovat přísné posuzování bonity klientů podle svých pravidel.</w:t>
      </w: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</w:p>
    <w:p w:rsidR="00372B96" w:rsidRPr="00372B96" w:rsidRDefault="00372B96" w:rsidP="00372B96">
      <w:pPr>
        <w:spacing w:before="168" w:after="336"/>
        <w:contextualSpacing/>
        <w:rPr>
          <w:rFonts w:cs="Arial"/>
          <w:sz w:val="20"/>
        </w:rPr>
      </w:pPr>
      <w:r w:rsidRPr="00372B96">
        <w:rPr>
          <w:rFonts w:cs="Arial"/>
          <w:sz w:val="20"/>
        </w:rPr>
        <w:t xml:space="preserve">Můžu se však mýlit. Nejlepším způsobem, jak zjistit jaký vliv bude mít změkčení podmínek na trh, je uvést navrhovaná změkčení do života okamžitě. To může ČNB udělat svým doporučením ihned a nemusí se čekat na to, až bude novela zákona schválena. Zákonodárcům by to jistě pomohlo zorientovat se v tom, jaký názor si na touto novelou navrhovaná opatření ČNB včetně diskutovaného změkčení utvořit. </w:t>
      </w:r>
    </w:p>
    <w:p w:rsidR="00D4029D" w:rsidRPr="006E15C4" w:rsidRDefault="00D4029D" w:rsidP="00BD483C">
      <w:pPr>
        <w:spacing w:after="120" w:line="276" w:lineRule="auto"/>
        <w:contextualSpacing/>
        <w:rPr>
          <w:rFonts w:cs="Arial"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372B96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98425</wp:posOffset>
                </wp:positionV>
                <wp:extent cx="6574790" cy="1684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8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96" w:rsidRDefault="00372B96" w:rsidP="00372B96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</w:t>
                            </w:r>
                          </w:p>
                          <w:p w:rsidR="00372B96" w:rsidRDefault="00372B96" w:rsidP="00372B9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Vladimír Staňura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372B96" w:rsidRDefault="00372B96" w:rsidP="00372B9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372B96" w:rsidRPr="00873451" w:rsidRDefault="00372B96" w:rsidP="00372B9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6E15C4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7.75pt;width:517.7pt;height:13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" fillcolor="#bfbfbf [2412]" stroked="f" strokeweight="1pt">
                <v:textbox inset="3mm,3mm,3mm,3mm">
                  <w:txbxContent>
                    <w:p w:rsidR="00372B96" w:rsidRDefault="00372B96" w:rsidP="00372B96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</w:t>
                      </w:r>
                    </w:p>
                    <w:p w:rsidR="00372B96" w:rsidRDefault="00372B96" w:rsidP="00372B9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372B96" w:rsidRDefault="00372B96" w:rsidP="00372B9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372B96" w:rsidRPr="00873451" w:rsidRDefault="00372B96" w:rsidP="00372B9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6E15C4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D1" w:rsidRDefault="00F819D1" w:rsidP="00F573F1">
      <w:r>
        <w:separator/>
      </w:r>
    </w:p>
  </w:endnote>
  <w:endnote w:type="continuationSeparator" w:id="0">
    <w:p w:rsidR="00F819D1" w:rsidRDefault="00F819D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D1" w:rsidRDefault="00F819D1" w:rsidP="00F573F1">
      <w:r>
        <w:separator/>
      </w:r>
    </w:p>
  </w:footnote>
  <w:footnote w:type="continuationSeparator" w:id="0">
    <w:p w:rsidR="00F819D1" w:rsidRDefault="00F819D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2DD2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2B96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27A8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66046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5C4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19D1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63D9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D59E-E9BF-4BC4-9135-CB37CBA9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2019-08-27T11:23:00Z</cp:lastPrinted>
  <dcterms:created xsi:type="dcterms:W3CDTF">2019-10-02T12:14:00Z</dcterms:created>
  <dcterms:modified xsi:type="dcterms:W3CDTF">2019-10-02T12:28:00Z</dcterms:modified>
</cp:coreProperties>
</file>