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E1E0" w14:textId="5F809817" w:rsidR="009139AF" w:rsidRPr="001E15FD" w:rsidRDefault="009139AF" w:rsidP="009139AF">
      <w:pPr>
        <w:rPr>
          <w:rFonts w:cs="Arial"/>
          <w:b/>
          <w:color w:val="007E79"/>
          <w:sz w:val="32"/>
          <w:szCs w:val="28"/>
        </w:rPr>
      </w:pPr>
      <w:r w:rsidRPr="0051711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BBDBD55">
                <wp:simplePos x="0" y="0"/>
                <wp:positionH relativeFrom="margin">
                  <wp:posOffset>5181600</wp:posOffset>
                </wp:positionH>
                <wp:positionV relativeFrom="paragraph">
                  <wp:posOffset>-944245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77777777" w:rsidR="00517111" w:rsidRDefault="00517111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080F57F0" w:rsidR="00517111" w:rsidRPr="00517111" w:rsidRDefault="001E15FD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27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267ACA">
                              <w:rPr>
                                <w:color w:val="BFBFBF" w:themeColor="background1" w:themeShade="BF"/>
                              </w:rPr>
                              <w:t>02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>. 201</w:t>
                            </w:r>
                            <w:r w:rsidR="00267ACA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8pt;margin-top:-74.3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Pvf5AvgAAAADAEAAA8AAAAAAAAAAAAAAAAAbQQAAGRycy9kb3ducmV2LnhtbFBLBQYAAAAA&#10;BAAEAPMAAAB6BQAAAAA=&#10;" filled="f" stroked="f">
                <v:textbox style="mso-fit-shape-to-text:t">
                  <w:txbxContent>
                    <w:p w14:paraId="093A89A6" w14:textId="77777777" w:rsidR="00517111" w:rsidRDefault="00517111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080F57F0" w:rsidR="00517111" w:rsidRPr="00517111" w:rsidRDefault="001E15FD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27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267ACA">
                        <w:rPr>
                          <w:color w:val="BFBFBF" w:themeColor="background1" w:themeShade="BF"/>
                        </w:rPr>
                        <w:t>02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>. 201</w:t>
                      </w:r>
                      <w:r w:rsidR="00267ACA">
                        <w:rPr>
                          <w:color w:val="BFBFBF" w:themeColor="background1" w:themeShade="BF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5FD">
        <w:rPr>
          <w:rFonts w:cs="Arial"/>
          <w:b/>
          <w:color w:val="007E79"/>
          <w:sz w:val="32"/>
          <w:szCs w:val="28"/>
        </w:rPr>
        <w:t xml:space="preserve">Nakupování Čechů na úvěr: </w:t>
      </w:r>
      <w:r w:rsidR="002A31A1">
        <w:rPr>
          <w:rFonts w:cs="Arial"/>
          <w:b/>
          <w:color w:val="007E79"/>
          <w:sz w:val="32"/>
          <w:szCs w:val="28"/>
        </w:rPr>
        <w:t xml:space="preserve">rizikové zadlužování </w:t>
      </w:r>
      <w:r w:rsidR="007964DC">
        <w:rPr>
          <w:rFonts w:cs="Arial"/>
          <w:b/>
          <w:color w:val="007E79"/>
          <w:sz w:val="32"/>
          <w:szCs w:val="28"/>
        </w:rPr>
        <w:t>se nelepší</w:t>
      </w:r>
      <w:r w:rsidR="002A31A1">
        <w:rPr>
          <w:rFonts w:cs="Arial"/>
          <w:b/>
          <w:color w:val="007E79"/>
          <w:sz w:val="32"/>
          <w:szCs w:val="28"/>
        </w:rPr>
        <w:t xml:space="preserve"> </w:t>
      </w:r>
      <w:r w:rsidRPr="009139AF">
        <w:rPr>
          <w:rFonts w:cs="Arial"/>
          <w:b/>
          <w:color w:val="007E79"/>
          <w:sz w:val="24"/>
          <w:szCs w:val="28"/>
        </w:rPr>
        <w:t xml:space="preserve"> </w:t>
      </w:r>
    </w:p>
    <w:p w14:paraId="4A6E52AD" w14:textId="52FE842A" w:rsidR="009139AF" w:rsidRDefault="009139AF" w:rsidP="001D5BB9"/>
    <w:p w14:paraId="34D24D41" w14:textId="77777777" w:rsidR="001E15FD" w:rsidRDefault="009139AF" w:rsidP="00803E55">
      <w:pPr>
        <w:rPr>
          <w:rFonts w:cs="Arial"/>
          <w:b/>
          <w:color w:val="007E79"/>
          <w:szCs w:val="22"/>
        </w:rPr>
      </w:pPr>
      <w:r w:rsidRPr="00C74048">
        <w:rPr>
          <w:rFonts w:cs="Arial"/>
          <w:b/>
          <w:color w:val="007E79"/>
          <w:szCs w:val="22"/>
        </w:rPr>
        <w:t xml:space="preserve">Praha, </w:t>
      </w:r>
      <w:r w:rsidR="001E15FD">
        <w:rPr>
          <w:rFonts w:cs="Arial"/>
          <w:b/>
          <w:color w:val="007E79"/>
          <w:szCs w:val="22"/>
        </w:rPr>
        <w:t>27</w:t>
      </w:r>
      <w:r w:rsidRPr="00C74048">
        <w:rPr>
          <w:rFonts w:cs="Arial"/>
          <w:b/>
          <w:color w:val="007E79"/>
          <w:szCs w:val="22"/>
        </w:rPr>
        <w:t xml:space="preserve">. </w:t>
      </w:r>
      <w:r>
        <w:rPr>
          <w:rFonts w:cs="Arial"/>
          <w:b/>
          <w:color w:val="007E79"/>
          <w:szCs w:val="22"/>
        </w:rPr>
        <w:t>února</w:t>
      </w:r>
      <w:r w:rsidRPr="00C74048">
        <w:rPr>
          <w:rFonts w:cs="Arial"/>
          <w:b/>
          <w:color w:val="007E79"/>
          <w:szCs w:val="22"/>
        </w:rPr>
        <w:t xml:space="preserve"> 201</w:t>
      </w:r>
      <w:r>
        <w:rPr>
          <w:rFonts w:cs="Arial"/>
          <w:b/>
          <w:color w:val="007E79"/>
          <w:szCs w:val="22"/>
        </w:rPr>
        <w:t xml:space="preserve">9 </w:t>
      </w:r>
    </w:p>
    <w:p w14:paraId="7A72A94C" w14:textId="77777777" w:rsidR="001E15FD" w:rsidRDefault="001E15FD" w:rsidP="00803E55">
      <w:pPr>
        <w:rPr>
          <w:rFonts w:cs="Arial"/>
          <w:b/>
          <w:color w:val="007E79"/>
          <w:szCs w:val="22"/>
        </w:rPr>
      </w:pPr>
    </w:p>
    <w:p w14:paraId="7FE91308" w14:textId="7CEB0381" w:rsidR="00571C08" w:rsidRPr="004F6EA8" w:rsidRDefault="001E15FD" w:rsidP="00571C08">
      <w:pPr>
        <w:pStyle w:val="Odstavecseseznamem"/>
        <w:numPr>
          <w:ilvl w:val="0"/>
          <w:numId w:val="4"/>
        </w:numPr>
        <w:rPr>
          <w:rFonts w:cs="Arial"/>
          <w:b/>
          <w:color w:val="007E79"/>
          <w:szCs w:val="22"/>
        </w:rPr>
      </w:pPr>
      <w:r w:rsidRPr="00571C08">
        <w:rPr>
          <w:rFonts w:cs="Arial"/>
          <w:b/>
          <w:color w:val="007E79"/>
          <w:szCs w:val="22"/>
        </w:rPr>
        <w:t xml:space="preserve">60 % </w:t>
      </w:r>
      <w:r w:rsidR="00B27646" w:rsidRPr="004F6EA8">
        <w:rPr>
          <w:rFonts w:cs="Arial"/>
          <w:b/>
          <w:color w:val="007E79"/>
          <w:szCs w:val="22"/>
        </w:rPr>
        <w:t>Če</w:t>
      </w:r>
      <w:r w:rsidRPr="004F6EA8">
        <w:rPr>
          <w:rFonts w:cs="Arial"/>
          <w:b/>
          <w:color w:val="007E79"/>
          <w:szCs w:val="22"/>
        </w:rPr>
        <w:t xml:space="preserve">chů </w:t>
      </w:r>
      <w:r w:rsidR="00571C08" w:rsidRPr="004F6EA8">
        <w:rPr>
          <w:rFonts w:cs="Arial"/>
          <w:b/>
          <w:color w:val="007E79"/>
          <w:szCs w:val="22"/>
        </w:rPr>
        <w:t xml:space="preserve">má zkušenost s nákupem na úvěr, z nich 33 % vykazuje rizikové </w:t>
      </w:r>
      <w:r w:rsidR="009F6C56" w:rsidRPr="004F6EA8">
        <w:rPr>
          <w:rFonts w:cs="Arial"/>
          <w:b/>
          <w:color w:val="007E79"/>
          <w:szCs w:val="22"/>
        </w:rPr>
        <w:t>chování</w:t>
      </w:r>
      <w:r w:rsidR="00571C08" w:rsidRPr="004F6EA8">
        <w:rPr>
          <w:rFonts w:cs="Arial"/>
          <w:b/>
          <w:color w:val="007E79"/>
          <w:szCs w:val="22"/>
        </w:rPr>
        <w:t xml:space="preserve">. </w:t>
      </w:r>
      <w:r w:rsidR="005D4BC8" w:rsidRPr="004F6EA8">
        <w:rPr>
          <w:rFonts w:cs="Arial"/>
          <w:b/>
          <w:color w:val="007E79"/>
          <w:szCs w:val="22"/>
        </w:rPr>
        <w:t xml:space="preserve">Index rizikového zadlužování </w:t>
      </w:r>
      <w:r w:rsidR="002D49FB" w:rsidRPr="004F6EA8">
        <w:rPr>
          <w:rFonts w:cs="Arial"/>
          <w:b/>
          <w:color w:val="007E79"/>
          <w:szCs w:val="22"/>
        </w:rPr>
        <w:t xml:space="preserve">se oproti </w:t>
      </w:r>
      <w:r w:rsidR="002A31A1" w:rsidRPr="004F6EA8">
        <w:rPr>
          <w:rFonts w:cs="Arial"/>
          <w:b/>
          <w:color w:val="007E79"/>
          <w:szCs w:val="22"/>
        </w:rPr>
        <w:t xml:space="preserve">loňskému roku </w:t>
      </w:r>
      <w:r w:rsidR="00A155ED">
        <w:rPr>
          <w:rFonts w:cs="Arial"/>
          <w:b/>
          <w:color w:val="007E79"/>
          <w:szCs w:val="22"/>
        </w:rPr>
        <w:t>nezlepšuje a index dosáhl</w:t>
      </w:r>
      <w:r w:rsidR="002A31A1" w:rsidRPr="004F6EA8">
        <w:rPr>
          <w:rFonts w:cs="Arial"/>
          <w:b/>
          <w:color w:val="007E79"/>
          <w:szCs w:val="22"/>
        </w:rPr>
        <w:t xml:space="preserve"> na 20 %</w:t>
      </w:r>
      <w:r w:rsidR="005D4BC8" w:rsidRPr="004F6EA8">
        <w:rPr>
          <w:rFonts w:cs="Arial"/>
          <w:b/>
          <w:color w:val="007E79"/>
          <w:szCs w:val="22"/>
        </w:rPr>
        <w:t>.</w:t>
      </w:r>
    </w:p>
    <w:p w14:paraId="0CF467E2" w14:textId="32CEDFBF" w:rsidR="00571C08" w:rsidRPr="004F6EA8" w:rsidRDefault="00571C08" w:rsidP="00571C08">
      <w:pPr>
        <w:pStyle w:val="Odstavecseseznamem"/>
        <w:numPr>
          <w:ilvl w:val="0"/>
          <w:numId w:val="4"/>
        </w:numPr>
        <w:rPr>
          <w:rFonts w:cs="Arial"/>
          <w:b/>
          <w:color w:val="007E79"/>
          <w:szCs w:val="22"/>
        </w:rPr>
      </w:pPr>
      <w:r w:rsidRPr="004F6EA8">
        <w:rPr>
          <w:rFonts w:cs="Arial"/>
          <w:b/>
          <w:color w:val="007E79"/>
          <w:szCs w:val="22"/>
        </w:rPr>
        <w:t>Nejčastěji s</w:t>
      </w:r>
      <w:r w:rsidR="00A97F5A" w:rsidRPr="004F6EA8">
        <w:rPr>
          <w:rFonts w:cs="Arial"/>
          <w:b/>
          <w:color w:val="007E79"/>
          <w:szCs w:val="22"/>
        </w:rPr>
        <w:t>i</w:t>
      </w:r>
      <w:r w:rsidRPr="004F6EA8">
        <w:rPr>
          <w:rFonts w:cs="Arial"/>
          <w:b/>
          <w:color w:val="007E79"/>
          <w:szCs w:val="22"/>
        </w:rPr>
        <w:t xml:space="preserve"> </w:t>
      </w:r>
      <w:r w:rsidR="001E6F5D" w:rsidRPr="004F6EA8">
        <w:rPr>
          <w:rFonts w:cs="Arial"/>
          <w:b/>
          <w:color w:val="007E79"/>
          <w:szCs w:val="22"/>
        </w:rPr>
        <w:t>bere</w:t>
      </w:r>
      <w:r w:rsidR="00A97F5A" w:rsidRPr="004F6EA8">
        <w:rPr>
          <w:rFonts w:cs="Arial"/>
          <w:b/>
          <w:color w:val="007E79"/>
          <w:szCs w:val="22"/>
        </w:rPr>
        <w:t>me</w:t>
      </w:r>
      <w:r w:rsidR="001E6F5D" w:rsidRPr="004F6EA8">
        <w:rPr>
          <w:rFonts w:cs="Arial"/>
          <w:b/>
          <w:color w:val="007E79"/>
          <w:szCs w:val="22"/>
        </w:rPr>
        <w:t xml:space="preserve"> úvěr</w:t>
      </w:r>
      <w:r w:rsidRPr="004F6EA8">
        <w:rPr>
          <w:rFonts w:cs="Arial"/>
          <w:b/>
          <w:color w:val="007E79"/>
          <w:szCs w:val="22"/>
        </w:rPr>
        <w:t xml:space="preserve"> na auta/motorky, spotřební elektroniku (mobily, počítače atd.) a bíl</w:t>
      </w:r>
      <w:r w:rsidR="00EA5747" w:rsidRPr="004F6EA8">
        <w:rPr>
          <w:rFonts w:cs="Arial"/>
          <w:b/>
          <w:color w:val="007E79"/>
          <w:szCs w:val="22"/>
        </w:rPr>
        <w:t>é zboží</w:t>
      </w:r>
    </w:p>
    <w:p w14:paraId="1742135C" w14:textId="59D453B9" w:rsidR="00571C08" w:rsidRPr="004F6EA8" w:rsidRDefault="005D4BC8" w:rsidP="00895E05">
      <w:pPr>
        <w:pStyle w:val="Odstavecseseznamem"/>
        <w:numPr>
          <w:ilvl w:val="0"/>
          <w:numId w:val="4"/>
        </w:numPr>
        <w:rPr>
          <w:rFonts w:cs="Arial"/>
          <w:b/>
          <w:color w:val="007E79"/>
          <w:szCs w:val="22"/>
        </w:rPr>
      </w:pPr>
      <w:r w:rsidRPr="004F6EA8">
        <w:rPr>
          <w:rFonts w:cs="Arial"/>
          <w:b/>
          <w:color w:val="007E79"/>
          <w:szCs w:val="22"/>
        </w:rPr>
        <w:t xml:space="preserve">V polovině případů mají lidé 1 půjčku. </w:t>
      </w:r>
      <w:r w:rsidR="00A425BA">
        <w:rPr>
          <w:rFonts w:cs="Arial"/>
          <w:b/>
          <w:color w:val="007E79"/>
          <w:szCs w:val="22"/>
        </w:rPr>
        <w:t>Ú</w:t>
      </w:r>
      <w:r w:rsidR="00F7568A" w:rsidRPr="004F6EA8">
        <w:rPr>
          <w:rFonts w:cs="Arial"/>
          <w:b/>
          <w:color w:val="007E79"/>
          <w:szCs w:val="22"/>
        </w:rPr>
        <w:t>věr</w:t>
      </w:r>
      <w:r w:rsidR="00571C08" w:rsidRPr="004F6EA8">
        <w:rPr>
          <w:rFonts w:cs="Arial"/>
          <w:b/>
          <w:color w:val="007E79"/>
          <w:szCs w:val="22"/>
        </w:rPr>
        <w:t xml:space="preserve"> do </w:t>
      </w:r>
      <w:r w:rsidR="00A425BA">
        <w:rPr>
          <w:rFonts w:cs="Arial"/>
          <w:b/>
          <w:color w:val="007E79"/>
          <w:szCs w:val="22"/>
        </w:rPr>
        <w:t xml:space="preserve">výše </w:t>
      </w:r>
      <w:r w:rsidR="00571C08" w:rsidRPr="004F6EA8">
        <w:rPr>
          <w:rFonts w:cs="Arial"/>
          <w:b/>
          <w:color w:val="007E79"/>
          <w:szCs w:val="22"/>
        </w:rPr>
        <w:t>100 tisíc Kč</w:t>
      </w:r>
      <w:r w:rsidR="00A425BA">
        <w:rPr>
          <w:rFonts w:cs="Arial"/>
          <w:b/>
          <w:color w:val="007E79"/>
          <w:szCs w:val="22"/>
        </w:rPr>
        <w:t xml:space="preserve"> přiznává</w:t>
      </w:r>
      <w:r w:rsidR="00EA5747" w:rsidRPr="004F6EA8">
        <w:rPr>
          <w:rFonts w:cs="Arial"/>
          <w:b/>
          <w:color w:val="007E79"/>
          <w:szCs w:val="22"/>
        </w:rPr>
        <w:t xml:space="preserve"> </w:t>
      </w:r>
      <w:r w:rsidR="00571C08" w:rsidRPr="004F6EA8">
        <w:rPr>
          <w:rFonts w:cs="Arial"/>
          <w:b/>
          <w:color w:val="007E79"/>
          <w:szCs w:val="22"/>
        </w:rPr>
        <w:t>3</w:t>
      </w:r>
      <w:r w:rsidR="00A425BA">
        <w:rPr>
          <w:rFonts w:cs="Arial"/>
          <w:b/>
          <w:color w:val="007E79"/>
          <w:szCs w:val="22"/>
        </w:rPr>
        <w:t>5</w:t>
      </w:r>
      <w:r w:rsidR="00571C08" w:rsidRPr="004F6EA8">
        <w:rPr>
          <w:rFonts w:cs="Arial"/>
          <w:b/>
          <w:color w:val="007E79"/>
          <w:szCs w:val="22"/>
        </w:rPr>
        <w:t xml:space="preserve"> %</w:t>
      </w:r>
      <w:r w:rsidR="00A425BA">
        <w:rPr>
          <w:rFonts w:cs="Arial"/>
          <w:b/>
          <w:color w:val="007E79"/>
          <w:szCs w:val="22"/>
        </w:rPr>
        <w:t xml:space="preserve"> respondentů, zhruba stejný počet Čechů nechce výši své půjčky sdělit</w:t>
      </w:r>
      <w:r w:rsidR="00F7568A" w:rsidRPr="004F6EA8">
        <w:rPr>
          <w:rFonts w:cs="Arial"/>
          <w:b/>
          <w:color w:val="007E79"/>
          <w:szCs w:val="22"/>
        </w:rPr>
        <w:t>.</w:t>
      </w:r>
    </w:p>
    <w:p w14:paraId="60660821" w14:textId="419CB8B3" w:rsidR="00571C08" w:rsidRPr="004F6EA8" w:rsidRDefault="00571C08" w:rsidP="00571C08">
      <w:pPr>
        <w:pStyle w:val="Odstavecseseznamem"/>
        <w:numPr>
          <w:ilvl w:val="0"/>
          <w:numId w:val="4"/>
        </w:numPr>
        <w:rPr>
          <w:rFonts w:cs="Arial"/>
          <w:b/>
          <w:color w:val="007E79"/>
          <w:szCs w:val="22"/>
        </w:rPr>
      </w:pPr>
      <w:r w:rsidRPr="004F6EA8">
        <w:rPr>
          <w:rFonts w:cs="Arial"/>
          <w:b/>
          <w:color w:val="007E79"/>
          <w:szCs w:val="22"/>
        </w:rPr>
        <w:t xml:space="preserve">87 % </w:t>
      </w:r>
      <w:r w:rsidR="00F7568A" w:rsidRPr="004F6EA8">
        <w:rPr>
          <w:rFonts w:cs="Arial"/>
          <w:b/>
          <w:color w:val="007E79"/>
          <w:szCs w:val="22"/>
        </w:rPr>
        <w:t xml:space="preserve">Čechů </w:t>
      </w:r>
      <w:r w:rsidRPr="004F6EA8">
        <w:rPr>
          <w:rFonts w:cs="Arial"/>
          <w:b/>
          <w:color w:val="007E79"/>
          <w:szCs w:val="22"/>
        </w:rPr>
        <w:t>by si nikdy nepůjčilo na splacení jiné půjčky</w:t>
      </w:r>
      <w:r w:rsidR="00EA5747" w:rsidRPr="004F6EA8">
        <w:rPr>
          <w:rFonts w:cs="Arial"/>
          <w:b/>
          <w:color w:val="007E79"/>
          <w:szCs w:val="22"/>
        </w:rPr>
        <w:t>.</w:t>
      </w:r>
      <w:r w:rsidR="00F7568A" w:rsidRPr="004F6EA8">
        <w:rPr>
          <w:rFonts w:cs="Arial"/>
          <w:b/>
          <w:color w:val="007E79"/>
          <w:szCs w:val="22"/>
        </w:rPr>
        <w:t xml:space="preserve"> Za nerizikové je většinou lidí (66 %) považováno, pokud výše splátek nepřesáhne 20 % jejich příjmů</w:t>
      </w:r>
      <w:r w:rsidR="00EA5747" w:rsidRPr="004F6EA8">
        <w:rPr>
          <w:rFonts w:cs="Arial"/>
          <w:b/>
          <w:color w:val="007E79"/>
          <w:szCs w:val="22"/>
        </w:rPr>
        <w:t>.</w:t>
      </w:r>
    </w:p>
    <w:p w14:paraId="7898074A" w14:textId="3C80D00F" w:rsidR="00EA5747" w:rsidRPr="004F6EA8" w:rsidRDefault="00EA5747" w:rsidP="00EA5747">
      <w:pPr>
        <w:pStyle w:val="Odstavecseseznamem"/>
        <w:numPr>
          <w:ilvl w:val="0"/>
          <w:numId w:val="4"/>
        </w:numPr>
        <w:rPr>
          <w:rFonts w:cs="Arial"/>
          <w:b/>
          <w:color w:val="007E79"/>
          <w:szCs w:val="22"/>
        </w:rPr>
      </w:pPr>
      <w:r w:rsidRPr="004F6EA8">
        <w:rPr>
          <w:rFonts w:cs="Arial"/>
          <w:b/>
          <w:color w:val="007E79"/>
          <w:szCs w:val="22"/>
        </w:rPr>
        <w:t xml:space="preserve">V roce 2018 si vzalo na nákup úvěr </w:t>
      </w:r>
      <w:r w:rsidR="009C0DD6" w:rsidRPr="004F6EA8">
        <w:rPr>
          <w:rFonts w:cs="Arial"/>
          <w:b/>
          <w:color w:val="007E79"/>
          <w:szCs w:val="22"/>
        </w:rPr>
        <w:t>20</w:t>
      </w:r>
      <w:r w:rsidRPr="004F6EA8">
        <w:rPr>
          <w:rFonts w:cs="Arial"/>
          <w:b/>
          <w:color w:val="007E79"/>
          <w:szCs w:val="22"/>
        </w:rPr>
        <w:t xml:space="preserve"> % </w:t>
      </w:r>
      <w:r w:rsidR="009C0DD6" w:rsidRPr="004F6EA8">
        <w:rPr>
          <w:rFonts w:cs="Arial"/>
          <w:b/>
          <w:color w:val="007E79"/>
          <w:szCs w:val="22"/>
        </w:rPr>
        <w:t>Čechů</w:t>
      </w:r>
      <w:r w:rsidRPr="004F6EA8">
        <w:rPr>
          <w:rFonts w:cs="Arial"/>
          <w:b/>
          <w:color w:val="007E79"/>
          <w:szCs w:val="22"/>
        </w:rPr>
        <w:t>.</w:t>
      </w:r>
    </w:p>
    <w:p w14:paraId="7A69DDA1" w14:textId="153A7D64" w:rsidR="00803E55" w:rsidRPr="00571C08" w:rsidRDefault="00803E55" w:rsidP="00EA5747">
      <w:pPr>
        <w:pStyle w:val="Odstavecseseznamem"/>
        <w:rPr>
          <w:color w:val="538135" w:themeColor="accent6" w:themeShade="BF"/>
        </w:rPr>
      </w:pPr>
    </w:p>
    <w:p w14:paraId="060E5939" w14:textId="54554640" w:rsidR="002D49FB" w:rsidRDefault="00EA5747" w:rsidP="00B27646">
      <w:pPr>
        <w:rPr>
          <w:rFonts w:cs="Arial"/>
          <w:szCs w:val="22"/>
        </w:rPr>
      </w:pPr>
      <w:r>
        <w:rPr>
          <w:rFonts w:cs="Arial"/>
          <w:szCs w:val="22"/>
        </w:rPr>
        <w:t>Zkušenost s</w:t>
      </w:r>
      <w:r w:rsidR="009F6C56">
        <w:rPr>
          <w:rFonts w:cs="Arial"/>
          <w:szCs w:val="22"/>
        </w:rPr>
        <w:t> </w:t>
      </w:r>
      <w:r>
        <w:rPr>
          <w:rFonts w:cs="Arial"/>
          <w:szCs w:val="22"/>
        </w:rPr>
        <w:t>nákupem</w:t>
      </w:r>
      <w:r w:rsidR="009F6C56">
        <w:rPr>
          <w:rFonts w:cs="Arial"/>
          <w:szCs w:val="22"/>
        </w:rPr>
        <w:t xml:space="preserve"> zboží nebo služeb</w:t>
      </w:r>
      <w:r>
        <w:rPr>
          <w:rFonts w:cs="Arial"/>
          <w:szCs w:val="22"/>
        </w:rPr>
        <w:t xml:space="preserve"> na úvěr má v Česku 60 % lidí</w:t>
      </w:r>
      <w:r w:rsidR="0046651A">
        <w:rPr>
          <w:rFonts w:cs="Arial"/>
          <w:szCs w:val="22"/>
        </w:rPr>
        <w:t xml:space="preserve">. </w:t>
      </w:r>
      <w:r w:rsidR="00A425BA">
        <w:rPr>
          <w:rFonts w:cs="Arial"/>
          <w:szCs w:val="22"/>
        </w:rPr>
        <w:t>Nejde jen o zkušenost historickou, v</w:t>
      </w:r>
      <w:r w:rsidR="0046651A">
        <w:rPr>
          <w:rFonts w:cs="Arial"/>
          <w:szCs w:val="22"/>
        </w:rPr>
        <w:t>ětšina</w:t>
      </w:r>
      <w:r w:rsidR="002D49FB">
        <w:rPr>
          <w:rFonts w:cs="Arial"/>
          <w:szCs w:val="22"/>
        </w:rPr>
        <w:t xml:space="preserve"> z</w:t>
      </w:r>
      <w:r w:rsidR="00AB365A">
        <w:rPr>
          <w:rFonts w:cs="Arial"/>
          <w:szCs w:val="22"/>
        </w:rPr>
        <w:t> nich (65 %) úvěr k dnešnímu dni stále splácí</w:t>
      </w:r>
      <w:r w:rsidR="00146F46">
        <w:rPr>
          <w:rFonts w:cs="Arial"/>
          <w:szCs w:val="22"/>
        </w:rPr>
        <w:t>.</w:t>
      </w:r>
      <w:r w:rsidR="002D49FB">
        <w:rPr>
          <w:rFonts w:cs="Arial"/>
          <w:szCs w:val="22"/>
        </w:rPr>
        <w:t xml:space="preserve"> </w:t>
      </w:r>
      <w:r w:rsidR="00FF4658">
        <w:rPr>
          <w:rFonts w:cs="Arial"/>
          <w:szCs w:val="22"/>
        </w:rPr>
        <w:t xml:space="preserve">Každý třetí Čech (33 %) se přitom zadlužuje rizikově. </w:t>
      </w:r>
      <w:r w:rsidR="002D49FB">
        <w:rPr>
          <w:rFonts w:cs="Arial"/>
          <w:szCs w:val="22"/>
        </w:rPr>
        <w:t xml:space="preserve">Vyplývá to z průzkumu </w:t>
      </w:r>
      <w:r w:rsidR="00786BB9">
        <w:rPr>
          <w:rFonts w:cs="Arial"/>
          <w:szCs w:val="22"/>
        </w:rPr>
        <w:t>zaměřeného</w:t>
      </w:r>
      <w:r w:rsidR="002D49FB">
        <w:rPr>
          <w:rFonts w:cs="Arial"/>
          <w:szCs w:val="22"/>
        </w:rPr>
        <w:t xml:space="preserve"> </w:t>
      </w:r>
      <w:r w:rsidR="00786BB9">
        <w:rPr>
          <w:rFonts w:cs="Arial"/>
          <w:szCs w:val="22"/>
        </w:rPr>
        <w:t xml:space="preserve">na postoje a chování obyvatel v souvislosti s nákupem na úvěr a splátky. Průzkum pro </w:t>
      </w:r>
      <w:r w:rsidR="00A97F5A">
        <w:rPr>
          <w:rFonts w:cs="Arial"/>
          <w:szCs w:val="22"/>
        </w:rPr>
        <w:t>Českou bankovní asociaci (</w:t>
      </w:r>
      <w:r w:rsidR="00786BB9">
        <w:rPr>
          <w:rFonts w:cs="Arial"/>
          <w:szCs w:val="22"/>
        </w:rPr>
        <w:t>ČBA</w:t>
      </w:r>
      <w:r w:rsidR="00A97F5A">
        <w:rPr>
          <w:rFonts w:cs="Arial"/>
          <w:szCs w:val="22"/>
        </w:rPr>
        <w:t>)</w:t>
      </w:r>
      <w:r w:rsidR="00786BB9">
        <w:rPr>
          <w:rFonts w:cs="Arial"/>
          <w:szCs w:val="22"/>
        </w:rPr>
        <w:t xml:space="preserve"> realizovala</w:t>
      </w:r>
      <w:r w:rsidR="002D49FB">
        <w:rPr>
          <w:rFonts w:cs="Arial"/>
          <w:szCs w:val="22"/>
        </w:rPr>
        <w:t xml:space="preserve"> agentur</w:t>
      </w:r>
      <w:r w:rsidR="00786BB9">
        <w:rPr>
          <w:rFonts w:cs="Arial"/>
          <w:szCs w:val="22"/>
        </w:rPr>
        <w:t>a</w:t>
      </w:r>
      <w:r w:rsidR="002D49FB">
        <w:rPr>
          <w:rFonts w:cs="Arial"/>
          <w:szCs w:val="22"/>
        </w:rPr>
        <w:t xml:space="preserve"> SC&amp;C </w:t>
      </w:r>
      <w:r w:rsidR="002A31A1">
        <w:rPr>
          <w:rFonts w:cs="Arial"/>
          <w:szCs w:val="22"/>
        </w:rPr>
        <w:t xml:space="preserve">v </w:t>
      </w:r>
      <w:r w:rsidR="002D49FB">
        <w:rPr>
          <w:rFonts w:cs="Arial"/>
          <w:szCs w:val="22"/>
        </w:rPr>
        <w:t xml:space="preserve">únoru 2019 </w:t>
      </w:r>
      <w:r w:rsidR="002A31A1">
        <w:rPr>
          <w:rFonts w:cs="Arial"/>
          <w:szCs w:val="22"/>
        </w:rPr>
        <w:t xml:space="preserve">na reprezentativním vzorku 1028 respondentů ve věku od 18-79 let. </w:t>
      </w:r>
    </w:p>
    <w:p w14:paraId="65025589" w14:textId="25986261" w:rsidR="005B3439" w:rsidRDefault="005B3439" w:rsidP="00B27646">
      <w:pPr>
        <w:rPr>
          <w:rFonts w:cs="Arial"/>
          <w:szCs w:val="22"/>
        </w:rPr>
      </w:pPr>
    </w:p>
    <w:p w14:paraId="6202F582" w14:textId="441AFBC6" w:rsidR="005B3439" w:rsidRDefault="005B3439" w:rsidP="00B27646">
      <w:r>
        <w:rPr>
          <w:rFonts w:cs="Arial"/>
          <w:szCs w:val="22"/>
        </w:rPr>
        <w:t>Obecně se Češi shodují na tom, že</w:t>
      </w:r>
      <w:r w:rsidR="00FC5B2A">
        <w:rPr>
          <w:rFonts w:cs="Arial"/>
          <w:szCs w:val="22"/>
        </w:rPr>
        <w:t xml:space="preserve"> jejich zadlužení </w:t>
      </w:r>
      <w:r w:rsidR="00A97F5A">
        <w:rPr>
          <w:rFonts w:cs="Arial"/>
          <w:szCs w:val="22"/>
        </w:rPr>
        <w:t xml:space="preserve">je </w:t>
      </w:r>
      <w:r w:rsidR="00FC5B2A">
        <w:rPr>
          <w:rFonts w:cs="Arial"/>
          <w:szCs w:val="22"/>
        </w:rPr>
        <w:t>bezpečné, pokud celková výše měsíčních splátek nepřesáhne 20 % jejich čistého měsíčního příjmu (66 %)</w:t>
      </w:r>
      <w:r w:rsidR="00A425BA">
        <w:rPr>
          <w:rFonts w:cs="Arial"/>
          <w:szCs w:val="22"/>
        </w:rPr>
        <w:t>,</w:t>
      </w:r>
      <w:r w:rsidR="001E27B8">
        <w:rPr>
          <w:rFonts w:cs="Arial"/>
          <w:szCs w:val="22"/>
        </w:rPr>
        <w:t xml:space="preserve"> a </w:t>
      </w:r>
      <w:r w:rsidR="00DF431A">
        <w:rPr>
          <w:rFonts w:cs="Arial"/>
          <w:szCs w:val="22"/>
        </w:rPr>
        <w:t xml:space="preserve">také </w:t>
      </w:r>
      <w:r w:rsidR="001E27B8">
        <w:rPr>
          <w:rFonts w:cs="Arial"/>
          <w:szCs w:val="22"/>
        </w:rPr>
        <w:t xml:space="preserve">na tom, že by svou platební neschopnost řešili jednáním o odkladu splátek či konsolidací. Naprostá většina Čechů by si současně nikdy </w:t>
      </w:r>
      <w:r>
        <w:rPr>
          <w:rFonts w:cs="Arial"/>
          <w:szCs w:val="22"/>
        </w:rPr>
        <w:t>nepůjčil</w:t>
      </w:r>
      <w:r w:rsidR="001E27B8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na zážitek či dovolenou (82</w:t>
      </w:r>
      <w:r w:rsidR="00FC5B2A">
        <w:rPr>
          <w:rFonts w:cs="Arial"/>
          <w:szCs w:val="22"/>
        </w:rPr>
        <w:t xml:space="preserve"> %). </w:t>
      </w:r>
      <w:r w:rsidR="001C7F88" w:rsidRPr="00BD0100">
        <w:rPr>
          <w:rFonts w:cs="Arial"/>
          <w:i/>
          <w:szCs w:val="22"/>
        </w:rPr>
        <w:t xml:space="preserve">„Průzkum odhalil </w:t>
      </w:r>
      <w:r w:rsidR="00BD0100" w:rsidRPr="00BD0100">
        <w:rPr>
          <w:rFonts w:cs="Arial"/>
          <w:i/>
          <w:szCs w:val="22"/>
        </w:rPr>
        <w:t>zajímavý rozdíl mezi přístupem těch, co již zkušenost s půjčkou mají</w:t>
      </w:r>
      <w:r w:rsidR="00BD0100">
        <w:rPr>
          <w:rFonts w:cs="Arial"/>
          <w:i/>
          <w:szCs w:val="22"/>
        </w:rPr>
        <w:t>,</w:t>
      </w:r>
      <w:r w:rsidR="00BD0100" w:rsidRPr="00BD0100">
        <w:rPr>
          <w:rFonts w:cs="Arial"/>
          <w:i/>
          <w:szCs w:val="22"/>
        </w:rPr>
        <w:t xml:space="preserve"> </w:t>
      </w:r>
      <w:r w:rsidR="00A425BA">
        <w:rPr>
          <w:rFonts w:cs="Arial"/>
          <w:i/>
          <w:szCs w:val="22"/>
        </w:rPr>
        <w:t xml:space="preserve">ve srovnání </w:t>
      </w:r>
      <w:r w:rsidR="00BD0100" w:rsidRPr="00BD0100">
        <w:rPr>
          <w:rFonts w:cs="Arial"/>
          <w:i/>
          <w:szCs w:val="22"/>
        </w:rPr>
        <w:t xml:space="preserve">s těmi, kteří si </w:t>
      </w:r>
      <w:r w:rsidR="00A425BA">
        <w:rPr>
          <w:rFonts w:cs="Arial"/>
          <w:i/>
          <w:szCs w:val="22"/>
        </w:rPr>
        <w:t xml:space="preserve">dle svého prohlášení </w:t>
      </w:r>
      <w:r w:rsidR="00BD0100" w:rsidRPr="00BD0100">
        <w:rPr>
          <w:rFonts w:cs="Arial"/>
          <w:i/>
          <w:szCs w:val="22"/>
        </w:rPr>
        <w:t>v životě nepůjčili. První skupina inklinuje jasně k tomu půjčit si na věci, které pro ty „nezkušené“ téměř nepři</w:t>
      </w:r>
      <w:r w:rsidR="00A425BA">
        <w:rPr>
          <w:rFonts w:cs="Arial"/>
          <w:i/>
          <w:szCs w:val="22"/>
        </w:rPr>
        <w:t>cháze</w:t>
      </w:r>
      <w:r w:rsidR="00BD0100" w:rsidRPr="00BD0100">
        <w:rPr>
          <w:rFonts w:cs="Arial"/>
          <w:i/>
          <w:szCs w:val="22"/>
        </w:rPr>
        <w:t>jí v úvahu. Je tomu tak například u spotřební elektroniky či bílého zboží</w:t>
      </w:r>
      <w:r w:rsidR="00BD0100">
        <w:rPr>
          <w:rFonts w:cs="Arial"/>
          <w:i/>
          <w:szCs w:val="22"/>
        </w:rPr>
        <w:t>,</w:t>
      </w:r>
      <w:r w:rsidR="00BD0100" w:rsidRPr="00BD0100">
        <w:rPr>
          <w:rFonts w:cs="Arial"/>
          <w:i/>
          <w:szCs w:val="22"/>
        </w:rPr>
        <w:t>“</w:t>
      </w:r>
      <w:r w:rsidR="00BD0100">
        <w:rPr>
          <w:rFonts w:cs="Arial"/>
          <w:i/>
          <w:szCs w:val="22"/>
        </w:rPr>
        <w:t xml:space="preserve"> </w:t>
      </w:r>
      <w:r w:rsidR="00BD0100" w:rsidRPr="00397430">
        <w:rPr>
          <w:rFonts w:cs="Arial"/>
          <w:szCs w:val="22"/>
        </w:rPr>
        <w:t>komentuje</w:t>
      </w:r>
      <w:r w:rsidR="001C7F88" w:rsidRPr="00BD0100">
        <w:rPr>
          <w:rFonts w:cs="Arial"/>
          <w:i/>
          <w:szCs w:val="22"/>
        </w:rPr>
        <w:t xml:space="preserve"> </w:t>
      </w:r>
      <w:r w:rsidR="00BD0100" w:rsidRPr="00EC03D2">
        <w:t xml:space="preserve">Helena Brychová, </w:t>
      </w:r>
      <w:proofErr w:type="spellStart"/>
      <w:r w:rsidR="00BD0100" w:rsidRPr="00EC03D2">
        <w:t>gestorka</w:t>
      </w:r>
      <w:proofErr w:type="spellEnd"/>
      <w:r w:rsidR="00BD0100" w:rsidRPr="00EC03D2">
        <w:t xml:space="preserve"> ČBA pro </w:t>
      </w:r>
      <w:r w:rsidR="00BD0100">
        <w:t>spotřebitelské chování a finanční vzdělávání.</w:t>
      </w:r>
      <w:r w:rsidR="00FC5B2A">
        <w:t xml:space="preserve"> </w:t>
      </w:r>
    </w:p>
    <w:p w14:paraId="60C60975" w14:textId="59A2E47C" w:rsidR="00FC5B2A" w:rsidRDefault="00FC5B2A" w:rsidP="00B27646"/>
    <w:p w14:paraId="30356C1E" w14:textId="27A63FB0" w:rsidR="00AB365A" w:rsidRPr="002D49FB" w:rsidRDefault="00FB60FB" w:rsidP="00B27646">
      <w:pPr>
        <w:rPr>
          <w:b/>
          <w:color w:val="007E79"/>
          <w:sz w:val="20"/>
        </w:rPr>
      </w:pPr>
      <w:r>
        <w:rPr>
          <w:b/>
          <w:color w:val="007E79"/>
          <w:sz w:val="20"/>
        </w:rPr>
        <w:t>Index rizikovosti zadlužování se nelepší</w:t>
      </w:r>
    </w:p>
    <w:p w14:paraId="313801A9" w14:textId="67760C8E" w:rsidR="00EC03D2" w:rsidRDefault="00C520D7" w:rsidP="00C520D7">
      <w:pPr>
        <w:rPr>
          <w:rFonts w:cs="Arial"/>
          <w:szCs w:val="22"/>
        </w:rPr>
      </w:pPr>
      <w:r>
        <w:rPr>
          <w:rFonts w:cs="Arial"/>
          <w:szCs w:val="22"/>
        </w:rPr>
        <w:t>Průzkum se v prvé řadě zaměřil na výpočet tzv. indexu</w:t>
      </w:r>
      <w:r w:rsidRPr="00C520D7">
        <w:rPr>
          <w:rFonts w:cs="Arial"/>
          <w:szCs w:val="22"/>
        </w:rPr>
        <w:t xml:space="preserve"> rizikového zadlužování</w:t>
      </w:r>
      <w:r>
        <w:rPr>
          <w:rFonts w:cs="Arial"/>
          <w:szCs w:val="22"/>
        </w:rPr>
        <w:t xml:space="preserve">, jenž </w:t>
      </w:r>
      <w:r w:rsidR="00786BB9">
        <w:rPr>
          <w:rFonts w:cs="Arial"/>
          <w:szCs w:val="22"/>
        </w:rPr>
        <w:t>hodnotí spotřebitele z hlediska výskytu rizikových faktorů, jako je například ochota krýt splátky další půjčkou, vyšší počet aktuálních půjček apod.</w:t>
      </w:r>
      <w:r>
        <w:rPr>
          <w:rFonts w:cs="Arial"/>
          <w:szCs w:val="22"/>
        </w:rPr>
        <w:t xml:space="preserve"> </w:t>
      </w:r>
      <w:r w:rsidR="00786BB9">
        <w:rPr>
          <w:rFonts w:cs="Arial"/>
          <w:szCs w:val="22"/>
        </w:rPr>
        <w:t>Index</w:t>
      </w:r>
      <w:r w:rsidR="00BC0CB8">
        <w:rPr>
          <w:rFonts w:cs="Arial"/>
          <w:szCs w:val="22"/>
        </w:rPr>
        <w:t>, který vychází z přepočtu na celou dospělou populaci,</w:t>
      </w:r>
      <w:r>
        <w:rPr>
          <w:rFonts w:cs="Arial"/>
          <w:szCs w:val="22"/>
        </w:rPr>
        <w:t xml:space="preserve"> se oproti minulému roku </w:t>
      </w:r>
      <w:r w:rsidR="00BC0CB8">
        <w:rPr>
          <w:rFonts w:cs="Arial"/>
          <w:szCs w:val="22"/>
        </w:rPr>
        <w:t xml:space="preserve">nezlepšil a </w:t>
      </w:r>
      <w:r w:rsidR="00BE5574">
        <w:rPr>
          <w:rFonts w:cs="Arial"/>
          <w:szCs w:val="22"/>
        </w:rPr>
        <w:t xml:space="preserve">pohybuje se opět na hranici </w:t>
      </w:r>
      <w:r>
        <w:rPr>
          <w:rFonts w:cs="Arial"/>
          <w:szCs w:val="22"/>
        </w:rPr>
        <w:t xml:space="preserve">20 %. </w:t>
      </w:r>
      <w:r w:rsidR="00B2310C">
        <w:rPr>
          <w:rFonts w:cs="Arial"/>
          <w:szCs w:val="22"/>
        </w:rPr>
        <w:t>„</w:t>
      </w:r>
      <w:r w:rsidR="00BE5574" w:rsidRPr="00B2310C">
        <w:rPr>
          <w:rFonts w:cs="Arial"/>
          <w:i/>
          <w:szCs w:val="22"/>
        </w:rPr>
        <w:t>Lze tedy konstatovat, že rizikové zadlužení se týká 20 %, tj. 1,58 milionů dospělých Čechů</w:t>
      </w:r>
      <w:r w:rsidR="00B2310C" w:rsidRPr="00B2310C">
        <w:rPr>
          <w:rFonts w:cs="Arial"/>
          <w:i/>
          <w:szCs w:val="22"/>
        </w:rPr>
        <w:t>,</w:t>
      </w:r>
      <w:r w:rsidR="00B2310C">
        <w:rPr>
          <w:rFonts w:cs="Arial"/>
          <w:szCs w:val="22"/>
        </w:rPr>
        <w:t>“ upřesňuje Jana Hamanová, ředitelka výzkumu agentury SC&amp;C</w:t>
      </w:r>
      <w:r w:rsidR="00BE5574">
        <w:rPr>
          <w:rFonts w:cs="Arial"/>
          <w:szCs w:val="22"/>
        </w:rPr>
        <w:t>.</w:t>
      </w:r>
    </w:p>
    <w:p w14:paraId="60373C7C" w14:textId="77777777" w:rsidR="003508FE" w:rsidRDefault="003508FE" w:rsidP="0007445A"/>
    <w:p w14:paraId="5BA35C25" w14:textId="79AD9D79" w:rsidR="00EC03D2" w:rsidRPr="00EC03D2" w:rsidRDefault="003508FE" w:rsidP="0007445A">
      <w:pPr>
        <w:rPr>
          <w:rFonts w:cs="Arial"/>
          <w:szCs w:val="22"/>
        </w:rPr>
      </w:pPr>
      <w:r>
        <w:t xml:space="preserve">Osoby, které mají tendenci </w:t>
      </w:r>
      <w:r w:rsidR="009C0DD6">
        <w:t xml:space="preserve">se rizikově zadlužovat </w:t>
      </w:r>
      <w:r>
        <w:t xml:space="preserve">charakterizuje zejména to, že </w:t>
      </w:r>
      <w:r w:rsidR="00051A5B">
        <w:t>se jedná o</w:t>
      </w:r>
      <w:r w:rsidR="009C0DD6">
        <w:t xml:space="preserve"> mlad</w:t>
      </w:r>
      <w:r>
        <w:t>é</w:t>
      </w:r>
      <w:r w:rsidR="009C0DD6">
        <w:t xml:space="preserve"> lid</w:t>
      </w:r>
      <w:r>
        <w:t>i</w:t>
      </w:r>
      <w:r w:rsidR="009C0DD6">
        <w:t xml:space="preserve"> (18-34 let) a respondent</w:t>
      </w:r>
      <w:r>
        <w:t>y</w:t>
      </w:r>
      <w:r w:rsidR="009C0DD6">
        <w:t xml:space="preserve"> s nižším vzděláním</w:t>
      </w:r>
      <w:r>
        <w:t>,</w:t>
      </w:r>
      <w:r w:rsidR="009C0DD6">
        <w:t xml:space="preserve"> kteří </w:t>
      </w:r>
      <w:r>
        <w:t>si často berou úvěry od více poskytovatelů</w:t>
      </w:r>
      <w:r w:rsidR="00A97F5A">
        <w:t>.</w:t>
      </w:r>
      <w:r w:rsidR="00FB60FB">
        <w:t xml:space="preserve"> </w:t>
      </w:r>
      <w:r w:rsidR="00A425BA">
        <w:t>Z této rizikové skupiny by si j</w:t>
      </w:r>
      <w:r>
        <w:t>edna třetina neváhala vzít půjčku na splátku předchozího</w:t>
      </w:r>
      <w:r w:rsidRPr="003508FE">
        <w:t xml:space="preserve"> </w:t>
      </w:r>
      <w:r>
        <w:t xml:space="preserve">úvěru. </w:t>
      </w:r>
      <w:r w:rsidR="005B3439">
        <w:t>Rozeseti jsou po celé České republice a ú</w:t>
      </w:r>
      <w:r>
        <w:t>věr si nejčastěji berou na nákup spotřební elektroniky či aut</w:t>
      </w:r>
      <w:r w:rsidR="00A425BA">
        <w:t xml:space="preserve">omobilu nebo </w:t>
      </w:r>
      <w:r>
        <w:t>moto</w:t>
      </w:r>
      <w:r w:rsidR="00BA18D1">
        <w:t>cyklu</w:t>
      </w:r>
      <w:r w:rsidR="005B3439">
        <w:t xml:space="preserve">. </w:t>
      </w:r>
    </w:p>
    <w:p w14:paraId="60776BDC" w14:textId="77777777" w:rsidR="00EC03D2" w:rsidRDefault="00EC03D2" w:rsidP="00C520D7">
      <w:pPr>
        <w:rPr>
          <w:rFonts w:cs="Arial"/>
          <w:szCs w:val="22"/>
        </w:rPr>
      </w:pPr>
    </w:p>
    <w:p w14:paraId="31EFA763" w14:textId="7742D2FB" w:rsidR="007964DC" w:rsidRDefault="00BC0CB8" w:rsidP="00B27646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7964DC">
        <w:rPr>
          <w:rFonts w:cs="Arial"/>
          <w:szCs w:val="22"/>
        </w:rPr>
        <w:t>---</w:t>
      </w:r>
      <w:r w:rsidR="00FF4658">
        <w:rPr>
          <w:rFonts w:cs="Arial"/>
          <w:szCs w:val="22"/>
        </w:rPr>
        <w:t>---------------------------------------------------------------------------------------------------------------------------------------------------------------------</w:t>
      </w:r>
    </w:p>
    <w:p w14:paraId="46A77E94" w14:textId="013ADE98" w:rsidR="00D775D2" w:rsidRPr="00D775D2" w:rsidRDefault="00D775D2" w:rsidP="00D775D2">
      <w:pPr>
        <w:rPr>
          <w:rFonts w:cs="Arial"/>
          <w:szCs w:val="22"/>
        </w:rPr>
      </w:pPr>
      <w:r>
        <w:rPr>
          <w:rFonts w:cs="Arial"/>
          <w:szCs w:val="22"/>
        </w:rPr>
        <w:t>Metodika v</w:t>
      </w:r>
      <w:r w:rsidRPr="00D775D2">
        <w:rPr>
          <w:rFonts w:cs="Arial"/>
          <w:szCs w:val="22"/>
        </w:rPr>
        <w:t>ýpoč</w:t>
      </w:r>
      <w:r>
        <w:rPr>
          <w:rFonts w:cs="Arial"/>
          <w:szCs w:val="22"/>
        </w:rPr>
        <w:t>tu</w:t>
      </w:r>
      <w:r w:rsidRPr="00D775D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Indexu</w:t>
      </w:r>
      <w:r w:rsidRPr="00D775D2">
        <w:rPr>
          <w:rFonts w:cs="Arial"/>
          <w:szCs w:val="22"/>
        </w:rPr>
        <w:t xml:space="preserve"> rizikového </w:t>
      </w:r>
      <w:r>
        <w:rPr>
          <w:rFonts w:cs="Arial"/>
          <w:szCs w:val="22"/>
        </w:rPr>
        <w:t>zadlužování ČBA</w:t>
      </w:r>
      <w:r w:rsidRPr="00D775D2">
        <w:rPr>
          <w:rFonts w:cs="Arial"/>
          <w:szCs w:val="22"/>
        </w:rPr>
        <w:t>:</w:t>
      </w:r>
    </w:p>
    <w:p w14:paraId="22AFD46D" w14:textId="77777777" w:rsidR="00D775D2" w:rsidRPr="00D775D2" w:rsidRDefault="00D775D2" w:rsidP="00D775D2">
      <w:pPr>
        <w:rPr>
          <w:rFonts w:cs="Arial"/>
          <w:szCs w:val="22"/>
        </w:rPr>
      </w:pPr>
    </w:p>
    <w:p w14:paraId="4E751936" w14:textId="77777777" w:rsidR="00D775D2" w:rsidRPr="00D775D2" w:rsidRDefault="00D775D2" w:rsidP="00D775D2">
      <w:pPr>
        <w:rPr>
          <w:rFonts w:cs="Arial"/>
          <w:szCs w:val="22"/>
        </w:rPr>
      </w:pPr>
      <w:r w:rsidRPr="00D775D2">
        <w:rPr>
          <w:rFonts w:cs="Arial"/>
          <w:szCs w:val="22"/>
        </w:rPr>
        <w:t>•</w:t>
      </w:r>
      <w:r w:rsidRPr="00D775D2">
        <w:rPr>
          <w:rFonts w:cs="Arial"/>
          <w:szCs w:val="22"/>
        </w:rPr>
        <w:tab/>
        <w:t>Spotřebitel je ochotný krýt splátky další půjčkou -&gt; 2 body</w:t>
      </w:r>
    </w:p>
    <w:p w14:paraId="7D550E9F" w14:textId="77777777" w:rsidR="00D775D2" w:rsidRPr="00D775D2" w:rsidRDefault="00D775D2" w:rsidP="00D775D2">
      <w:pPr>
        <w:rPr>
          <w:rFonts w:cs="Arial"/>
          <w:szCs w:val="22"/>
        </w:rPr>
      </w:pPr>
      <w:r w:rsidRPr="00D775D2">
        <w:rPr>
          <w:rFonts w:cs="Arial"/>
          <w:szCs w:val="22"/>
        </w:rPr>
        <w:t>•</w:t>
      </w:r>
      <w:r w:rsidRPr="00D775D2">
        <w:rPr>
          <w:rFonts w:cs="Arial"/>
          <w:szCs w:val="22"/>
        </w:rPr>
        <w:tab/>
        <w:t>Neschopnost splácet chce spotřebitel řešit další půjčkou -&gt; 2 body</w:t>
      </w:r>
    </w:p>
    <w:p w14:paraId="431EDA14" w14:textId="77777777" w:rsidR="00D775D2" w:rsidRPr="00D775D2" w:rsidRDefault="00D775D2" w:rsidP="00D775D2">
      <w:pPr>
        <w:rPr>
          <w:rFonts w:cs="Arial"/>
          <w:szCs w:val="22"/>
        </w:rPr>
      </w:pPr>
      <w:r w:rsidRPr="00D775D2">
        <w:rPr>
          <w:rFonts w:cs="Arial"/>
          <w:szCs w:val="22"/>
        </w:rPr>
        <w:t>•</w:t>
      </w:r>
      <w:r w:rsidRPr="00D775D2">
        <w:rPr>
          <w:rFonts w:cs="Arial"/>
          <w:szCs w:val="22"/>
        </w:rPr>
        <w:tab/>
        <w:t>Aktuálně spotřebitel splácí 3 a více půjček -&gt; 1 bod</w:t>
      </w:r>
    </w:p>
    <w:p w14:paraId="11A115E6" w14:textId="77777777" w:rsidR="00D775D2" w:rsidRPr="00D775D2" w:rsidRDefault="00D775D2" w:rsidP="00D775D2">
      <w:pPr>
        <w:rPr>
          <w:rFonts w:cs="Arial"/>
          <w:szCs w:val="22"/>
        </w:rPr>
      </w:pPr>
      <w:r w:rsidRPr="00D775D2">
        <w:rPr>
          <w:rFonts w:cs="Arial"/>
          <w:szCs w:val="22"/>
        </w:rPr>
        <w:t>•</w:t>
      </w:r>
      <w:r w:rsidRPr="00D775D2">
        <w:rPr>
          <w:rFonts w:cs="Arial"/>
          <w:szCs w:val="22"/>
        </w:rPr>
        <w:tab/>
        <w:t>Spotřebitel si půjčil při dlouhodobém nedostatku financí -&gt; 1 bod</w:t>
      </w:r>
    </w:p>
    <w:p w14:paraId="6BD1C9DB" w14:textId="77777777" w:rsidR="00D775D2" w:rsidRPr="00D775D2" w:rsidRDefault="00D775D2" w:rsidP="00D775D2">
      <w:pPr>
        <w:rPr>
          <w:rFonts w:cs="Arial"/>
          <w:szCs w:val="22"/>
        </w:rPr>
      </w:pPr>
      <w:r w:rsidRPr="00D775D2">
        <w:rPr>
          <w:rFonts w:cs="Arial"/>
          <w:szCs w:val="22"/>
        </w:rPr>
        <w:t>•</w:t>
      </w:r>
      <w:r w:rsidRPr="00D775D2">
        <w:rPr>
          <w:rFonts w:cs="Arial"/>
          <w:szCs w:val="22"/>
        </w:rPr>
        <w:tab/>
        <w:t>V minulosti měl spotřebitel alespoň 4 půjčky -&gt; 1 bod</w:t>
      </w:r>
    </w:p>
    <w:p w14:paraId="6A39C454" w14:textId="77777777" w:rsidR="00D775D2" w:rsidRPr="00D775D2" w:rsidRDefault="00D775D2" w:rsidP="00D775D2">
      <w:pPr>
        <w:rPr>
          <w:rFonts w:cs="Arial"/>
          <w:szCs w:val="22"/>
        </w:rPr>
      </w:pPr>
      <w:r w:rsidRPr="00D775D2">
        <w:rPr>
          <w:rFonts w:cs="Arial"/>
          <w:szCs w:val="22"/>
        </w:rPr>
        <w:t>•</w:t>
      </w:r>
      <w:r w:rsidRPr="00D775D2">
        <w:rPr>
          <w:rFonts w:cs="Arial"/>
          <w:szCs w:val="22"/>
        </w:rPr>
        <w:tab/>
        <w:t>Půjčil-li si spotřebitel na běžnou spotřebu nebo zábavu -&gt; 1 bod</w:t>
      </w:r>
    </w:p>
    <w:p w14:paraId="452DA867" w14:textId="77777777" w:rsidR="00D775D2" w:rsidRPr="00D775D2" w:rsidRDefault="00D775D2" w:rsidP="00D775D2">
      <w:pPr>
        <w:rPr>
          <w:rFonts w:cs="Arial"/>
          <w:szCs w:val="22"/>
        </w:rPr>
      </w:pPr>
      <w:r w:rsidRPr="00D775D2">
        <w:rPr>
          <w:rFonts w:cs="Arial"/>
          <w:szCs w:val="22"/>
        </w:rPr>
        <w:t>•</w:t>
      </w:r>
      <w:r w:rsidRPr="00D775D2">
        <w:rPr>
          <w:rFonts w:cs="Arial"/>
          <w:szCs w:val="22"/>
        </w:rPr>
        <w:tab/>
        <w:t>Spotřebitel si půjčil u nebankovní instituce nebo fyzické osoby -&gt; 1 bod</w:t>
      </w:r>
    </w:p>
    <w:p w14:paraId="03A241C0" w14:textId="77777777" w:rsidR="00D775D2" w:rsidRPr="00D775D2" w:rsidRDefault="00D775D2" w:rsidP="00D775D2">
      <w:pPr>
        <w:rPr>
          <w:rFonts w:cs="Arial"/>
          <w:szCs w:val="22"/>
        </w:rPr>
      </w:pPr>
    </w:p>
    <w:p w14:paraId="51C21CCF" w14:textId="5E538EB6" w:rsidR="00935EAC" w:rsidRDefault="00D775D2" w:rsidP="00D775D2">
      <w:pPr>
        <w:rPr>
          <w:rFonts w:cs="Arial"/>
          <w:szCs w:val="22"/>
        </w:rPr>
      </w:pPr>
      <w:r w:rsidRPr="00D775D2">
        <w:rPr>
          <w:rFonts w:cs="Arial"/>
          <w:szCs w:val="22"/>
        </w:rPr>
        <w:t>Jako rizikový je hodnocen spotřebitel, jehož skóre rizikového půjčování má 4 a více bodů.</w:t>
      </w:r>
    </w:p>
    <w:p w14:paraId="4696B342" w14:textId="3A5588F1" w:rsidR="007964DC" w:rsidRDefault="007964DC" w:rsidP="00D775D2">
      <w:pPr>
        <w:rPr>
          <w:rFonts w:cs="Arial"/>
          <w:szCs w:val="22"/>
        </w:rPr>
      </w:pPr>
      <w:r>
        <w:rPr>
          <w:rFonts w:cs="Arial"/>
          <w:szCs w:val="22"/>
        </w:rPr>
        <w:t>---</w:t>
      </w:r>
      <w:r w:rsidR="00FF4658">
        <w:rPr>
          <w:rFonts w:cs="Arial"/>
          <w:szCs w:val="22"/>
        </w:rPr>
        <w:t>----------------------------------------------------------------------------------------------------------------------------------------------------------------------</w:t>
      </w:r>
    </w:p>
    <w:p w14:paraId="724219F2" w14:textId="2CAE96A3" w:rsidR="008C1507" w:rsidRDefault="008C1507" w:rsidP="00B27646">
      <w:pPr>
        <w:rPr>
          <w:rFonts w:cs="Arial"/>
          <w:szCs w:val="22"/>
        </w:rPr>
      </w:pPr>
    </w:p>
    <w:p w14:paraId="25FD1656" w14:textId="1389C14C" w:rsidR="00BE5574" w:rsidRPr="00FB60FB" w:rsidRDefault="00FB60FB" w:rsidP="00B27646">
      <w:pPr>
        <w:rPr>
          <w:b/>
          <w:color w:val="007E79"/>
          <w:sz w:val="20"/>
        </w:rPr>
      </w:pPr>
      <w:r w:rsidRPr="00FB60FB">
        <w:rPr>
          <w:b/>
          <w:color w:val="007E79"/>
          <w:sz w:val="20"/>
        </w:rPr>
        <w:t>Proč, jak a na co si Češi půjčují?</w:t>
      </w:r>
      <w:r w:rsidR="00B84219">
        <w:rPr>
          <w:b/>
          <w:color w:val="007E79"/>
          <w:sz w:val="20"/>
        </w:rPr>
        <w:t xml:space="preserve"> </w:t>
      </w:r>
      <w:r w:rsidR="00B2310C">
        <w:rPr>
          <w:b/>
          <w:color w:val="007E79"/>
          <w:sz w:val="20"/>
        </w:rPr>
        <w:t>Mají obavy?</w:t>
      </w:r>
    </w:p>
    <w:p w14:paraId="6041003B" w14:textId="77777777" w:rsidR="00FB60FB" w:rsidRDefault="00FB60FB" w:rsidP="00B27646">
      <w:pPr>
        <w:rPr>
          <w:rFonts w:cs="Arial"/>
          <w:szCs w:val="22"/>
        </w:rPr>
      </w:pPr>
    </w:p>
    <w:p w14:paraId="380147BC" w14:textId="17E98379" w:rsidR="00B2310C" w:rsidRDefault="00B2310C" w:rsidP="00B2310C">
      <w:r w:rsidRPr="00EC03D2">
        <w:rPr>
          <w:i/>
        </w:rPr>
        <w:t>„Lidé se dívají na svou budoucí schopnost splácet optimisticky</w:t>
      </w:r>
      <w:r>
        <w:rPr>
          <w:i/>
        </w:rPr>
        <w:t xml:space="preserve"> a nebojí se zadlužovat, </w:t>
      </w:r>
      <w:r w:rsidRPr="00EC03D2">
        <w:rPr>
          <w:i/>
        </w:rPr>
        <w:t xml:space="preserve">což </w:t>
      </w:r>
      <w:r w:rsidRPr="00FB60FB">
        <w:rPr>
          <w:i/>
        </w:rPr>
        <w:t xml:space="preserve">velice pravděpodobně souvisí s aktuálním vývojem ekonomiky provázeným mimo jiné například růstem mezd,“ </w:t>
      </w:r>
      <w:r w:rsidRPr="00FB60FB">
        <w:t xml:space="preserve">vysvětluje možné důvody </w:t>
      </w:r>
      <w:r>
        <w:t>přetrvávajícího zadlužování</w:t>
      </w:r>
      <w:r w:rsidRPr="00EC03D2">
        <w:t xml:space="preserve"> Čechů Helena Brychová</w:t>
      </w:r>
      <w:r>
        <w:t xml:space="preserve">. </w:t>
      </w:r>
      <w:r w:rsidRPr="00397430">
        <w:t>Což potvrzuje i průzkum, ve kterém 69 % dotazovaných deklarovalo, že se neobává, že by nebyli schopni své úvěry splatit.</w:t>
      </w:r>
    </w:p>
    <w:p w14:paraId="0D7CD240" w14:textId="77777777" w:rsidR="00B2310C" w:rsidRDefault="00B2310C" w:rsidP="00B27646">
      <w:pPr>
        <w:rPr>
          <w:rFonts w:cs="Arial"/>
          <w:szCs w:val="22"/>
        </w:rPr>
      </w:pPr>
    </w:p>
    <w:p w14:paraId="631460A1" w14:textId="0394B5F6" w:rsidR="003508FE" w:rsidRDefault="00FB60FB" w:rsidP="00B27646">
      <w:pPr>
        <w:rPr>
          <w:rFonts w:cs="Arial"/>
          <w:szCs w:val="22"/>
        </w:rPr>
      </w:pPr>
      <w:r>
        <w:rPr>
          <w:rFonts w:cs="Arial"/>
          <w:szCs w:val="22"/>
        </w:rPr>
        <w:t>Převažujícím důvodem pro nákup zboží či služby na úvěr je</w:t>
      </w:r>
      <w:r w:rsidR="00B15438">
        <w:rPr>
          <w:rFonts w:cs="Arial"/>
          <w:szCs w:val="22"/>
        </w:rPr>
        <w:t xml:space="preserve"> v 49 %</w:t>
      </w:r>
      <w:r>
        <w:rPr>
          <w:rFonts w:cs="Arial"/>
          <w:szCs w:val="22"/>
        </w:rPr>
        <w:t xml:space="preserve"> nedostatek hotovosti</w:t>
      </w:r>
      <w:r w:rsidR="00B15438">
        <w:rPr>
          <w:rFonts w:cs="Arial"/>
          <w:szCs w:val="22"/>
        </w:rPr>
        <w:t xml:space="preserve">. V ostatních případech jde o neochotu čekat a </w:t>
      </w:r>
      <w:r w:rsidR="00BA18D1">
        <w:rPr>
          <w:rFonts w:cs="Arial"/>
          <w:szCs w:val="22"/>
        </w:rPr>
        <w:t>peníze si na</w:t>
      </w:r>
      <w:r w:rsidR="00B15438">
        <w:rPr>
          <w:rFonts w:cs="Arial"/>
          <w:szCs w:val="22"/>
        </w:rPr>
        <w:t>šetřit (15 %)</w:t>
      </w:r>
      <w:r w:rsidR="004476C2">
        <w:rPr>
          <w:rFonts w:cs="Arial"/>
          <w:szCs w:val="22"/>
        </w:rPr>
        <w:t>,</w:t>
      </w:r>
      <w:r w:rsidR="00B15438">
        <w:rPr>
          <w:rFonts w:cs="Arial"/>
          <w:szCs w:val="22"/>
        </w:rPr>
        <w:t xml:space="preserve"> </w:t>
      </w:r>
      <w:r w:rsidR="004476C2">
        <w:rPr>
          <w:rFonts w:cs="Arial"/>
          <w:szCs w:val="22"/>
        </w:rPr>
        <w:t>anebo sehrává roli</w:t>
      </w:r>
      <w:r w:rsidR="00B15438">
        <w:rPr>
          <w:rFonts w:cs="Arial"/>
          <w:szCs w:val="22"/>
        </w:rPr>
        <w:t xml:space="preserve"> aktuální výhodná akce na splátky – např. s nulovým či nízkým úrokem (14 %). Hotovost postrádají především mladí a lidé s nižším vzděláním, slevové akce </w:t>
      </w:r>
      <w:r w:rsidR="00A155ED">
        <w:rPr>
          <w:rFonts w:cs="Arial"/>
          <w:szCs w:val="22"/>
        </w:rPr>
        <w:t xml:space="preserve">pak </w:t>
      </w:r>
      <w:bookmarkStart w:id="0" w:name="_GoBack"/>
      <w:bookmarkEnd w:id="0"/>
      <w:r w:rsidR="00B15438">
        <w:rPr>
          <w:rFonts w:cs="Arial"/>
          <w:szCs w:val="22"/>
        </w:rPr>
        <w:t xml:space="preserve">lákají hlavně muže. </w:t>
      </w:r>
    </w:p>
    <w:p w14:paraId="2326DEFF" w14:textId="2545B401" w:rsidR="00B15438" w:rsidRDefault="00B15438" w:rsidP="00B27646">
      <w:pPr>
        <w:rPr>
          <w:rFonts w:cs="Arial"/>
          <w:szCs w:val="22"/>
        </w:rPr>
      </w:pPr>
    </w:p>
    <w:p w14:paraId="2DA75906" w14:textId="096F96FA" w:rsidR="004F6EA8" w:rsidRDefault="00BA18D1" w:rsidP="00B27646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V mladším věku</w:t>
      </w:r>
      <w:r w:rsidR="00B15438">
        <w:rPr>
          <w:rFonts w:cs="Arial"/>
          <w:szCs w:val="22"/>
        </w:rPr>
        <w:t xml:space="preserve"> se nejčastěji zadlužuj</w:t>
      </w:r>
      <w:r>
        <w:rPr>
          <w:rFonts w:cs="Arial"/>
          <w:szCs w:val="22"/>
        </w:rPr>
        <w:t>eme</w:t>
      </w:r>
      <w:r w:rsidR="00B15438">
        <w:rPr>
          <w:rFonts w:cs="Arial"/>
          <w:szCs w:val="22"/>
        </w:rPr>
        <w:t xml:space="preserve"> kvůli spotřební elektronice, lidé ve středním věku si častěji berou půjčky </w:t>
      </w:r>
      <w:r>
        <w:rPr>
          <w:rFonts w:cs="Arial"/>
          <w:szCs w:val="22"/>
        </w:rPr>
        <w:t>na</w:t>
      </w:r>
      <w:r w:rsidR="00B15438">
        <w:rPr>
          <w:rFonts w:cs="Arial"/>
          <w:szCs w:val="22"/>
        </w:rPr>
        <w:t xml:space="preserve"> nákladnější věc</w:t>
      </w:r>
      <w:r>
        <w:rPr>
          <w:rFonts w:cs="Arial"/>
          <w:szCs w:val="22"/>
        </w:rPr>
        <w:t>i</w:t>
      </w:r>
      <w:r w:rsidR="00B15438">
        <w:rPr>
          <w:rFonts w:cs="Arial"/>
          <w:szCs w:val="22"/>
        </w:rPr>
        <w:t xml:space="preserve"> jako je auto.</w:t>
      </w:r>
      <w:r w:rsidR="004F6EA8">
        <w:rPr>
          <w:rFonts w:cs="Arial"/>
          <w:szCs w:val="22"/>
        </w:rPr>
        <w:t xml:space="preserve"> To je společně se spotřební elektronikou, rekonstrukcí bytu či elektrem nejčastějším účelem nákupu na úvěr obecně. </w:t>
      </w:r>
      <w:r w:rsidR="00B2310C">
        <w:rPr>
          <w:rFonts w:cs="Arial"/>
          <w:szCs w:val="22"/>
        </w:rPr>
        <w:t xml:space="preserve">Na druhou stranu, Češi </w:t>
      </w:r>
      <w:r>
        <w:rPr>
          <w:rFonts w:cs="Arial"/>
          <w:szCs w:val="22"/>
        </w:rPr>
        <w:t xml:space="preserve">obecně </w:t>
      </w:r>
      <w:r w:rsidR="00B2310C">
        <w:rPr>
          <w:rFonts w:cs="Arial"/>
          <w:szCs w:val="22"/>
        </w:rPr>
        <w:t xml:space="preserve">tvrdí, že by si na splátku jiné půjčky </w:t>
      </w:r>
      <w:r>
        <w:rPr>
          <w:rFonts w:cs="Arial"/>
          <w:szCs w:val="22"/>
        </w:rPr>
        <w:t xml:space="preserve">nepůjčili </w:t>
      </w:r>
      <w:r w:rsidR="00B2310C">
        <w:rPr>
          <w:rFonts w:cs="Arial"/>
          <w:szCs w:val="22"/>
        </w:rPr>
        <w:t xml:space="preserve">(87 %).  </w:t>
      </w:r>
    </w:p>
    <w:p w14:paraId="460DADD5" w14:textId="77777777" w:rsidR="004F6EA8" w:rsidRDefault="004F6EA8" w:rsidP="00B27646">
      <w:pPr>
        <w:rPr>
          <w:rFonts w:cs="Arial"/>
          <w:szCs w:val="22"/>
        </w:rPr>
      </w:pPr>
    </w:p>
    <w:p w14:paraId="4CBED3FF" w14:textId="5761135E" w:rsidR="004F6EA8" w:rsidRDefault="004476C2" w:rsidP="00B27646">
      <w:pPr>
        <w:rPr>
          <w:rFonts w:cs="Arial"/>
          <w:szCs w:val="22"/>
        </w:rPr>
      </w:pPr>
      <w:r w:rsidRPr="004F6EA8">
        <w:rPr>
          <w:rFonts w:eastAsiaTheme="minorEastAsia" w:cs="Arial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78DB2CD" wp14:editId="1431301C">
                <wp:simplePos x="0" y="0"/>
                <wp:positionH relativeFrom="margin">
                  <wp:posOffset>2506980</wp:posOffset>
                </wp:positionH>
                <wp:positionV relativeFrom="paragraph">
                  <wp:posOffset>130175</wp:posOffset>
                </wp:positionV>
                <wp:extent cx="1857375" cy="1404620"/>
                <wp:effectExtent l="0" t="0" r="28575" b="158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E5716" w14:textId="5EA0CD2D" w:rsidR="004F6EA8" w:rsidRDefault="00BA18D1">
                            <w:r>
                              <w:t>Kvůli čemu</w:t>
                            </w:r>
                            <w:r w:rsidR="004F6EA8">
                              <w:t xml:space="preserve"> se Češi zadlužují?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DB2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7.4pt;margin-top:10.25pt;width:146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">
                <v:textbox style="mso-fit-shape-to-text:t">
                  <w:txbxContent>
                    <w:p w14:paraId="234E5716" w14:textId="5EA0CD2D" w:rsidR="004F6EA8" w:rsidRDefault="00BA18D1">
                      <w:bookmarkStart w:id="2" w:name="_GoBack"/>
                      <w:r>
                        <w:t>Kvůli čemu</w:t>
                      </w:r>
                      <w:r w:rsidR="004F6EA8">
                        <w:t xml:space="preserve"> se Češi zadlužují?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175C42" w14:textId="300BFFCC" w:rsidR="00B15438" w:rsidRDefault="004F6EA8" w:rsidP="00B27646">
      <w:pPr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06DDF07A" wp14:editId="459EAAC1">
            <wp:extent cx="6661150" cy="196215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2B8CF3B-07F5-47E1-9333-A4ACC32FF1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15438">
        <w:rPr>
          <w:rFonts w:cs="Arial"/>
          <w:szCs w:val="22"/>
        </w:rPr>
        <w:t xml:space="preserve"> </w:t>
      </w:r>
    </w:p>
    <w:p w14:paraId="6BFC293E" w14:textId="43C72C81" w:rsidR="003508FE" w:rsidRDefault="003508FE" w:rsidP="00B27646">
      <w:pPr>
        <w:rPr>
          <w:rFonts w:cs="Arial"/>
          <w:szCs w:val="22"/>
        </w:rPr>
      </w:pPr>
    </w:p>
    <w:p w14:paraId="5BCF85F7" w14:textId="288C43D2" w:rsidR="00244923" w:rsidRDefault="00244923" w:rsidP="00F67E6A">
      <w:pPr>
        <w:rPr>
          <w:rFonts w:cs="Arial"/>
          <w:szCs w:val="22"/>
        </w:rPr>
      </w:pPr>
      <w:r>
        <w:rPr>
          <w:rFonts w:cs="Arial"/>
          <w:szCs w:val="22"/>
        </w:rPr>
        <w:t>Necelá pětina Čechů má zkušenost s nákupem na úvěr ve výši do 20 tisíc korun</w:t>
      </w:r>
      <w:r w:rsidRPr="00244923">
        <w:rPr>
          <w:rFonts w:cs="Arial"/>
          <w:szCs w:val="22"/>
        </w:rPr>
        <w:t xml:space="preserve"> (19 %), 16 % </w:t>
      </w:r>
      <w:r>
        <w:rPr>
          <w:rFonts w:cs="Arial"/>
          <w:szCs w:val="22"/>
        </w:rPr>
        <w:t xml:space="preserve">pak s částkou </w:t>
      </w:r>
      <w:r w:rsidRPr="00244923">
        <w:rPr>
          <w:rFonts w:cs="Arial"/>
          <w:szCs w:val="22"/>
        </w:rPr>
        <w:t xml:space="preserve">mezi 20 až 100 tisíci </w:t>
      </w:r>
      <w:r>
        <w:rPr>
          <w:rFonts w:cs="Arial"/>
          <w:szCs w:val="22"/>
        </w:rPr>
        <w:t>korun a</w:t>
      </w:r>
      <w:r w:rsidRPr="00244923">
        <w:rPr>
          <w:rFonts w:cs="Arial"/>
          <w:szCs w:val="22"/>
        </w:rPr>
        <w:t xml:space="preserve"> nad 100 tisíc </w:t>
      </w:r>
      <w:r>
        <w:rPr>
          <w:rFonts w:cs="Arial"/>
          <w:szCs w:val="22"/>
        </w:rPr>
        <w:t>korun</w:t>
      </w:r>
      <w:r w:rsidRPr="00244923">
        <w:rPr>
          <w:rFonts w:cs="Arial"/>
          <w:szCs w:val="22"/>
        </w:rPr>
        <w:t xml:space="preserve"> 30 %</w:t>
      </w:r>
      <w:r>
        <w:rPr>
          <w:rFonts w:cs="Arial"/>
          <w:szCs w:val="22"/>
        </w:rPr>
        <w:t xml:space="preserve"> respondentů. </w:t>
      </w:r>
      <w:r w:rsidRPr="00B84219">
        <w:rPr>
          <w:rFonts w:cs="Arial"/>
          <w:i/>
          <w:szCs w:val="22"/>
        </w:rPr>
        <w:t>„Vyšší částky pohybující se v řádech statisíců si obecně berou lidé v produktivním věku 3</w:t>
      </w:r>
      <w:r w:rsidR="00B2310C">
        <w:rPr>
          <w:rFonts w:cs="Arial"/>
          <w:i/>
          <w:szCs w:val="22"/>
        </w:rPr>
        <w:t>0-</w:t>
      </w:r>
      <w:r w:rsidR="00B84219" w:rsidRPr="00B84219">
        <w:rPr>
          <w:rFonts w:cs="Arial"/>
          <w:i/>
          <w:szCs w:val="22"/>
        </w:rPr>
        <w:t>50 let.</w:t>
      </w:r>
      <w:r w:rsidR="00B84219">
        <w:rPr>
          <w:rFonts w:cs="Arial"/>
          <w:i/>
          <w:szCs w:val="22"/>
        </w:rPr>
        <w:t xml:space="preserve"> V daném věku s</w:t>
      </w:r>
      <w:r w:rsidR="00BA18D1">
        <w:rPr>
          <w:rFonts w:cs="Arial"/>
          <w:i/>
          <w:szCs w:val="22"/>
        </w:rPr>
        <w:t>i</w:t>
      </w:r>
      <w:r w:rsidR="00B84219">
        <w:rPr>
          <w:rFonts w:cs="Arial"/>
          <w:i/>
          <w:szCs w:val="22"/>
        </w:rPr>
        <w:t xml:space="preserve"> nejčastěji rekonstruují či vybavují domácnost</w:t>
      </w:r>
      <w:r w:rsidR="00BA18D1">
        <w:rPr>
          <w:rFonts w:cs="Arial"/>
          <w:i/>
          <w:szCs w:val="22"/>
        </w:rPr>
        <w:t xml:space="preserve"> nebo</w:t>
      </w:r>
      <w:r w:rsidR="00B84219">
        <w:rPr>
          <w:rFonts w:cs="Arial"/>
          <w:i/>
          <w:szCs w:val="22"/>
        </w:rPr>
        <w:t xml:space="preserve"> kupují auta, při</w:t>
      </w:r>
      <w:r w:rsidR="00BA18D1">
        <w:rPr>
          <w:rFonts w:cs="Arial"/>
          <w:i/>
          <w:szCs w:val="22"/>
        </w:rPr>
        <w:t xml:space="preserve">tom </w:t>
      </w:r>
      <w:r w:rsidR="00E85DE8">
        <w:rPr>
          <w:rFonts w:cs="Arial"/>
          <w:i/>
          <w:szCs w:val="22"/>
        </w:rPr>
        <w:t xml:space="preserve">by </w:t>
      </w:r>
      <w:r w:rsidR="00BA18D1">
        <w:rPr>
          <w:rFonts w:cs="Arial"/>
          <w:i/>
          <w:szCs w:val="22"/>
        </w:rPr>
        <w:t>už</w:t>
      </w:r>
      <w:r w:rsidR="00B84219">
        <w:rPr>
          <w:rFonts w:cs="Arial"/>
          <w:i/>
          <w:szCs w:val="22"/>
        </w:rPr>
        <w:t xml:space="preserve"> </w:t>
      </w:r>
      <w:r w:rsidR="00E85DE8">
        <w:rPr>
          <w:rFonts w:cs="Arial"/>
          <w:i/>
          <w:szCs w:val="22"/>
        </w:rPr>
        <w:t xml:space="preserve">z pohledu svého i poskytovatelů úvěrů měly </w:t>
      </w:r>
      <w:r w:rsidR="00B84219">
        <w:rPr>
          <w:rFonts w:cs="Arial"/>
          <w:i/>
          <w:szCs w:val="22"/>
        </w:rPr>
        <w:t>m</w:t>
      </w:r>
      <w:r w:rsidR="00E85DE8">
        <w:rPr>
          <w:rFonts w:cs="Arial"/>
          <w:i/>
          <w:szCs w:val="22"/>
        </w:rPr>
        <w:t>ít</w:t>
      </w:r>
      <w:r w:rsidR="00B84219">
        <w:rPr>
          <w:rFonts w:cs="Arial"/>
          <w:i/>
          <w:szCs w:val="22"/>
        </w:rPr>
        <w:t xml:space="preserve"> dostatečné příjmy na spl</w:t>
      </w:r>
      <w:r w:rsidR="00E85DE8">
        <w:rPr>
          <w:rFonts w:cs="Arial"/>
          <w:i/>
          <w:szCs w:val="22"/>
        </w:rPr>
        <w:t>á</w:t>
      </w:r>
      <w:r w:rsidR="00B84219">
        <w:rPr>
          <w:rFonts w:cs="Arial"/>
          <w:i/>
          <w:szCs w:val="22"/>
        </w:rPr>
        <w:t>cení</w:t>
      </w:r>
      <w:r w:rsidR="00E85DE8">
        <w:rPr>
          <w:rFonts w:cs="Arial"/>
          <w:i/>
          <w:szCs w:val="22"/>
        </w:rPr>
        <w:t xml:space="preserve"> takových půjček</w:t>
      </w:r>
      <w:r w:rsidR="00B84219">
        <w:rPr>
          <w:rFonts w:cs="Arial"/>
          <w:i/>
          <w:szCs w:val="22"/>
        </w:rPr>
        <w:t xml:space="preserve">. </w:t>
      </w:r>
      <w:r w:rsidR="00E85DE8">
        <w:rPr>
          <w:rFonts w:cs="Arial"/>
          <w:i/>
          <w:szCs w:val="22"/>
        </w:rPr>
        <w:t>Podstatné ovšem je, že zhruba jedna třetina lidí nechce přesnou výši svých půjček sdělit. P</w:t>
      </w:r>
      <w:r w:rsidR="00B84219" w:rsidRPr="00B84219">
        <w:rPr>
          <w:rFonts w:cs="Arial"/>
          <w:i/>
          <w:szCs w:val="22"/>
        </w:rPr>
        <w:t xml:space="preserve">ři </w:t>
      </w:r>
      <w:r w:rsidR="00B84219" w:rsidRPr="00397430">
        <w:rPr>
          <w:rFonts w:cs="Arial"/>
          <w:i/>
          <w:szCs w:val="22"/>
        </w:rPr>
        <w:t xml:space="preserve">vyvozování </w:t>
      </w:r>
      <w:r w:rsidR="00E85DE8" w:rsidRPr="00397430">
        <w:rPr>
          <w:rFonts w:cs="Arial"/>
          <w:i/>
          <w:szCs w:val="22"/>
        </w:rPr>
        <w:t>jakýchkoli</w:t>
      </w:r>
      <w:r w:rsidR="00B84219" w:rsidRPr="00397430">
        <w:rPr>
          <w:rFonts w:cs="Arial"/>
          <w:i/>
          <w:szCs w:val="22"/>
        </w:rPr>
        <w:t xml:space="preserve"> závěrů</w:t>
      </w:r>
      <w:r w:rsidR="00B84219" w:rsidRPr="00B84219">
        <w:rPr>
          <w:rFonts w:cs="Arial"/>
          <w:i/>
          <w:szCs w:val="22"/>
        </w:rPr>
        <w:t xml:space="preserve"> </w:t>
      </w:r>
      <w:r w:rsidR="00E85DE8">
        <w:rPr>
          <w:rFonts w:cs="Arial"/>
          <w:i/>
          <w:szCs w:val="22"/>
        </w:rPr>
        <w:t xml:space="preserve">však </w:t>
      </w:r>
      <w:r w:rsidR="00B84219" w:rsidRPr="00B84219">
        <w:rPr>
          <w:rFonts w:cs="Arial"/>
          <w:i/>
          <w:szCs w:val="22"/>
        </w:rPr>
        <w:t xml:space="preserve">musíme </w:t>
      </w:r>
      <w:r w:rsidR="00E85DE8">
        <w:rPr>
          <w:rFonts w:cs="Arial"/>
          <w:i/>
          <w:szCs w:val="22"/>
        </w:rPr>
        <w:t>stále vycházet z toho, že průzkum nezohledňuje spotřebitelské úvěry na bydlení, mezi které patří především hypoteční úvěry a úvěry ze stavebního spoření</w:t>
      </w:r>
      <w:r w:rsidR="00B84219">
        <w:rPr>
          <w:rFonts w:cs="Arial"/>
          <w:i/>
          <w:szCs w:val="22"/>
        </w:rPr>
        <w:t>,</w:t>
      </w:r>
      <w:r w:rsidR="00B2310C">
        <w:rPr>
          <w:rFonts w:cs="Arial"/>
          <w:i/>
          <w:szCs w:val="22"/>
        </w:rPr>
        <w:t xml:space="preserve">“ </w:t>
      </w:r>
      <w:r w:rsidR="00B2310C">
        <w:rPr>
          <w:rFonts w:cs="Arial"/>
          <w:szCs w:val="22"/>
        </w:rPr>
        <w:t>komentuje</w:t>
      </w:r>
      <w:r w:rsidR="00B84219">
        <w:rPr>
          <w:rFonts w:cs="Arial"/>
          <w:szCs w:val="22"/>
        </w:rPr>
        <w:t xml:space="preserve"> Helena Brychová. </w:t>
      </w:r>
    </w:p>
    <w:p w14:paraId="77C1D49A" w14:textId="77777777" w:rsidR="00244923" w:rsidRDefault="00244923" w:rsidP="00F67E6A">
      <w:pPr>
        <w:rPr>
          <w:rFonts w:cs="Arial"/>
          <w:szCs w:val="22"/>
        </w:rPr>
      </w:pPr>
    </w:p>
    <w:p w14:paraId="7C5F4E79" w14:textId="2A7F8CD9" w:rsidR="00714837" w:rsidRPr="00397430" w:rsidRDefault="003D224C" w:rsidP="00F67E6A">
      <w:pPr>
        <w:rPr>
          <w:i/>
        </w:rPr>
      </w:pPr>
      <w:r>
        <w:rPr>
          <w:rFonts w:cs="Arial"/>
          <w:szCs w:val="22"/>
        </w:rPr>
        <w:t xml:space="preserve">Úvěry na nákupy </w:t>
      </w:r>
      <w:r w:rsidR="00714837">
        <w:rPr>
          <w:rFonts w:cs="Arial"/>
          <w:szCs w:val="22"/>
        </w:rPr>
        <w:t xml:space="preserve">a jejich splátky </w:t>
      </w:r>
      <w:r>
        <w:rPr>
          <w:rFonts w:cs="Arial"/>
          <w:szCs w:val="22"/>
        </w:rPr>
        <w:t xml:space="preserve">si Češi raději </w:t>
      </w:r>
      <w:r w:rsidR="00714837">
        <w:rPr>
          <w:rFonts w:cs="Arial"/>
          <w:szCs w:val="22"/>
        </w:rPr>
        <w:t xml:space="preserve">(83 %) </w:t>
      </w:r>
      <w:r>
        <w:rPr>
          <w:rFonts w:cs="Arial"/>
          <w:szCs w:val="22"/>
        </w:rPr>
        <w:t xml:space="preserve">sjednávají osobně u prodejce zboží či </w:t>
      </w:r>
      <w:r w:rsidR="00714837">
        <w:rPr>
          <w:rFonts w:cs="Arial"/>
          <w:szCs w:val="22"/>
        </w:rPr>
        <w:t>u poskytovatele (banky, nebankovní splátkové společnosti apod.)</w:t>
      </w:r>
      <w:r w:rsidR="00E85DE8">
        <w:rPr>
          <w:rFonts w:cs="Arial"/>
          <w:szCs w:val="22"/>
        </w:rPr>
        <w:t>,</w:t>
      </w:r>
      <w:r w:rsidR="0071483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online jen ve 12 %. </w:t>
      </w:r>
      <w:r w:rsidR="00714837">
        <w:rPr>
          <w:rFonts w:cs="Arial"/>
          <w:szCs w:val="22"/>
        </w:rPr>
        <w:t xml:space="preserve">K tomu Helena Brychová </w:t>
      </w:r>
      <w:r w:rsidR="00B84219">
        <w:rPr>
          <w:rFonts w:cs="Arial"/>
          <w:szCs w:val="22"/>
        </w:rPr>
        <w:t>uzavírá</w:t>
      </w:r>
      <w:r w:rsidR="00714837">
        <w:rPr>
          <w:rFonts w:cs="Arial"/>
          <w:szCs w:val="22"/>
        </w:rPr>
        <w:t xml:space="preserve">: </w:t>
      </w:r>
      <w:r w:rsidR="00714837" w:rsidRPr="00397430">
        <w:rPr>
          <w:rFonts w:cs="Arial"/>
          <w:i/>
          <w:szCs w:val="22"/>
        </w:rPr>
        <w:t>„</w:t>
      </w:r>
      <w:r w:rsidR="00E85DE8" w:rsidRPr="00397430">
        <w:rPr>
          <w:rFonts w:cs="Arial"/>
          <w:i/>
          <w:szCs w:val="22"/>
        </w:rPr>
        <w:t>Oslovit s žádostí o půjčku instituci, u níž</w:t>
      </w:r>
      <w:r w:rsidR="005E092E" w:rsidRPr="00397430">
        <w:rPr>
          <w:rFonts w:cs="Arial"/>
          <w:i/>
          <w:szCs w:val="22"/>
        </w:rPr>
        <w:t xml:space="preserve"> lidé</w:t>
      </w:r>
      <w:r w:rsidR="00E85DE8" w:rsidRPr="00397430">
        <w:rPr>
          <w:rFonts w:cs="Arial"/>
          <w:i/>
          <w:szCs w:val="22"/>
        </w:rPr>
        <w:t xml:space="preserve"> provádí celou řadu platebních i jiných finančních operací, dává samozřejmě smysl, protože jsou to právě banky, které své klienty zpravidla dlouhodobě a dobře znají. </w:t>
      </w:r>
      <w:r w:rsidR="005E092E" w:rsidRPr="00397430">
        <w:rPr>
          <w:rFonts w:cs="Arial"/>
          <w:i/>
          <w:szCs w:val="22"/>
        </w:rPr>
        <w:t xml:space="preserve">Uplatňování pravidel pro posuzování rizikovosti dluhu ve vztahu ke konkrétnímu klientovi není pro banky novou záležitostí, ale naopak pečlivě propracovaným </w:t>
      </w:r>
      <w:proofErr w:type="spellStart"/>
      <w:r w:rsidR="005E092E" w:rsidRPr="00397430">
        <w:rPr>
          <w:rFonts w:cs="Arial"/>
          <w:i/>
          <w:szCs w:val="22"/>
        </w:rPr>
        <w:t>know</w:t>
      </w:r>
      <w:proofErr w:type="spellEnd"/>
      <w:r w:rsidR="005E092E" w:rsidRPr="00397430">
        <w:rPr>
          <w:rFonts w:cs="Arial"/>
          <w:i/>
          <w:szCs w:val="22"/>
        </w:rPr>
        <w:t xml:space="preserve"> </w:t>
      </w:r>
      <w:proofErr w:type="spellStart"/>
      <w:r w:rsidR="005E092E" w:rsidRPr="00397430">
        <w:rPr>
          <w:rFonts w:cs="Arial"/>
          <w:i/>
          <w:szCs w:val="22"/>
        </w:rPr>
        <w:t>how</w:t>
      </w:r>
      <w:proofErr w:type="spellEnd"/>
      <w:r w:rsidR="005E092E" w:rsidRPr="00397430">
        <w:rPr>
          <w:rFonts w:cs="Arial"/>
          <w:i/>
          <w:szCs w:val="22"/>
        </w:rPr>
        <w:t xml:space="preserve">, jež </w:t>
      </w:r>
      <w:r w:rsidR="006513A0" w:rsidRPr="00397430">
        <w:rPr>
          <w:rFonts w:cs="Arial"/>
          <w:i/>
          <w:szCs w:val="22"/>
        </w:rPr>
        <w:t xml:space="preserve">s ohledem na obezřetnost </w:t>
      </w:r>
      <w:r w:rsidR="005E092E" w:rsidRPr="00397430">
        <w:rPr>
          <w:rFonts w:cs="Arial"/>
          <w:i/>
          <w:szCs w:val="22"/>
        </w:rPr>
        <w:t>aplikují</w:t>
      </w:r>
      <w:r w:rsidR="006513A0" w:rsidRPr="00397430">
        <w:rPr>
          <w:rFonts w:cs="Arial"/>
          <w:i/>
          <w:szCs w:val="22"/>
        </w:rPr>
        <w:t xml:space="preserve"> již celá léta</w:t>
      </w:r>
      <w:r w:rsidR="005E092E" w:rsidRPr="00397430">
        <w:rPr>
          <w:rFonts w:cs="Arial"/>
          <w:i/>
          <w:szCs w:val="22"/>
        </w:rPr>
        <w:t>.</w:t>
      </w:r>
      <w:r w:rsidR="00714837" w:rsidRPr="00397430">
        <w:rPr>
          <w:i/>
        </w:rPr>
        <w:t xml:space="preserve"> </w:t>
      </w:r>
      <w:r w:rsidR="006513A0" w:rsidRPr="00397430">
        <w:rPr>
          <w:i/>
        </w:rPr>
        <w:t xml:space="preserve">V otázce rozumného </w:t>
      </w:r>
      <w:r w:rsidR="00714837" w:rsidRPr="00397430">
        <w:rPr>
          <w:i/>
        </w:rPr>
        <w:t>dluhov</w:t>
      </w:r>
      <w:r w:rsidR="005E092E" w:rsidRPr="00397430">
        <w:rPr>
          <w:i/>
        </w:rPr>
        <w:t>é</w:t>
      </w:r>
      <w:r w:rsidR="00714837" w:rsidRPr="00397430">
        <w:rPr>
          <w:i/>
        </w:rPr>
        <w:t xml:space="preserve">ho zatížení </w:t>
      </w:r>
      <w:r w:rsidR="005E092E" w:rsidRPr="00397430">
        <w:rPr>
          <w:i/>
        </w:rPr>
        <w:t xml:space="preserve">mají banky </w:t>
      </w:r>
      <w:r w:rsidR="00714837" w:rsidRPr="00397430">
        <w:rPr>
          <w:i/>
        </w:rPr>
        <w:t xml:space="preserve">stejný zájem jako </w:t>
      </w:r>
      <w:r w:rsidR="005E092E" w:rsidRPr="00397430">
        <w:rPr>
          <w:i/>
        </w:rPr>
        <w:t>jejich klienti</w:t>
      </w:r>
      <w:r w:rsidR="00714837" w:rsidRPr="00397430">
        <w:rPr>
          <w:i/>
        </w:rPr>
        <w:t>:</w:t>
      </w:r>
      <w:r w:rsidR="006513A0" w:rsidRPr="00397430">
        <w:rPr>
          <w:i/>
        </w:rPr>
        <w:t xml:space="preserve"> nastaveno musí být tak, aby</w:t>
      </w:r>
      <w:r w:rsidR="00714837" w:rsidRPr="00397430">
        <w:rPr>
          <w:i/>
        </w:rPr>
        <w:t xml:space="preserve"> bylo bezpečné a neuvedlo </w:t>
      </w:r>
      <w:r w:rsidR="006513A0" w:rsidRPr="00397430">
        <w:rPr>
          <w:i/>
        </w:rPr>
        <w:t>klienty</w:t>
      </w:r>
      <w:r w:rsidR="00714837" w:rsidRPr="00397430">
        <w:rPr>
          <w:i/>
        </w:rPr>
        <w:t xml:space="preserve"> do finanční tísně.</w:t>
      </w:r>
      <w:r w:rsidR="00C05E06">
        <w:t>“</w:t>
      </w:r>
    </w:p>
    <w:p w14:paraId="334A7098" w14:textId="77777777" w:rsidR="00714837" w:rsidRPr="00397430" w:rsidRDefault="00714837" w:rsidP="00F67E6A">
      <w:pPr>
        <w:rPr>
          <w:rFonts w:cs="Arial"/>
          <w:szCs w:val="22"/>
        </w:rPr>
      </w:pPr>
    </w:p>
    <w:p w14:paraId="1AE6FC8E" w14:textId="3F869D87" w:rsidR="005C1943" w:rsidRPr="00517111" w:rsidRDefault="00714837" w:rsidP="00F67E6A">
      <w:pPr>
        <w:rPr>
          <w:rFonts w:eastAsiaTheme="minorEastAsia" w:cs="Arial"/>
        </w:rPr>
      </w:pPr>
      <w:r w:rsidRPr="00397430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2AEEF4A4">
                <wp:simplePos x="0" y="0"/>
                <wp:positionH relativeFrom="margin">
                  <wp:align>right</wp:align>
                </wp:positionH>
                <wp:positionV relativeFrom="paragraph">
                  <wp:posOffset>1899920</wp:posOffset>
                </wp:positionV>
                <wp:extent cx="2235200" cy="1637665"/>
                <wp:effectExtent l="0" t="0" r="0" b="63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63766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044002" w:rsidRPr="005A44FF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044002" w:rsidRPr="005A44FF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044002" w:rsidRPr="003D3951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9EB82FC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petraskova@czech-ba.cz</w:t>
                            </w:r>
                          </w:p>
                          <w:p w14:paraId="0B0CE061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044002" w:rsidRDefault="00044002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8" style="position:absolute;left:0;text-align:left;margin-left:124.8pt;margin-top:149.6pt;width:176pt;height:128.9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" fillcolor="#007e79" stroked="f" strokeweight="1pt">
                <v:fill opacity="32639f"/>
                <v:textbox inset="3mm,3mm,3mm,3mm">
                  <w:txbxContent>
                    <w:p w14:paraId="7AC95292" w14:textId="77777777" w:rsidR="00044002" w:rsidRPr="005A44FF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044002" w:rsidRPr="005A44FF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044002" w:rsidRPr="003D3951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69EB82FC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petraskova@czech-ba.cz</w:t>
                      </w:r>
                    </w:p>
                    <w:p w14:paraId="0B0CE061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044002" w:rsidRDefault="00044002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7430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63FFDEEE">
                <wp:simplePos x="0" y="0"/>
                <wp:positionH relativeFrom="margin">
                  <wp:posOffset>-38100</wp:posOffset>
                </wp:positionH>
                <wp:positionV relativeFrom="paragraph">
                  <wp:posOffset>1896110</wp:posOffset>
                </wp:positionV>
                <wp:extent cx="4216400" cy="1637969"/>
                <wp:effectExtent l="0" t="0" r="0" b="635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6379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044002" w:rsidRPr="005A44FF" w:rsidRDefault="00044002" w:rsidP="0004400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77777777" w:rsidR="00044002" w:rsidRPr="00F67E6A" w:rsidRDefault="00044002" w:rsidP="00044002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29" style="position:absolute;left:0;text-align:left;margin-left:-3pt;margin-top:149.3pt;width:332pt;height:128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" fillcolor="#bfbfbf [2412]" stroked="f" strokeweight="1pt">
                <v:textbox inset="3mm,3mm,3mm,3mm">
                  <w:txbxContent>
                    <w:p w14:paraId="4C1160DE" w14:textId="77777777" w:rsidR="00044002" w:rsidRPr="005A44FF" w:rsidRDefault="00044002" w:rsidP="00044002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14:paraId="51BDEFCD" w14:textId="77777777" w:rsidR="00044002" w:rsidRPr="00F67E6A" w:rsidRDefault="00044002" w:rsidP="00044002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3D3951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C1943" w:rsidRPr="00517111" w:rsidSect="001D5BB9">
      <w:headerReference w:type="default" r:id="rId9"/>
      <w:footerReference w:type="default" r:id="rId10"/>
      <w:pgSz w:w="11906" w:h="16838"/>
      <w:pgMar w:top="2552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F718" w14:textId="77777777" w:rsidR="003B0433" w:rsidRDefault="003B0433" w:rsidP="00F573F1">
      <w:r>
        <w:separator/>
      </w:r>
    </w:p>
  </w:endnote>
  <w:endnote w:type="continuationSeparator" w:id="0">
    <w:p w14:paraId="2C0D88EF" w14:textId="77777777" w:rsidR="003B0433" w:rsidRDefault="003B0433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-915778797"/>
      <w:docPartObj>
        <w:docPartGallery w:val="Page Numbers (Bottom of Page)"/>
        <w:docPartUnique/>
      </w:docPartObj>
    </w:sdtPr>
    <w:sdtEndPr/>
    <w:sdtContent>
      <w:p w14:paraId="13CE44BD" w14:textId="77777777" w:rsidR="00FB4A1C" w:rsidRPr="00FB4A1C" w:rsidRDefault="00FB4A1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Pr="00FB4A1C">
          <w:rPr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FB4A1C" w:rsidRPr="00FB4A1C" w:rsidRDefault="00FB4A1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5D31" w14:textId="77777777" w:rsidR="003B0433" w:rsidRDefault="003B0433" w:rsidP="00F573F1">
      <w:r>
        <w:separator/>
      </w:r>
    </w:p>
  </w:footnote>
  <w:footnote w:type="continuationSeparator" w:id="0">
    <w:p w14:paraId="7BA4533D" w14:textId="77777777" w:rsidR="003B0433" w:rsidRDefault="003B0433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6E3" w14:textId="52D82906" w:rsidR="00F573F1" w:rsidRDefault="00F573F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44002"/>
    <w:rsid w:val="00051A5B"/>
    <w:rsid w:val="0007445A"/>
    <w:rsid w:val="000D5D2B"/>
    <w:rsid w:val="000E563F"/>
    <w:rsid w:val="0011443F"/>
    <w:rsid w:val="00146F46"/>
    <w:rsid w:val="00195C6D"/>
    <w:rsid w:val="001C7F88"/>
    <w:rsid w:val="001D5BB9"/>
    <w:rsid w:val="001E15FD"/>
    <w:rsid w:val="001E27B8"/>
    <w:rsid w:val="001E6F5D"/>
    <w:rsid w:val="00244923"/>
    <w:rsid w:val="00267ACA"/>
    <w:rsid w:val="002A31A1"/>
    <w:rsid w:val="002D1376"/>
    <w:rsid w:val="002D49FB"/>
    <w:rsid w:val="002F477C"/>
    <w:rsid w:val="00327407"/>
    <w:rsid w:val="003508FE"/>
    <w:rsid w:val="00370F35"/>
    <w:rsid w:val="00376F07"/>
    <w:rsid w:val="00391FA6"/>
    <w:rsid w:val="003952ED"/>
    <w:rsid w:val="00397430"/>
    <w:rsid w:val="003B0433"/>
    <w:rsid w:val="003C3D7F"/>
    <w:rsid w:val="003D224C"/>
    <w:rsid w:val="003E3DCB"/>
    <w:rsid w:val="003F1CB9"/>
    <w:rsid w:val="003F7F31"/>
    <w:rsid w:val="00437589"/>
    <w:rsid w:val="00445609"/>
    <w:rsid w:val="004476C2"/>
    <w:rsid w:val="0046651A"/>
    <w:rsid w:val="00492636"/>
    <w:rsid w:val="004A1724"/>
    <w:rsid w:val="004A6CE0"/>
    <w:rsid w:val="004E1AC6"/>
    <w:rsid w:val="004F6EA8"/>
    <w:rsid w:val="004F70A7"/>
    <w:rsid w:val="00517111"/>
    <w:rsid w:val="005642DD"/>
    <w:rsid w:val="00571C08"/>
    <w:rsid w:val="00584718"/>
    <w:rsid w:val="005A2501"/>
    <w:rsid w:val="005A44FF"/>
    <w:rsid w:val="005B3439"/>
    <w:rsid w:val="005C1943"/>
    <w:rsid w:val="005C6D52"/>
    <w:rsid w:val="005D4BC8"/>
    <w:rsid w:val="005E092E"/>
    <w:rsid w:val="005E58E1"/>
    <w:rsid w:val="0060552B"/>
    <w:rsid w:val="00611C5C"/>
    <w:rsid w:val="006513A0"/>
    <w:rsid w:val="006963D2"/>
    <w:rsid w:val="006B2F86"/>
    <w:rsid w:val="006D23EF"/>
    <w:rsid w:val="00714837"/>
    <w:rsid w:val="00720DE3"/>
    <w:rsid w:val="0072723A"/>
    <w:rsid w:val="00733C05"/>
    <w:rsid w:val="00786BB9"/>
    <w:rsid w:val="007964DC"/>
    <w:rsid w:val="007B02A8"/>
    <w:rsid w:val="007C4C83"/>
    <w:rsid w:val="007D4025"/>
    <w:rsid w:val="007F40D6"/>
    <w:rsid w:val="00803E55"/>
    <w:rsid w:val="00807F85"/>
    <w:rsid w:val="00811FE2"/>
    <w:rsid w:val="00854190"/>
    <w:rsid w:val="00870102"/>
    <w:rsid w:val="00872847"/>
    <w:rsid w:val="008857AA"/>
    <w:rsid w:val="008B19B7"/>
    <w:rsid w:val="008C1507"/>
    <w:rsid w:val="009139AF"/>
    <w:rsid w:val="00935EAC"/>
    <w:rsid w:val="00944D10"/>
    <w:rsid w:val="00977317"/>
    <w:rsid w:val="009C0DD6"/>
    <w:rsid w:val="009D2F47"/>
    <w:rsid w:val="009E5367"/>
    <w:rsid w:val="009F6C56"/>
    <w:rsid w:val="00A0323B"/>
    <w:rsid w:val="00A155ED"/>
    <w:rsid w:val="00A425BA"/>
    <w:rsid w:val="00A7149F"/>
    <w:rsid w:val="00A8750A"/>
    <w:rsid w:val="00A90878"/>
    <w:rsid w:val="00A97F5A"/>
    <w:rsid w:val="00AB365A"/>
    <w:rsid w:val="00AF18CA"/>
    <w:rsid w:val="00B15438"/>
    <w:rsid w:val="00B2310C"/>
    <w:rsid w:val="00B27646"/>
    <w:rsid w:val="00B506AC"/>
    <w:rsid w:val="00B84219"/>
    <w:rsid w:val="00B95673"/>
    <w:rsid w:val="00BA18D1"/>
    <w:rsid w:val="00BC0CB8"/>
    <w:rsid w:val="00BD0100"/>
    <w:rsid w:val="00BE5574"/>
    <w:rsid w:val="00C05E06"/>
    <w:rsid w:val="00C17244"/>
    <w:rsid w:val="00C520D7"/>
    <w:rsid w:val="00C74048"/>
    <w:rsid w:val="00CA7866"/>
    <w:rsid w:val="00D10717"/>
    <w:rsid w:val="00D2261D"/>
    <w:rsid w:val="00D775D2"/>
    <w:rsid w:val="00D97E49"/>
    <w:rsid w:val="00DF431A"/>
    <w:rsid w:val="00E10053"/>
    <w:rsid w:val="00E3317B"/>
    <w:rsid w:val="00E3386F"/>
    <w:rsid w:val="00E350BD"/>
    <w:rsid w:val="00E77101"/>
    <w:rsid w:val="00E85DE8"/>
    <w:rsid w:val="00EA5747"/>
    <w:rsid w:val="00EC03D2"/>
    <w:rsid w:val="00EC5679"/>
    <w:rsid w:val="00ED452D"/>
    <w:rsid w:val="00F573F1"/>
    <w:rsid w:val="00F6767A"/>
    <w:rsid w:val="00F67E6A"/>
    <w:rsid w:val="00F7568A"/>
    <w:rsid w:val="00FB4A1C"/>
    <w:rsid w:val="00FB60FB"/>
    <w:rsid w:val="00FC5B2A"/>
    <w:rsid w:val="00FD12DB"/>
    <w:rsid w:val="00FD57E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033917760279967"/>
          <c:y val="2.2090725391584198E-2"/>
          <c:w val="0.54010526684164484"/>
          <c:h val="0.95140040413851479"/>
        </c:manualLayout>
      </c:layout>
      <c:barChart>
        <c:barDir val="bar"/>
        <c:grouping val="clustered"/>
        <c:varyColors val="0"/>
        <c:ser>
          <c:idx val="1"/>
          <c:order val="0"/>
          <c:tx>
            <c:v>2019</c:v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13576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6E1-4F32-AD3E-11078F45C74D}"/>
              </c:ext>
            </c:extLst>
          </c:dPt>
          <c:dPt>
            <c:idx val="1"/>
            <c:invertIfNegative val="0"/>
            <c:bubble3D val="0"/>
            <c:spPr>
              <a:solidFill>
                <a:srgbClr val="13576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6E1-4F32-AD3E-11078F45C74D}"/>
              </c:ext>
            </c:extLst>
          </c:dPt>
          <c:dPt>
            <c:idx val="2"/>
            <c:invertIfNegative val="0"/>
            <c:bubble3D val="0"/>
            <c:spPr>
              <a:solidFill>
                <a:srgbClr val="13576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6E1-4F32-AD3E-11078F45C74D}"/>
              </c:ext>
            </c:extLst>
          </c:dPt>
          <c:dPt>
            <c:idx val="3"/>
            <c:invertIfNegative val="0"/>
            <c:bubble3D val="0"/>
            <c:spPr>
              <a:solidFill>
                <a:srgbClr val="13576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96E1-4F32-AD3E-11078F45C74D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6E1-4F32-AD3E-11078F45C74D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96E1-4F32-AD3E-11078F45C74D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6E1-4F32-AD3E-11078F45C74D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96E1-4F32-AD3E-11078F45C74D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6E1-4F32-AD3E-11078F45C74D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96E1-4F32-AD3E-11078F45C74D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96E1-4F32-AD3E-11078F45C74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E1-4F32-AD3E-11078F45C74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E1-4F32-AD3E-11078F45C74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E1-4F32-AD3E-11078F45C74D}"/>
                </c:ext>
              </c:extLst>
            </c:dLbl>
            <c:dLbl>
              <c:idx val="3"/>
              <c:layout>
                <c:manualLayout>
                  <c:x val="1.244444444444444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E1-4F32-AD3E-11078F45C74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E1-4F32-AD3E-11078F45C74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6E1-4F32-AD3E-11078F45C74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E1-4F32-AD3E-11078F45C74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6E1-4F32-AD3E-11078F45C74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E1-4F32-AD3E-11078F45C74D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6E1-4F32-AD3E-11078F45C74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6E1-4F32-AD3E-11078F45C74D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cs-CZ"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'Financování spotřeby'!$R$3:$AB$3</c:f>
              <c:strCache>
                <c:ptCount val="11"/>
                <c:pt idx="0">
                  <c:v>Auto / motorka</c:v>
                </c:pt>
                <c:pt idx="1">
                  <c:v>Spotřební elektronika (TV, telefon, PC…)</c:v>
                </c:pt>
                <c:pt idx="2">
                  <c:v>Rekonstrukce bytu (koupelna, podlahy, okna)</c:v>
                </c:pt>
                <c:pt idx="3">
                  <c:v>Bílé elektro (lednice, pračka…)</c:v>
                </c:pt>
                <c:pt idx="4">
                  <c:v>Vybavení bytu (nábytek)</c:v>
                </c:pt>
                <c:pt idx="5">
                  <c:v>Splacení předchozí/jiné půjčky</c:v>
                </c:pt>
                <c:pt idx="6">
                  <c:v>Půjčka pro člena rodiny / děti</c:v>
                </c:pt>
                <c:pt idx="7">
                  <c:v>Zážitky / dovolená</c:v>
                </c:pt>
                <c:pt idx="8">
                  <c:v>Lékařský zákrok (zuby, nadstandardní péče)</c:v>
                </c:pt>
                <c:pt idx="9">
                  <c:v>Vzdělání (kurzy apod.)</c:v>
                </c:pt>
                <c:pt idx="10">
                  <c:v>Sportovní vybavení</c:v>
                </c:pt>
              </c:strCache>
            </c:strRef>
          </c:cat>
          <c:val>
            <c:numRef>
              <c:f>'Financování spotřeby'!$R$5:$AB$5</c:f>
              <c:numCache>
                <c:formatCode>0.0%</c:formatCode>
                <c:ptCount val="11"/>
                <c:pt idx="0">
                  <c:v>0.28762461592168903</c:v>
                </c:pt>
                <c:pt idx="1">
                  <c:v>0.19844027785238755</c:v>
                </c:pt>
                <c:pt idx="2">
                  <c:v>0.17066952724350229</c:v>
                </c:pt>
                <c:pt idx="3">
                  <c:v>0.17031068680838246</c:v>
                </c:pt>
                <c:pt idx="4">
                  <c:v>0.12980787583329964</c:v>
                </c:pt>
                <c:pt idx="5">
                  <c:v>9.0551265255750829E-2</c:v>
                </c:pt>
                <c:pt idx="6">
                  <c:v>4.5089130011587028E-2</c:v>
                </c:pt>
                <c:pt idx="7">
                  <c:v>1.6607137768317473E-2</c:v>
                </c:pt>
                <c:pt idx="8">
                  <c:v>1.2425307323722511E-2</c:v>
                </c:pt>
                <c:pt idx="9">
                  <c:v>9.2437520085276864E-3</c:v>
                </c:pt>
                <c:pt idx="10">
                  <c:v>8.08823966138013E-3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6E1-4F32-AD3E-11078F45C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4390368"/>
        <c:axId val="514366256"/>
      </c:barChart>
      <c:catAx>
        <c:axId val="5143903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cs-CZ" sz="900" b="1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14366256"/>
        <c:crosses val="autoZero"/>
        <c:auto val="1"/>
        <c:lblAlgn val="ctr"/>
        <c:lblOffset val="100"/>
        <c:noMultiLvlLbl val="0"/>
      </c:catAx>
      <c:valAx>
        <c:axId val="514366256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51439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 algn="ctr">
        <a:defRPr lang="cs-CZ" sz="1800" b="0" i="0" u="none" strike="noStrike" kern="1200" baseline="0">
          <a:solidFill>
            <a:schemeClr val="tx1">
              <a:lumMod val="65000"/>
              <a:lumOff val="35000"/>
            </a:schemeClr>
          </a:solidFill>
          <a:latin typeface="+mn-lt"/>
          <a:ea typeface="+mn-ea"/>
          <a:cs typeface="+mn-cs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38E4-BCE9-4DB9-B634-9CAE3179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957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6</cp:revision>
  <cp:lastPrinted>2019-02-04T15:22:00Z</cp:lastPrinted>
  <dcterms:created xsi:type="dcterms:W3CDTF">2019-02-26T20:13:00Z</dcterms:created>
  <dcterms:modified xsi:type="dcterms:W3CDTF">2019-02-26T22:15:00Z</dcterms:modified>
</cp:coreProperties>
</file>