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4D7" w:rsidRPr="00E27F2F" w:rsidRDefault="00ED5DD6" w:rsidP="00F2719D">
      <w:pPr>
        <w:spacing w:line="276" w:lineRule="auto"/>
        <w:contextualSpacing/>
        <w:rPr>
          <w:rFonts w:cs="Arial"/>
          <w:b/>
          <w:color w:val="007E79"/>
          <w:sz w:val="12"/>
          <w:szCs w:val="28"/>
        </w:rPr>
      </w:pPr>
      <w:r w:rsidRPr="00E27F2F">
        <w:rPr>
          <w:rFonts w:cs="Arial"/>
          <w:b/>
          <w:color w:val="007E79"/>
          <w:sz w:val="28"/>
          <w:szCs w:val="28"/>
        </w:rPr>
        <w:t>Studie pro ČBA</w:t>
      </w:r>
      <w:r w:rsidR="00F87FA4" w:rsidRPr="00E27F2F">
        <w:rPr>
          <w:rFonts w:cs="Arial"/>
          <w:b/>
          <w:color w:val="007E79"/>
          <w:sz w:val="28"/>
          <w:szCs w:val="28"/>
        </w:rPr>
        <w:t xml:space="preserve">: </w:t>
      </w:r>
      <w:r w:rsidRPr="00E27F2F">
        <w:rPr>
          <w:rFonts w:cs="Arial"/>
          <w:b/>
          <w:color w:val="007E79"/>
          <w:sz w:val="28"/>
          <w:szCs w:val="28"/>
        </w:rPr>
        <w:t xml:space="preserve">Cena bydlení klesne, </w:t>
      </w:r>
      <w:r w:rsidR="00F00241">
        <w:rPr>
          <w:rFonts w:cs="Arial"/>
          <w:b/>
          <w:color w:val="007E79"/>
          <w:sz w:val="28"/>
          <w:szCs w:val="28"/>
        </w:rPr>
        <w:t xml:space="preserve">problém dostupnosti </w:t>
      </w:r>
      <w:r w:rsidR="008522B5">
        <w:rPr>
          <w:rFonts w:cs="Arial"/>
          <w:b/>
          <w:color w:val="007E79"/>
          <w:sz w:val="28"/>
          <w:szCs w:val="28"/>
        </w:rPr>
        <w:t xml:space="preserve">ale </w:t>
      </w:r>
      <w:r w:rsidR="00F00241">
        <w:rPr>
          <w:rFonts w:cs="Arial"/>
          <w:b/>
          <w:color w:val="007E79"/>
          <w:sz w:val="28"/>
          <w:szCs w:val="28"/>
        </w:rPr>
        <w:t>v dohledné době nepomine</w:t>
      </w:r>
      <w:r w:rsidR="00E27F2F" w:rsidRPr="00E27F2F">
        <w:rPr>
          <w:rFonts w:cs="Arial"/>
          <w:b/>
          <w:color w:val="007E79"/>
          <w:sz w:val="28"/>
          <w:szCs w:val="28"/>
        </w:rPr>
        <w:t xml:space="preserve"> </w:t>
      </w:r>
    </w:p>
    <w:p w:rsidR="00576CF4" w:rsidRPr="00E27F2F" w:rsidRDefault="00576CF4" w:rsidP="00BD483C">
      <w:pPr>
        <w:spacing w:after="120" w:line="276" w:lineRule="auto"/>
        <w:contextualSpacing/>
        <w:rPr>
          <w:rFonts w:cs="Arial"/>
          <w:szCs w:val="18"/>
        </w:rPr>
      </w:pPr>
    </w:p>
    <w:p w:rsidR="00D13EDA" w:rsidRPr="00E27F2F" w:rsidRDefault="001F3DF4" w:rsidP="002B4617">
      <w:pPr>
        <w:spacing w:after="120" w:line="276" w:lineRule="auto"/>
        <w:contextualSpacing/>
        <w:rPr>
          <w:rFonts w:cs="Arial"/>
          <w:szCs w:val="18"/>
        </w:rPr>
      </w:pPr>
      <w:r w:rsidRPr="00FC23C7">
        <w:rPr>
          <w:rFonts w:cs="Arial"/>
          <w:b/>
          <w:color w:val="007E79"/>
          <w:szCs w:val="18"/>
        </w:rPr>
        <w:t xml:space="preserve">Praha, </w:t>
      </w:r>
      <w:r w:rsidR="00ED5DD6" w:rsidRPr="00FC23C7">
        <w:rPr>
          <w:rFonts w:cs="Arial"/>
          <w:b/>
          <w:color w:val="007E79"/>
          <w:szCs w:val="18"/>
        </w:rPr>
        <w:t>28.</w:t>
      </w:r>
      <w:r w:rsidR="00EB4281">
        <w:rPr>
          <w:rFonts w:cs="Arial"/>
          <w:b/>
          <w:color w:val="007E79"/>
          <w:szCs w:val="18"/>
        </w:rPr>
        <w:t xml:space="preserve"> srpna</w:t>
      </w:r>
      <w:r w:rsidR="00ED5DD6" w:rsidRPr="00FC23C7">
        <w:rPr>
          <w:rFonts w:cs="Arial"/>
          <w:b/>
          <w:color w:val="007E79"/>
          <w:szCs w:val="18"/>
        </w:rPr>
        <w:t xml:space="preserve"> 2019</w:t>
      </w:r>
      <w:r w:rsidR="001F5CF7" w:rsidRPr="00FC23C7">
        <w:rPr>
          <w:rFonts w:cs="Arial"/>
          <w:b/>
          <w:color w:val="007E79"/>
          <w:szCs w:val="18"/>
        </w:rPr>
        <w:t xml:space="preserve"> </w:t>
      </w:r>
      <w:r w:rsidRPr="00FC23C7">
        <w:rPr>
          <w:rFonts w:cs="Arial"/>
          <w:b/>
          <w:color w:val="007E79"/>
          <w:szCs w:val="18"/>
        </w:rPr>
        <w:t>–</w:t>
      </w:r>
      <w:r w:rsidR="001F5CF7" w:rsidRPr="00FC23C7">
        <w:rPr>
          <w:rFonts w:cs="Arial"/>
          <w:b/>
          <w:color w:val="007E79"/>
          <w:szCs w:val="18"/>
        </w:rPr>
        <w:t xml:space="preserve"> </w:t>
      </w:r>
      <w:r w:rsidR="008C5671" w:rsidRPr="00FC23C7">
        <w:rPr>
          <w:rFonts w:cs="Arial"/>
          <w:b/>
          <w:color w:val="007E79"/>
          <w:szCs w:val="18"/>
        </w:rPr>
        <w:t>V Česku lze očekávat korekci cen nemovitostí směrem dolů</w:t>
      </w:r>
      <w:r w:rsidR="00AD3BBF">
        <w:rPr>
          <w:rFonts w:cs="Arial"/>
          <w:b/>
          <w:color w:val="007E79"/>
          <w:szCs w:val="18"/>
        </w:rPr>
        <w:t xml:space="preserve">, která bude následovat </w:t>
      </w:r>
      <w:r w:rsidR="008C5671" w:rsidRPr="00FC23C7">
        <w:rPr>
          <w:rFonts w:cs="Arial"/>
          <w:b/>
          <w:color w:val="007E79"/>
          <w:szCs w:val="18"/>
        </w:rPr>
        <w:t xml:space="preserve">po </w:t>
      </w:r>
      <w:r w:rsidR="00AD3BBF">
        <w:rPr>
          <w:rFonts w:cs="Arial"/>
          <w:b/>
          <w:color w:val="007E79"/>
          <w:szCs w:val="18"/>
        </w:rPr>
        <w:t>zhruba čtyřletém období jejich r</w:t>
      </w:r>
      <w:r w:rsidR="008C5671" w:rsidRPr="00FC23C7">
        <w:rPr>
          <w:rFonts w:cs="Arial"/>
          <w:b/>
          <w:color w:val="007E79"/>
          <w:szCs w:val="18"/>
        </w:rPr>
        <w:t xml:space="preserve">ůstu. </w:t>
      </w:r>
      <w:r w:rsidR="00AD3BBF">
        <w:rPr>
          <w:rFonts w:cs="Arial"/>
          <w:b/>
          <w:color w:val="007E79"/>
          <w:szCs w:val="18"/>
        </w:rPr>
        <w:t>Z</w:t>
      </w:r>
      <w:r w:rsidR="008C5671" w:rsidRPr="00FC23C7">
        <w:rPr>
          <w:rFonts w:cs="Arial"/>
          <w:b/>
          <w:color w:val="007E79"/>
          <w:szCs w:val="18"/>
        </w:rPr>
        <w:t>a předpokladu, že nedojde ke zhoršení vnějších ekonomických podmínek</w:t>
      </w:r>
      <w:r w:rsidR="00AD3BBF">
        <w:rPr>
          <w:rFonts w:cs="Arial"/>
          <w:b/>
          <w:color w:val="007E79"/>
          <w:szCs w:val="18"/>
        </w:rPr>
        <w:t>,</w:t>
      </w:r>
      <w:r w:rsidR="00AD3BBF" w:rsidRPr="00AD3BBF">
        <w:rPr>
          <w:rFonts w:cs="Arial"/>
          <w:b/>
          <w:color w:val="007E79"/>
          <w:szCs w:val="18"/>
        </w:rPr>
        <w:t xml:space="preserve"> </w:t>
      </w:r>
      <w:r w:rsidR="00AD3BBF" w:rsidRPr="00FC23C7">
        <w:rPr>
          <w:rFonts w:cs="Arial"/>
          <w:b/>
          <w:color w:val="007E79"/>
          <w:szCs w:val="18"/>
        </w:rPr>
        <w:t xml:space="preserve">však </w:t>
      </w:r>
      <w:r w:rsidR="00AD3BBF">
        <w:rPr>
          <w:rFonts w:cs="Arial"/>
          <w:b/>
          <w:color w:val="007E79"/>
          <w:szCs w:val="18"/>
        </w:rPr>
        <w:t>tento pokles cen n</w:t>
      </w:r>
      <w:r w:rsidR="00AD3BBF" w:rsidRPr="00FC23C7">
        <w:rPr>
          <w:rFonts w:cs="Arial"/>
          <w:b/>
          <w:color w:val="007E79"/>
          <w:szCs w:val="18"/>
        </w:rPr>
        <w:t>ebude nijak razantní</w:t>
      </w:r>
      <w:r w:rsidR="008C5671" w:rsidRPr="00FC23C7">
        <w:rPr>
          <w:rFonts w:cs="Arial"/>
          <w:b/>
          <w:color w:val="007E79"/>
          <w:szCs w:val="18"/>
        </w:rPr>
        <w:t>. Vliv na daný vývoj budou mít především faktory jako nezaměstnanost, resp. výše příjmů domácností, a (ne)dostatek bytů</w:t>
      </w:r>
      <w:r w:rsidR="001F5CF7" w:rsidRPr="00FC23C7">
        <w:rPr>
          <w:rFonts w:cs="Arial"/>
          <w:b/>
          <w:color w:val="007E79"/>
          <w:szCs w:val="18"/>
        </w:rPr>
        <w:t xml:space="preserve">. Situace může vyústit v posun od vlastnického k nájemnímu bydlení. </w:t>
      </w:r>
      <w:r w:rsidR="009E39C0" w:rsidRPr="00FC23C7">
        <w:rPr>
          <w:rFonts w:cs="Arial"/>
          <w:b/>
          <w:color w:val="007E79"/>
          <w:szCs w:val="18"/>
        </w:rPr>
        <w:t xml:space="preserve">Vyplývá to </w:t>
      </w:r>
      <w:r w:rsidR="00980C11" w:rsidRPr="00FC23C7">
        <w:rPr>
          <w:rFonts w:cs="Arial"/>
          <w:b/>
          <w:color w:val="007E79"/>
          <w:szCs w:val="18"/>
        </w:rPr>
        <w:t>z</w:t>
      </w:r>
      <w:r w:rsidR="00221FF5" w:rsidRPr="00FC23C7">
        <w:rPr>
          <w:rFonts w:cs="Arial"/>
          <w:b/>
          <w:color w:val="007E79"/>
          <w:szCs w:val="18"/>
        </w:rPr>
        <w:t>e</w:t>
      </w:r>
      <w:r w:rsidR="00980C11" w:rsidRPr="00FC23C7">
        <w:rPr>
          <w:rFonts w:cs="Arial"/>
          <w:b/>
          <w:color w:val="007E79"/>
          <w:szCs w:val="18"/>
        </w:rPr>
        <w:t> </w:t>
      </w:r>
      <w:r w:rsidR="00221FF5" w:rsidRPr="00FC23C7">
        <w:rPr>
          <w:rFonts w:cs="Arial"/>
          <w:b/>
          <w:color w:val="007E79"/>
          <w:szCs w:val="18"/>
        </w:rPr>
        <w:t>studie Analýza cen nemovitostí v ČR</w:t>
      </w:r>
      <w:r w:rsidR="00980C11" w:rsidRPr="00FC23C7">
        <w:rPr>
          <w:rFonts w:cs="Arial"/>
          <w:b/>
          <w:color w:val="007E79"/>
          <w:szCs w:val="18"/>
        </w:rPr>
        <w:t>, kter</w:t>
      </w:r>
      <w:r w:rsidR="00221FF5" w:rsidRPr="00FC23C7">
        <w:rPr>
          <w:rFonts w:cs="Arial"/>
          <w:b/>
          <w:color w:val="007E79"/>
          <w:szCs w:val="18"/>
        </w:rPr>
        <w:t>ou</w:t>
      </w:r>
      <w:r w:rsidR="00980C11" w:rsidRPr="00FC23C7">
        <w:rPr>
          <w:rFonts w:cs="Arial"/>
          <w:b/>
          <w:color w:val="007E79"/>
          <w:szCs w:val="18"/>
        </w:rPr>
        <w:t xml:space="preserve"> pro Českou bankovní asociaci (ČBA) </w:t>
      </w:r>
      <w:r w:rsidR="00F00241" w:rsidRPr="00FC23C7">
        <w:rPr>
          <w:rFonts w:cs="Arial"/>
          <w:b/>
          <w:color w:val="007E79"/>
          <w:szCs w:val="18"/>
        </w:rPr>
        <w:t>vypracoval analytik Tomáš S</w:t>
      </w:r>
      <w:r w:rsidR="00221FF5" w:rsidRPr="00FC23C7">
        <w:rPr>
          <w:rFonts w:cs="Arial"/>
          <w:b/>
          <w:color w:val="007E79"/>
          <w:szCs w:val="18"/>
        </w:rPr>
        <w:t>omogyi</w:t>
      </w:r>
      <w:r w:rsidR="00980C11" w:rsidRPr="00FC23C7">
        <w:rPr>
          <w:rFonts w:cs="Arial"/>
          <w:b/>
          <w:color w:val="007E79"/>
          <w:szCs w:val="18"/>
        </w:rPr>
        <w:t>.</w:t>
      </w:r>
      <w:r w:rsidR="00BB7A89" w:rsidRPr="00FC23C7">
        <w:rPr>
          <w:rFonts w:cs="Arial"/>
          <w:b/>
          <w:color w:val="007E79"/>
          <w:szCs w:val="18"/>
        </w:rPr>
        <w:t xml:space="preserve"> </w:t>
      </w:r>
    </w:p>
    <w:p w:rsidR="00D13EDA" w:rsidRPr="00E27F2F" w:rsidRDefault="00D13EDA" w:rsidP="002B4617">
      <w:pPr>
        <w:spacing w:after="120" w:line="276" w:lineRule="auto"/>
        <w:contextualSpacing/>
        <w:rPr>
          <w:rFonts w:cs="Arial"/>
          <w:szCs w:val="18"/>
        </w:rPr>
      </w:pPr>
    </w:p>
    <w:p w:rsidR="00EE3CDA" w:rsidRPr="00341D86" w:rsidRDefault="00B60C22" w:rsidP="00EE3CDA">
      <w:pPr>
        <w:rPr>
          <w:rFonts w:cs="Arial"/>
          <w:szCs w:val="16"/>
        </w:rPr>
      </w:pPr>
      <w:r w:rsidRPr="00341D86">
        <w:rPr>
          <w:rFonts w:cs="Arial"/>
          <w:szCs w:val="16"/>
        </w:rPr>
        <w:t>Český trh s bydlením se v poslední době opět dostává do popředí zájmu odborné i laické veřejnosti</w:t>
      </w:r>
      <w:r w:rsidR="008F2959" w:rsidRPr="00341D86">
        <w:rPr>
          <w:rFonts w:cs="Arial"/>
          <w:szCs w:val="16"/>
        </w:rPr>
        <w:t>. J</w:t>
      </w:r>
      <w:r w:rsidRPr="00341D86">
        <w:rPr>
          <w:rFonts w:cs="Arial"/>
          <w:szCs w:val="16"/>
        </w:rPr>
        <w:t xml:space="preserve">eho současný </w:t>
      </w:r>
      <w:r w:rsidR="00F175AF" w:rsidRPr="00D670D3">
        <w:rPr>
          <w:rFonts w:cs="Arial"/>
          <w:szCs w:val="16"/>
        </w:rPr>
        <w:t>stav – stručně</w:t>
      </w:r>
      <w:r w:rsidRPr="00D670D3">
        <w:rPr>
          <w:rFonts w:cs="Arial"/>
          <w:szCs w:val="16"/>
        </w:rPr>
        <w:t xml:space="preserve"> charakterizovatelný jako </w:t>
      </w:r>
      <w:r w:rsidR="00E67590">
        <w:rPr>
          <w:rFonts w:cs="Arial"/>
          <w:szCs w:val="16"/>
        </w:rPr>
        <w:t>„</w:t>
      </w:r>
      <w:r w:rsidRPr="00D670D3">
        <w:rPr>
          <w:rFonts w:cs="Arial"/>
          <w:szCs w:val="16"/>
        </w:rPr>
        <w:t>vysoké ceny nemovi</w:t>
      </w:r>
      <w:r w:rsidR="00F00241" w:rsidRPr="00D670D3">
        <w:rPr>
          <w:rFonts w:cs="Arial"/>
          <w:szCs w:val="16"/>
        </w:rPr>
        <w:t>tostí a</w:t>
      </w:r>
      <w:r w:rsidRPr="00D670D3">
        <w:rPr>
          <w:rFonts w:cs="Arial"/>
          <w:szCs w:val="16"/>
        </w:rPr>
        <w:t xml:space="preserve"> jejich ak</w:t>
      </w:r>
      <w:r w:rsidR="00F175AF">
        <w:rPr>
          <w:rFonts w:cs="Arial"/>
          <w:szCs w:val="16"/>
        </w:rPr>
        <w:t xml:space="preserve">tuální </w:t>
      </w:r>
      <w:r w:rsidRPr="00D670D3">
        <w:rPr>
          <w:rFonts w:cs="Arial"/>
          <w:szCs w:val="16"/>
        </w:rPr>
        <w:t>nedostatek</w:t>
      </w:r>
      <w:r w:rsidR="00E67590">
        <w:rPr>
          <w:rFonts w:cs="Arial"/>
          <w:szCs w:val="16"/>
        </w:rPr>
        <w:t>“</w:t>
      </w:r>
      <w:r w:rsidRPr="00341D86">
        <w:rPr>
          <w:rFonts w:cs="Arial"/>
          <w:szCs w:val="16"/>
        </w:rPr>
        <w:t xml:space="preserve"> </w:t>
      </w:r>
      <w:r w:rsidR="00F175AF">
        <w:rPr>
          <w:rFonts w:cs="Arial"/>
          <w:szCs w:val="16"/>
        </w:rPr>
        <w:t>–</w:t>
      </w:r>
      <w:r w:rsidRPr="00341D86">
        <w:rPr>
          <w:rFonts w:cs="Arial"/>
          <w:szCs w:val="16"/>
        </w:rPr>
        <w:t xml:space="preserve"> vyvolává řadu otázek, zejména pak jak se bud</w:t>
      </w:r>
      <w:r w:rsidR="003739F0" w:rsidRPr="00341D86">
        <w:rPr>
          <w:rFonts w:cs="Arial"/>
          <w:szCs w:val="16"/>
        </w:rPr>
        <w:t>ou</w:t>
      </w:r>
      <w:r w:rsidR="00E67590">
        <w:rPr>
          <w:rFonts w:cs="Arial"/>
          <w:szCs w:val="16"/>
        </w:rPr>
        <w:t xml:space="preserve"> </w:t>
      </w:r>
      <w:r w:rsidR="003739F0" w:rsidRPr="00341D86">
        <w:rPr>
          <w:rFonts w:cs="Arial"/>
          <w:szCs w:val="16"/>
        </w:rPr>
        <w:t xml:space="preserve">ceny nemovitostí </w:t>
      </w:r>
      <w:r w:rsidRPr="00341D86">
        <w:rPr>
          <w:rFonts w:cs="Arial"/>
          <w:szCs w:val="16"/>
        </w:rPr>
        <w:t xml:space="preserve">vyvíjet dál. Analýza </w:t>
      </w:r>
      <w:r w:rsidR="00F00241">
        <w:rPr>
          <w:rFonts w:cs="Arial"/>
          <w:szCs w:val="16"/>
        </w:rPr>
        <w:t>dosavadního vývoje činitelů</w:t>
      </w:r>
      <w:r w:rsidR="00F175AF">
        <w:rPr>
          <w:rFonts w:cs="Arial"/>
          <w:szCs w:val="16"/>
        </w:rPr>
        <w:t xml:space="preserve">, </w:t>
      </w:r>
      <w:r w:rsidR="00F00241">
        <w:rPr>
          <w:rFonts w:cs="Arial"/>
          <w:szCs w:val="16"/>
        </w:rPr>
        <w:t>které jej ovlivnily,</w:t>
      </w:r>
      <w:r w:rsidRPr="00341D86">
        <w:rPr>
          <w:rFonts w:cs="Arial"/>
          <w:szCs w:val="16"/>
        </w:rPr>
        <w:t xml:space="preserve"> jakožto i nastínění možných dalších scénářů</w:t>
      </w:r>
      <w:r w:rsidR="00F175AF">
        <w:rPr>
          <w:rFonts w:cs="Arial"/>
          <w:szCs w:val="16"/>
        </w:rPr>
        <w:t>,</w:t>
      </w:r>
      <w:r w:rsidRPr="00341D86">
        <w:rPr>
          <w:rFonts w:cs="Arial"/>
          <w:szCs w:val="16"/>
        </w:rPr>
        <w:t xml:space="preserve"> byl</w:t>
      </w:r>
      <w:r w:rsidR="00E67590">
        <w:rPr>
          <w:rFonts w:cs="Arial"/>
          <w:szCs w:val="16"/>
        </w:rPr>
        <w:t>o</w:t>
      </w:r>
      <w:r w:rsidRPr="00341D86">
        <w:rPr>
          <w:rFonts w:cs="Arial"/>
          <w:szCs w:val="16"/>
        </w:rPr>
        <w:t xml:space="preserve"> předmětem studie </w:t>
      </w:r>
      <w:r w:rsidR="008F2959" w:rsidRPr="00341D86">
        <w:rPr>
          <w:rFonts w:cs="Arial"/>
          <w:szCs w:val="16"/>
        </w:rPr>
        <w:t xml:space="preserve">s názvem </w:t>
      </w:r>
      <w:r w:rsidRPr="00F175AF">
        <w:rPr>
          <w:rFonts w:cs="Arial"/>
          <w:i/>
          <w:iCs/>
          <w:szCs w:val="16"/>
        </w:rPr>
        <w:t>Analýza cen nemovitostí v ČR</w:t>
      </w:r>
      <w:r w:rsidRPr="00341D86">
        <w:rPr>
          <w:rFonts w:cs="Arial"/>
          <w:szCs w:val="16"/>
        </w:rPr>
        <w:t>, kterou pro ČBA zpracoval analytik Tomáš S</w:t>
      </w:r>
      <w:r w:rsidR="008F2959" w:rsidRPr="00341D86">
        <w:rPr>
          <w:rFonts w:cs="Arial"/>
          <w:szCs w:val="16"/>
        </w:rPr>
        <w:t>o</w:t>
      </w:r>
      <w:r w:rsidRPr="00341D86">
        <w:rPr>
          <w:rFonts w:cs="Arial"/>
          <w:szCs w:val="16"/>
        </w:rPr>
        <w:t>mogyi.</w:t>
      </w:r>
      <w:r w:rsidR="008F2959" w:rsidRPr="00341D86">
        <w:rPr>
          <w:rFonts w:cs="Arial"/>
          <w:szCs w:val="16"/>
        </w:rPr>
        <w:t xml:space="preserve"> </w:t>
      </w:r>
      <w:r w:rsidR="003739F0" w:rsidRPr="00341D86">
        <w:rPr>
          <w:rFonts w:cs="Arial"/>
          <w:szCs w:val="16"/>
        </w:rPr>
        <w:t>Její závěry naznačují</w:t>
      </w:r>
      <w:r w:rsidR="008F2959" w:rsidRPr="00341D86">
        <w:rPr>
          <w:rFonts w:cs="Arial"/>
          <w:szCs w:val="16"/>
        </w:rPr>
        <w:t xml:space="preserve">, že nejpravděpodobnějším scénářem </w:t>
      </w:r>
      <w:r w:rsidR="00F00241">
        <w:rPr>
          <w:rFonts w:cs="Arial"/>
          <w:szCs w:val="16"/>
        </w:rPr>
        <w:t>pro dohledné období může být</w:t>
      </w:r>
      <w:r w:rsidR="007953B5" w:rsidRPr="00341D86">
        <w:rPr>
          <w:rFonts w:cs="Arial"/>
          <w:szCs w:val="16"/>
        </w:rPr>
        <w:t xml:space="preserve"> </w:t>
      </w:r>
      <w:r w:rsidR="00F00241">
        <w:rPr>
          <w:rFonts w:cs="Arial"/>
          <w:szCs w:val="16"/>
        </w:rPr>
        <w:t xml:space="preserve">určitý </w:t>
      </w:r>
      <w:r w:rsidR="007953B5" w:rsidRPr="00341D86">
        <w:rPr>
          <w:rFonts w:cs="Arial"/>
          <w:szCs w:val="16"/>
        </w:rPr>
        <w:t>pokles cen nemovitostí v Česku, nicméně vzhledem k</w:t>
      </w:r>
      <w:r w:rsidR="004641CC">
        <w:rPr>
          <w:rFonts w:cs="Arial"/>
          <w:szCs w:val="16"/>
        </w:rPr>
        <w:t> </w:t>
      </w:r>
      <w:r w:rsidR="007953B5" w:rsidRPr="00341D86">
        <w:rPr>
          <w:rFonts w:cs="Arial"/>
          <w:szCs w:val="16"/>
        </w:rPr>
        <w:t>ekonomick</w:t>
      </w:r>
      <w:r w:rsidR="004641CC">
        <w:rPr>
          <w:rFonts w:cs="Arial"/>
          <w:szCs w:val="16"/>
        </w:rPr>
        <w:t>ým souvislostem nelze předpokládat, že by se bydlení pro Čechy stalo dostupnějším.</w:t>
      </w:r>
    </w:p>
    <w:p w:rsidR="00B60C22" w:rsidRPr="0059556C" w:rsidRDefault="00B60C22" w:rsidP="00EE3CDA">
      <w:pPr>
        <w:rPr>
          <w:rFonts w:cs="Arial"/>
          <w:sz w:val="22"/>
        </w:rPr>
      </w:pPr>
    </w:p>
    <w:p w:rsidR="00EC0719" w:rsidRPr="0059556C" w:rsidRDefault="003739F0" w:rsidP="008F2959">
      <w:pPr>
        <w:overflowPunct/>
        <w:autoSpaceDE/>
        <w:autoSpaceDN/>
        <w:adjustRightInd/>
        <w:jc w:val="left"/>
        <w:textAlignment w:val="auto"/>
        <w:rPr>
          <w:rFonts w:cs="Arial"/>
          <w:b/>
          <w:color w:val="007E79"/>
          <w:szCs w:val="18"/>
        </w:rPr>
      </w:pPr>
      <w:r w:rsidRPr="0059556C">
        <w:rPr>
          <w:rFonts w:cs="Arial"/>
          <w:b/>
          <w:color w:val="007E79"/>
          <w:szCs w:val="18"/>
        </w:rPr>
        <w:t xml:space="preserve">Historie se </w:t>
      </w:r>
      <w:r w:rsidR="00341D86" w:rsidRPr="0059556C">
        <w:rPr>
          <w:rFonts w:cs="Arial"/>
          <w:b/>
          <w:color w:val="007E79"/>
          <w:szCs w:val="18"/>
        </w:rPr>
        <w:t xml:space="preserve">může </w:t>
      </w:r>
      <w:r w:rsidRPr="0059556C">
        <w:rPr>
          <w:rFonts w:cs="Arial"/>
          <w:b/>
          <w:color w:val="007E79"/>
          <w:szCs w:val="18"/>
        </w:rPr>
        <w:t>opak</w:t>
      </w:r>
      <w:r w:rsidR="00341D86" w:rsidRPr="0059556C">
        <w:rPr>
          <w:rFonts w:cs="Arial"/>
          <w:b/>
          <w:color w:val="007E79"/>
          <w:szCs w:val="18"/>
        </w:rPr>
        <w:t>ovat</w:t>
      </w:r>
      <w:r w:rsidR="00E27F2F" w:rsidRPr="0059556C">
        <w:rPr>
          <w:rFonts w:cs="Arial"/>
          <w:b/>
          <w:color w:val="007E79"/>
          <w:szCs w:val="18"/>
        </w:rPr>
        <w:t xml:space="preserve"> </w:t>
      </w:r>
    </w:p>
    <w:p w:rsidR="007953B5" w:rsidRDefault="008F2959" w:rsidP="005238F0">
      <w:pPr>
        <w:overflowPunct/>
        <w:autoSpaceDE/>
        <w:autoSpaceDN/>
        <w:adjustRightInd/>
        <w:textAlignment w:val="auto"/>
        <w:rPr>
          <w:rFonts w:cs="Arial"/>
          <w:szCs w:val="16"/>
        </w:rPr>
      </w:pPr>
      <w:r w:rsidRPr="00341D86">
        <w:rPr>
          <w:rFonts w:cs="Arial"/>
          <w:szCs w:val="16"/>
        </w:rPr>
        <w:t xml:space="preserve">Pro nalezení jednotlivých klíčů pro predikci budoucího možného dalšího vývoje je nezbytná analýza </w:t>
      </w:r>
      <w:r w:rsidR="003739F0" w:rsidRPr="00341D86">
        <w:rPr>
          <w:rFonts w:cs="Arial"/>
          <w:szCs w:val="16"/>
        </w:rPr>
        <w:t xml:space="preserve">historických dat. Lze z ní usuzovat, že v současnosti Česká republika zažívá od svého vzniku </w:t>
      </w:r>
      <w:r w:rsidR="00F00241">
        <w:rPr>
          <w:rFonts w:cs="Arial"/>
          <w:szCs w:val="16"/>
        </w:rPr>
        <w:t xml:space="preserve">již </w:t>
      </w:r>
      <w:r w:rsidR="003739F0" w:rsidRPr="00341D86">
        <w:rPr>
          <w:rFonts w:cs="Arial"/>
          <w:szCs w:val="16"/>
        </w:rPr>
        <w:t>třetí vlnu intenziv</w:t>
      </w:r>
      <w:r w:rsidR="00F00241">
        <w:rPr>
          <w:rFonts w:cs="Arial"/>
          <w:szCs w:val="16"/>
        </w:rPr>
        <w:t>ního růstu cen bydlení</w:t>
      </w:r>
      <w:r w:rsidR="003739F0" w:rsidRPr="00341D86">
        <w:rPr>
          <w:rFonts w:cs="Arial"/>
          <w:szCs w:val="16"/>
        </w:rPr>
        <w:t>.</w:t>
      </w:r>
      <w:r w:rsidR="007953B5" w:rsidRPr="00341D86">
        <w:rPr>
          <w:rFonts w:cs="Arial"/>
          <w:szCs w:val="16"/>
        </w:rPr>
        <w:t xml:space="preserve"> </w:t>
      </w:r>
    </w:p>
    <w:p w:rsidR="005F709C" w:rsidRDefault="005F709C" w:rsidP="005238F0">
      <w:pPr>
        <w:overflowPunct/>
        <w:autoSpaceDE/>
        <w:autoSpaceDN/>
        <w:adjustRightInd/>
        <w:textAlignment w:val="auto"/>
        <w:rPr>
          <w:rFonts w:cs="Arial"/>
          <w:szCs w:val="16"/>
        </w:rPr>
      </w:pPr>
    </w:p>
    <w:p w:rsidR="005F709C" w:rsidRPr="00341D86" w:rsidRDefault="005F709C" w:rsidP="005238F0">
      <w:pPr>
        <w:overflowPunct/>
        <w:autoSpaceDE/>
        <w:autoSpaceDN/>
        <w:adjustRightInd/>
        <w:textAlignment w:val="auto"/>
        <w:rPr>
          <w:rFonts w:cs="Arial"/>
          <w:szCs w:val="16"/>
        </w:rPr>
      </w:pPr>
      <w:r w:rsidRPr="005F709C">
        <w:rPr>
          <w:rFonts w:cs="Arial"/>
          <w:noProof/>
          <w:szCs w:val="1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4DB4AE1" wp14:editId="6BD4518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72125" cy="1404620"/>
                <wp:effectExtent l="0" t="0" r="9525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09C" w:rsidRPr="005F709C" w:rsidRDefault="005F709C" w:rsidP="005F70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709C">
                              <w:rPr>
                                <w:b/>
                                <w:bCs/>
                              </w:rPr>
                              <w:t>Vývoj cen bytů a mezičtvrtletních změn v období let 200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5F709C">
                              <w:rPr>
                                <w:b/>
                                <w:bCs/>
                              </w:rPr>
                              <w:t xml:space="preserve"> až 2018 </w:t>
                            </w:r>
                            <w:r w:rsidRPr="00EC6D2C">
                              <w:t xml:space="preserve">(Zdroj: data ČSÚ, </w:t>
                            </w:r>
                            <w:r w:rsidR="00EC6D2C" w:rsidRPr="00EC6D2C">
                              <w:t>Autor</w:t>
                            </w:r>
                            <w:r w:rsidRPr="00EC6D2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DB4AE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.85pt;width:438.75pt;height:110.6pt;z-index:2517053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" stroked="f">
                <v:textbox style="mso-fit-shape-to-text:t">
                  <w:txbxContent>
                    <w:p w:rsidR="005F709C" w:rsidRPr="005F709C" w:rsidRDefault="005F709C" w:rsidP="005F709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F709C">
                        <w:rPr>
                          <w:b/>
                          <w:bCs/>
                        </w:rPr>
                        <w:t>Vývoj cen bytů a mezičtvrtletních změn v období let 200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Pr="005F709C">
                        <w:rPr>
                          <w:b/>
                          <w:bCs/>
                        </w:rPr>
                        <w:t xml:space="preserve"> až 2018 </w:t>
                      </w:r>
                      <w:r w:rsidRPr="00EC6D2C">
                        <w:t xml:space="preserve">(Zdroj: data ČSÚ, </w:t>
                      </w:r>
                      <w:r w:rsidR="00EC6D2C" w:rsidRPr="00EC6D2C">
                        <w:t>Autor</w:t>
                      </w:r>
                      <w:r w:rsidRPr="00EC6D2C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3B5" w:rsidRPr="00E27F2F" w:rsidRDefault="007953B5" w:rsidP="005238F0">
      <w:pPr>
        <w:overflowPunct/>
        <w:autoSpaceDE/>
        <w:autoSpaceDN/>
        <w:adjustRightInd/>
        <w:textAlignment w:val="auto"/>
        <w:rPr>
          <w:rFonts w:cs="Arial"/>
          <w:sz w:val="20"/>
          <w:szCs w:val="18"/>
        </w:rPr>
      </w:pPr>
    </w:p>
    <w:p w:rsidR="00E900CF" w:rsidRPr="00E27F2F" w:rsidRDefault="005F709C" w:rsidP="008F2959">
      <w:pPr>
        <w:overflowPunct/>
        <w:autoSpaceDE/>
        <w:autoSpaceDN/>
        <w:adjustRightInd/>
        <w:jc w:val="left"/>
        <w:textAlignment w:val="auto"/>
        <w:rPr>
          <w:rFonts w:cs="Arial"/>
          <w:sz w:val="20"/>
          <w:szCs w:val="18"/>
        </w:rPr>
      </w:pPr>
      <w:r>
        <w:rPr>
          <w:rFonts w:cs="Arial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A33B34" wp14:editId="7622FDB3">
                <wp:simplePos x="0" y="0"/>
                <wp:positionH relativeFrom="column">
                  <wp:posOffset>5481320</wp:posOffset>
                </wp:positionH>
                <wp:positionV relativeFrom="paragraph">
                  <wp:posOffset>2171065</wp:posOffset>
                </wp:positionV>
                <wp:extent cx="45719" cy="552450"/>
                <wp:effectExtent l="57150" t="38100" r="50165" b="1905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09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431.6pt;margin-top:170.95pt;width:3.6pt;height:43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F3D122" wp14:editId="35AACF4F">
                <wp:simplePos x="0" y="0"/>
                <wp:positionH relativeFrom="column">
                  <wp:posOffset>2907665</wp:posOffset>
                </wp:positionH>
                <wp:positionV relativeFrom="paragraph">
                  <wp:posOffset>2152650</wp:posOffset>
                </wp:positionV>
                <wp:extent cx="66675" cy="533400"/>
                <wp:effectExtent l="9525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DAD6" id="Přímá spojnice se šipkou 14" o:spid="_x0000_s1026" type="#_x0000_t32" style="position:absolute;margin-left:228.95pt;margin-top:169.5pt;width:5.25pt;height:42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2828925</wp:posOffset>
                </wp:positionV>
                <wp:extent cx="66675" cy="533400"/>
                <wp:effectExtent l="95250" t="38100" r="47625" b="190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59E3" id="Přímá spojnice se šipkou 13" o:spid="_x0000_s1026" type="#_x0000_t32" style="position:absolute;margin-left:121.65pt;margin-top:222.75pt;width:5.25pt;height:4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" strokecolor="#ed7d31 [3205]" strokeweight="2.25pt">
                <v:stroke endarrow="block" joinstyle="miter"/>
              </v:shape>
            </w:pict>
          </mc:Fallback>
        </mc:AlternateContent>
      </w:r>
      <w:r w:rsidR="00E67590" w:rsidRPr="00E67590">
        <w:rPr>
          <w:rFonts w:cs="Arial"/>
          <w:noProof/>
          <w:sz w:val="20"/>
          <w:szCs w:val="18"/>
        </w:rPr>
        <w:drawing>
          <wp:inline distT="0" distB="0" distL="0" distR="0" wp14:anchorId="6A453731" wp14:editId="5397F310">
            <wp:extent cx="6480810" cy="417004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97"/>
                    <a:stretch/>
                  </pic:blipFill>
                  <pic:spPr bwMode="auto">
                    <a:xfrm>
                      <a:off x="0" y="0"/>
                      <a:ext cx="6480810" cy="417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90" w:rsidRDefault="00E67590" w:rsidP="008F2959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8F2959" w:rsidRPr="00D670D3" w:rsidRDefault="00E900CF" w:rsidP="005238F0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szCs w:val="18"/>
        </w:rPr>
      </w:pPr>
      <w:r w:rsidRPr="00341D86">
        <w:rPr>
          <w:rFonts w:cs="Arial"/>
          <w:szCs w:val="18"/>
        </w:rPr>
        <w:t>P</w:t>
      </w:r>
      <w:r w:rsidR="007953B5" w:rsidRPr="00341D86">
        <w:rPr>
          <w:rFonts w:cs="Arial"/>
          <w:szCs w:val="18"/>
        </w:rPr>
        <w:t xml:space="preserve">rvní </w:t>
      </w:r>
      <w:r w:rsidRPr="00341D86">
        <w:rPr>
          <w:rFonts w:cs="Arial"/>
          <w:szCs w:val="18"/>
        </w:rPr>
        <w:t>vlna růstu cen bytů</w:t>
      </w:r>
      <w:r w:rsidR="00F175AF">
        <w:rPr>
          <w:rFonts w:cs="Arial"/>
          <w:i/>
          <w:iCs/>
          <w:szCs w:val="18"/>
        </w:rPr>
        <w:t xml:space="preserve"> </w:t>
      </w:r>
      <w:r w:rsidR="007953B5" w:rsidRPr="00341D86">
        <w:rPr>
          <w:rFonts w:cs="Arial"/>
          <w:szCs w:val="18"/>
        </w:rPr>
        <w:t xml:space="preserve">proběhla mezi lety 2000 a 2004 a byla tažena </w:t>
      </w:r>
      <w:r w:rsidRPr="00341D86">
        <w:rPr>
          <w:rFonts w:cs="Arial"/>
          <w:szCs w:val="18"/>
        </w:rPr>
        <w:t xml:space="preserve">zejména pozitivním očekáváním českých domácností </w:t>
      </w:r>
      <w:r w:rsidR="00F175AF">
        <w:rPr>
          <w:rFonts w:cs="Arial"/>
          <w:szCs w:val="18"/>
        </w:rPr>
        <w:t>o</w:t>
      </w:r>
      <w:r w:rsidRPr="00341D86">
        <w:rPr>
          <w:rFonts w:cs="Arial"/>
          <w:szCs w:val="18"/>
        </w:rPr>
        <w:t>hledně budoucí situace a možné cenové expanze</w:t>
      </w:r>
      <w:r w:rsidR="00F175AF">
        <w:rPr>
          <w:rFonts w:cs="Arial"/>
          <w:szCs w:val="18"/>
        </w:rPr>
        <w:t xml:space="preserve"> rezidenčních nemovitostí</w:t>
      </w:r>
      <w:r w:rsidRPr="00341D86">
        <w:rPr>
          <w:rFonts w:cs="Arial"/>
          <w:szCs w:val="18"/>
        </w:rPr>
        <w:t xml:space="preserve">, která nastane po vstupu ČR do EU. </w:t>
      </w:r>
      <w:r w:rsidR="00C64C2F" w:rsidRPr="00341D86">
        <w:rPr>
          <w:rFonts w:cs="Arial"/>
          <w:szCs w:val="18"/>
        </w:rPr>
        <w:t xml:space="preserve">Vzhledem k těmto očekáváním vzrostly ceny bytů </w:t>
      </w:r>
      <w:r w:rsidR="00C64C2F" w:rsidRPr="00F175AF">
        <w:rPr>
          <w:rFonts w:cs="Arial"/>
          <w:szCs w:val="18"/>
        </w:rPr>
        <w:t xml:space="preserve">o </w:t>
      </w:r>
      <w:r w:rsidR="00EB4281">
        <w:rPr>
          <w:rFonts w:cs="Arial"/>
          <w:szCs w:val="18"/>
        </w:rPr>
        <w:t>+</w:t>
      </w:r>
      <w:r w:rsidR="005F709C">
        <w:rPr>
          <w:rFonts w:cs="Arial"/>
          <w:szCs w:val="18"/>
        </w:rPr>
        <w:t xml:space="preserve"> </w:t>
      </w:r>
      <w:r w:rsidR="00C64C2F" w:rsidRPr="00F175AF">
        <w:rPr>
          <w:rFonts w:cs="Arial"/>
          <w:b/>
          <w:bCs/>
          <w:szCs w:val="18"/>
        </w:rPr>
        <w:t xml:space="preserve">86 % </w:t>
      </w:r>
      <w:r w:rsidR="00C64C2F" w:rsidRPr="00F175AF">
        <w:rPr>
          <w:rFonts w:cs="Arial"/>
          <w:szCs w:val="18"/>
        </w:rPr>
        <w:t xml:space="preserve">v ČR </w:t>
      </w:r>
      <w:r w:rsidR="00F175AF" w:rsidRPr="00F175AF">
        <w:rPr>
          <w:rFonts w:cs="Arial"/>
          <w:szCs w:val="18"/>
        </w:rPr>
        <w:t>(</w:t>
      </w:r>
      <w:r w:rsidR="00C64C2F" w:rsidRPr="00F175AF">
        <w:rPr>
          <w:rFonts w:cs="Arial"/>
          <w:szCs w:val="18"/>
        </w:rPr>
        <w:t>mimo Prahu</w:t>
      </w:r>
      <w:r w:rsidR="00F175AF" w:rsidRPr="00F175AF">
        <w:rPr>
          <w:rFonts w:cs="Arial"/>
          <w:szCs w:val="18"/>
        </w:rPr>
        <w:t>)</w:t>
      </w:r>
      <w:r w:rsidR="00C64C2F" w:rsidRPr="00F175AF">
        <w:rPr>
          <w:rFonts w:cs="Arial"/>
          <w:szCs w:val="18"/>
        </w:rPr>
        <w:t xml:space="preserve"> a o </w:t>
      </w:r>
      <w:r w:rsidR="00EB4281">
        <w:rPr>
          <w:rFonts w:cs="Arial"/>
          <w:szCs w:val="18"/>
        </w:rPr>
        <w:t>+</w:t>
      </w:r>
      <w:r w:rsidR="005F709C">
        <w:rPr>
          <w:rFonts w:cs="Arial"/>
          <w:szCs w:val="18"/>
        </w:rPr>
        <w:t xml:space="preserve"> </w:t>
      </w:r>
      <w:r w:rsidR="00C64C2F" w:rsidRPr="00F175AF">
        <w:rPr>
          <w:rFonts w:cs="Arial"/>
          <w:b/>
          <w:bCs/>
          <w:szCs w:val="18"/>
        </w:rPr>
        <w:t>76</w:t>
      </w:r>
      <w:r w:rsidR="00C64C2F" w:rsidRPr="00D670D3">
        <w:rPr>
          <w:rFonts w:cs="Arial"/>
          <w:b/>
          <w:bCs/>
          <w:i/>
          <w:iCs/>
          <w:szCs w:val="18"/>
        </w:rPr>
        <w:t xml:space="preserve"> </w:t>
      </w:r>
      <w:r w:rsidR="00C64C2F" w:rsidRPr="005238F0">
        <w:rPr>
          <w:rFonts w:cs="Arial"/>
          <w:b/>
          <w:bCs/>
          <w:szCs w:val="18"/>
        </w:rPr>
        <w:t>%</w:t>
      </w:r>
      <w:r w:rsidR="00F175AF">
        <w:rPr>
          <w:rFonts w:cs="Arial"/>
          <w:b/>
          <w:bCs/>
          <w:i/>
          <w:iCs/>
          <w:szCs w:val="18"/>
        </w:rPr>
        <w:t xml:space="preserve"> </w:t>
      </w:r>
      <w:r w:rsidR="00F175AF" w:rsidRPr="00F175AF">
        <w:rPr>
          <w:rFonts w:cs="Arial"/>
          <w:szCs w:val="18"/>
        </w:rPr>
        <w:t>v Praze</w:t>
      </w:r>
      <w:r w:rsidR="00C64C2F" w:rsidRPr="00D670D3">
        <w:rPr>
          <w:rFonts w:cs="Arial"/>
          <w:b/>
          <w:bCs/>
          <w:i/>
          <w:iCs/>
          <w:szCs w:val="18"/>
        </w:rPr>
        <w:t xml:space="preserve">. </w:t>
      </w:r>
    </w:p>
    <w:p w:rsidR="00C64C2F" w:rsidRPr="00D670D3" w:rsidRDefault="00C64C2F" w:rsidP="008F2959">
      <w:pPr>
        <w:overflowPunct/>
        <w:autoSpaceDE/>
        <w:autoSpaceDN/>
        <w:adjustRightInd/>
        <w:jc w:val="left"/>
        <w:textAlignment w:val="auto"/>
        <w:rPr>
          <w:rFonts w:cs="Arial"/>
          <w:b/>
          <w:bCs/>
          <w:i/>
          <w:iCs/>
          <w:szCs w:val="18"/>
        </w:rPr>
      </w:pPr>
    </w:p>
    <w:p w:rsidR="00EE3CDA" w:rsidRPr="00341D86" w:rsidRDefault="00EE3CDA" w:rsidP="005238F0">
      <w:pPr>
        <w:overflowPunct/>
        <w:autoSpaceDE/>
        <w:autoSpaceDN/>
        <w:adjustRightInd/>
        <w:spacing w:after="160" w:line="252" w:lineRule="auto"/>
        <w:textAlignment w:val="auto"/>
        <w:rPr>
          <w:rFonts w:cs="Arial"/>
          <w:i/>
          <w:iCs/>
          <w:szCs w:val="18"/>
        </w:rPr>
      </w:pPr>
      <w:r w:rsidRPr="00341D86">
        <w:rPr>
          <w:rFonts w:cs="Arial"/>
          <w:szCs w:val="18"/>
        </w:rPr>
        <w:lastRenderedPageBreak/>
        <w:t>V</w:t>
      </w:r>
      <w:r w:rsidR="004641CC">
        <w:rPr>
          <w:rFonts w:cs="Arial"/>
          <w:szCs w:val="18"/>
        </w:rPr>
        <w:t xml:space="preserve"> rámci druhé vlny </w:t>
      </w:r>
      <w:r w:rsidR="004641CC" w:rsidRPr="00A10A7A">
        <w:rPr>
          <w:rFonts w:cs="Arial"/>
          <w:szCs w:val="18"/>
        </w:rPr>
        <w:t xml:space="preserve">v </w:t>
      </w:r>
      <w:r w:rsidRPr="00A10A7A">
        <w:rPr>
          <w:rFonts w:cs="Arial"/>
          <w:szCs w:val="18"/>
        </w:rPr>
        <w:t xml:space="preserve">letech 2006 až 2008 vzrostly nabídkové ceny bytů o </w:t>
      </w:r>
      <w:r w:rsidR="00EB4281" w:rsidRPr="00A10A7A">
        <w:rPr>
          <w:rFonts w:cs="Arial"/>
          <w:szCs w:val="18"/>
        </w:rPr>
        <w:t>+</w:t>
      </w:r>
      <w:r w:rsidR="005F709C">
        <w:rPr>
          <w:rFonts w:cs="Arial"/>
          <w:szCs w:val="18"/>
        </w:rPr>
        <w:t xml:space="preserve"> </w:t>
      </w:r>
      <w:r w:rsidRPr="00A10A7A">
        <w:rPr>
          <w:rFonts w:cs="Arial"/>
          <w:b/>
          <w:bCs/>
          <w:szCs w:val="18"/>
        </w:rPr>
        <w:t xml:space="preserve">64 % </w:t>
      </w:r>
      <w:r w:rsidRPr="00A10A7A">
        <w:rPr>
          <w:rFonts w:cs="Arial"/>
          <w:szCs w:val="18"/>
        </w:rPr>
        <w:t xml:space="preserve">v ČR </w:t>
      </w:r>
      <w:r w:rsidR="00F175AF" w:rsidRPr="00A10A7A">
        <w:rPr>
          <w:rFonts w:cs="Arial"/>
          <w:szCs w:val="18"/>
        </w:rPr>
        <w:t>(</w:t>
      </w:r>
      <w:r w:rsidRPr="00A10A7A">
        <w:rPr>
          <w:rFonts w:cs="Arial"/>
          <w:szCs w:val="18"/>
        </w:rPr>
        <w:t>mimo Prahu</w:t>
      </w:r>
      <w:r w:rsidR="00F175AF" w:rsidRPr="00A10A7A">
        <w:rPr>
          <w:rFonts w:cs="Arial"/>
          <w:szCs w:val="18"/>
        </w:rPr>
        <w:t>)</w:t>
      </w:r>
      <w:r w:rsidRPr="00A10A7A">
        <w:rPr>
          <w:rFonts w:cs="Arial"/>
          <w:szCs w:val="18"/>
        </w:rPr>
        <w:t xml:space="preserve"> a o </w:t>
      </w:r>
      <w:r w:rsidR="00EB4281" w:rsidRPr="00A10A7A">
        <w:rPr>
          <w:rFonts w:cs="Arial"/>
          <w:szCs w:val="18"/>
        </w:rPr>
        <w:t>+</w:t>
      </w:r>
      <w:r w:rsidR="005F709C">
        <w:rPr>
          <w:rFonts w:cs="Arial"/>
          <w:szCs w:val="18"/>
        </w:rPr>
        <w:t xml:space="preserve"> </w:t>
      </w:r>
      <w:r w:rsidRPr="00A10A7A">
        <w:rPr>
          <w:rFonts w:cs="Arial"/>
          <w:b/>
          <w:bCs/>
          <w:szCs w:val="18"/>
        </w:rPr>
        <w:t xml:space="preserve">56 % </w:t>
      </w:r>
      <w:r w:rsidRPr="00A10A7A">
        <w:rPr>
          <w:rFonts w:cs="Arial"/>
          <w:szCs w:val="18"/>
        </w:rPr>
        <w:t>v Praze</w:t>
      </w:r>
      <w:r w:rsidR="00E27F2F" w:rsidRPr="00A10A7A">
        <w:rPr>
          <w:rFonts w:cs="Arial"/>
          <w:szCs w:val="18"/>
        </w:rPr>
        <w:t>. Za tímto zvýše</w:t>
      </w:r>
      <w:r w:rsidR="00F00241" w:rsidRPr="00A10A7A">
        <w:rPr>
          <w:rFonts w:cs="Arial"/>
          <w:szCs w:val="18"/>
        </w:rPr>
        <w:t>ním stojí zejména úvěrová expanz</w:t>
      </w:r>
      <w:r w:rsidR="00E27F2F" w:rsidRPr="00A10A7A">
        <w:rPr>
          <w:rFonts w:cs="Arial"/>
          <w:szCs w:val="18"/>
        </w:rPr>
        <w:t>e, jež byla vyvolána zpřístupněním úvěrového financování, dobrou sit</w:t>
      </w:r>
      <w:r w:rsidR="00F00241" w:rsidRPr="00A10A7A">
        <w:rPr>
          <w:rFonts w:cs="Arial"/>
          <w:szCs w:val="18"/>
        </w:rPr>
        <w:t>uací na trhu práce, růstem mezd</w:t>
      </w:r>
      <w:r w:rsidR="00E27F2F" w:rsidRPr="00A10A7A">
        <w:rPr>
          <w:rFonts w:cs="Arial"/>
          <w:szCs w:val="18"/>
        </w:rPr>
        <w:t xml:space="preserve"> a důvěrou spotřebitelů.</w:t>
      </w:r>
      <w:r w:rsidR="00E27F2F" w:rsidRPr="00341D86">
        <w:rPr>
          <w:rFonts w:cs="Arial"/>
          <w:szCs w:val="18"/>
        </w:rPr>
        <w:t xml:space="preserve">   </w:t>
      </w:r>
      <w:r w:rsidR="00E27F2F" w:rsidRPr="00341D86">
        <w:rPr>
          <w:rFonts w:cs="Arial"/>
          <w:i/>
          <w:iCs/>
          <w:szCs w:val="18"/>
        </w:rPr>
        <w:t xml:space="preserve"> </w:t>
      </w:r>
    </w:p>
    <w:p w:rsidR="004641CC" w:rsidRDefault="00F00241" w:rsidP="005238F0">
      <w:pPr>
        <w:overflowPunct/>
        <w:autoSpaceDE/>
        <w:autoSpaceDN/>
        <w:adjustRightInd/>
        <w:spacing w:after="160" w:line="252" w:lineRule="auto"/>
        <w:textAlignment w:val="auto"/>
        <w:rPr>
          <w:rFonts w:cs="Arial"/>
          <w:szCs w:val="18"/>
        </w:rPr>
      </w:pPr>
      <w:r>
        <w:rPr>
          <w:rFonts w:cs="Arial"/>
          <w:szCs w:val="18"/>
        </w:rPr>
        <w:t>Vývoj v posledním období od roku 2014 do současnosti pak přinesl třetí vlnu</w:t>
      </w:r>
      <w:r w:rsidR="004641C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růstu </w:t>
      </w:r>
      <w:r w:rsidR="007953B5" w:rsidRPr="00341D86">
        <w:rPr>
          <w:rFonts w:cs="Arial"/>
          <w:szCs w:val="18"/>
        </w:rPr>
        <w:t>cen</w:t>
      </w:r>
      <w:r w:rsidR="004641CC">
        <w:rPr>
          <w:rFonts w:cs="Arial"/>
          <w:szCs w:val="18"/>
        </w:rPr>
        <w:t>. O</w:t>
      </w:r>
      <w:r w:rsidR="004641CC" w:rsidRPr="00341D86">
        <w:rPr>
          <w:rFonts w:cs="Arial"/>
          <w:szCs w:val="18"/>
        </w:rPr>
        <w:t>d roku 2014</w:t>
      </w:r>
      <w:r w:rsidR="004641CC">
        <w:rPr>
          <w:rFonts w:cs="Arial"/>
          <w:szCs w:val="18"/>
        </w:rPr>
        <w:t xml:space="preserve"> </w:t>
      </w:r>
      <w:r w:rsidR="00EE3CDA" w:rsidRPr="00341D86">
        <w:rPr>
          <w:rFonts w:cs="Arial"/>
          <w:szCs w:val="18"/>
        </w:rPr>
        <w:t>vzrostly nabídkové ceny bytů o</w:t>
      </w:r>
      <w:r w:rsidR="00EB4281">
        <w:rPr>
          <w:rFonts w:cs="Arial"/>
          <w:szCs w:val="18"/>
        </w:rPr>
        <w:t xml:space="preserve"> +</w:t>
      </w:r>
      <w:r w:rsidR="005F709C">
        <w:rPr>
          <w:rFonts w:cs="Arial"/>
          <w:szCs w:val="18"/>
        </w:rPr>
        <w:t xml:space="preserve"> </w:t>
      </w:r>
      <w:r w:rsidR="00EE3CDA" w:rsidRPr="00341D86">
        <w:rPr>
          <w:rFonts w:cs="Arial"/>
          <w:b/>
          <w:bCs/>
          <w:szCs w:val="18"/>
        </w:rPr>
        <w:t xml:space="preserve">43 % </w:t>
      </w:r>
      <w:r w:rsidR="00EE3CDA" w:rsidRPr="00341D86">
        <w:rPr>
          <w:rFonts w:cs="Arial"/>
          <w:szCs w:val="18"/>
        </w:rPr>
        <w:t xml:space="preserve">v ČR </w:t>
      </w:r>
      <w:r w:rsidR="00F2719D">
        <w:rPr>
          <w:rFonts w:cs="Arial"/>
          <w:szCs w:val="18"/>
        </w:rPr>
        <w:t>(</w:t>
      </w:r>
      <w:r w:rsidR="00EE3CDA" w:rsidRPr="00341D86">
        <w:rPr>
          <w:rFonts w:cs="Arial"/>
          <w:szCs w:val="18"/>
        </w:rPr>
        <w:t>mimo Prahu</w:t>
      </w:r>
      <w:r w:rsidR="00F2719D">
        <w:rPr>
          <w:rFonts w:cs="Arial"/>
          <w:szCs w:val="18"/>
        </w:rPr>
        <w:t>)</w:t>
      </w:r>
      <w:r w:rsidR="00EE3CDA" w:rsidRPr="00341D86">
        <w:rPr>
          <w:rFonts w:cs="Arial"/>
          <w:szCs w:val="18"/>
        </w:rPr>
        <w:t xml:space="preserve"> a o </w:t>
      </w:r>
      <w:bookmarkStart w:id="0" w:name="_Hlk17816313"/>
      <w:r w:rsidR="00EB4281">
        <w:rPr>
          <w:rFonts w:cs="Arial"/>
          <w:szCs w:val="18"/>
        </w:rPr>
        <w:t>+</w:t>
      </w:r>
      <w:r w:rsidR="005F709C">
        <w:rPr>
          <w:rFonts w:cs="Arial"/>
          <w:szCs w:val="18"/>
        </w:rPr>
        <w:t xml:space="preserve"> </w:t>
      </w:r>
      <w:r w:rsidR="00EE3CDA" w:rsidRPr="00341D86">
        <w:rPr>
          <w:rFonts w:cs="Arial"/>
          <w:b/>
          <w:bCs/>
          <w:szCs w:val="18"/>
        </w:rPr>
        <w:t xml:space="preserve">55 % </w:t>
      </w:r>
      <w:bookmarkEnd w:id="0"/>
      <w:r w:rsidR="00EE3CDA" w:rsidRPr="00341D86">
        <w:rPr>
          <w:rFonts w:cs="Arial"/>
          <w:szCs w:val="18"/>
        </w:rPr>
        <w:t>v Praze.</w:t>
      </w:r>
      <w:r w:rsidR="007953B5" w:rsidRPr="00341D86">
        <w:rPr>
          <w:rFonts w:cs="Arial"/>
          <w:szCs w:val="18"/>
        </w:rPr>
        <w:t xml:space="preserve"> </w:t>
      </w:r>
    </w:p>
    <w:p w:rsidR="00F2719D" w:rsidRDefault="00860613" w:rsidP="005238F0">
      <w:pPr>
        <w:rPr>
          <w:rFonts w:cs="Arial"/>
          <w:i/>
          <w:iCs/>
          <w:szCs w:val="18"/>
        </w:rPr>
      </w:pPr>
      <w:r w:rsidRPr="00341D86">
        <w:rPr>
          <w:rFonts w:cs="Arial"/>
          <w:szCs w:val="18"/>
        </w:rPr>
        <w:t xml:space="preserve">Z analýzy je zřejmé, že vždy </w:t>
      </w:r>
      <w:r w:rsidR="00F2719D">
        <w:rPr>
          <w:rFonts w:cs="Arial"/>
          <w:szCs w:val="18"/>
        </w:rPr>
        <w:t>zhruba</w:t>
      </w:r>
      <w:r w:rsidR="00341D86" w:rsidRPr="00341D86">
        <w:rPr>
          <w:rFonts w:cs="Arial"/>
          <w:szCs w:val="18"/>
        </w:rPr>
        <w:t xml:space="preserve"> rok </w:t>
      </w:r>
      <w:r w:rsidRPr="00341D86">
        <w:rPr>
          <w:rFonts w:cs="Arial"/>
          <w:szCs w:val="18"/>
        </w:rPr>
        <w:t>po dosažení pomyslných cenových „vrcholů“ násled</w:t>
      </w:r>
      <w:r w:rsidR="00F175AF">
        <w:rPr>
          <w:rFonts w:cs="Arial"/>
          <w:szCs w:val="18"/>
        </w:rPr>
        <w:t>ovala</w:t>
      </w:r>
      <w:r w:rsidRPr="00341D86">
        <w:rPr>
          <w:rFonts w:cs="Arial"/>
          <w:szCs w:val="18"/>
        </w:rPr>
        <w:t xml:space="preserve"> cenová korekce, resp. mírný pokles cen. Po</w:t>
      </w:r>
      <w:r w:rsidR="00341D86" w:rsidRPr="00341D86">
        <w:rPr>
          <w:rFonts w:cs="Arial"/>
          <w:szCs w:val="18"/>
        </w:rPr>
        <w:t xml:space="preserve"> první vlně to bylo </w:t>
      </w:r>
      <w:r w:rsidR="00C3401D" w:rsidRPr="00341D86">
        <w:rPr>
          <w:rFonts w:cs="Arial"/>
          <w:i/>
          <w:iCs/>
          <w:szCs w:val="18"/>
        </w:rPr>
        <w:t>o</w:t>
      </w:r>
      <w:r w:rsidR="00C3401D">
        <w:rPr>
          <w:rFonts w:cs="Arial"/>
          <w:i/>
          <w:iCs/>
          <w:szCs w:val="18"/>
        </w:rPr>
        <w:t xml:space="preserve"> </w:t>
      </w:r>
      <w:r w:rsidR="00C3401D" w:rsidRPr="00C3401D">
        <w:rPr>
          <w:rFonts w:cs="Arial"/>
          <w:b/>
          <w:bCs/>
          <w:i/>
          <w:iCs/>
          <w:szCs w:val="18"/>
        </w:rPr>
        <w:t>-</w:t>
      </w:r>
      <w:r w:rsidR="005F709C">
        <w:rPr>
          <w:rFonts w:cs="Arial"/>
          <w:b/>
          <w:bCs/>
          <w:i/>
          <w:iCs/>
          <w:szCs w:val="18"/>
        </w:rPr>
        <w:t xml:space="preserve"> </w:t>
      </w:r>
      <w:r w:rsidR="00C3401D" w:rsidRPr="00C3401D">
        <w:rPr>
          <w:rFonts w:cs="Arial"/>
          <w:b/>
          <w:bCs/>
          <w:i/>
          <w:iCs/>
          <w:szCs w:val="18"/>
        </w:rPr>
        <w:t>14</w:t>
      </w:r>
      <w:r w:rsidR="00341D86" w:rsidRPr="00C3401D">
        <w:rPr>
          <w:rFonts w:cs="Arial"/>
          <w:b/>
          <w:bCs/>
          <w:i/>
          <w:iCs/>
          <w:szCs w:val="18"/>
        </w:rPr>
        <w:t xml:space="preserve"> %</w:t>
      </w:r>
      <w:r w:rsidR="00341D86" w:rsidRPr="00341D86">
        <w:rPr>
          <w:rFonts w:cs="Arial"/>
          <w:b/>
          <w:bCs/>
          <w:i/>
          <w:iCs/>
          <w:szCs w:val="18"/>
        </w:rPr>
        <w:t xml:space="preserve"> </w:t>
      </w:r>
      <w:r w:rsidR="00341D86" w:rsidRPr="00341D86">
        <w:rPr>
          <w:rFonts w:cs="Arial"/>
          <w:i/>
          <w:iCs/>
          <w:szCs w:val="18"/>
        </w:rPr>
        <w:t xml:space="preserve">v ČR </w:t>
      </w:r>
      <w:r w:rsidR="00F175AF">
        <w:rPr>
          <w:rFonts w:cs="Arial"/>
          <w:i/>
          <w:iCs/>
          <w:szCs w:val="18"/>
        </w:rPr>
        <w:t>(</w:t>
      </w:r>
      <w:r w:rsidR="00341D86" w:rsidRPr="00341D86">
        <w:rPr>
          <w:rFonts w:cs="Arial"/>
          <w:i/>
          <w:iCs/>
          <w:szCs w:val="18"/>
        </w:rPr>
        <w:t>mimo Prahu</w:t>
      </w:r>
      <w:r w:rsidR="00F175AF">
        <w:rPr>
          <w:rFonts w:cs="Arial"/>
          <w:i/>
          <w:iCs/>
          <w:szCs w:val="18"/>
        </w:rPr>
        <w:t>)</w:t>
      </w:r>
      <w:r w:rsidR="00341D86" w:rsidRPr="00341D86">
        <w:rPr>
          <w:rFonts w:cs="Arial"/>
          <w:i/>
          <w:iCs/>
          <w:szCs w:val="18"/>
        </w:rPr>
        <w:t xml:space="preserve"> a o </w:t>
      </w:r>
      <w:r w:rsidR="00DC545A">
        <w:rPr>
          <w:rFonts w:cs="Arial"/>
          <w:b/>
          <w:bCs/>
          <w:i/>
          <w:iCs/>
          <w:szCs w:val="18"/>
        </w:rPr>
        <w:t>-</w:t>
      </w:r>
      <w:r w:rsidR="005F709C">
        <w:rPr>
          <w:rFonts w:cs="Arial"/>
          <w:b/>
          <w:bCs/>
          <w:i/>
          <w:iCs/>
          <w:szCs w:val="18"/>
        </w:rPr>
        <w:t xml:space="preserve"> </w:t>
      </w:r>
      <w:r w:rsidR="00341D86" w:rsidRPr="00341D86">
        <w:rPr>
          <w:rFonts w:cs="Arial"/>
          <w:b/>
          <w:bCs/>
          <w:i/>
          <w:iCs/>
          <w:szCs w:val="18"/>
        </w:rPr>
        <w:t xml:space="preserve">7 % </w:t>
      </w:r>
      <w:r w:rsidR="00341D86" w:rsidRPr="00341D86">
        <w:rPr>
          <w:rFonts w:cs="Arial"/>
          <w:i/>
          <w:iCs/>
          <w:szCs w:val="18"/>
        </w:rPr>
        <w:t xml:space="preserve">v Praze a po druhé vlně </w:t>
      </w:r>
      <w:r w:rsidR="00F175AF">
        <w:rPr>
          <w:rFonts w:cs="Arial"/>
          <w:i/>
          <w:iCs/>
          <w:szCs w:val="18"/>
        </w:rPr>
        <w:t xml:space="preserve">(= období krize) </w:t>
      </w:r>
      <w:r w:rsidR="00341D86" w:rsidRPr="00341D86">
        <w:rPr>
          <w:rFonts w:cs="Arial"/>
          <w:i/>
          <w:iCs/>
          <w:szCs w:val="18"/>
        </w:rPr>
        <w:t xml:space="preserve">o </w:t>
      </w:r>
      <w:r w:rsidR="00DC545A">
        <w:rPr>
          <w:rFonts w:cs="Arial"/>
          <w:b/>
          <w:bCs/>
          <w:i/>
          <w:iCs/>
          <w:szCs w:val="18"/>
        </w:rPr>
        <w:t>-</w:t>
      </w:r>
      <w:r w:rsidR="005F709C">
        <w:rPr>
          <w:rFonts w:cs="Arial"/>
          <w:b/>
          <w:bCs/>
          <w:i/>
          <w:iCs/>
          <w:szCs w:val="18"/>
        </w:rPr>
        <w:t xml:space="preserve"> </w:t>
      </w:r>
      <w:r w:rsidR="00341D86" w:rsidRPr="00341D86">
        <w:rPr>
          <w:rFonts w:cs="Arial"/>
          <w:b/>
          <w:bCs/>
          <w:i/>
          <w:iCs/>
          <w:szCs w:val="18"/>
        </w:rPr>
        <w:t xml:space="preserve">17 % </w:t>
      </w:r>
      <w:r w:rsidR="00341D86" w:rsidRPr="00341D86">
        <w:rPr>
          <w:rFonts w:cs="Arial"/>
          <w:i/>
          <w:iCs/>
          <w:szCs w:val="18"/>
        </w:rPr>
        <w:t xml:space="preserve">v ČR </w:t>
      </w:r>
      <w:r w:rsidR="00F175AF">
        <w:rPr>
          <w:rFonts w:cs="Arial"/>
          <w:i/>
          <w:iCs/>
          <w:szCs w:val="18"/>
        </w:rPr>
        <w:t>(</w:t>
      </w:r>
      <w:r w:rsidR="00341D86" w:rsidRPr="00341D86">
        <w:rPr>
          <w:rFonts w:cs="Arial"/>
          <w:i/>
          <w:iCs/>
          <w:szCs w:val="18"/>
        </w:rPr>
        <w:t>mimo Prahu</w:t>
      </w:r>
      <w:r w:rsidR="00F175AF">
        <w:rPr>
          <w:rFonts w:cs="Arial"/>
          <w:i/>
          <w:iCs/>
          <w:szCs w:val="18"/>
        </w:rPr>
        <w:t>)</w:t>
      </w:r>
      <w:r w:rsidR="00341D86" w:rsidRPr="00341D86">
        <w:rPr>
          <w:rFonts w:cs="Arial"/>
          <w:i/>
          <w:iCs/>
          <w:szCs w:val="18"/>
        </w:rPr>
        <w:t xml:space="preserve"> a o </w:t>
      </w:r>
      <w:r w:rsidR="00341D86" w:rsidRPr="00341D86">
        <w:rPr>
          <w:rFonts w:cs="Arial"/>
          <w:b/>
          <w:bCs/>
          <w:i/>
          <w:iCs/>
          <w:szCs w:val="18"/>
        </w:rPr>
        <w:t>-</w:t>
      </w:r>
      <w:r w:rsidR="005F709C">
        <w:rPr>
          <w:rFonts w:cs="Arial"/>
          <w:b/>
          <w:bCs/>
          <w:i/>
          <w:iCs/>
          <w:szCs w:val="18"/>
        </w:rPr>
        <w:t xml:space="preserve"> </w:t>
      </w:r>
      <w:r w:rsidR="00341D86" w:rsidRPr="00341D86">
        <w:rPr>
          <w:rFonts w:cs="Arial"/>
          <w:b/>
          <w:bCs/>
          <w:i/>
          <w:iCs/>
          <w:szCs w:val="18"/>
        </w:rPr>
        <w:t xml:space="preserve">13 % </w:t>
      </w:r>
      <w:r w:rsidR="00341D86" w:rsidRPr="00341D86">
        <w:rPr>
          <w:rFonts w:cs="Arial"/>
          <w:i/>
          <w:iCs/>
          <w:szCs w:val="18"/>
        </w:rPr>
        <w:t>v Praze.</w:t>
      </w:r>
      <w:r w:rsidR="00341D86">
        <w:rPr>
          <w:rFonts w:cs="Arial"/>
          <w:i/>
          <w:iCs/>
          <w:szCs w:val="18"/>
        </w:rPr>
        <w:t xml:space="preserve"> </w:t>
      </w:r>
    </w:p>
    <w:p w:rsidR="00F2719D" w:rsidRDefault="00F2719D" w:rsidP="005238F0">
      <w:pPr>
        <w:rPr>
          <w:rFonts w:cs="Arial"/>
          <w:i/>
          <w:iCs/>
          <w:szCs w:val="18"/>
        </w:rPr>
      </w:pPr>
    </w:p>
    <w:p w:rsidR="00341D86" w:rsidRPr="00F00241" w:rsidRDefault="00F00241" w:rsidP="005238F0">
      <w:pPr>
        <w:rPr>
          <w:rFonts w:cs="Arial"/>
          <w:iCs/>
          <w:szCs w:val="18"/>
        </w:rPr>
      </w:pPr>
      <w:r w:rsidRPr="00F00241">
        <w:rPr>
          <w:rFonts w:cs="Arial"/>
          <w:iCs/>
          <w:szCs w:val="18"/>
        </w:rPr>
        <w:t xml:space="preserve">Nejčerstvější údaje pak svědčí o tom, že v současnosti </w:t>
      </w:r>
      <w:r w:rsidR="00DC545A" w:rsidRPr="00F00241">
        <w:rPr>
          <w:rFonts w:cs="Arial"/>
          <w:iCs/>
          <w:szCs w:val="18"/>
        </w:rPr>
        <w:t xml:space="preserve">se </w:t>
      </w:r>
      <w:r w:rsidRPr="00F00241">
        <w:rPr>
          <w:rFonts w:cs="Arial"/>
          <w:iCs/>
          <w:szCs w:val="18"/>
        </w:rPr>
        <w:t>již růst cen víceméně zastavil nebo alespoň zpomalil</w:t>
      </w:r>
      <w:r w:rsidR="00DC545A">
        <w:rPr>
          <w:rFonts w:cs="Arial"/>
          <w:iCs/>
          <w:szCs w:val="18"/>
        </w:rPr>
        <w:t xml:space="preserve">. Soudě podle vývoje v předcházejících vlnách </w:t>
      </w:r>
      <w:r w:rsidR="00EB4281">
        <w:rPr>
          <w:rFonts w:cs="Arial"/>
          <w:iCs/>
          <w:szCs w:val="18"/>
        </w:rPr>
        <w:t xml:space="preserve">nyní pravděpodobně </w:t>
      </w:r>
      <w:r w:rsidR="00DC545A">
        <w:rPr>
          <w:rFonts w:cs="Arial"/>
          <w:iCs/>
          <w:szCs w:val="18"/>
        </w:rPr>
        <w:t xml:space="preserve">nastává čas korekce </w:t>
      </w:r>
      <w:r w:rsidR="00F2719D">
        <w:rPr>
          <w:rFonts w:cs="Arial"/>
          <w:iCs/>
          <w:szCs w:val="18"/>
        </w:rPr>
        <w:t xml:space="preserve">cen </w:t>
      </w:r>
      <w:r w:rsidR="00DC545A">
        <w:rPr>
          <w:rFonts w:cs="Arial"/>
          <w:iCs/>
          <w:szCs w:val="18"/>
        </w:rPr>
        <w:t>směrem dolů. Ne</w:t>
      </w:r>
      <w:r w:rsidRPr="00F00241">
        <w:rPr>
          <w:rFonts w:cs="Arial"/>
          <w:iCs/>
          <w:szCs w:val="18"/>
        </w:rPr>
        <w:t xml:space="preserve">jsou zde však žádné indikace, že by </w:t>
      </w:r>
      <w:r w:rsidR="00DC545A">
        <w:rPr>
          <w:rFonts w:cs="Arial"/>
          <w:iCs/>
          <w:szCs w:val="18"/>
        </w:rPr>
        <w:t>tento pokles cen</w:t>
      </w:r>
      <w:r w:rsidRPr="00F00241">
        <w:rPr>
          <w:rFonts w:cs="Arial"/>
          <w:iCs/>
          <w:szCs w:val="18"/>
        </w:rPr>
        <w:t xml:space="preserve"> měl</w:t>
      </w:r>
      <w:r w:rsidR="00DC545A">
        <w:rPr>
          <w:rFonts w:cs="Arial"/>
          <w:iCs/>
          <w:szCs w:val="18"/>
        </w:rPr>
        <w:t xml:space="preserve"> být dramatický.</w:t>
      </w:r>
      <w:r w:rsidRPr="00F00241">
        <w:rPr>
          <w:rFonts w:cs="Arial"/>
          <w:iCs/>
          <w:szCs w:val="18"/>
        </w:rPr>
        <w:t xml:space="preserve"> Záležet to však bude na řadě okolností, jejichž vznik a intenzitu není snadné předpovídat</w:t>
      </w:r>
      <w:r>
        <w:rPr>
          <w:rFonts w:cs="Arial"/>
          <w:iCs/>
          <w:szCs w:val="18"/>
        </w:rPr>
        <w:t>. Patří mezi ně budoucí vývoj ekonomiky, situace na trhu práce, budoucí dynamik</w:t>
      </w:r>
      <w:r w:rsidR="00DC545A">
        <w:rPr>
          <w:rFonts w:cs="Arial"/>
          <w:iCs/>
          <w:szCs w:val="18"/>
        </w:rPr>
        <w:t>a</w:t>
      </w:r>
      <w:r>
        <w:rPr>
          <w:rFonts w:cs="Arial"/>
          <w:iCs/>
          <w:szCs w:val="18"/>
        </w:rPr>
        <w:t xml:space="preserve"> příjmů obyvatel, důvěra v budoucnost apod.</w:t>
      </w:r>
    </w:p>
    <w:p w:rsidR="00341D86" w:rsidRDefault="00341D86" w:rsidP="00860613">
      <w:pPr>
        <w:rPr>
          <w:rFonts w:cs="Arial"/>
          <w:i/>
          <w:iCs/>
          <w:szCs w:val="18"/>
        </w:rPr>
      </w:pPr>
    </w:p>
    <w:p w:rsidR="004641CC" w:rsidRDefault="00DC545A" w:rsidP="00E311C5">
      <w:pPr>
        <w:rPr>
          <w:rFonts w:cs="Arial"/>
          <w:szCs w:val="18"/>
        </w:rPr>
      </w:pPr>
      <w:r w:rsidRPr="00DC545A">
        <w:rPr>
          <w:rFonts w:cs="Arial"/>
          <w:i/>
          <w:iCs/>
          <w:szCs w:val="18"/>
        </w:rPr>
        <w:t xml:space="preserve">„Navzdory korekcím </w:t>
      </w:r>
      <w:r w:rsidR="00341D86" w:rsidRPr="00DC545A">
        <w:rPr>
          <w:rFonts w:cs="Arial"/>
          <w:i/>
          <w:iCs/>
          <w:szCs w:val="18"/>
        </w:rPr>
        <w:t xml:space="preserve">lze říci, že byty v České republice </w:t>
      </w:r>
      <w:r w:rsidRPr="00DC545A">
        <w:rPr>
          <w:rFonts w:cs="Arial"/>
          <w:i/>
          <w:iCs/>
          <w:szCs w:val="18"/>
        </w:rPr>
        <w:t xml:space="preserve">se </w:t>
      </w:r>
      <w:r w:rsidR="00341D86" w:rsidRPr="00DC545A">
        <w:rPr>
          <w:rFonts w:cs="Arial"/>
          <w:i/>
          <w:iCs/>
          <w:szCs w:val="18"/>
        </w:rPr>
        <w:t>v dlouhodobém horizontu stále zhodnocují</w:t>
      </w:r>
      <w:r>
        <w:rPr>
          <w:rFonts w:cs="Arial"/>
          <w:i/>
          <w:iCs/>
          <w:szCs w:val="18"/>
        </w:rPr>
        <w:t>. Je to jeden z důvodů proč si myslím, že koupě nemovitosti, samozřejmě nezatíží-li to přespříliš rodinný rozpočet, je stále dobrým rozhodnutím</w:t>
      </w:r>
      <w:r w:rsidRPr="00DC545A">
        <w:rPr>
          <w:rFonts w:cs="Arial"/>
          <w:i/>
          <w:iCs/>
          <w:szCs w:val="18"/>
        </w:rPr>
        <w:t>,“</w:t>
      </w:r>
      <w:r w:rsidRPr="00DC545A">
        <w:rPr>
          <w:rFonts w:cs="Arial"/>
          <w:szCs w:val="18"/>
        </w:rPr>
        <w:t xml:space="preserve"> komentuje Vladimír Staňura, hlavní poradce ČBA.</w:t>
      </w:r>
      <w:r w:rsidR="00A54B25">
        <w:rPr>
          <w:rFonts w:cs="Arial"/>
          <w:szCs w:val="18"/>
        </w:rPr>
        <w:t xml:space="preserve"> </w:t>
      </w:r>
    </w:p>
    <w:p w:rsidR="00EE3CDA" w:rsidRPr="00E27F2F" w:rsidRDefault="00EE3CDA" w:rsidP="00E311C5">
      <w:pPr>
        <w:pStyle w:val="Odstavecseseznamem"/>
        <w:ind w:left="410"/>
        <w:rPr>
          <w:rFonts w:cs="Arial"/>
          <w:sz w:val="16"/>
          <w:szCs w:val="18"/>
        </w:rPr>
      </w:pPr>
    </w:p>
    <w:p w:rsidR="004641CC" w:rsidRPr="00DC545A" w:rsidRDefault="002E1390" w:rsidP="00E311C5">
      <w:pPr>
        <w:overflowPunct/>
        <w:autoSpaceDE/>
        <w:autoSpaceDN/>
        <w:adjustRightInd/>
        <w:textAlignment w:val="auto"/>
        <w:rPr>
          <w:rFonts w:cs="Arial"/>
          <w:b/>
          <w:color w:val="007E79"/>
          <w:szCs w:val="18"/>
        </w:rPr>
      </w:pPr>
      <w:r>
        <w:rPr>
          <w:rFonts w:cs="Arial"/>
          <w:b/>
          <w:color w:val="007E79"/>
          <w:szCs w:val="18"/>
        </w:rPr>
        <w:t>Nacházíme se ve třetí vlně růstu</w:t>
      </w:r>
      <w:r w:rsidR="00C3654D" w:rsidRPr="00DC545A">
        <w:rPr>
          <w:rFonts w:cs="Arial"/>
          <w:b/>
          <w:color w:val="007E79"/>
          <w:szCs w:val="18"/>
        </w:rPr>
        <w:t xml:space="preserve"> cen </w:t>
      </w:r>
    </w:p>
    <w:p w:rsidR="00225F51" w:rsidRPr="002E1390" w:rsidRDefault="00A54B25" w:rsidP="00E311C5">
      <w:pPr>
        <w:overflowPunct/>
        <w:autoSpaceDE/>
        <w:autoSpaceDN/>
        <w:adjustRightInd/>
        <w:spacing w:after="160" w:line="252" w:lineRule="auto"/>
        <w:textAlignment w:val="auto"/>
        <w:rPr>
          <w:rFonts w:cs="Arial"/>
          <w:i/>
          <w:iCs/>
          <w:szCs w:val="18"/>
        </w:rPr>
      </w:pPr>
      <w:r>
        <w:rPr>
          <w:rFonts w:cs="Arial"/>
          <w:szCs w:val="18"/>
        </w:rPr>
        <w:t xml:space="preserve">Na </w:t>
      </w:r>
      <w:r w:rsidR="00A60546">
        <w:rPr>
          <w:rFonts w:cs="Arial"/>
          <w:szCs w:val="18"/>
        </w:rPr>
        <w:t>růstu cen nemovitostí se po roce 2014 v mnohém podílely podobné faktory, jako v předchozích případech. Mezi ně patří optimistická očekávání a důvěra veřejnosti ohledně dalšího vývoje ekonomiky, růst mezd</w:t>
      </w:r>
      <w:r w:rsidR="00225F51">
        <w:rPr>
          <w:rFonts w:cs="Arial"/>
          <w:szCs w:val="18"/>
        </w:rPr>
        <w:t>,</w:t>
      </w:r>
      <w:r w:rsidR="00A60546">
        <w:rPr>
          <w:rFonts w:cs="Arial"/>
          <w:szCs w:val="18"/>
        </w:rPr>
        <w:t xml:space="preserve"> ale i u nás tradiční preference vlastnického bydlení. </w:t>
      </w:r>
    </w:p>
    <w:p w:rsidR="002C30D4" w:rsidRDefault="005F709C" w:rsidP="00E311C5">
      <w:pPr>
        <w:rPr>
          <w:rFonts w:cs="Arial"/>
          <w:szCs w:val="18"/>
        </w:rPr>
      </w:pPr>
      <w:r w:rsidRPr="005F709C">
        <w:rPr>
          <w:rFonts w:cs="Arial"/>
          <w:noProof/>
          <w:szCs w:val="1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464820</wp:posOffset>
                </wp:positionV>
                <wp:extent cx="5572125" cy="1404620"/>
                <wp:effectExtent l="0" t="0" r="9525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09C" w:rsidRPr="005F709C" w:rsidRDefault="005F709C" w:rsidP="005F70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Vývoj obecné míry nezaměstnanosti a průměrné hrubé mzdy</w:t>
                            </w:r>
                            <w:r w:rsidRPr="005F70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C6D2C">
                              <w:t xml:space="preserve">(Zdroj: data ČSÚ, </w:t>
                            </w:r>
                            <w:r w:rsidR="00EC6D2C" w:rsidRPr="00EC6D2C">
                              <w:t>Autor</w:t>
                            </w:r>
                            <w:r w:rsidRPr="00EC6D2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36.6pt;width:438.75pt;height:110.6pt;z-index:2517032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" stroked="f">
                <v:textbox style="mso-fit-shape-to-text:t">
                  <w:txbxContent>
                    <w:p w:rsidR="005F709C" w:rsidRPr="005F709C" w:rsidRDefault="005F709C" w:rsidP="005F709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Vývoj obecné míry nezaměstnanosti a průměrné hrubé mzdy</w:t>
                      </w:r>
                      <w:r w:rsidRPr="005F709C">
                        <w:rPr>
                          <w:b/>
                          <w:bCs/>
                        </w:rPr>
                        <w:t xml:space="preserve"> </w:t>
                      </w:r>
                      <w:r w:rsidRPr="00EC6D2C">
                        <w:t xml:space="preserve">(Zdroj: data ČSÚ, </w:t>
                      </w:r>
                      <w:r w:rsidR="00EC6D2C" w:rsidRPr="00EC6D2C">
                        <w:t>Autor</w:t>
                      </w:r>
                      <w:r w:rsidRPr="00EC6D2C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F51" w:rsidRPr="00225F51">
        <w:rPr>
          <w:rFonts w:cs="Arial"/>
          <w:szCs w:val="18"/>
        </w:rPr>
        <w:t xml:space="preserve">Velmi příznivý současný stav ekonomiky, resp. ekonomický růst pohybující se v posledních </w:t>
      </w:r>
      <w:r w:rsidR="002E1390">
        <w:rPr>
          <w:rFonts w:cs="Arial"/>
          <w:szCs w:val="18"/>
        </w:rPr>
        <w:t xml:space="preserve">čtyřech </w:t>
      </w:r>
      <w:r w:rsidR="00225F51" w:rsidRPr="00225F51">
        <w:rPr>
          <w:rFonts w:cs="Arial"/>
          <w:szCs w:val="18"/>
        </w:rPr>
        <w:t xml:space="preserve">letech </w:t>
      </w:r>
      <w:r w:rsidR="002E1390">
        <w:rPr>
          <w:rFonts w:cs="Arial"/>
          <w:szCs w:val="18"/>
        </w:rPr>
        <w:t xml:space="preserve">v průměru </w:t>
      </w:r>
      <w:r w:rsidR="00225F51" w:rsidRPr="00225F51">
        <w:rPr>
          <w:rFonts w:cs="Arial"/>
          <w:szCs w:val="18"/>
        </w:rPr>
        <w:t xml:space="preserve">na </w:t>
      </w:r>
      <w:r w:rsidR="002E1390">
        <w:rPr>
          <w:rFonts w:cs="Arial"/>
          <w:szCs w:val="18"/>
        </w:rPr>
        <w:t>3,6 % HDP</w:t>
      </w:r>
      <w:r w:rsidR="00225F51" w:rsidRPr="00225F51">
        <w:rPr>
          <w:rFonts w:cs="Arial"/>
          <w:szCs w:val="18"/>
        </w:rPr>
        <w:t xml:space="preserve">, se promítl na trhu práce. Zaměstnavatelé byli nuceni reagovat na </w:t>
      </w:r>
      <w:r w:rsidR="00225F51" w:rsidRPr="00BE21A8">
        <w:rPr>
          <w:rFonts w:cs="Arial"/>
          <w:szCs w:val="18"/>
        </w:rPr>
        <w:t>nedostatek pracovních sil prostřednictvím navyšování mezd, jejichž úroveň v hrubém vyjádření vzrostla mezi lety 2008 a</w:t>
      </w:r>
      <w:r w:rsidR="00923945">
        <w:rPr>
          <w:rFonts w:cs="Arial"/>
          <w:szCs w:val="18"/>
        </w:rPr>
        <w:t>ž</w:t>
      </w:r>
      <w:r w:rsidR="00225F51" w:rsidRPr="00BE21A8">
        <w:rPr>
          <w:rFonts w:cs="Arial"/>
          <w:szCs w:val="18"/>
        </w:rPr>
        <w:t xml:space="preserve"> 2018 o 47 %.</w:t>
      </w:r>
      <w:r w:rsidR="00225F51" w:rsidRPr="00225F51">
        <w:rPr>
          <w:rFonts w:cs="Arial"/>
          <w:szCs w:val="18"/>
        </w:rPr>
        <w:t xml:space="preserve"> </w:t>
      </w:r>
    </w:p>
    <w:p w:rsidR="002C30D4" w:rsidRPr="00225F51" w:rsidRDefault="002C30D4" w:rsidP="002E1390">
      <w:pPr>
        <w:jc w:val="center"/>
        <w:rPr>
          <w:rFonts w:cs="Arial"/>
          <w:szCs w:val="18"/>
        </w:rPr>
      </w:pPr>
      <w:r w:rsidRPr="00E27F2F">
        <w:rPr>
          <w:rFonts w:cs="Arial"/>
          <w:noProof/>
          <w:sz w:val="16"/>
          <w:szCs w:val="18"/>
        </w:rPr>
        <w:drawing>
          <wp:inline distT="0" distB="0" distL="0" distR="0" wp14:anchorId="0DA8F8C6" wp14:editId="265C7ED3">
            <wp:extent cx="4800422" cy="21812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b="10755"/>
                    <a:stretch/>
                  </pic:blipFill>
                  <pic:spPr bwMode="auto">
                    <a:xfrm>
                      <a:off x="0" y="0"/>
                      <a:ext cx="4825799" cy="21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D4" w:rsidRDefault="002C30D4" w:rsidP="00923945">
      <w:pPr>
        <w:rPr>
          <w:rFonts w:cs="Arial"/>
          <w:szCs w:val="18"/>
        </w:rPr>
      </w:pPr>
      <w:r w:rsidRPr="002C30D4">
        <w:rPr>
          <w:rFonts w:cs="Arial"/>
          <w:szCs w:val="18"/>
        </w:rPr>
        <w:t xml:space="preserve">Za zmínku </w:t>
      </w:r>
      <w:r>
        <w:rPr>
          <w:rFonts w:cs="Arial"/>
          <w:szCs w:val="18"/>
        </w:rPr>
        <w:t xml:space="preserve">také </w:t>
      </w:r>
      <w:r w:rsidRPr="002C30D4">
        <w:rPr>
          <w:rFonts w:cs="Arial"/>
          <w:szCs w:val="18"/>
        </w:rPr>
        <w:t>stojí, že příjmy domácností u nás rostly o dost rychleji než například v průměru celé Evropské unie.</w:t>
      </w:r>
    </w:p>
    <w:p w:rsidR="00EC6D2C" w:rsidRDefault="00EC6D2C" w:rsidP="00923945">
      <w:pPr>
        <w:rPr>
          <w:rFonts w:cs="Arial"/>
          <w:szCs w:val="18"/>
        </w:rPr>
      </w:pPr>
    </w:p>
    <w:p w:rsidR="00A60546" w:rsidRDefault="00D357A4" w:rsidP="00EC0719">
      <w:pPr>
        <w:jc w:val="left"/>
        <w:rPr>
          <w:rFonts w:cs="Arial"/>
          <w:sz w:val="16"/>
          <w:szCs w:val="18"/>
          <w:u w:val="single"/>
        </w:rPr>
      </w:pPr>
      <w:r w:rsidRPr="0022075B">
        <w:rPr>
          <w:rFonts w:cs="Arial"/>
          <w:noProof/>
          <w:sz w:val="16"/>
          <w:szCs w:val="18"/>
        </w:rPr>
        <w:drawing>
          <wp:inline distT="0" distB="0" distL="0" distR="0" wp14:anchorId="7A026C0A" wp14:editId="49F7AECC">
            <wp:extent cx="6419850" cy="1695450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6246E838-072E-472C-946B-1FC185F5C5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C0719" w:rsidRDefault="00EC0719" w:rsidP="00EC0719">
      <w:pPr>
        <w:jc w:val="left"/>
        <w:rPr>
          <w:rFonts w:cs="Arial"/>
          <w:sz w:val="16"/>
          <w:szCs w:val="18"/>
        </w:rPr>
      </w:pPr>
    </w:p>
    <w:p w:rsidR="00BE53BC" w:rsidRPr="00BE53BC" w:rsidRDefault="002C30D4" w:rsidP="00685F12">
      <w:pPr>
        <w:rPr>
          <w:rFonts w:cs="Arial"/>
          <w:szCs w:val="18"/>
        </w:rPr>
      </w:pPr>
      <w:r w:rsidRPr="002C30D4">
        <w:rPr>
          <w:rFonts w:cs="Arial"/>
          <w:iCs/>
          <w:szCs w:val="18"/>
        </w:rPr>
        <w:lastRenderedPageBreak/>
        <w:t xml:space="preserve">Vlivem </w:t>
      </w:r>
      <w:r w:rsidR="002375B2">
        <w:rPr>
          <w:rFonts w:cs="Arial"/>
          <w:iCs/>
          <w:szCs w:val="18"/>
        </w:rPr>
        <w:t xml:space="preserve">shora uvedených pozitivních stimulů </w:t>
      </w:r>
      <w:r w:rsidR="007B5E3D">
        <w:rPr>
          <w:rFonts w:cs="Arial"/>
          <w:iCs/>
          <w:szCs w:val="18"/>
        </w:rPr>
        <w:t>dochází k postupnému zesilování</w:t>
      </w:r>
      <w:r w:rsidR="007B5E3D" w:rsidRPr="002C30D4">
        <w:rPr>
          <w:rFonts w:cs="Arial"/>
          <w:bCs/>
          <w:iCs/>
          <w:szCs w:val="18"/>
        </w:rPr>
        <w:t xml:space="preserve"> zájmu domácností o pořízení vlastního bydlení</w:t>
      </w:r>
      <w:r w:rsidR="007B5E3D">
        <w:rPr>
          <w:rFonts w:cs="Arial"/>
          <w:iCs/>
          <w:szCs w:val="18"/>
        </w:rPr>
        <w:t xml:space="preserve">. </w:t>
      </w:r>
      <w:r w:rsidR="007B5E3D" w:rsidRPr="007B5E3D">
        <w:rPr>
          <w:rFonts w:cs="Arial"/>
          <w:i/>
          <w:szCs w:val="18"/>
        </w:rPr>
        <w:t>„Vzhledem k</w:t>
      </w:r>
      <w:r w:rsidR="007B5E3D">
        <w:rPr>
          <w:rFonts w:cs="Arial"/>
          <w:i/>
          <w:szCs w:val="18"/>
        </w:rPr>
        <w:t xml:space="preserve"> příznivému </w:t>
      </w:r>
      <w:r w:rsidR="007B5E3D" w:rsidRPr="007B5E3D">
        <w:rPr>
          <w:rFonts w:cs="Arial"/>
          <w:i/>
          <w:szCs w:val="18"/>
        </w:rPr>
        <w:t xml:space="preserve">ekonomickému vývoji </w:t>
      </w:r>
      <w:r w:rsidR="002375B2" w:rsidRPr="007B5E3D">
        <w:rPr>
          <w:rFonts w:cs="Arial"/>
          <w:i/>
          <w:szCs w:val="18"/>
        </w:rPr>
        <w:t>se na straně domácností snížila</w:t>
      </w:r>
      <w:r w:rsidR="00D357A4" w:rsidRPr="007B5E3D">
        <w:rPr>
          <w:rFonts w:cs="Arial"/>
          <w:i/>
          <w:szCs w:val="18"/>
        </w:rPr>
        <w:t xml:space="preserve"> averze vůči kreditnímu rizik</w:t>
      </w:r>
      <w:r w:rsidR="007B5E3D" w:rsidRPr="007B5E3D">
        <w:rPr>
          <w:rFonts w:cs="Arial"/>
          <w:i/>
          <w:szCs w:val="18"/>
        </w:rPr>
        <w:t>u</w:t>
      </w:r>
      <w:r w:rsidR="002375B2" w:rsidRPr="007B5E3D">
        <w:rPr>
          <w:rFonts w:cs="Arial"/>
          <w:i/>
          <w:szCs w:val="18"/>
        </w:rPr>
        <w:t xml:space="preserve"> </w:t>
      </w:r>
      <w:r w:rsidR="00D357A4" w:rsidRPr="007B5E3D">
        <w:rPr>
          <w:rFonts w:cs="Arial"/>
          <w:i/>
          <w:szCs w:val="18"/>
        </w:rPr>
        <w:t xml:space="preserve">a rostl </w:t>
      </w:r>
      <w:r w:rsidR="002375B2" w:rsidRPr="007B5E3D">
        <w:rPr>
          <w:rFonts w:cs="Arial"/>
          <w:i/>
          <w:szCs w:val="18"/>
        </w:rPr>
        <w:t xml:space="preserve">jejich </w:t>
      </w:r>
      <w:r w:rsidR="00BE53BC" w:rsidRPr="007B5E3D">
        <w:rPr>
          <w:rFonts w:cs="Arial"/>
          <w:i/>
          <w:szCs w:val="18"/>
        </w:rPr>
        <w:t>zájem o navyšování spotřeby a pořizování kapitálově náročnějších statků</w:t>
      </w:r>
      <w:r w:rsidR="007B5E3D" w:rsidRPr="007B5E3D">
        <w:rPr>
          <w:rFonts w:cs="Arial"/>
          <w:i/>
          <w:szCs w:val="18"/>
        </w:rPr>
        <w:t xml:space="preserve">, </w:t>
      </w:r>
      <w:r w:rsidR="00923945" w:rsidRPr="007B5E3D">
        <w:rPr>
          <w:rFonts w:cs="Arial"/>
          <w:i/>
          <w:szCs w:val="18"/>
        </w:rPr>
        <w:t>jim</w:t>
      </w:r>
      <w:r w:rsidR="00923945">
        <w:rPr>
          <w:rFonts w:cs="Arial"/>
          <w:i/>
          <w:szCs w:val="18"/>
        </w:rPr>
        <w:t>i</w:t>
      </w:r>
      <w:r w:rsidR="00923945" w:rsidRPr="007B5E3D">
        <w:rPr>
          <w:rFonts w:cs="Arial"/>
          <w:i/>
          <w:szCs w:val="18"/>
        </w:rPr>
        <w:t>ž</w:t>
      </w:r>
      <w:r w:rsidR="007B5E3D" w:rsidRPr="007B5E3D">
        <w:rPr>
          <w:rFonts w:cs="Arial"/>
          <w:i/>
          <w:szCs w:val="18"/>
        </w:rPr>
        <w:t xml:space="preserve"> nemovitosti bezpochyby jsou</w:t>
      </w:r>
      <w:r w:rsidR="007B5E3D">
        <w:rPr>
          <w:rFonts w:cs="Arial"/>
          <w:szCs w:val="18"/>
        </w:rPr>
        <w:t>,“ komentuje Vladimír Staňura</w:t>
      </w:r>
      <w:r w:rsidR="00924258">
        <w:rPr>
          <w:rFonts w:cs="Arial"/>
          <w:szCs w:val="18"/>
        </w:rPr>
        <w:t xml:space="preserve">. </w:t>
      </w:r>
    </w:p>
    <w:p w:rsidR="00685F12" w:rsidRDefault="00685F12" w:rsidP="00685F12">
      <w:pPr>
        <w:overflowPunct/>
        <w:autoSpaceDE/>
        <w:autoSpaceDN/>
        <w:adjustRightInd/>
        <w:textAlignment w:val="auto"/>
        <w:rPr>
          <w:rFonts w:cs="Arial"/>
          <w:b/>
          <w:bCs/>
          <w:color w:val="638F91"/>
          <w:szCs w:val="18"/>
          <w:u w:val="single"/>
        </w:rPr>
      </w:pPr>
    </w:p>
    <w:p w:rsidR="00685F12" w:rsidRPr="007B5E3D" w:rsidRDefault="00685F12" w:rsidP="00685F12">
      <w:pPr>
        <w:overflowPunct/>
        <w:autoSpaceDE/>
        <w:autoSpaceDN/>
        <w:adjustRightInd/>
        <w:textAlignment w:val="auto"/>
        <w:rPr>
          <w:rFonts w:cs="Arial"/>
          <w:color w:val="638F91"/>
          <w:szCs w:val="18"/>
        </w:rPr>
      </w:pPr>
      <w:r w:rsidRPr="007B5E3D">
        <w:rPr>
          <w:rFonts w:cs="Arial"/>
          <w:b/>
          <w:bCs/>
          <w:color w:val="638F91"/>
          <w:szCs w:val="18"/>
        </w:rPr>
        <w:t>Příjmy domácností rostou, zadlužení také</w:t>
      </w:r>
    </w:p>
    <w:p w:rsidR="00685F12" w:rsidRDefault="002C30D4" w:rsidP="00685F12">
      <w:pPr>
        <w:overflowPunct/>
        <w:autoSpaceDE/>
        <w:autoSpaceDN/>
        <w:adjustRightInd/>
        <w:textAlignment w:val="auto"/>
        <w:rPr>
          <w:rFonts w:cs="Arial"/>
          <w:szCs w:val="18"/>
        </w:rPr>
      </w:pPr>
      <w:r>
        <w:rPr>
          <w:rFonts w:cs="Arial"/>
          <w:szCs w:val="18"/>
        </w:rPr>
        <w:t>Svůj podíl na poslední periodě růstu ale sehrál</w:t>
      </w:r>
      <w:r w:rsidR="007B5E3D">
        <w:rPr>
          <w:rFonts w:cs="Arial"/>
          <w:szCs w:val="18"/>
        </w:rPr>
        <w:t>a i</w:t>
      </w:r>
      <w:r>
        <w:rPr>
          <w:rFonts w:cs="Arial"/>
          <w:szCs w:val="18"/>
        </w:rPr>
        <w:t xml:space="preserve"> nízká výše úrokových sazeb, která na jedné straně motivovala střadatele ke hledání výnosnějších titulů pro investování jejich úspor, na straně druhé pak zlevňovala náklady zadlužení a zvyšovala dostupnost hypotéčních úvěrů z pohledu klientů finančních institucí. Svou roli sehrály i snadnější refixace a refinancování hypotéčních úvěrů.</w:t>
      </w:r>
      <w:r w:rsidR="00BE53BC">
        <w:rPr>
          <w:rFonts w:cs="Arial"/>
          <w:szCs w:val="18"/>
        </w:rPr>
        <w:t xml:space="preserve"> </w:t>
      </w:r>
    </w:p>
    <w:p w:rsidR="00685F12" w:rsidRDefault="00685F12" w:rsidP="00685F12">
      <w:pPr>
        <w:overflowPunct/>
        <w:autoSpaceDE/>
        <w:autoSpaceDN/>
        <w:adjustRightInd/>
        <w:textAlignment w:val="auto"/>
        <w:rPr>
          <w:rFonts w:cs="Arial"/>
          <w:szCs w:val="18"/>
        </w:rPr>
      </w:pPr>
    </w:p>
    <w:p w:rsidR="00685F12" w:rsidRPr="00685F12" w:rsidRDefault="00EC6D2C" w:rsidP="007B5E3D">
      <w:pPr>
        <w:rPr>
          <w:rFonts w:cs="Arial"/>
          <w:szCs w:val="18"/>
        </w:rPr>
      </w:pPr>
      <w:r w:rsidRPr="007B5E3D">
        <w:rPr>
          <w:rFonts w:cs="Arial"/>
          <w:noProof/>
          <w:sz w:val="16"/>
          <w:szCs w:val="18"/>
        </w:rPr>
        <w:drawing>
          <wp:anchor distT="0" distB="0" distL="114300" distR="114300" simplePos="0" relativeHeight="251698176" behindDoc="1" locked="0" layoutInCell="1" allowOverlap="1" wp14:anchorId="3E066E93">
            <wp:simplePos x="0" y="0"/>
            <wp:positionH relativeFrom="margin">
              <wp:align>right</wp:align>
            </wp:positionH>
            <wp:positionV relativeFrom="paragraph">
              <wp:posOffset>752475</wp:posOffset>
            </wp:positionV>
            <wp:extent cx="6570980" cy="1985645"/>
            <wp:effectExtent l="0" t="0" r="1270" b="0"/>
            <wp:wrapTight wrapText="bothSides">
              <wp:wrapPolygon edited="0">
                <wp:start x="0" y="0"/>
                <wp:lineTo x="0" y="21344"/>
                <wp:lineTo x="21542" y="21344"/>
                <wp:lineTo x="21542" y="0"/>
                <wp:lineTo x="0" y="0"/>
              </wp:wrapPolygon>
            </wp:wrapTight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939BEBC9-B3DF-4FD1-AF9E-A5712F1C4E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3BC" w:rsidRPr="00685F12">
        <w:rPr>
          <w:rFonts w:cs="Arial"/>
          <w:szCs w:val="18"/>
        </w:rPr>
        <w:t xml:space="preserve">Zadluženost domácností se postupně zvyšovala, přitom zcela převládajícím prvkem dluhu byly právě hypotéční úvěry. </w:t>
      </w:r>
      <w:r w:rsidR="00685F12" w:rsidRPr="00685F12">
        <w:rPr>
          <w:rFonts w:cs="Arial"/>
          <w:szCs w:val="18"/>
        </w:rPr>
        <w:t>Celkové zadlužení domácností oproti počátku roku 2008 se do konce roku 2018 zvýšilo o 118 %, z původních 756 mld. CZK na 1 651 mld. CZK.</w:t>
      </w:r>
      <w:r w:rsidR="00685F12">
        <w:rPr>
          <w:rFonts w:cs="Arial"/>
          <w:szCs w:val="18"/>
        </w:rPr>
        <w:t xml:space="preserve"> </w:t>
      </w:r>
      <w:r w:rsidR="00685F12" w:rsidRPr="00685F12">
        <w:rPr>
          <w:rFonts w:cs="Arial"/>
          <w:szCs w:val="18"/>
        </w:rPr>
        <w:t xml:space="preserve">Dle kategorizace úvěrů se jedná o 69% nárůst hodnoty úvěrů na spotřebu, 105% nárůst hodnoty ostatních úvěrů a rekordní 134% nárůst hodnoty úvěrů na bydlení. Lidé si zkrátka půjčují více, a to především na pořízení vlastního bydlení. České domácnosti na konci roku 2018 dlužily na hypotečních úvěrech necelých 1,3 bilionu CZK.      </w:t>
      </w:r>
    </w:p>
    <w:p w:rsidR="002C30D4" w:rsidRPr="00BE53BC" w:rsidRDefault="002C30D4" w:rsidP="002C30D4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7E18D1" w:rsidRDefault="007E18D1" w:rsidP="00EE3CDA">
      <w:pPr>
        <w:rPr>
          <w:rFonts w:cs="Arial"/>
          <w:b/>
          <w:color w:val="377F78"/>
          <w:szCs w:val="18"/>
        </w:rPr>
      </w:pPr>
      <w:r w:rsidRPr="007B5E3D">
        <w:rPr>
          <w:rFonts w:cs="Arial"/>
          <w:b/>
          <w:color w:val="377F78"/>
          <w:szCs w:val="18"/>
        </w:rPr>
        <w:t>Nedostatečná nabídka</w:t>
      </w:r>
    </w:p>
    <w:p w:rsidR="007E18D1" w:rsidRPr="007E18D1" w:rsidRDefault="007E18D1" w:rsidP="007E18D1">
      <w:pPr>
        <w:rPr>
          <w:rFonts w:cs="Arial"/>
          <w:bCs/>
          <w:szCs w:val="18"/>
        </w:rPr>
      </w:pPr>
      <w:r w:rsidRPr="007E18D1">
        <w:rPr>
          <w:rFonts w:cs="Arial"/>
          <w:bCs/>
          <w:szCs w:val="18"/>
        </w:rPr>
        <w:t>Dlouhodobý</w:t>
      </w:r>
      <w:r>
        <w:rPr>
          <w:rFonts w:cs="Arial"/>
          <w:bCs/>
          <w:szCs w:val="18"/>
        </w:rPr>
        <w:t>m</w:t>
      </w:r>
      <w:r w:rsidRPr="007E18D1">
        <w:rPr>
          <w:rFonts w:cs="Arial"/>
          <w:bCs/>
          <w:szCs w:val="18"/>
        </w:rPr>
        <w:t xml:space="preserve"> problém</w:t>
      </w:r>
      <w:r>
        <w:rPr>
          <w:rFonts w:cs="Arial"/>
          <w:bCs/>
          <w:szCs w:val="18"/>
        </w:rPr>
        <w:t>em</w:t>
      </w:r>
      <w:r w:rsidRPr="007E18D1">
        <w:rPr>
          <w:rFonts w:cs="Arial"/>
          <w:bCs/>
          <w:szCs w:val="18"/>
        </w:rPr>
        <w:t xml:space="preserve">, který nahrává růstu cen, je </w:t>
      </w:r>
      <w:r w:rsidRPr="00A10A7A">
        <w:rPr>
          <w:rFonts w:cs="Arial"/>
          <w:bCs/>
          <w:szCs w:val="18"/>
        </w:rPr>
        <w:t>neuspokojená poptávka z důvodu nízkého počtu volných a cenově dostupných bytů. Problematický je velmi nízký počet každoročně vydávaných stavebních ohlášení a povolení na výstavbu bytových jednotek, zejména na území české metropole. Omezená výstavba a akutní nedostatek dostupných bytových jednotek zvedl ceny pražských bytů v posledních letech o desítky procent.</w:t>
      </w:r>
      <w:r w:rsidR="00F9267B" w:rsidRPr="00A10A7A">
        <w:rPr>
          <w:rFonts w:cs="Arial"/>
          <w:bCs/>
          <w:szCs w:val="18"/>
        </w:rPr>
        <w:t xml:space="preserve"> Přitom ceny nemovitostí </w:t>
      </w:r>
      <w:r w:rsidR="00F9267B" w:rsidRPr="00A10A7A">
        <w:rPr>
          <w:rFonts w:cs="Arial"/>
          <w:szCs w:val="18"/>
        </w:rPr>
        <w:t>rostou rychleji</w:t>
      </w:r>
      <w:r w:rsidR="0078687A" w:rsidRPr="00A10A7A">
        <w:rPr>
          <w:rFonts w:cs="Arial"/>
          <w:szCs w:val="18"/>
        </w:rPr>
        <w:t xml:space="preserve"> </w:t>
      </w:r>
      <w:r w:rsidR="00F9267B" w:rsidRPr="00A10A7A">
        <w:rPr>
          <w:rFonts w:cs="Arial"/>
          <w:bCs/>
          <w:szCs w:val="18"/>
        </w:rPr>
        <w:t xml:space="preserve">než ceny stavebních prací, které se oproti průměru roku 2015 (náklady na bytové budovy) </w:t>
      </w:r>
      <w:r w:rsidR="008B66EE" w:rsidRPr="00A10A7A">
        <w:rPr>
          <w:rFonts w:cs="Arial"/>
          <w:bCs/>
          <w:szCs w:val="18"/>
        </w:rPr>
        <w:t>ke</w:t>
      </w:r>
      <w:r w:rsidR="00F9267B" w:rsidRPr="00A10A7A">
        <w:rPr>
          <w:rFonts w:cs="Arial"/>
          <w:bCs/>
          <w:szCs w:val="18"/>
        </w:rPr>
        <w:t xml:space="preserve"> konci roku 2018 zvýšily o 10 %.</w:t>
      </w:r>
      <w:r w:rsidR="0078687A">
        <w:rPr>
          <w:rFonts w:cs="Arial"/>
          <w:szCs w:val="18"/>
        </w:rPr>
        <w:t xml:space="preserve"> </w:t>
      </w:r>
    </w:p>
    <w:p w:rsidR="007E18D1" w:rsidRDefault="0078687A" w:rsidP="0078687A">
      <w:pPr>
        <w:jc w:val="center"/>
        <w:rPr>
          <w:rFonts w:cs="Arial"/>
          <w:bCs/>
          <w:szCs w:val="18"/>
        </w:rPr>
      </w:pPr>
      <w:r w:rsidRPr="0078687A">
        <w:rPr>
          <w:rFonts w:cs="Arial"/>
          <w:bCs/>
          <w:noProof/>
          <w:szCs w:val="18"/>
        </w:rPr>
        <w:drawing>
          <wp:inline distT="0" distB="0" distL="0" distR="0" wp14:anchorId="555B16A8" wp14:editId="4BE98212">
            <wp:extent cx="5503985" cy="1833148"/>
            <wp:effectExtent l="0" t="0" r="1905" b="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2E112BE1-B57A-42FD-9E74-498A80FBBA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18D1" w:rsidRDefault="007E18D1" w:rsidP="007E18D1">
      <w:pPr>
        <w:rPr>
          <w:rFonts w:cs="Arial"/>
          <w:bCs/>
          <w:szCs w:val="18"/>
        </w:rPr>
      </w:pPr>
    </w:p>
    <w:p w:rsidR="0078687A" w:rsidRPr="00DC13F9" w:rsidRDefault="007E18D1" w:rsidP="0078687A">
      <w:pPr>
        <w:rPr>
          <w:rFonts w:cs="Arial"/>
          <w:b/>
          <w:color w:val="377F78"/>
          <w:szCs w:val="18"/>
        </w:rPr>
      </w:pPr>
      <w:r w:rsidRPr="00DC13F9">
        <w:rPr>
          <w:rFonts w:cs="Arial"/>
          <w:bCs/>
          <w:szCs w:val="18"/>
        </w:rPr>
        <w:t>Přírůstek nových bytů na území Prahy se dlouhodobě drží na úrovni 5 tis. bytů ročně. Tak nízký stabilní přírůstek bytových jednotek nestačí uspokojovat poptávku kupujících a nezvyšuje nabídku volných bytů.</w:t>
      </w:r>
      <w:r w:rsidR="0078687A" w:rsidRPr="00DC13F9">
        <w:rPr>
          <w:rFonts w:cs="Arial"/>
          <w:bCs/>
          <w:szCs w:val="18"/>
        </w:rPr>
        <w:t xml:space="preserve"> </w:t>
      </w:r>
    </w:p>
    <w:p w:rsidR="007E18D1" w:rsidRPr="00DC13F9" w:rsidRDefault="007E18D1" w:rsidP="00EE3CDA">
      <w:pPr>
        <w:rPr>
          <w:rFonts w:cs="Arial"/>
          <w:b/>
          <w:color w:val="377F78"/>
          <w:szCs w:val="18"/>
          <w:u w:val="single"/>
        </w:rPr>
      </w:pPr>
    </w:p>
    <w:p w:rsidR="007E18D1" w:rsidRPr="00DC13F9" w:rsidRDefault="00F2610F" w:rsidP="00EE3CDA">
      <w:pPr>
        <w:rPr>
          <w:rFonts w:cs="Arial"/>
          <w:szCs w:val="18"/>
        </w:rPr>
      </w:pPr>
      <w:r>
        <w:rPr>
          <w:rFonts w:cs="Arial"/>
          <w:i/>
          <w:iCs/>
          <w:szCs w:val="18"/>
        </w:rPr>
        <w:t>"</w:t>
      </w:r>
      <w:r w:rsidR="0078687A" w:rsidRPr="00DC13F9">
        <w:rPr>
          <w:rFonts w:cs="Arial"/>
          <w:i/>
          <w:iCs/>
          <w:szCs w:val="18"/>
        </w:rPr>
        <w:t xml:space="preserve">Je ale zapotřebí dodat, že počet dokončených bytů v ČR podle dat ČSÚ v posledních letech roste. Zvýšená nabídka se ale ještě plně neprojevila na trhu. Očekávám, že se tak stane během příštího roku,“ </w:t>
      </w:r>
      <w:r w:rsidR="0078687A" w:rsidRPr="00DC13F9">
        <w:rPr>
          <w:rFonts w:cs="Arial"/>
          <w:szCs w:val="18"/>
        </w:rPr>
        <w:t>upozorňuje Vladimír Staňura.</w:t>
      </w:r>
    </w:p>
    <w:p w:rsidR="0078687A" w:rsidRPr="00DC13F9" w:rsidRDefault="0078687A" w:rsidP="00EE3CDA">
      <w:pPr>
        <w:rPr>
          <w:rFonts w:cs="Arial"/>
          <w:b/>
          <w:color w:val="377F78"/>
          <w:szCs w:val="18"/>
        </w:rPr>
      </w:pPr>
    </w:p>
    <w:p w:rsidR="00F2719D" w:rsidRDefault="00F2719D" w:rsidP="00EE3CDA">
      <w:pPr>
        <w:rPr>
          <w:rFonts w:cs="Arial"/>
          <w:b/>
          <w:color w:val="377F78"/>
          <w:szCs w:val="18"/>
        </w:rPr>
      </w:pPr>
    </w:p>
    <w:p w:rsidR="00BE53BC" w:rsidRPr="00DC13F9" w:rsidRDefault="00BE53BC" w:rsidP="00EE3CDA">
      <w:pPr>
        <w:rPr>
          <w:rFonts w:cs="Arial"/>
          <w:b/>
          <w:color w:val="377F78"/>
          <w:szCs w:val="18"/>
        </w:rPr>
      </w:pPr>
      <w:r w:rsidRPr="00DC13F9">
        <w:rPr>
          <w:rFonts w:cs="Arial"/>
          <w:b/>
          <w:color w:val="377F78"/>
          <w:szCs w:val="18"/>
        </w:rPr>
        <w:t xml:space="preserve">Náklady </w:t>
      </w:r>
      <w:r w:rsidR="00F2719D">
        <w:rPr>
          <w:rFonts w:cs="Arial"/>
          <w:b/>
          <w:color w:val="377F78"/>
          <w:szCs w:val="18"/>
        </w:rPr>
        <w:t xml:space="preserve">na </w:t>
      </w:r>
      <w:r w:rsidRPr="00DC13F9">
        <w:rPr>
          <w:rFonts w:cs="Arial"/>
          <w:b/>
          <w:color w:val="377F78"/>
          <w:szCs w:val="18"/>
        </w:rPr>
        <w:t xml:space="preserve">bydlení v rozpočtu domácností </w:t>
      </w:r>
      <w:r w:rsidR="00DC13F9">
        <w:rPr>
          <w:rFonts w:cs="Arial"/>
          <w:b/>
          <w:color w:val="377F78"/>
          <w:szCs w:val="18"/>
        </w:rPr>
        <w:t>na</w:t>
      </w:r>
      <w:r w:rsidRPr="00DC13F9">
        <w:rPr>
          <w:rFonts w:cs="Arial"/>
          <w:b/>
          <w:color w:val="377F78"/>
          <w:szCs w:val="18"/>
        </w:rPr>
        <w:t xml:space="preserve"> průměru EU</w:t>
      </w:r>
    </w:p>
    <w:p w:rsidR="00BE53BC" w:rsidRPr="00DC13F9" w:rsidRDefault="00BE53BC" w:rsidP="00EE3CDA">
      <w:pPr>
        <w:rPr>
          <w:rFonts w:cs="Arial"/>
          <w:szCs w:val="18"/>
        </w:rPr>
      </w:pPr>
      <w:r w:rsidRPr="00DC13F9">
        <w:rPr>
          <w:rFonts w:cs="Arial"/>
          <w:szCs w:val="18"/>
        </w:rPr>
        <w:t>Průměrná česk</w:t>
      </w:r>
      <w:r w:rsidR="00DC13F9" w:rsidRPr="00DC13F9">
        <w:rPr>
          <w:rFonts w:cs="Arial"/>
          <w:szCs w:val="18"/>
        </w:rPr>
        <w:t>á</w:t>
      </w:r>
      <w:r w:rsidRPr="00DC13F9">
        <w:rPr>
          <w:rFonts w:cs="Arial"/>
          <w:szCs w:val="18"/>
        </w:rPr>
        <w:t xml:space="preserve"> domácnost vydává na bydlení zhruba 22 </w:t>
      </w:r>
      <w:r w:rsidR="00DC13F9" w:rsidRPr="00DC13F9">
        <w:rPr>
          <w:rFonts w:cs="Arial"/>
          <w:szCs w:val="18"/>
        </w:rPr>
        <w:t>%</w:t>
      </w:r>
      <w:r w:rsidRPr="00DC13F9">
        <w:rPr>
          <w:rFonts w:cs="Arial"/>
          <w:szCs w:val="18"/>
        </w:rPr>
        <w:t xml:space="preserve"> svého rodinného rozpočtu. To nás řadí do průměru EU</w:t>
      </w:r>
      <w:r w:rsidR="00966080" w:rsidRPr="00DC13F9">
        <w:rPr>
          <w:rFonts w:cs="Arial"/>
          <w:szCs w:val="18"/>
        </w:rPr>
        <w:t>, za pozornost přitom stojí, že podíl těchto nákladů v posledních letech klesá</w:t>
      </w:r>
      <w:r w:rsidR="00D670D3" w:rsidRPr="00DC13F9">
        <w:rPr>
          <w:rFonts w:cs="Arial"/>
          <w:szCs w:val="18"/>
        </w:rPr>
        <w:t>.</w:t>
      </w:r>
    </w:p>
    <w:p w:rsidR="00D670D3" w:rsidRDefault="00D670D3" w:rsidP="00EE3CDA">
      <w:pPr>
        <w:rPr>
          <w:rFonts w:cs="Arial"/>
          <w:sz w:val="16"/>
          <w:szCs w:val="18"/>
        </w:rPr>
      </w:pPr>
    </w:p>
    <w:p w:rsidR="00BE53BC" w:rsidRDefault="00EC6D2C" w:rsidP="00F2719D">
      <w:pPr>
        <w:jc w:val="center"/>
        <w:rPr>
          <w:rFonts w:cs="Arial"/>
          <w:sz w:val="16"/>
          <w:szCs w:val="18"/>
        </w:rPr>
      </w:pPr>
      <w:r w:rsidRPr="00DC13F9">
        <w:rPr>
          <w:rFonts w:cs="Arial"/>
          <w:noProof/>
          <w:sz w:val="16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10C3E5" wp14:editId="7C3815CF">
                <wp:simplePos x="0" y="0"/>
                <wp:positionH relativeFrom="margin">
                  <wp:posOffset>231140</wp:posOffset>
                </wp:positionH>
                <wp:positionV relativeFrom="paragraph">
                  <wp:posOffset>0</wp:posOffset>
                </wp:positionV>
                <wp:extent cx="5530850" cy="234315"/>
                <wp:effectExtent l="0" t="0" r="0" b="0"/>
                <wp:wrapThrough wrapText="bothSides">
                  <wp:wrapPolygon edited="0">
                    <wp:start x="0" y="0"/>
                    <wp:lineTo x="0" y="19317"/>
                    <wp:lineTo x="21501" y="19317"/>
                    <wp:lineTo x="21501" y="0"/>
                    <wp:lineTo x="0" y="0"/>
                  </wp:wrapPolygon>
                </wp:wrapThrough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2C" w:rsidRDefault="00EC6D2C" w:rsidP="00EC6D2C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Podíl nákladů na bydlení na disponibilním důchodu průměrné domácnosti </w:t>
                            </w:r>
                            <w:r w:rsidRPr="00531777">
                              <w:t>(Zdroj:</w:t>
                            </w:r>
                            <w:r w:rsidR="00531777" w:rsidRPr="00531777">
                              <w:t xml:space="preserve"> Eurostat, Autor)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C3E5" id="_x0000_s1028" type="#_x0000_t202" style="position:absolute;left:0;text-align:left;margin-left:18.2pt;margin-top:0;width:435.5pt;height:18.4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" stroked="f">
                <v:textbox>
                  <w:txbxContent>
                    <w:p w:rsidR="00EC6D2C" w:rsidRDefault="00EC6D2C" w:rsidP="00EC6D2C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Podíl nákladů na bydlení na disponibilním důchodu průměrné domácnosti </w:t>
                      </w:r>
                      <w:r w:rsidRPr="00531777">
                        <w:t>(Zdroj:</w:t>
                      </w:r>
                      <w:r w:rsidR="00531777" w:rsidRPr="00531777">
                        <w:t xml:space="preserve"> Eurostat, Autor)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E53BC" w:rsidRDefault="00EC6D2C" w:rsidP="00EE3CDA">
      <w:pPr>
        <w:rPr>
          <w:rFonts w:cs="Arial"/>
          <w:szCs w:val="18"/>
          <w:u w:val="single"/>
        </w:rPr>
      </w:pPr>
      <w:r w:rsidRPr="00E27F2F">
        <w:rPr>
          <w:rFonts w:cs="Arial"/>
          <w:noProof/>
          <w:sz w:val="16"/>
          <w:szCs w:val="18"/>
        </w:rPr>
        <w:drawing>
          <wp:anchor distT="0" distB="0" distL="114300" distR="114300" simplePos="0" relativeHeight="251708416" behindDoc="0" locked="0" layoutInCell="1" allowOverlap="1" wp14:anchorId="7FD1B21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305935" cy="2066925"/>
            <wp:effectExtent l="0" t="0" r="0" b="952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43059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0D3" w:rsidRPr="00116F4B" w:rsidRDefault="00116F4B" w:rsidP="00D670D3">
      <w:pPr>
        <w:rPr>
          <w:rFonts w:eastAsiaTheme="minorHAnsi" w:cs="Arial"/>
          <w:bCs/>
          <w:szCs w:val="18"/>
        </w:rPr>
      </w:pPr>
      <w:r>
        <w:rPr>
          <w:rFonts w:eastAsiaTheme="minorHAnsi" w:cs="Arial"/>
          <w:bCs/>
          <w:szCs w:val="18"/>
        </w:rPr>
        <w:t xml:space="preserve">Dostupnost hypoték ale neznamená dostupnost bydlení. </w:t>
      </w:r>
      <w:r w:rsidR="00B7657E">
        <w:rPr>
          <w:rFonts w:eastAsiaTheme="minorHAnsi" w:cs="Arial"/>
          <w:bCs/>
          <w:szCs w:val="18"/>
        </w:rPr>
        <w:t xml:space="preserve">Pokud se podíváme na </w:t>
      </w:r>
      <w:r w:rsidR="00D670D3" w:rsidRPr="00D670D3">
        <w:rPr>
          <w:rFonts w:eastAsiaTheme="minorHAnsi" w:cs="Arial"/>
          <w:bCs/>
          <w:szCs w:val="18"/>
        </w:rPr>
        <w:t>cen</w:t>
      </w:r>
      <w:r w:rsidR="00B7657E">
        <w:rPr>
          <w:rFonts w:eastAsiaTheme="minorHAnsi" w:cs="Arial"/>
          <w:bCs/>
          <w:szCs w:val="18"/>
        </w:rPr>
        <w:t>y</w:t>
      </w:r>
      <w:r w:rsidR="00D670D3" w:rsidRPr="00D670D3">
        <w:rPr>
          <w:rFonts w:eastAsiaTheme="minorHAnsi" w:cs="Arial"/>
          <w:bCs/>
          <w:szCs w:val="18"/>
        </w:rPr>
        <w:t xml:space="preserve"> nemovitostí</w:t>
      </w:r>
      <w:r w:rsidR="00B7657E">
        <w:rPr>
          <w:rFonts w:eastAsiaTheme="minorHAnsi" w:cs="Arial"/>
          <w:bCs/>
          <w:szCs w:val="18"/>
        </w:rPr>
        <w:t>, jejich růst v</w:t>
      </w:r>
      <w:r w:rsidR="00D670D3" w:rsidRPr="00D670D3">
        <w:rPr>
          <w:rFonts w:eastAsiaTheme="minorHAnsi" w:cs="Arial"/>
          <w:bCs/>
          <w:szCs w:val="18"/>
        </w:rPr>
        <w:t xml:space="preserve"> posledních letech</w:t>
      </w:r>
      <w:r w:rsidR="00B7657E">
        <w:rPr>
          <w:rFonts w:eastAsiaTheme="minorHAnsi" w:cs="Arial"/>
          <w:bCs/>
          <w:szCs w:val="18"/>
        </w:rPr>
        <w:t xml:space="preserve"> vede </w:t>
      </w:r>
      <w:r w:rsidR="00D670D3" w:rsidRPr="00D670D3">
        <w:rPr>
          <w:rFonts w:eastAsiaTheme="minorHAnsi" w:cs="Arial"/>
          <w:bCs/>
          <w:szCs w:val="18"/>
        </w:rPr>
        <w:t>k přehodnocování zájmu o pořízení vlastního bydlení</w:t>
      </w:r>
      <w:r w:rsidR="00D670D3">
        <w:rPr>
          <w:rFonts w:eastAsiaTheme="minorHAnsi" w:cs="Arial"/>
          <w:bCs/>
          <w:szCs w:val="18"/>
        </w:rPr>
        <w:t>.</w:t>
      </w:r>
      <w:r w:rsidR="00B7657E">
        <w:rPr>
          <w:rFonts w:eastAsiaTheme="minorHAnsi" w:cs="Arial"/>
          <w:bCs/>
          <w:szCs w:val="18"/>
        </w:rPr>
        <w:t xml:space="preserve"> Zejména obyvatelé Prahy, ale také i Brna dnes musí počítat s tím, že pořízení vlastního bydlení je pro ně relativně dražší než v řadě sousedních </w:t>
      </w:r>
      <w:r w:rsidR="00DC13F9">
        <w:rPr>
          <w:rFonts w:eastAsiaTheme="minorHAnsi" w:cs="Arial"/>
          <w:bCs/>
          <w:szCs w:val="18"/>
        </w:rPr>
        <w:t>měst</w:t>
      </w:r>
      <w:r w:rsidR="00B7657E">
        <w:rPr>
          <w:rFonts w:eastAsiaTheme="minorHAnsi" w:cs="Arial"/>
          <w:bCs/>
          <w:szCs w:val="18"/>
        </w:rPr>
        <w:t xml:space="preserve">. Srovnáme-li cenu metru čtverečního v novostavbě s čistou mzdou, pak </w:t>
      </w:r>
      <w:r w:rsidR="008F047E">
        <w:rPr>
          <w:rFonts w:eastAsiaTheme="minorHAnsi" w:cs="Arial"/>
          <w:bCs/>
          <w:szCs w:val="18"/>
        </w:rPr>
        <w:t xml:space="preserve">v Praze je cena více </w:t>
      </w:r>
      <w:r w:rsidR="00DC13F9">
        <w:rPr>
          <w:rFonts w:eastAsiaTheme="minorHAnsi" w:cs="Arial"/>
          <w:bCs/>
          <w:szCs w:val="18"/>
        </w:rPr>
        <w:t xml:space="preserve">než </w:t>
      </w:r>
      <w:r w:rsidR="008F047E">
        <w:rPr>
          <w:rFonts w:eastAsiaTheme="minorHAnsi" w:cs="Arial"/>
          <w:bCs/>
          <w:szCs w:val="18"/>
        </w:rPr>
        <w:t xml:space="preserve">čtyřnásobně větší (419 %), přitom v Mnichově činí tento ukazatel </w:t>
      </w:r>
      <w:r w:rsidR="00DC13F9">
        <w:rPr>
          <w:rFonts w:eastAsiaTheme="minorHAnsi" w:cs="Arial"/>
          <w:bCs/>
          <w:szCs w:val="18"/>
        </w:rPr>
        <w:t xml:space="preserve">    </w:t>
      </w:r>
      <w:r w:rsidR="008F047E">
        <w:rPr>
          <w:rFonts w:eastAsiaTheme="minorHAnsi" w:cs="Arial"/>
          <w:bCs/>
          <w:szCs w:val="18"/>
        </w:rPr>
        <w:t>378 %, ve Vídni 327 %, v Bratislavě 292 %, v Berlíně 272 % a v Brně 258 %.</w:t>
      </w:r>
    </w:p>
    <w:p w:rsidR="00966080" w:rsidRDefault="00966080" w:rsidP="00966080">
      <w:pPr>
        <w:rPr>
          <w:rFonts w:eastAsiaTheme="minorHAnsi" w:cs="Arial"/>
          <w:szCs w:val="18"/>
          <w:u w:val="single"/>
        </w:rPr>
      </w:pPr>
    </w:p>
    <w:p w:rsidR="00BE53BC" w:rsidRPr="009A1795" w:rsidRDefault="009A1795" w:rsidP="008F047E">
      <w:pPr>
        <w:rPr>
          <w:rFonts w:cs="Arial"/>
          <w:szCs w:val="18"/>
        </w:rPr>
      </w:pPr>
      <w:r>
        <w:rPr>
          <w:rFonts w:cs="Arial"/>
          <w:i/>
          <w:iCs/>
          <w:szCs w:val="18"/>
        </w:rPr>
        <w:t>„</w:t>
      </w:r>
      <w:r w:rsidR="008F047E" w:rsidRPr="009A1795">
        <w:rPr>
          <w:rFonts w:cs="Arial"/>
          <w:i/>
          <w:iCs/>
          <w:szCs w:val="18"/>
        </w:rPr>
        <w:t>Důsledkem je, že se zájemci o bydlení obracejí více k možnosti jít do nájmu. Napjatá situace na trhu bydlení však nenabízí v našem případě</w:t>
      </w:r>
      <w:r w:rsidR="00116F4B" w:rsidRPr="009A1795">
        <w:rPr>
          <w:rFonts w:cs="Arial"/>
          <w:i/>
          <w:iCs/>
          <w:szCs w:val="18"/>
        </w:rPr>
        <w:t>,</w:t>
      </w:r>
      <w:r w:rsidR="008F047E" w:rsidRPr="009A1795">
        <w:rPr>
          <w:rFonts w:cs="Arial"/>
          <w:i/>
          <w:iCs/>
          <w:szCs w:val="18"/>
        </w:rPr>
        <w:t xml:space="preserve"> zejména v</w:t>
      </w:r>
      <w:r w:rsidR="00116F4B" w:rsidRPr="009A1795">
        <w:rPr>
          <w:rFonts w:cs="Arial"/>
          <w:i/>
          <w:iCs/>
          <w:szCs w:val="18"/>
        </w:rPr>
        <w:t> </w:t>
      </w:r>
      <w:r w:rsidR="008F047E" w:rsidRPr="009A1795">
        <w:rPr>
          <w:rFonts w:cs="Arial"/>
          <w:i/>
          <w:iCs/>
          <w:szCs w:val="18"/>
        </w:rPr>
        <w:t>Praze</w:t>
      </w:r>
      <w:r w:rsidR="00116F4B" w:rsidRPr="009A1795">
        <w:rPr>
          <w:rFonts w:cs="Arial"/>
          <w:i/>
          <w:iCs/>
          <w:szCs w:val="18"/>
        </w:rPr>
        <w:t xml:space="preserve"> a v Brně,</w:t>
      </w:r>
      <w:r w:rsidR="008F047E" w:rsidRPr="009A1795">
        <w:rPr>
          <w:rFonts w:cs="Arial"/>
          <w:i/>
          <w:iCs/>
          <w:szCs w:val="18"/>
        </w:rPr>
        <w:t xml:space="preserve"> příliš dobré řešení</w:t>
      </w:r>
      <w:r w:rsidR="00DC13F9">
        <w:rPr>
          <w:rFonts w:cs="Arial"/>
          <w:i/>
          <w:iCs/>
          <w:szCs w:val="18"/>
        </w:rPr>
        <w:t>,</w:t>
      </w:r>
      <w:r>
        <w:rPr>
          <w:rFonts w:cs="Arial"/>
          <w:i/>
          <w:iCs/>
          <w:szCs w:val="18"/>
        </w:rPr>
        <w:t xml:space="preserve">“ </w:t>
      </w:r>
      <w:r w:rsidRPr="009A1795">
        <w:rPr>
          <w:rFonts w:cs="Arial"/>
          <w:szCs w:val="18"/>
        </w:rPr>
        <w:t>říká Vladimír Staňura</w:t>
      </w:r>
      <w:r>
        <w:rPr>
          <w:rFonts w:cs="Arial"/>
          <w:szCs w:val="18"/>
        </w:rPr>
        <w:t xml:space="preserve"> a dodává: </w:t>
      </w:r>
      <w:r w:rsidRPr="004979BF">
        <w:rPr>
          <w:rFonts w:cs="Arial"/>
          <w:i/>
          <w:iCs/>
          <w:szCs w:val="18"/>
        </w:rPr>
        <w:t>„</w:t>
      </w:r>
      <w:r w:rsidR="004979BF">
        <w:rPr>
          <w:rFonts w:cs="Arial"/>
          <w:i/>
          <w:iCs/>
          <w:szCs w:val="18"/>
        </w:rPr>
        <w:t>Z</w:t>
      </w:r>
      <w:r w:rsidRPr="004979BF">
        <w:rPr>
          <w:rFonts w:cs="Arial"/>
          <w:i/>
          <w:iCs/>
          <w:szCs w:val="18"/>
        </w:rPr>
        <w:t>ájemce o nájem bytu mu</w:t>
      </w:r>
      <w:r w:rsidR="004979BF" w:rsidRPr="004979BF">
        <w:rPr>
          <w:rFonts w:cs="Arial"/>
          <w:i/>
          <w:iCs/>
          <w:szCs w:val="18"/>
        </w:rPr>
        <w:t>s</w:t>
      </w:r>
      <w:r w:rsidRPr="004979BF">
        <w:rPr>
          <w:rFonts w:cs="Arial"/>
          <w:i/>
          <w:iCs/>
          <w:szCs w:val="18"/>
        </w:rPr>
        <w:t>í dnes v Praze počítat s tím, že</w:t>
      </w:r>
      <w:r w:rsidR="004979BF">
        <w:rPr>
          <w:rFonts w:cs="Arial"/>
          <w:i/>
          <w:iCs/>
          <w:szCs w:val="18"/>
        </w:rPr>
        <w:t xml:space="preserve"> jej bydlení bude stát v porovnání s čistou mzdou </w:t>
      </w:r>
      <w:r w:rsidR="00DC13F9">
        <w:rPr>
          <w:rFonts w:cs="Arial"/>
          <w:i/>
          <w:iCs/>
          <w:szCs w:val="18"/>
        </w:rPr>
        <w:t xml:space="preserve">relativně </w:t>
      </w:r>
      <w:r w:rsidR="004979BF">
        <w:rPr>
          <w:rFonts w:cs="Arial"/>
          <w:i/>
          <w:iCs/>
          <w:szCs w:val="18"/>
        </w:rPr>
        <w:t>více než třeba ve Vídni nebo v Berlíně.“</w:t>
      </w:r>
    </w:p>
    <w:p w:rsidR="000213CC" w:rsidRDefault="000213CC" w:rsidP="000213CC">
      <w:pPr>
        <w:overflowPunct/>
        <w:autoSpaceDE/>
        <w:autoSpaceDN/>
        <w:adjustRightInd/>
        <w:jc w:val="center"/>
        <w:textAlignment w:val="auto"/>
        <w:rPr>
          <w:rFonts w:cs="Arial"/>
          <w:b/>
          <w:color w:val="377F78"/>
          <w:szCs w:val="18"/>
        </w:rPr>
      </w:pPr>
    </w:p>
    <w:p w:rsidR="000213CC" w:rsidRDefault="008E524D" w:rsidP="008F2959">
      <w:pPr>
        <w:overflowPunct/>
        <w:autoSpaceDE/>
        <w:autoSpaceDN/>
        <w:adjustRightInd/>
        <w:jc w:val="left"/>
        <w:textAlignment w:val="auto"/>
        <w:rPr>
          <w:rFonts w:cs="Arial"/>
          <w:b/>
          <w:color w:val="377F78"/>
          <w:szCs w:val="18"/>
        </w:rPr>
      </w:pPr>
      <w:r>
        <w:rPr>
          <w:rFonts w:cs="Arial"/>
          <w:b/>
          <w:noProof/>
          <w:color w:val="377F78"/>
          <w:szCs w:val="18"/>
        </w:rPr>
        <w:drawing>
          <wp:anchor distT="0" distB="0" distL="114300" distR="114300" simplePos="0" relativeHeight="251701248" behindDoc="0" locked="0" layoutInCell="1" allowOverlap="1" wp14:anchorId="558FFFC8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5544820" cy="1800225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b="3175"/>
                    <a:stretch/>
                  </pic:blipFill>
                  <pic:spPr bwMode="auto">
                    <a:xfrm>
                      <a:off x="0" y="0"/>
                      <a:ext cx="55448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3F9">
        <w:rPr>
          <w:rFonts w:cs="Arial"/>
          <w:noProof/>
          <w:sz w:val="16"/>
          <w:szCs w:val="18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>
                <wp:simplePos x="0" y="0"/>
                <wp:positionH relativeFrom="column">
                  <wp:posOffset>731276</wp:posOffset>
                </wp:positionH>
                <wp:positionV relativeFrom="paragraph">
                  <wp:posOffset>391</wp:posOffset>
                </wp:positionV>
                <wp:extent cx="5035550" cy="224790"/>
                <wp:effectExtent l="0" t="0" r="0" b="3810"/>
                <wp:wrapThrough wrapText="bothSides">
                  <wp:wrapPolygon edited="0">
                    <wp:start x="0" y="0"/>
                    <wp:lineTo x="0" y="20136"/>
                    <wp:lineTo x="21491" y="20136"/>
                    <wp:lineTo x="21491" y="0"/>
                    <wp:lineTo x="0" y="0"/>
                  </wp:wrapPolygon>
                </wp:wrapThrough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3F9" w:rsidRPr="00DC13F9" w:rsidRDefault="00DC13F9" w:rsidP="00DC13F9">
                            <w:pPr>
                              <w:jc w:val="center"/>
                            </w:pPr>
                            <w:r w:rsidRPr="00DC13F9">
                              <w:rPr>
                                <w:b/>
                                <w:bCs/>
                              </w:rPr>
                              <w:t>Pronájem třípokojového bytu mimo centrum k čisté měsíční mzdě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C13F9">
                              <w:t>(Zdroj: nu</w:t>
                            </w:r>
                            <w:r w:rsidR="00EC6D2C">
                              <w:t>m</w:t>
                            </w:r>
                            <w:r w:rsidRPr="00DC13F9">
                              <w:t>beo.com)</w:t>
                            </w:r>
                          </w:p>
                          <w:p w:rsidR="00DC13F9" w:rsidRDefault="00DC13F9" w:rsidP="00DC1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.6pt;margin-top:.05pt;width:396.5pt;height:17.7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" stroked="f">
                <v:textbox>
                  <w:txbxContent>
                    <w:p w:rsidR="00DC13F9" w:rsidRPr="00DC13F9" w:rsidRDefault="00DC13F9" w:rsidP="00DC13F9">
                      <w:pPr>
                        <w:jc w:val="center"/>
                      </w:pPr>
                      <w:r w:rsidRPr="00DC13F9">
                        <w:rPr>
                          <w:b/>
                          <w:bCs/>
                        </w:rPr>
                        <w:t>Pronájem třípokojového bytu mimo centrum k čisté měsíční mzdě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C13F9">
                        <w:t>(Zdroj: nu</w:t>
                      </w:r>
                      <w:r w:rsidR="00EC6D2C">
                        <w:t>m</w:t>
                      </w:r>
                      <w:r w:rsidRPr="00DC13F9">
                        <w:t>beo.com)</w:t>
                      </w:r>
                    </w:p>
                    <w:p w:rsidR="00DC13F9" w:rsidRDefault="00DC13F9" w:rsidP="00DC13F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66080" w:rsidRPr="00DC13F9" w:rsidRDefault="00DC13F9" w:rsidP="008F2959">
      <w:pPr>
        <w:overflowPunct/>
        <w:autoSpaceDE/>
        <w:autoSpaceDN/>
        <w:adjustRightInd/>
        <w:jc w:val="left"/>
        <w:textAlignment w:val="auto"/>
        <w:rPr>
          <w:rFonts w:cs="Arial"/>
          <w:b/>
          <w:color w:val="377F78"/>
          <w:szCs w:val="18"/>
        </w:rPr>
      </w:pPr>
      <w:r>
        <w:rPr>
          <w:rFonts w:cs="Arial"/>
          <w:b/>
          <w:color w:val="377F78"/>
          <w:szCs w:val="18"/>
        </w:rPr>
        <w:t>J</w:t>
      </w:r>
      <w:r w:rsidR="00966080" w:rsidRPr="00DC13F9">
        <w:rPr>
          <w:rFonts w:cs="Arial"/>
          <w:b/>
          <w:color w:val="377F78"/>
          <w:szCs w:val="18"/>
        </w:rPr>
        <w:t xml:space="preserve">ak se </w:t>
      </w:r>
      <w:r w:rsidR="00F2719D">
        <w:rPr>
          <w:rFonts w:cs="Arial"/>
          <w:b/>
          <w:color w:val="377F78"/>
          <w:szCs w:val="18"/>
        </w:rPr>
        <w:t xml:space="preserve">bude </w:t>
      </w:r>
      <w:r w:rsidR="00966080" w:rsidRPr="00DC13F9">
        <w:rPr>
          <w:rFonts w:cs="Arial"/>
          <w:b/>
          <w:color w:val="377F78"/>
          <w:szCs w:val="18"/>
        </w:rPr>
        <w:t>situace vyvíjet dále?</w:t>
      </w:r>
    </w:p>
    <w:p w:rsidR="00F9267B" w:rsidRPr="00F9267B" w:rsidRDefault="00966080" w:rsidP="00F9267B">
      <w:pPr>
        <w:rPr>
          <w:rFonts w:cs="Arial"/>
          <w:szCs w:val="18"/>
        </w:rPr>
      </w:pPr>
      <w:r>
        <w:rPr>
          <w:rFonts w:cs="Arial"/>
          <w:szCs w:val="18"/>
        </w:rPr>
        <w:t>Z</w:t>
      </w:r>
      <w:r w:rsidR="007078D6">
        <w:rPr>
          <w:rFonts w:cs="Arial"/>
          <w:szCs w:val="18"/>
        </w:rPr>
        <w:t xml:space="preserve">ásadním faktorem </w:t>
      </w:r>
      <w:r w:rsidR="00DC13F9">
        <w:rPr>
          <w:rFonts w:cs="Arial"/>
          <w:szCs w:val="18"/>
        </w:rPr>
        <w:t xml:space="preserve">je </w:t>
      </w:r>
      <w:r w:rsidR="007078D6">
        <w:rPr>
          <w:rFonts w:cs="Arial"/>
          <w:szCs w:val="18"/>
        </w:rPr>
        <w:t>omezená nabídka nemovitostí</w:t>
      </w:r>
      <w:r w:rsidR="00DC13F9">
        <w:rPr>
          <w:rFonts w:cs="Arial"/>
          <w:szCs w:val="18"/>
        </w:rPr>
        <w:t xml:space="preserve">. </w:t>
      </w:r>
      <w:r w:rsidR="00F9267B">
        <w:rPr>
          <w:rFonts w:cs="Arial"/>
          <w:szCs w:val="18"/>
        </w:rPr>
        <w:t xml:space="preserve">V tuto chvíli se zdá, </w:t>
      </w:r>
      <w:r w:rsidR="00F9267B" w:rsidRPr="00F9267B">
        <w:rPr>
          <w:rFonts w:cs="Arial"/>
          <w:szCs w:val="18"/>
        </w:rPr>
        <w:t>že ceny rezidenčních nemovitostí právě atakují svou horní hranic</w:t>
      </w:r>
      <w:r w:rsidR="00F9267B" w:rsidRPr="00EC058C">
        <w:rPr>
          <w:rFonts w:cs="Arial"/>
          <w:szCs w:val="18"/>
        </w:rPr>
        <w:t>i</w:t>
      </w:r>
      <w:r w:rsidR="000213CC" w:rsidRPr="00EC058C">
        <w:rPr>
          <w:rFonts w:cs="Arial"/>
          <w:szCs w:val="18"/>
        </w:rPr>
        <w:t>.</w:t>
      </w:r>
      <w:r w:rsidR="000213CC">
        <w:rPr>
          <w:rFonts w:cs="Arial"/>
          <w:b/>
          <w:bCs/>
          <w:szCs w:val="18"/>
        </w:rPr>
        <w:t xml:space="preserve"> </w:t>
      </w:r>
      <w:r w:rsidR="00F9267B" w:rsidRPr="00F9267B">
        <w:rPr>
          <w:rFonts w:cs="Arial"/>
          <w:szCs w:val="18"/>
        </w:rPr>
        <w:t xml:space="preserve">Zájemci </w:t>
      </w:r>
      <w:r w:rsidR="00F9267B">
        <w:rPr>
          <w:rFonts w:cs="Arial"/>
          <w:szCs w:val="18"/>
        </w:rPr>
        <w:t xml:space="preserve">o koupi bydlení </w:t>
      </w:r>
      <w:r w:rsidR="00F9267B" w:rsidRPr="00F9267B">
        <w:rPr>
          <w:rFonts w:cs="Arial"/>
          <w:szCs w:val="18"/>
        </w:rPr>
        <w:t>jsou nyní vystaveni nejvyšším pořizovacím nákladům</w:t>
      </w:r>
      <w:r w:rsidR="000213CC">
        <w:rPr>
          <w:rFonts w:cs="Arial"/>
          <w:szCs w:val="18"/>
        </w:rPr>
        <w:t xml:space="preserve"> v historii, </w:t>
      </w:r>
      <w:r w:rsidR="00F9267B" w:rsidRPr="00F9267B">
        <w:rPr>
          <w:rFonts w:cs="Arial"/>
          <w:szCs w:val="18"/>
        </w:rPr>
        <w:t xml:space="preserve">v některých </w:t>
      </w:r>
      <w:r w:rsidR="0015125A">
        <w:rPr>
          <w:rFonts w:cs="Arial"/>
          <w:szCs w:val="18"/>
        </w:rPr>
        <w:t>lokalitách</w:t>
      </w:r>
      <w:r w:rsidR="00F9267B" w:rsidRPr="00F9267B">
        <w:rPr>
          <w:rFonts w:cs="Arial"/>
          <w:szCs w:val="18"/>
        </w:rPr>
        <w:t xml:space="preserve"> až neúnosným.</w:t>
      </w:r>
    </w:p>
    <w:p w:rsidR="00F9267B" w:rsidRPr="00F9267B" w:rsidRDefault="00F9267B" w:rsidP="00F9267B">
      <w:pPr>
        <w:rPr>
          <w:rFonts w:cs="Arial"/>
          <w:szCs w:val="18"/>
        </w:rPr>
      </w:pPr>
    </w:p>
    <w:p w:rsidR="00F9267B" w:rsidRPr="00F9267B" w:rsidRDefault="00057396" w:rsidP="00057396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  <w:r>
        <w:rPr>
          <w:rFonts w:cs="Arial"/>
          <w:szCs w:val="18"/>
        </w:rPr>
        <w:t xml:space="preserve">Další vývoj bude </w:t>
      </w:r>
      <w:r w:rsidR="000213CC">
        <w:rPr>
          <w:rFonts w:cs="Arial"/>
          <w:szCs w:val="18"/>
        </w:rPr>
        <w:t>závislý na</w:t>
      </w:r>
      <w:r>
        <w:rPr>
          <w:rFonts w:cs="Arial"/>
          <w:szCs w:val="18"/>
        </w:rPr>
        <w:t xml:space="preserve"> následujících činitel</w:t>
      </w:r>
      <w:r w:rsidR="000213CC">
        <w:rPr>
          <w:rFonts w:cs="Arial"/>
          <w:szCs w:val="18"/>
        </w:rPr>
        <w:t>ích</w:t>
      </w:r>
      <w:r>
        <w:rPr>
          <w:rFonts w:cs="Arial"/>
          <w:szCs w:val="18"/>
        </w:rPr>
        <w:t>: pohyb</w:t>
      </w:r>
      <w:r w:rsidR="00EC058C">
        <w:rPr>
          <w:rFonts w:cs="Arial"/>
          <w:szCs w:val="18"/>
        </w:rPr>
        <w:t>u</w:t>
      </w:r>
      <w:r>
        <w:rPr>
          <w:rFonts w:cs="Arial"/>
          <w:szCs w:val="18"/>
        </w:rPr>
        <w:t xml:space="preserve"> ú</w:t>
      </w:r>
      <w:r w:rsidR="00F9267B" w:rsidRPr="00F9267B">
        <w:rPr>
          <w:rFonts w:cs="Arial"/>
          <w:szCs w:val="18"/>
        </w:rPr>
        <w:t>rokov</w:t>
      </w:r>
      <w:r>
        <w:rPr>
          <w:rFonts w:cs="Arial"/>
          <w:szCs w:val="18"/>
        </w:rPr>
        <w:t>ých</w:t>
      </w:r>
      <w:r w:rsidR="00F9267B" w:rsidRPr="00F9267B">
        <w:rPr>
          <w:rFonts w:cs="Arial"/>
          <w:szCs w:val="18"/>
        </w:rPr>
        <w:t xml:space="preserve"> saz</w:t>
      </w:r>
      <w:r>
        <w:rPr>
          <w:rFonts w:cs="Arial"/>
          <w:szCs w:val="18"/>
        </w:rPr>
        <w:t>e</w:t>
      </w:r>
      <w:r w:rsidR="00F9267B" w:rsidRPr="00F9267B">
        <w:rPr>
          <w:rFonts w:cs="Arial"/>
          <w:szCs w:val="18"/>
        </w:rPr>
        <w:t>b</w:t>
      </w:r>
      <w:r>
        <w:rPr>
          <w:rFonts w:cs="Arial"/>
          <w:szCs w:val="18"/>
        </w:rPr>
        <w:t xml:space="preserve">, očekávání </w:t>
      </w:r>
      <w:r w:rsidR="00F9267B" w:rsidRPr="00F9267B">
        <w:rPr>
          <w:rFonts w:cs="Arial"/>
          <w:szCs w:val="18"/>
        </w:rPr>
        <w:t xml:space="preserve">domácností </w:t>
      </w:r>
      <w:r>
        <w:rPr>
          <w:rFonts w:cs="Arial"/>
          <w:szCs w:val="18"/>
        </w:rPr>
        <w:t>ohledně</w:t>
      </w:r>
      <w:r w:rsidR="00F9267B" w:rsidRPr="00F9267B">
        <w:rPr>
          <w:rFonts w:cs="Arial"/>
          <w:szCs w:val="18"/>
        </w:rPr>
        <w:t xml:space="preserve"> udržitelnost</w:t>
      </w:r>
      <w:r>
        <w:rPr>
          <w:rFonts w:cs="Arial"/>
          <w:szCs w:val="18"/>
        </w:rPr>
        <w:t>i</w:t>
      </w:r>
      <w:r w:rsidR="00F9267B" w:rsidRPr="00F9267B">
        <w:rPr>
          <w:rFonts w:cs="Arial"/>
          <w:szCs w:val="18"/>
        </w:rPr>
        <w:t xml:space="preserve"> jejich disponibilních příjmů</w:t>
      </w:r>
      <w:r>
        <w:rPr>
          <w:rFonts w:cs="Arial"/>
          <w:szCs w:val="18"/>
        </w:rPr>
        <w:t>, s</w:t>
      </w:r>
      <w:r w:rsidR="00F9267B" w:rsidRPr="00F9267B">
        <w:rPr>
          <w:rFonts w:cs="Arial"/>
          <w:szCs w:val="18"/>
        </w:rPr>
        <w:t>ituac</w:t>
      </w:r>
      <w:r w:rsidR="000213CC">
        <w:rPr>
          <w:rFonts w:cs="Arial"/>
          <w:szCs w:val="18"/>
        </w:rPr>
        <w:t>i</w:t>
      </w:r>
      <w:r w:rsidR="00F9267B" w:rsidRPr="00F9267B">
        <w:rPr>
          <w:rFonts w:cs="Arial"/>
          <w:szCs w:val="18"/>
        </w:rPr>
        <w:t xml:space="preserve"> na trhu práce</w:t>
      </w:r>
      <w:r>
        <w:rPr>
          <w:rFonts w:cs="Arial"/>
          <w:szCs w:val="18"/>
        </w:rPr>
        <w:t>, celkové ekonomické situaci a důvěře lidí v budoucnost, vývoj</w:t>
      </w:r>
      <w:r w:rsidR="000213CC">
        <w:rPr>
          <w:rFonts w:cs="Arial"/>
          <w:szCs w:val="18"/>
        </w:rPr>
        <w:t>i</w:t>
      </w:r>
      <w:r>
        <w:rPr>
          <w:rFonts w:cs="Arial"/>
          <w:szCs w:val="18"/>
        </w:rPr>
        <w:t xml:space="preserve"> nájemného a konečně v</w:t>
      </w:r>
      <w:r w:rsidR="00F9267B" w:rsidRPr="00F9267B">
        <w:rPr>
          <w:rFonts w:cs="Arial"/>
          <w:szCs w:val="18"/>
        </w:rPr>
        <w:t>ýstavb</w:t>
      </w:r>
      <w:r w:rsidR="000213CC">
        <w:rPr>
          <w:rFonts w:cs="Arial"/>
          <w:szCs w:val="18"/>
        </w:rPr>
        <w:t>ě</w:t>
      </w:r>
      <w:r w:rsidR="00F9267B" w:rsidRPr="00F9267B">
        <w:rPr>
          <w:rFonts w:cs="Arial"/>
          <w:szCs w:val="18"/>
        </w:rPr>
        <w:t xml:space="preserve"> a vývoj</w:t>
      </w:r>
      <w:r w:rsidR="000213CC">
        <w:rPr>
          <w:rFonts w:cs="Arial"/>
          <w:szCs w:val="18"/>
        </w:rPr>
        <w:t>i</w:t>
      </w:r>
      <w:r w:rsidR="00F9267B" w:rsidRPr="00F9267B">
        <w:rPr>
          <w:rFonts w:cs="Arial"/>
          <w:szCs w:val="18"/>
        </w:rPr>
        <w:t xml:space="preserve"> na straně nabídky volných bytových jednotek.</w:t>
      </w:r>
    </w:p>
    <w:p w:rsidR="00F9267B" w:rsidRDefault="00F9267B" w:rsidP="008F2959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966080" w:rsidRDefault="00966080" w:rsidP="00EC058C">
      <w:pPr>
        <w:overflowPunct/>
        <w:autoSpaceDE/>
        <w:autoSpaceDN/>
        <w:adjustRightInd/>
        <w:textAlignment w:val="auto"/>
        <w:rPr>
          <w:rFonts w:cs="Arial"/>
          <w:szCs w:val="18"/>
        </w:rPr>
      </w:pPr>
      <w:r>
        <w:rPr>
          <w:rFonts w:cs="Arial"/>
          <w:szCs w:val="18"/>
        </w:rPr>
        <w:t>Na dalším vývoji se projeví i ekonomická situace, zejména pokud by se naplnily scénáře, které se nikdo nepřeje</w:t>
      </w:r>
      <w:r w:rsidR="0061392C">
        <w:rPr>
          <w:rFonts w:cs="Arial"/>
          <w:szCs w:val="18"/>
        </w:rPr>
        <w:t>,</w:t>
      </w:r>
      <w:r>
        <w:rPr>
          <w:rFonts w:cs="Arial"/>
          <w:szCs w:val="18"/>
        </w:rPr>
        <w:t xml:space="preserve"> ale které nelze </w:t>
      </w:r>
      <w:r w:rsidR="0061392C">
        <w:rPr>
          <w:rFonts w:cs="Arial"/>
          <w:szCs w:val="18"/>
        </w:rPr>
        <w:t>p</w:t>
      </w:r>
      <w:r>
        <w:rPr>
          <w:rFonts w:cs="Arial"/>
          <w:szCs w:val="18"/>
        </w:rPr>
        <w:t xml:space="preserve">ominout, tedy </w:t>
      </w:r>
      <w:r w:rsidR="0061392C">
        <w:rPr>
          <w:rFonts w:cs="Arial"/>
          <w:szCs w:val="18"/>
        </w:rPr>
        <w:t>zpomalení hospodářského růstu nebo jeho propad s dopadem na situaci na trhu práce i vývoj příjmů obyvatelstva.</w:t>
      </w:r>
    </w:p>
    <w:p w:rsidR="000213CC" w:rsidRDefault="000213CC" w:rsidP="008F2959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4979BF" w:rsidRPr="00D36238" w:rsidRDefault="004979BF" w:rsidP="000213CC">
      <w:pPr>
        <w:spacing w:after="120"/>
        <w:contextualSpacing/>
        <w:rPr>
          <w:rFonts w:cs="Arial"/>
          <w:szCs w:val="18"/>
        </w:rPr>
      </w:pPr>
      <w:r w:rsidRPr="004979BF">
        <w:rPr>
          <w:rFonts w:cs="Arial"/>
          <w:szCs w:val="18"/>
        </w:rPr>
        <w:t xml:space="preserve">V budoucnu bude </w:t>
      </w:r>
      <w:r w:rsidR="00685F12">
        <w:rPr>
          <w:rFonts w:cs="Arial"/>
          <w:szCs w:val="18"/>
        </w:rPr>
        <w:t xml:space="preserve">tedy </w:t>
      </w:r>
      <w:r w:rsidRPr="004979BF">
        <w:rPr>
          <w:rFonts w:cs="Arial"/>
          <w:szCs w:val="18"/>
        </w:rPr>
        <w:t>stav českého trhu s bydlením ovlivňovat mix různých faktorů, jejichž vzájemné působení může ovlivnit cenu rezidenčních nemovitostí v různém rozsahu</w:t>
      </w:r>
      <w:r w:rsidR="00685F12">
        <w:rPr>
          <w:rFonts w:cs="Arial"/>
          <w:szCs w:val="18"/>
        </w:rPr>
        <w:t xml:space="preserve"> a různém směru</w:t>
      </w:r>
      <w:r w:rsidRPr="004979BF">
        <w:rPr>
          <w:rFonts w:cs="Arial"/>
          <w:szCs w:val="18"/>
        </w:rPr>
        <w:t xml:space="preserve">. </w:t>
      </w:r>
      <w:r w:rsidR="00D36238" w:rsidRPr="00D36238">
        <w:rPr>
          <w:rFonts w:cs="Arial"/>
          <w:i/>
          <w:iCs/>
          <w:szCs w:val="18"/>
        </w:rPr>
        <w:t>„</w:t>
      </w:r>
      <w:r w:rsidRPr="00D36238">
        <w:rPr>
          <w:rFonts w:cs="Arial"/>
          <w:i/>
          <w:iCs/>
          <w:szCs w:val="18"/>
        </w:rPr>
        <w:t xml:space="preserve">Jako nejpravděpodobnější se jeví scénář, kdy v následujících letech dojde </w:t>
      </w:r>
      <w:r w:rsidR="00D36238">
        <w:rPr>
          <w:rFonts w:cs="Arial"/>
          <w:i/>
          <w:iCs/>
          <w:szCs w:val="18"/>
        </w:rPr>
        <w:t xml:space="preserve">zejména díky </w:t>
      </w:r>
      <w:r w:rsidR="00D36238" w:rsidRPr="00D36238">
        <w:rPr>
          <w:rFonts w:cs="Arial"/>
          <w:i/>
          <w:iCs/>
          <w:szCs w:val="18"/>
        </w:rPr>
        <w:t>novel</w:t>
      </w:r>
      <w:r w:rsidR="00D36238">
        <w:rPr>
          <w:rFonts w:cs="Arial"/>
          <w:i/>
          <w:iCs/>
          <w:szCs w:val="18"/>
        </w:rPr>
        <w:t>e</w:t>
      </w:r>
      <w:r w:rsidR="00D36238" w:rsidRPr="00D36238">
        <w:rPr>
          <w:rFonts w:cs="Arial"/>
          <w:i/>
          <w:iCs/>
          <w:szCs w:val="18"/>
        </w:rPr>
        <w:t xml:space="preserve"> stavebního zákona, předzásobení develope</w:t>
      </w:r>
      <w:r w:rsidR="00D36238">
        <w:rPr>
          <w:rFonts w:cs="Arial"/>
          <w:i/>
          <w:iCs/>
          <w:szCs w:val="18"/>
        </w:rPr>
        <w:t>rů a</w:t>
      </w:r>
      <w:r w:rsidR="00D36238" w:rsidRPr="00D36238">
        <w:rPr>
          <w:rFonts w:cs="Arial"/>
          <w:i/>
          <w:iCs/>
          <w:szCs w:val="18"/>
        </w:rPr>
        <w:t xml:space="preserve"> hotov</w:t>
      </w:r>
      <w:r w:rsidR="00D36238">
        <w:rPr>
          <w:rFonts w:cs="Arial"/>
          <w:i/>
          <w:iCs/>
          <w:szCs w:val="18"/>
        </w:rPr>
        <w:t>ým</w:t>
      </w:r>
      <w:r w:rsidR="00D36238" w:rsidRPr="00D36238">
        <w:rPr>
          <w:rFonts w:cs="Arial"/>
          <w:i/>
          <w:iCs/>
          <w:szCs w:val="18"/>
        </w:rPr>
        <w:t xml:space="preserve"> projekt</w:t>
      </w:r>
      <w:r w:rsidR="00D36238">
        <w:rPr>
          <w:rFonts w:cs="Arial"/>
          <w:i/>
          <w:iCs/>
          <w:szCs w:val="18"/>
        </w:rPr>
        <w:t>ům</w:t>
      </w:r>
      <w:r w:rsidR="00D36238" w:rsidRPr="00D36238">
        <w:rPr>
          <w:rFonts w:cs="Arial"/>
          <w:i/>
          <w:iCs/>
          <w:szCs w:val="18"/>
        </w:rPr>
        <w:t xml:space="preserve"> </w:t>
      </w:r>
      <w:r w:rsidRPr="00D36238">
        <w:rPr>
          <w:rFonts w:cs="Arial"/>
          <w:i/>
          <w:iCs/>
          <w:szCs w:val="18"/>
        </w:rPr>
        <w:t>k nárůstu nabídky volných bytových jednotek</w:t>
      </w:r>
      <w:r w:rsidR="00D36238">
        <w:rPr>
          <w:rFonts w:cs="Arial"/>
          <w:i/>
          <w:iCs/>
          <w:szCs w:val="18"/>
        </w:rPr>
        <w:t xml:space="preserve">. Bude se tak dít </w:t>
      </w:r>
      <w:r w:rsidRPr="00D36238">
        <w:rPr>
          <w:rFonts w:cs="Arial"/>
          <w:i/>
          <w:iCs/>
          <w:szCs w:val="18"/>
        </w:rPr>
        <w:t>při postupném zpomalení ekonomiky</w:t>
      </w:r>
      <w:r w:rsidR="00D36238">
        <w:rPr>
          <w:rFonts w:cs="Arial"/>
          <w:i/>
          <w:iCs/>
          <w:szCs w:val="18"/>
        </w:rPr>
        <w:t xml:space="preserve"> daném </w:t>
      </w:r>
      <w:r w:rsidRPr="00D36238">
        <w:rPr>
          <w:rFonts w:cs="Arial"/>
          <w:i/>
          <w:iCs/>
          <w:szCs w:val="18"/>
        </w:rPr>
        <w:t>Brexit</w:t>
      </w:r>
      <w:r w:rsidR="00D36238">
        <w:rPr>
          <w:rFonts w:cs="Arial"/>
          <w:i/>
          <w:iCs/>
          <w:szCs w:val="18"/>
        </w:rPr>
        <w:t>em</w:t>
      </w:r>
      <w:r w:rsidRPr="00D36238">
        <w:rPr>
          <w:rFonts w:cs="Arial"/>
          <w:i/>
          <w:iCs/>
          <w:szCs w:val="18"/>
        </w:rPr>
        <w:t>, globální</w:t>
      </w:r>
      <w:r w:rsidR="00D36238">
        <w:rPr>
          <w:rFonts w:cs="Arial"/>
          <w:i/>
          <w:iCs/>
          <w:szCs w:val="18"/>
        </w:rPr>
        <w:t>mi</w:t>
      </w:r>
      <w:r w:rsidRPr="00D36238">
        <w:rPr>
          <w:rFonts w:cs="Arial"/>
          <w:i/>
          <w:iCs/>
          <w:szCs w:val="18"/>
        </w:rPr>
        <w:t xml:space="preserve"> hrozb</w:t>
      </w:r>
      <w:r w:rsidR="00D36238">
        <w:rPr>
          <w:rFonts w:cs="Arial"/>
          <w:i/>
          <w:iCs/>
          <w:szCs w:val="18"/>
        </w:rPr>
        <w:t>ami a v neposlední řadě slabší</w:t>
      </w:r>
      <w:r w:rsidRPr="00D36238">
        <w:rPr>
          <w:rFonts w:cs="Arial"/>
          <w:i/>
          <w:iCs/>
          <w:szCs w:val="18"/>
        </w:rPr>
        <w:t xml:space="preserve"> německ</w:t>
      </w:r>
      <w:r w:rsidR="00D36238">
        <w:rPr>
          <w:rFonts w:cs="Arial"/>
          <w:i/>
          <w:iCs/>
          <w:szCs w:val="18"/>
        </w:rPr>
        <w:t>ou</w:t>
      </w:r>
      <w:r w:rsidRPr="00D36238">
        <w:rPr>
          <w:rFonts w:cs="Arial"/>
          <w:i/>
          <w:iCs/>
          <w:szCs w:val="18"/>
        </w:rPr>
        <w:t xml:space="preserve"> ekonomik</w:t>
      </w:r>
      <w:r w:rsidR="00D36238">
        <w:rPr>
          <w:rFonts w:cs="Arial"/>
          <w:i/>
          <w:iCs/>
          <w:szCs w:val="18"/>
        </w:rPr>
        <w:t>ou</w:t>
      </w:r>
      <w:r w:rsidR="000213CC" w:rsidRPr="00D36238">
        <w:rPr>
          <w:rFonts w:cs="Arial"/>
          <w:i/>
          <w:iCs/>
          <w:szCs w:val="18"/>
        </w:rPr>
        <w:t xml:space="preserve">. </w:t>
      </w:r>
      <w:r w:rsidR="00D36238">
        <w:rPr>
          <w:rFonts w:cs="Arial"/>
          <w:i/>
          <w:iCs/>
          <w:szCs w:val="18"/>
        </w:rPr>
        <w:t>N</w:t>
      </w:r>
      <w:r w:rsidRPr="00D36238">
        <w:rPr>
          <w:rFonts w:cs="Arial"/>
          <w:i/>
          <w:iCs/>
          <w:szCs w:val="18"/>
        </w:rPr>
        <w:t>ásled</w:t>
      </w:r>
      <w:r w:rsidR="00D36238">
        <w:rPr>
          <w:rFonts w:cs="Arial"/>
          <w:i/>
          <w:iCs/>
          <w:szCs w:val="18"/>
        </w:rPr>
        <w:t>kem toho dojde ke</w:t>
      </w:r>
      <w:r w:rsidRPr="00D36238">
        <w:rPr>
          <w:rFonts w:cs="Arial"/>
          <w:i/>
          <w:iCs/>
          <w:szCs w:val="18"/>
        </w:rPr>
        <w:t xml:space="preserve"> zhoršení situace na straně kupujících</w:t>
      </w:r>
      <w:r w:rsidR="000213CC" w:rsidRPr="00D36238">
        <w:rPr>
          <w:rFonts w:cs="Arial"/>
          <w:i/>
          <w:iCs/>
          <w:szCs w:val="18"/>
        </w:rPr>
        <w:t xml:space="preserve">, a to z důvodu </w:t>
      </w:r>
      <w:r w:rsidRPr="00D36238">
        <w:rPr>
          <w:rFonts w:cs="Arial"/>
          <w:i/>
          <w:iCs/>
          <w:szCs w:val="18"/>
        </w:rPr>
        <w:t>růst</w:t>
      </w:r>
      <w:r w:rsidR="000213CC" w:rsidRPr="00D36238">
        <w:rPr>
          <w:rFonts w:cs="Arial"/>
          <w:i/>
          <w:iCs/>
          <w:szCs w:val="18"/>
        </w:rPr>
        <w:t>u</w:t>
      </w:r>
      <w:r w:rsidRPr="00D36238">
        <w:rPr>
          <w:rFonts w:cs="Arial"/>
          <w:i/>
          <w:iCs/>
          <w:szCs w:val="18"/>
        </w:rPr>
        <w:t xml:space="preserve"> nezaměstnanosti, nižší mí</w:t>
      </w:r>
      <w:r w:rsidR="00D36238" w:rsidRPr="00D36238">
        <w:rPr>
          <w:rFonts w:cs="Arial"/>
          <w:i/>
          <w:iCs/>
          <w:szCs w:val="18"/>
        </w:rPr>
        <w:t>ry</w:t>
      </w:r>
      <w:r w:rsidRPr="00D36238">
        <w:rPr>
          <w:rFonts w:cs="Arial"/>
          <w:i/>
          <w:iCs/>
          <w:szCs w:val="18"/>
        </w:rPr>
        <w:t xml:space="preserve"> nalézání práce, absenc</w:t>
      </w:r>
      <w:r w:rsidR="00D36238" w:rsidRPr="00D36238">
        <w:rPr>
          <w:rFonts w:cs="Arial"/>
          <w:i/>
          <w:iCs/>
          <w:szCs w:val="18"/>
        </w:rPr>
        <w:t xml:space="preserve">e </w:t>
      </w:r>
      <w:r w:rsidRPr="00D36238">
        <w:rPr>
          <w:rFonts w:cs="Arial"/>
          <w:i/>
          <w:iCs/>
          <w:szCs w:val="18"/>
        </w:rPr>
        <w:t>růstu reálných mezd</w:t>
      </w:r>
      <w:r w:rsidR="00D36238" w:rsidRPr="00D36238">
        <w:rPr>
          <w:rFonts w:cs="Arial"/>
          <w:i/>
          <w:iCs/>
          <w:szCs w:val="18"/>
        </w:rPr>
        <w:t xml:space="preserve"> či</w:t>
      </w:r>
      <w:r w:rsidRPr="00D36238">
        <w:rPr>
          <w:rFonts w:cs="Arial"/>
          <w:i/>
          <w:iCs/>
          <w:szCs w:val="18"/>
        </w:rPr>
        <w:t xml:space="preserve"> zvýšení dluhové zátěže</w:t>
      </w:r>
      <w:r w:rsidR="00D36238">
        <w:rPr>
          <w:rFonts w:cs="Arial"/>
          <w:i/>
          <w:iCs/>
          <w:szCs w:val="18"/>
        </w:rPr>
        <w:t xml:space="preserve">,“ </w:t>
      </w:r>
      <w:r w:rsidR="00D36238" w:rsidRPr="00D36238">
        <w:rPr>
          <w:rFonts w:cs="Arial"/>
          <w:szCs w:val="18"/>
        </w:rPr>
        <w:t>předpovídá Vladimír Staňura.</w:t>
      </w:r>
      <w:r w:rsidRPr="00D36238">
        <w:rPr>
          <w:rFonts w:cs="Arial"/>
          <w:szCs w:val="18"/>
        </w:rPr>
        <w:t xml:space="preserve"> </w:t>
      </w:r>
    </w:p>
    <w:p w:rsidR="007078D6" w:rsidRPr="00E27F2F" w:rsidRDefault="007078D6" w:rsidP="008F2959">
      <w:pPr>
        <w:overflowPunct/>
        <w:autoSpaceDE/>
        <w:autoSpaceDN/>
        <w:adjustRightInd/>
        <w:jc w:val="left"/>
        <w:textAlignment w:val="auto"/>
        <w:rPr>
          <w:rFonts w:cs="Arial"/>
          <w:color w:val="FF0000"/>
          <w:sz w:val="16"/>
          <w:szCs w:val="18"/>
        </w:rPr>
      </w:pPr>
      <w:r>
        <w:rPr>
          <w:rFonts w:cs="Arial"/>
          <w:szCs w:val="18"/>
        </w:rPr>
        <w:t xml:space="preserve"> </w:t>
      </w:r>
    </w:p>
    <w:p w:rsidR="00EE3CDA" w:rsidRPr="00DC13F9" w:rsidRDefault="00C21CA1" w:rsidP="00BD483C">
      <w:pPr>
        <w:spacing w:after="120" w:line="276" w:lineRule="auto"/>
        <w:contextualSpacing/>
        <w:rPr>
          <w:rFonts w:cs="Arial"/>
          <w:b/>
          <w:color w:val="377F78"/>
          <w:szCs w:val="18"/>
        </w:rPr>
      </w:pPr>
      <w:r w:rsidRPr="00DC13F9">
        <w:rPr>
          <w:rFonts w:cs="Arial"/>
          <w:b/>
          <w:color w:val="377F78"/>
          <w:szCs w:val="18"/>
        </w:rPr>
        <w:lastRenderedPageBreak/>
        <w:t>Změnit příklon k vlastnickému bydlení nebude snadné</w:t>
      </w:r>
    </w:p>
    <w:p w:rsidR="00556DE6" w:rsidRDefault="00A54B25" w:rsidP="008B66EE">
      <w:pPr>
        <w:overflowPunct/>
        <w:autoSpaceDE/>
        <w:autoSpaceDN/>
        <w:adjustRightInd/>
        <w:textAlignment w:val="auto"/>
        <w:rPr>
          <w:rFonts w:cs="Arial"/>
          <w:szCs w:val="18"/>
        </w:rPr>
      </w:pPr>
      <w:r w:rsidRPr="00A4316F">
        <w:rPr>
          <w:rFonts w:cs="Arial"/>
          <w:szCs w:val="18"/>
        </w:rPr>
        <w:t xml:space="preserve">Češi </w:t>
      </w:r>
      <w:r w:rsidR="004979BF">
        <w:rPr>
          <w:rFonts w:cs="Arial"/>
          <w:szCs w:val="18"/>
        </w:rPr>
        <w:t xml:space="preserve">jsou tradičně </w:t>
      </w:r>
      <w:r w:rsidR="00A4316F" w:rsidRPr="00A4316F">
        <w:rPr>
          <w:rFonts w:cs="Arial"/>
          <w:szCs w:val="18"/>
        </w:rPr>
        <w:t xml:space="preserve">nakloněni </w:t>
      </w:r>
      <w:r w:rsidRPr="00A4316F">
        <w:rPr>
          <w:rFonts w:cs="Arial"/>
          <w:szCs w:val="18"/>
        </w:rPr>
        <w:t xml:space="preserve">vlastnickému bydlení a bude tomu tak </w:t>
      </w:r>
      <w:r w:rsidR="00A4316F">
        <w:rPr>
          <w:rFonts w:cs="Arial"/>
          <w:szCs w:val="18"/>
        </w:rPr>
        <w:t xml:space="preserve">nejspíše </w:t>
      </w:r>
      <w:r w:rsidRPr="00A4316F">
        <w:rPr>
          <w:rFonts w:cs="Arial"/>
          <w:szCs w:val="18"/>
        </w:rPr>
        <w:t>i nadále</w:t>
      </w:r>
      <w:r w:rsidR="00830902" w:rsidRPr="00A4316F">
        <w:rPr>
          <w:rFonts w:cs="Arial"/>
          <w:szCs w:val="18"/>
        </w:rPr>
        <w:t>. Tento trend je viditelný ve všech postkomunistických zemích</w:t>
      </w:r>
      <w:r w:rsidR="00A4316F">
        <w:rPr>
          <w:rFonts w:cs="Arial"/>
          <w:szCs w:val="18"/>
        </w:rPr>
        <w:t xml:space="preserve"> a do jisté míry má podobné kořeny – lidí vnímají investici do bydlení </w:t>
      </w:r>
      <w:r w:rsidR="00A4316F" w:rsidRPr="00A4316F">
        <w:rPr>
          <w:rFonts w:cs="Arial"/>
          <w:szCs w:val="18"/>
        </w:rPr>
        <w:t>jako spolehlivou formu zajištění na stáří a dobrou, málo rizikovou investici</w:t>
      </w:r>
      <w:r w:rsidR="00830902" w:rsidRPr="00A4316F">
        <w:rPr>
          <w:rFonts w:cs="Arial"/>
          <w:szCs w:val="18"/>
        </w:rPr>
        <w:t>.</w:t>
      </w:r>
    </w:p>
    <w:p w:rsidR="001F5CF7" w:rsidRDefault="001F5CF7" w:rsidP="00A4316F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4979BF" w:rsidRPr="00531777" w:rsidRDefault="004979BF" w:rsidP="00D36238">
      <w:pPr>
        <w:overflowPunct/>
        <w:autoSpaceDE/>
        <w:autoSpaceDN/>
        <w:adjustRightInd/>
        <w:jc w:val="center"/>
        <w:textAlignment w:val="auto"/>
        <w:rPr>
          <w:rFonts w:cs="Arial"/>
          <w:szCs w:val="18"/>
        </w:rPr>
      </w:pPr>
      <w:r w:rsidRPr="004979BF">
        <w:rPr>
          <w:rFonts w:cs="Arial"/>
          <w:b/>
          <w:bCs/>
          <w:szCs w:val="18"/>
        </w:rPr>
        <w:t>Rozdělení obyvatelstva podle užívání nemovitosti, 2017 (% populace)</w:t>
      </w:r>
      <w:r w:rsidR="00531777">
        <w:rPr>
          <w:rFonts w:cs="Arial"/>
          <w:b/>
          <w:bCs/>
          <w:szCs w:val="18"/>
        </w:rPr>
        <w:t xml:space="preserve"> </w:t>
      </w:r>
      <w:r w:rsidR="00531777" w:rsidRPr="00531777">
        <w:rPr>
          <w:rFonts w:cs="Arial"/>
          <w:szCs w:val="18"/>
        </w:rPr>
        <w:t xml:space="preserve">(Zdroj: Eurostat, data za 2016) </w:t>
      </w:r>
    </w:p>
    <w:p w:rsidR="00A4316F" w:rsidRPr="00A4316F" w:rsidRDefault="00D36238" w:rsidP="00D36238">
      <w:pPr>
        <w:overflowPunct/>
        <w:autoSpaceDE/>
        <w:autoSpaceDN/>
        <w:adjustRightInd/>
        <w:jc w:val="center"/>
        <w:textAlignment w:val="auto"/>
        <w:rPr>
          <w:rFonts w:cs="Arial"/>
          <w:color w:val="FF0000"/>
          <w:szCs w:val="18"/>
        </w:rPr>
      </w:pPr>
      <w:r>
        <w:rPr>
          <w:rFonts w:cs="Arial"/>
          <w:noProof/>
          <w:color w:val="FF0000"/>
          <w:szCs w:val="18"/>
        </w:rPr>
        <w:drawing>
          <wp:inline distT="0" distB="0" distL="0" distR="0" wp14:anchorId="1466EAF6">
            <wp:extent cx="4142095" cy="2489618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79" cy="250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1CC" w:rsidRDefault="004641CC" w:rsidP="00BD483C">
      <w:pPr>
        <w:spacing w:after="120" w:line="276" w:lineRule="auto"/>
        <w:contextualSpacing/>
        <w:rPr>
          <w:rFonts w:cs="Arial"/>
          <w:sz w:val="16"/>
          <w:szCs w:val="16"/>
        </w:rPr>
      </w:pPr>
    </w:p>
    <w:p w:rsidR="004979BF" w:rsidRDefault="004979BF" w:rsidP="00BD483C">
      <w:pPr>
        <w:spacing w:after="120" w:line="276" w:lineRule="auto"/>
        <w:contextualSpacing/>
        <w:rPr>
          <w:rFonts w:cs="Arial"/>
          <w:sz w:val="16"/>
          <w:szCs w:val="16"/>
        </w:rPr>
      </w:pPr>
    </w:p>
    <w:p w:rsidR="004979BF" w:rsidRPr="00057396" w:rsidRDefault="00F2719D" w:rsidP="004979BF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  <w:r w:rsidRPr="00F2719D">
        <w:rPr>
          <w:rFonts w:cs="Arial"/>
          <w:szCs w:val="18"/>
        </w:rPr>
        <w:t>To se však může změnit.</w:t>
      </w:r>
      <w:r>
        <w:rPr>
          <w:rFonts w:cs="Arial"/>
          <w:i/>
          <w:iCs/>
          <w:szCs w:val="18"/>
        </w:rPr>
        <w:t xml:space="preserve"> </w:t>
      </w:r>
      <w:r w:rsidR="004979BF" w:rsidRPr="00D36238">
        <w:rPr>
          <w:rFonts w:cs="Arial"/>
          <w:i/>
          <w:iCs/>
          <w:szCs w:val="18"/>
        </w:rPr>
        <w:t>„Lze ale očekávat, že v následujících letech se bude Česká republika stále více přibližovat západním zemím Evropy, kde je podíl nájemního bydlení daleko vyšší než v tuzemsku. Zejména mladší část populace bude před hypotečními úvěry favorizovat flexibilnější nájemní bydlení, a to i za cenu toho, že se při srovnatelných až lehce vyšších měsíčních nákladech</w:t>
      </w:r>
      <w:r w:rsidR="00D36238" w:rsidRPr="00D36238">
        <w:rPr>
          <w:rFonts w:cs="Arial"/>
          <w:i/>
          <w:iCs/>
          <w:szCs w:val="18"/>
        </w:rPr>
        <w:t xml:space="preserve"> </w:t>
      </w:r>
      <w:r w:rsidR="004979BF" w:rsidRPr="00D36238">
        <w:rPr>
          <w:rFonts w:cs="Arial"/>
          <w:i/>
          <w:iCs/>
          <w:szCs w:val="18"/>
        </w:rPr>
        <w:t>okrádají o budoucí vlastnictví nemovitého aktiva</w:t>
      </w:r>
      <w:r w:rsidR="00D36238" w:rsidRPr="00D36238">
        <w:rPr>
          <w:rFonts w:cs="Arial"/>
          <w:i/>
          <w:iCs/>
          <w:szCs w:val="18"/>
        </w:rPr>
        <w:t>,</w:t>
      </w:r>
      <w:r w:rsidR="004979BF" w:rsidRPr="00D36238">
        <w:rPr>
          <w:rFonts w:cs="Arial"/>
          <w:i/>
          <w:iCs/>
          <w:szCs w:val="18"/>
        </w:rPr>
        <w:t>“</w:t>
      </w:r>
      <w:r w:rsidR="004979BF">
        <w:rPr>
          <w:rFonts w:cs="Arial"/>
          <w:i/>
          <w:iCs/>
          <w:szCs w:val="18"/>
        </w:rPr>
        <w:t xml:space="preserve"> </w:t>
      </w:r>
      <w:r w:rsidR="00D36238">
        <w:rPr>
          <w:rFonts w:cs="Arial"/>
          <w:szCs w:val="18"/>
        </w:rPr>
        <w:t>uzavírá</w:t>
      </w:r>
      <w:r w:rsidR="004979BF" w:rsidRPr="00057396">
        <w:rPr>
          <w:rFonts w:cs="Arial"/>
          <w:szCs w:val="18"/>
        </w:rPr>
        <w:t xml:space="preserve"> autor studie</w:t>
      </w:r>
      <w:r w:rsidR="00D36238">
        <w:rPr>
          <w:rFonts w:cs="Arial"/>
          <w:szCs w:val="18"/>
        </w:rPr>
        <w:t>, analytik</w:t>
      </w:r>
      <w:r w:rsidR="004979BF" w:rsidRPr="00057396">
        <w:rPr>
          <w:rFonts w:cs="Arial"/>
          <w:szCs w:val="18"/>
        </w:rPr>
        <w:t xml:space="preserve"> Tomáš Somogyi</w:t>
      </w:r>
      <w:r w:rsidR="004979BF">
        <w:rPr>
          <w:rFonts w:cs="Arial"/>
          <w:i/>
          <w:iCs/>
          <w:szCs w:val="18"/>
        </w:rPr>
        <w:t>.</w:t>
      </w:r>
      <w:r w:rsidR="004979BF" w:rsidRPr="00057396">
        <w:rPr>
          <w:rFonts w:cs="Arial"/>
          <w:i/>
          <w:iCs/>
          <w:szCs w:val="18"/>
        </w:rPr>
        <w:t xml:space="preserve"> </w:t>
      </w:r>
    </w:p>
    <w:p w:rsidR="004979BF" w:rsidRDefault="004979BF" w:rsidP="004979BF">
      <w:pPr>
        <w:overflowPunct/>
        <w:autoSpaceDE/>
        <w:autoSpaceDN/>
        <w:adjustRightInd/>
        <w:jc w:val="left"/>
        <w:textAlignment w:val="auto"/>
        <w:rPr>
          <w:rFonts w:cs="Arial"/>
          <w:szCs w:val="18"/>
        </w:rPr>
      </w:pPr>
    </w:p>
    <w:p w:rsidR="00221FF5" w:rsidRPr="00E27F2F" w:rsidRDefault="00221FF5" w:rsidP="00BD483C">
      <w:pPr>
        <w:spacing w:after="120" w:line="276" w:lineRule="auto"/>
        <w:contextualSpacing/>
        <w:rPr>
          <w:rFonts w:cs="Arial"/>
          <w:b/>
          <w:color w:val="007E79"/>
          <w:kern w:val="3"/>
          <w:sz w:val="16"/>
          <w:szCs w:val="16"/>
          <w:lang w:eastAsia="zh-CN" w:bidi="hi-IN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8E524D" w:rsidRDefault="008E524D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D36238" w:rsidRDefault="001F5CF7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  <w:r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154306</wp:posOffset>
                </wp:positionV>
                <wp:extent cx="6574790" cy="1346200"/>
                <wp:effectExtent l="0" t="0" r="0" b="635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4790" cy="134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24E" w:rsidRPr="003028DC" w:rsidRDefault="0065124E" w:rsidP="00F8461A">
                            <w:pPr>
                              <w:spacing w:after="120" w:line="276" w:lineRule="auto"/>
                              <w:contextualSpacing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8"/>
                              </w:rPr>
                              <w:t xml:space="preserve">O </w:t>
                            </w:r>
                            <w:r w:rsidR="001F5CF7">
                              <w:rPr>
                                <w:rFonts w:cs="Arial"/>
                                <w:b/>
                                <w:szCs w:val="18"/>
                              </w:rPr>
                              <w:t>autorovi studie</w:t>
                            </w:r>
                            <w:r w:rsidR="00531777">
                              <w:rPr>
                                <w:rFonts w:cs="Arial"/>
                                <w:b/>
                                <w:szCs w:val="18"/>
                              </w:rPr>
                              <w:t>:</w:t>
                            </w:r>
                          </w:p>
                          <w:p w:rsidR="0065124E" w:rsidRPr="00335341" w:rsidRDefault="001F5CF7" w:rsidP="00060D7F">
                            <w:pPr>
                              <w:pStyle w:val="Zhlav"/>
                              <w:spacing w:line="276" w:lineRule="auto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Tomáš Somogyi v</w:t>
                            </w:r>
                            <w:r w:rsidRPr="001F5CF7">
                              <w:rPr>
                                <w:rFonts w:cs="Arial"/>
                                <w:szCs w:val="18"/>
                              </w:rPr>
                              <w:t>ystudoval magisterské studium na Národohospodářské fakultě Vysoké školy ekonomické s hlavní specializací na národní hospodářství a vedlejší specializací na oceňování podniku a jeho majetku, kterou absolvoval na Institutu oceňování majetku. Zajímá se o kapitálové trhy, makroekonomii a problematiku fondů kvalifikovaných investorů, se kterou se na denní bázi stýká ve svém profesním životě. V současné době působí jako Relationship Manager v oddělení Wealth Managementu skupiny C</w:t>
                            </w:r>
                            <w:r w:rsidR="0015125A">
                              <w:rPr>
                                <w:rFonts w:cs="Arial"/>
                                <w:szCs w:val="18"/>
                              </w:rPr>
                              <w:t>onseq</w:t>
                            </w:r>
                            <w:r w:rsidRPr="001F5CF7">
                              <w:rPr>
                                <w:rFonts w:cs="Arial"/>
                                <w:szCs w:val="18"/>
                              </w:rPr>
                              <w:t>, kde se zaměřuje na zakládání a správu investičních fondů či dluhopisové emise.</w:t>
                            </w: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 Současně externě spolupracuje s Českou bankovní asociací jako </w:t>
                            </w:r>
                            <w:r w:rsidR="00F2719D">
                              <w:rPr>
                                <w:rFonts w:cs="Arial"/>
                                <w:szCs w:val="18"/>
                              </w:rPr>
                              <w:t xml:space="preserve">ekonomický </w:t>
                            </w: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analytik.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30" style="position:absolute;left:0;text-align:left;margin-left:0;margin-top:12.15pt;width:517.7pt;height:10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" fillcolor="#bfbfbf [2412]" stroked="f" strokeweight="1pt">
                <v:textbox inset="3mm,3mm,3mm,3mm">
                  <w:txbxContent>
                    <w:p w:rsidR="0065124E" w:rsidRPr="003028DC" w:rsidRDefault="0065124E" w:rsidP="00F8461A">
                      <w:pPr>
                        <w:spacing w:after="120" w:line="276" w:lineRule="auto"/>
                        <w:contextualSpacing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Cs w:val="18"/>
                        </w:rPr>
                        <w:t xml:space="preserve">O </w:t>
                      </w:r>
                      <w:r w:rsidR="001F5CF7">
                        <w:rPr>
                          <w:rFonts w:cs="Arial"/>
                          <w:b/>
                          <w:szCs w:val="18"/>
                        </w:rPr>
                        <w:t>autorovi studie</w:t>
                      </w:r>
                      <w:r w:rsidR="00531777">
                        <w:rPr>
                          <w:rFonts w:cs="Arial"/>
                          <w:b/>
                          <w:szCs w:val="18"/>
                        </w:rPr>
                        <w:t>:</w:t>
                      </w:r>
                    </w:p>
                    <w:p w:rsidR="0065124E" w:rsidRPr="00335341" w:rsidRDefault="001F5CF7" w:rsidP="00060D7F">
                      <w:pPr>
                        <w:pStyle w:val="Zhlav"/>
                        <w:spacing w:line="276" w:lineRule="auto"/>
                        <w:jc w:val="left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Tomáš Somogyi v</w:t>
                      </w:r>
                      <w:r w:rsidRPr="001F5CF7">
                        <w:rPr>
                          <w:rFonts w:cs="Arial"/>
                          <w:szCs w:val="18"/>
                        </w:rPr>
                        <w:t>ystudoval magisterské studium na Národohospodářské fakultě Vysoké školy ekonomické s hlavní specializací na národní hospodářství a vedlejší specializací na oceňování podniku a jeho majetku, kterou absolvoval na Institutu oceňování majetku. Zajímá se o kapitálové trhy, makroekonomii a problematiku fondů kvalifikovaných investorů, se kterou se na denní bázi stýká ve svém profesním životě. V současné době působí jako Relationship Manager v oddělení Wealth Managementu skupiny C</w:t>
                      </w:r>
                      <w:r w:rsidR="0015125A">
                        <w:rPr>
                          <w:rFonts w:cs="Arial"/>
                          <w:szCs w:val="18"/>
                        </w:rPr>
                        <w:t>onseq</w:t>
                      </w:r>
                      <w:r w:rsidRPr="001F5CF7">
                        <w:rPr>
                          <w:rFonts w:cs="Arial"/>
                          <w:szCs w:val="18"/>
                        </w:rPr>
                        <w:t>, kde se zaměřuje na zakládání a správu investičních fondů či dluhopisové emise.</w:t>
                      </w:r>
                      <w:r>
                        <w:rPr>
                          <w:rFonts w:cs="Arial"/>
                          <w:szCs w:val="18"/>
                        </w:rPr>
                        <w:t xml:space="preserve"> Současně externě spolupracuje s Českou bankovní asociací jako </w:t>
                      </w:r>
                      <w:r w:rsidR="00F2719D">
                        <w:rPr>
                          <w:rFonts w:cs="Arial"/>
                          <w:szCs w:val="18"/>
                        </w:rPr>
                        <w:t xml:space="preserve">ekonomický </w:t>
                      </w:r>
                      <w:r>
                        <w:rPr>
                          <w:rFonts w:cs="Arial"/>
                          <w:szCs w:val="18"/>
                        </w:rPr>
                        <w:t xml:space="preserve">analytik.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6238" w:rsidRPr="00E27F2F" w:rsidRDefault="00D36238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662C23" w:rsidRPr="00E27F2F" w:rsidRDefault="00662C23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:rsidR="00AB0ED1" w:rsidRPr="00E27F2F" w:rsidRDefault="00AB0ED1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F052C" w:rsidRPr="00E27F2F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E373B4" w:rsidRPr="00E27F2F" w:rsidRDefault="00D36238" w:rsidP="008B1C16">
      <w:pPr>
        <w:spacing w:line="276" w:lineRule="auto"/>
        <w:contextualSpacing/>
        <w:rPr>
          <w:rFonts w:cs="Arial"/>
          <w:sz w:val="16"/>
          <w:szCs w:val="16"/>
        </w:rPr>
      </w:pPr>
      <w:r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28727</wp:posOffset>
                </wp:positionV>
                <wp:extent cx="2198370" cy="1557655"/>
                <wp:effectExtent l="0" t="2540" r="1905" b="1905"/>
                <wp:wrapNone/>
                <wp:docPr id="3" name="Obdélní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155765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8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24E" w:rsidRPr="00F2719D" w:rsidRDefault="0065124E" w:rsidP="00044002">
                            <w:pPr>
                              <w:spacing w:line="276" w:lineRule="auto"/>
                              <w:ind w:left="28" w:hanging="28"/>
                              <w:jc w:val="left"/>
                              <w:outlineLvl w:val="0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ind w:left="28" w:hanging="28"/>
                              <w:jc w:val="left"/>
                              <w:outlineLvl w:val="0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  <w:t>Monika Petrásková</w:t>
                            </w:r>
                            <w:bookmarkStart w:id="1" w:name="_GoBack"/>
                            <w:bookmarkEnd w:id="1"/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  <w:t>m</w:t>
                            </w:r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anažerka PR a komunikace ČBA</w:t>
                            </w:r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petraskova@czech-ba.cz</w:t>
                            </w:r>
                          </w:p>
                          <w:p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tel: + 420 733 130 282</w:t>
                            </w:r>
                          </w:p>
                          <w:p w:rsidR="0065124E" w:rsidRDefault="0065124E" w:rsidP="0004400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0" o:spid="_x0000_s1031" style="position:absolute;left:0;text-align:left;margin-left:343.9pt;margin-top:2.25pt;width:173.1pt;height:1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" fillcolor="#007e79" stroked="f" strokeweight="1pt">
                <v:fill opacity="56283f"/>
                <v:textbox inset="3mm,3mm,3mm,3mm">
                  <w:txbxContent>
                    <w:p w:rsidR="0065124E" w:rsidRPr="00F2719D" w:rsidRDefault="0065124E" w:rsidP="00044002">
                      <w:pPr>
                        <w:spacing w:line="276" w:lineRule="auto"/>
                        <w:ind w:left="28" w:hanging="28"/>
                        <w:jc w:val="left"/>
                        <w:outlineLvl w:val="0"/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F2719D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ind w:left="28" w:hanging="28"/>
                        <w:jc w:val="left"/>
                        <w:outlineLvl w:val="0"/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F2719D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>obdržíte na adrese: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Cs w:val="18"/>
                        </w:rPr>
                      </w:pP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  <w:t>Monika Petrásková</w:t>
                      </w:r>
                      <w:bookmarkStart w:id="2" w:name="_GoBack"/>
                      <w:bookmarkEnd w:id="2"/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  <w:t>m</w:t>
                      </w: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anažerka PR a komunikace ČBA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petraskova@czech-ba.cz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tel: + 420 733 130 282</w:t>
                      </w:r>
                    </w:p>
                    <w:p w:rsidR="0065124E" w:rsidRDefault="0065124E" w:rsidP="00044002">
                      <w:pPr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26774</wp:posOffset>
                </wp:positionV>
                <wp:extent cx="4322445" cy="1558290"/>
                <wp:effectExtent l="0" t="0" r="1905" b="3810"/>
                <wp:wrapNone/>
                <wp:docPr id="199" name="Obdélní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2445" cy="1558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24E" w:rsidRPr="009F3268" w:rsidRDefault="0065124E" w:rsidP="00060D7F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b/>
                                <w:szCs w:val="18"/>
                              </w:rPr>
                              <w:t>O České bankovní asociaci</w:t>
                            </w:r>
                          </w:p>
                          <w:p w:rsidR="0065124E" w:rsidRPr="009F3268" w:rsidRDefault="0065124E" w:rsidP="00060D7F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9" o:spid="_x0000_s1029" style="position:absolute;left:0;text-align:left;margin-left:0;margin-top:2.1pt;width:340.35pt;height:122.7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" fillcolor="#bfbfbf [2412]" stroked="f" strokeweight="1pt">
                <v:textbox inset="3mm,3mm,3mm,3mm">
                  <w:txbxContent>
                    <w:p w14:paraId="63EEE53A" w14:textId="77777777" w:rsidR="0065124E" w:rsidRPr="009F3268" w:rsidRDefault="0065124E" w:rsidP="00060D7F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Cs w:val="18"/>
                        </w:rPr>
                      </w:pPr>
                      <w:r w:rsidRPr="009F3268">
                        <w:rPr>
                          <w:rFonts w:cs="Arial"/>
                          <w:b/>
                          <w:szCs w:val="18"/>
                        </w:rPr>
                        <w:t>O České bankovní asociaci</w:t>
                      </w:r>
                    </w:p>
                    <w:p w14:paraId="5EDCC5F3" w14:textId="77777777" w:rsidR="0065124E" w:rsidRPr="009F3268" w:rsidRDefault="0065124E" w:rsidP="00060D7F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9F3268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6EA8" w:rsidRPr="00E27F2F" w:rsidRDefault="004F6EA8" w:rsidP="008B1C16">
      <w:pPr>
        <w:spacing w:line="276" w:lineRule="auto"/>
        <w:contextualSpacing/>
        <w:jc w:val="center"/>
        <w:rPr>
          <w:rFonts w:cs="Arial"/>
          <w:sz w:val="16"/>
          <w:szCs w:val="16"/>
        </w:rPr>
      </w:pPr>
    </w:p>
    <w:p w:rsidR="00B15438" w:rsidRPr="00E27F2F" w:rsidRDefault="00B15438" w:rsidP="008B1C16">
      <w:pPr>
        <w:spacing w:line="276" w:lineRule="auto"/>
        <w:contextualSpacing/>
        <w:rPr>
          <w:rFonts w:cs="Arial"/>
          <w:sz w:val="16"/>
          <w:szCs w:val="16"/>
        </w:rPr>
      </w:pPr>
      <w:r w:rsidRPr="00E27F2F">
        <w:rPr>
          <w:rFonts w:cs="Arial"/>
          <w:sz w:val="16"/>
          <w:szCs w:val="16"/>
        </w:rPr>
        <w:t xml:space="preserve"> </w:t>
      </w:r>
    </w:p>
    <w:p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:rsidR="00B85546" w:rsidRPr="00E27F2F" w:rsidRDefault="00B85546" w:rsidP="008B1C16">
      <w:pPr>
        <w:spacing w:line="276" w:lineRule="auto"/>
        <w:contextualSpacing/>
        <w:rPr>
          <w:rFonts w:eastAsiaTheme="minorEastAsia" w:cs="Arial"/>
          <w:sz w:val="16"/>
          <w:szCs w:val="18"/>
        </w:rPr>
      </w:pPr>
    </w:p>
    <w:sectPr w:rsidR="00B85546" w:rsidRPr="00E27F2F" w:rsidSect="00F83EEA">
      <w:headerReference w:type="default" r:id="rId18"/>
      <w:footerReference w:type="default" r:id="rId19"/>
      <w:pgSz w:w="11906" w:h="16838"/>
      <w:pgMar w:top="2410" w:right="849" w:bottom="1135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CEC" w:rsidRDefault="00C80CEC" w:rsidP="00F573F1">
      <w:r>
        <w:separator/>
      </w:r>
    </w:p>
  </w:endnote>
  <w:endnote w:type="continuationSeparator" w:id="0">
    <w:p w:rsidR="00C80CEC" w:rsidRDefault="00C80CEC" w:rsidP="00F5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6A6A6" w:themeColor="background1" w:themeShade="A6"/>
        <w:sz w:val="14"/>
      </w:rPr>
      <w:id w:val="211002874"/>
      <w:docPartObj>
        <w:docPartGallery w:val="Page Numbers (Bottom of Page)"/>
        <w:docPartUnique/>
      </w:docPartObj>
    </w:sdtPr>
    <w:sdtEndPr/>
    <w:sdtContent>
      <w:p w:rsidR="0065124E" w:rsidRPr="00FB4A1C" w:rsidRDefault="0065124E">
        <w:pPr>
          <w:pStyle w:val="Zpat"/>
          <w:rPr>
            <w:color w:val="A6A6A6" w:themeColor="background1" w:themeShade="A6"/>
            <w:sz w:val="14"/>
          </w:rPr>
        </w:pPr>
        <w:r w:rsidRPr="00FB4A1C">
          <w:rPr>
            <w:color w:val="A6A6A6" w:themeColor="background1" w:themeShade="A6"/>
            <w:sz w:val="14"/>
          </w:rPr>
          <w:fldChar w:fldCharType="begin"/>
        </w:r>
        <w:r w:rsidRPr="00FB4A1C">
          <w:rPr>
            <w:color w:val="A6A6A6" w:themeColor="background1" w:themeShade="A6"/>
            <w:sz w:val="14"/>
          </w:rPr>
          <w:instrText>PAGE   \* MERGEFORMAT</w:instrText>
        </w:r>
        <w:r w:rsidRPr="00FB4A1C">
          <w:rPr>
            <w:color w:val="A6A6A6" w:themeColor="background1" w:themeShade="A6"/>
            <w:sz w:val="14"/>
          </w:rPr>
          <w:fldChar w:fldCharType="separate"/>
        </w:r>
        <w:r w:rsidR="00C21CA1">
          <w:rPr>
            <w:noProof/>
            <w:color w:val="A6A6A6" w:themeColor="background1" w:themeShade="A6"/>
            <w:sz w:val="14"/>
          </w:rPr>
          <w:t>4</w:t>
        </w:r>
        <w:r w:rsidRPr="00FB4A1C">
          <w:rPr>
            <w:color w:val="A6A6A6" w:themeColor="background1" w:themeShade="A6"/>
            <w:sz w:val="14"/>
          </w:rPr>
          <w:fldChar w:fldCharType="end"/>
        </w:r>
      </w:p>
    </w:sdtContent>
  </w:sdt>
  <w:p w:rsidR="0065124E" w:rsidRPr="00FB4A1C" w:rsidRDefault="0065124E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CEC" w:rsidRDefault="00C80CEC" w:rsidP="00F573F1">
      <w:r>
        <w:separator/>
      </w:r>
    </w:p>
  </w:footnote>
  <w:footnote w:type="continuationSeparator" w:id="0">
    <w:p w:rsidR="00C80CEC" w:rsidRDefault="00C80CEC" w:rsidP="00F5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24E" w:rsidRDefault="0065124E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112395</wp:posOffset>
          </wp:positionH>
          <wp:positionV relativeFrom="paragraph">
            <wp:posOffset>-413385</wp:posOffset>
          </wp:positionV>
          <wp:extent cx="3196206" cy="1612900"/>
          <wp:effectExtent l="0" t="0" r="4445" b="635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ČBA_logo_cz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6206" cy="16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9A1"/>
    <w:multiLevelType w:val="hybridMultilevel"/>
    <w:tmpl w:val="28EA1BD4"/>
    <w:lvl w:ilvl="0" w:tplc="F8600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0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22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C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2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2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9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5843AD"/>
    <w:multiLevelType w:val="hybridMultilevel"/>
    <w:tmpl w:val="EB828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15A72"/>
    <w:multiLevelType w:val="hybridMultilevel"/>
    <w:tmpl w:val="4222A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72C3C"/>
    <w:multiLevelType w:val="hybridMultilevel"/>
    <w:tmpl w:val="163C6E86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206309C"/>
    <w:multiLevelType w:val="hybridMultilevel"/>
    <w:tmpl w:val="855E01C6"/>
    <w:lvl w:ilvl="0" w:tplc="9F3AF1E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92919"/>
    <w:multiLevelType w:val="hybridMultilevel"/>
    <w:tmpl w:val="2B56FAFE"/>
    <w:lvl w:ilvl="0" w:tplc="698817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42FC1"/>
    <w:multiLevelType w:val="hybridMultilevel"/>
    <w:tmpl w:val="C296AEE6"/>
    <w:lvl w:ilvl="0" w:tplc="B25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FA4577"/>
    <w:multiLevelType w:val="hybridMultilevel"/>
    <w:tmpl w:val="553EAC9E"/>
    <w:lvl w:ilvl="0" w:tplc="8B20C2B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343A30"/>
    <w:multiLevelType w:val="hybridMultilevel"/>
    <w:tmpl w:val="26BEA028"/>
    <w:lvl w:ilvl="0" w:tplc="886E4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2B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E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2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2F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E2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5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85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BB14DD"/>
    <w:multiLevelType w:val="hybridMultilevel"/>
    <w:tmpl w:val="17628C18"/>
    <w:lvl w:ilvl="0" w:tplc="E50CA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C643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B6EF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9EEF1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2ECDB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A6A64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85E4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5F0E1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8AD3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2C5A2A51"/>
    <w:multiLevelType w:val="hybridMultilevel"/>
    <w:tmpl w:val="633C8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B2B28"/>
    <w:multiLevelType w:val="hybridMultilevel"/>
    <w:tmpl w:val="A77CB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70A7D"/>
    <w:multiLevelType w:val="hybridMultilevel"/>
    <w:tmpl w:val="E76A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A024A"/>
    <w:multiLevelType w:val="hybridMultilevel"/>
    <w:tmpl w:val="123AA014"/>
    <w:lvl w:ilvl="0" w:tplc="A1E66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A3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20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A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88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8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45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EB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8A7633"/>
    <w:multiLevelType w:val="hybridMultilevel"/>
    <w:tmpl w:val="A68019BE"/>
    <w:lvl w:ilvl="0" w:tplc="D6BA4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C9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E8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6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23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66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ED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8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0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9105EB"/>
    <w:multiLevelType w:val="hybridMultilevel"/>
    <w:tmpl w:val="25882682"/>
    <w:lvl w:ilvl="0" w:tplc="E586E02A">
      <w:start w:val="1"/>
      <w:numFmt w:val="decimal"/>
      <w:lvlText w:val="%1."/>
      <w:lvlJc w:val="left"/>
      <w:pPr>
        <w:ind w:left="410" w:hanging="360"/>
      </w:pPr>
    </w:lvl>
    <w:lvl w:ilvl="1" w:tplc="08090019">
      <w:start w:val="1"/>
      <w:numFmt w:val="lowerLetter"/>
      <w:lvlText w:val="%2."/>
      <w:lvlJc w:val="left"/>
      <w:pPr>
        <w:ind w:left="1130" w:hanging="360"/>
      </w:pPr>
    </w:lvl>
    <w:lvl w:ilvl="2" w:tplc="0809001B">
      <w:start w:val="1"/>
      <w:numFmt w:val="lowerRoman"/>
      <w:lvlText w:val="%3."/>
      <w:lvlJc w:val="right"/>
      <w:pPr>
        <w:ind w:left="1850" w:hanging="180"/>
      </w:pPr>
    </w:lvl>
    <w:lvl w:ilvl="3" w:tplc="0809000F">
      <w:start w:val="1"/>
      <w:numFmt w:val="decimal"/>
      <w:lvlText w:val="%4."/>
      <w:lvlJc w:val="left"/>
      <w:pPr>
        <w:ind w:left="2570" w:hanging="360"/>
      </w:pPr>
    </w:lvl>
    <w:lvl w:ilvl="4" w:tplc="08090019">
      <w:start w:val="1"/>
      <w:numFmt w:val="lowerLetter"/>
      <w:lvlText w:val="%5."/>
      <w:lvlJc w:val="left"/>
      <w:pPr>
        <w:ind w:left="3290" w:hanging="360"/>
      </w:pPr>
    </w:lvl>
    <w:lvl w:ilvl="5" w:tplc="0809001B">
      <w:start w:val="1"/>
      <w:numFmt w:val="lowerRoman"/>
      <w:lvlText w:val="%6."/>
      <w:lvlJc w:val="right"/>
      <w:pPr>
        <w:ind w:left="4010" w:hanging="180"/>
      </w:pPr>
    </w:lvl>
    <w:lvl w:ilvl="6" w:tplc="0809000F">
      <w:start w:val="1"/>
      <w:numFmt w:val="decimal"/>
      <w:lvlText w:val="%7."/>
      <w:lvlJc w:val="left"/>
      <w:pPr>
        <w:ind w:left="4730" w:hanging="360"/>
      </w:pPr>
    </w:lvl>
    <w:lvl w:ilvl="7" w:tplc="08090019">
      <w:start w:val="1"/>
      <w:numFmt w:val="lowerLetter"/>
      <w:lvlText w:val="%8."/>
      <w:lvlJc w:val="left"/>
      <w:pPr>
        <w:ind w:left="5450" w:hanging="360"/>
      </w:pPr>
    </w:lvl>
    <w:lvl w:ilvl="8" w:tplc="0809001B">
      <w:start w:val="1"/>
      <w:numFmt w:val="lowerRoman"/>
      <w:lvlText w:val="%9."/>
      <w:lvlJc w:val="right"/>
      <w:pPr>
        <w:ind w:left="6170" w:hanging="180"/>
      </w:pPr>
    </w:lvl>
  </w:abstractNum>
  <w:abstractNum w:abstractNumId="16" w15:restartNumberingAfterBreak="0">
    <w:nsid w:val="66E1214D"/>
    <w:multiLevelType w:val="hybridMultilevel"/>
    <w:tmpl w:val="9F34024E"/>
    <w:lvl w:ilvl="0" w:tplc="ADB0A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29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48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A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62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E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A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C9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23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7613CD2"/>
    <w:multiLevelType w:val="hybridMultilevel"/>
    <w:tmpl w:val="0CF0BB3A"/>
    <w:lvl w:ilvl="0" w:tplc="15082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66C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0C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AB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3CC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205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E1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CFD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EA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65577F"/>
    <w:multiLevelType w:val="hybridMultilevel"/>
    <w:tmpl w:val="BBB23B48"/>
    <w:lvl w:ilvl="0" w:tplc="AC68A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AC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0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6B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6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6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4D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FD055A"/>
    <w:multiLevelType w:val="hybridMultilevel"/>
    <w:tmpl w:val="F490C33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EA509EA"/>
    <w:multiLevelType w:val="hybridMultilevel"/>
    <w:tmpl w:val="14E0161E"/>
    <w:lvl w:ilvl="0" w:tplc="9F3AF1EC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137D7D"/>
    <w:multiLevelType w:val="hybridMultilevel"/>
    <w:tmpl w:val="F856C146"/>
    <w:lvl w:ilvl="0" w:tplc="F37A31C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5767A3"/>
    <w:multiLevelType w:val="hybridMultilevel"/>
    <w:tmpl w:val="50648AEA"/>
    <w:lvl w:ilvl="0" w:tplc="A2506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E9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C9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9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8C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9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AC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E4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2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9FB636A"/>
    <w:multiLevelType w:val="hybridMultilevel"/>
    <w:tmpl w:val="4454BAA0"/>
    <w:lvl w:ilvl="0" w:tplc="3A1A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2F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AC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24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27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648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26D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1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C2B4724"/>
    <w:multiLevelType w:val="hybridMultilevel"/>
    <w:tmpl w:val="A274A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1"/>
  </w:num>
  <w:num w:numId="4">
    <w:abstractNumId w:val="11"/>
  </w:num>
  <w:num w:numId="5">
    <w:abstractNumId w:val="3"/>
  </w:num>
  <w:num w:numId="6">
    <w:abstractNumId w:val="19"/>
  </w:num>
  <w:num w:numId="7">
    <w:abstractNumId w:val="5"/>
  </w:num>
  <w:num w:numId="8">
    <w:abstractNumId w:val="23"/>
  </w:num>
  <w:num w:numId="9">
    <w:abstractNumId w:val="4"/>
  </w:num>
  <w:num w:numId="10">
    <w:abstractNumId w:val="20"/>
  </w:num>
  <w:num w:numId="11">
    <w:abstractNumId w:val="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7"/>
  </w:num>
  <w:num w:numId="17">
    <w:abstractNumId w:val="9"/>
  </w:num>
  <w:num w:numId="18">
    <w:abstractNumId w:val="14"/>
  </w:num>
  <w:num w:numId="19">
    <w:abstractNumId w:val="16"/>
  </w:num>
  <w:num w:numId="20">
    <w:abstractNumId w:val="8"/>
  </w:num>
  <w:num w:numId="21">
    <w:abstractNumId w:val="0"/>
  </w:num>
  <w:num w:numId="22">
    <w:abstractNumId w:val="18"/>
  </w:num>
  <w:num w:numId="23">
    <w:abstractNumId w:val="22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43"/>
    <w:rsid w:val="000054D2"/>
    <w:rsid w:val="00010564"/>
    <w:rsid w:val="000118C2"/>
    <w:rsid w:val="00015933"/>
    <w:rsid w:val="000159E5"/>
    <w:rsid w:val="00020581"/>
    <w:rsid w:val="000213CC"/>
    <w:rsid w:val="00023E9F"/>
    <w:rsid w:val="00037707"/>
    <w:rsid w:val="00043889"/>
    <w:rsid w:val="00044002"/>
    <w:rsid w:val="00051A5B"/>
    <w:rsid w:val="000559DE"/>
    <w:rsid w:val="00057396"/>
    <w:rsid w:val="00060D7F"/>
    <w:rsid w:val="00072447"/>
    <w:rsid w:val="0007445A"/>
    <w:rsid w:val="000842AE"/>
    <w:rsid w:val="00086094"/>
    <w:rsid w:val="0009491E"/>
    <w:rsid w:val="00097293"/>
    <w:rsid w:val="000A2C3B"/>
    <w:rsid w:val="000A3ECF"/>
    <w:rsid w:val="000A4D59"/>
    <w:rsid w:val="000A664C"/>
    <w:rsid w:val="000B4C8F"/>
    <w:rsid w:val="000C234E"/>
    <w:rsid w:val="000C4910"/>
    <w:rsid w:val="000D4F26"/>
    <w:rsid w:val="000D5D2B"/>
    <w:rsid w:val="000E2B4E"/>
    <w:rsid w:val="000E4ABC"/>
    <w:rsid w:val="000E563F"/>
    <w:rsid w:val="000F70CA"/>
    <w:rsid w:val="0010268F"/>
    <w:rsid w:val="0010277A"/>
    <w:rsid w:val="001126B2"/>
    <w:rsid w:val="0011443F"/>
    <w:rsid w:val="00116F4B"/>
    <w:rsid w:val="00123FF9"/>
    <w:rsid w:val="00131E94"/>
    <w:rsid w:val="00144D53"/>
    <w:rsid w:val="00146F46"/>
    <w:rsid w:val="0015125A"/>
    <w:rsid w:val="0015295E"/>
    <w:rsid w:val="001622C2"/>
    <w:rsid w:val="00165DDC"/>
    <w:rsid w:val="0017441E"/>
    <w:rsid w:val="00175A85"/>
    <w:rsid w:val="00176C20"/>
    <w:rsid w:val="00195C6D"/>
    <w:rsid w:val="001A2623"/>
    <w:rsid w:val="001A46CC"/>
    <w:rsid w:val="001A6304"/>
    <w:rsid w:val="001C091C"/>
    <w:rsid w:val="001C2261"/>
    <w:rsid w:val="001C6945"/>
    <w:rsid w:val="001C7F88"/>
    <w:rsid w:val="001D5BB9"/>
    <w:rsid w:val="001E15FD"/>
    <w:rsid w:val="001E27B8"/>
    <w:rsid w:val="001E6F5D"/>
    <w:rsid w:val="001F3DF4"/>
    <w:rsid w:val="001F5CF7"/>
    <w:rsid w:val="002045A5"/>
    <w:rsid w:val="002137B0"/>
    <w:rsid w:val="00217881"/>
    <w:rsid w:val="0022075B"/>
    <w:rsid w:val="00221FF5"/>
    <w:rsid w:val="00225F51"/>
    <w:rsid w:val="0022648E"/>
    <w:rsid w:val="00226F32"/>
    <w:rsid w:val="00227ACD"/>
    <w:rsid w:val="002375B2"/>
    <w:rsid w:val="002443DF"/>
    <w:rsid w:val="00244923"/>
    <w:rsid w:val="002472A6"/>
    <w:rsid w:val="00247512"/>
    <w:rsid w:val="0025305E"/>
    <w:rsid w:val="00253D09"/>
    <w:rsid w:val="002567A3"/>
    <w:rsid w:val="00262B7F"/>
    <w:rsid w:val="00266980"/>
    <w:rsid w:val="00267ACA"/>
    <w:rsid w:val="00283681"/>
    <w:rsid w:val="00290498"/>
    <w:rsid w:val="002A31A1"/>
    <w:rsid w:val="002A6290"/>
    <w:rsid w:val="002B4617"/>
    <w:rsid w:val="002C2C2B"/>
    <w:rsid w:val="002C30D4"/>
    <w:rsid w:val="002C513E"/>
    <w:rsid w:val="002D1376"/>
    <w:rsid w:val="002D49FB"/>
    <w:rsid w:val="002E1390"/>
    <w:rsid w:val="002E5E57"/>
    <w:rsid w:val="002F1752"/>
    <w:rsid w:val="002F477C"/>
    <w:rsid w:val="002F557F"/>
    <w:rsid w:val="003028DC"/>
    <w:rsid w:val="00315F32"/>
    <w:rsid w:val="00327407"/>
    <w:rsid w:val="00335341"/>
    <w:rsid w:val="00341D86"/>
    <w:rsid w:val="003472AF"/>
    <w:rsid w:val="003508FE"/>
    <w:rsid w:val="00351369"/>
    <w:rsid w:val="003608FD"/>
    <w:rsid w:val="0036420C"/>
    <w:rsid w:val="00366057"/>
    <w:rsid w:val="003677E2"/>
    <w:rsid w:val="00370F35"/>
    <w:rsid w:val="003739F0"/>
    <w:rsid w:val="00376918"/>
    <w:rsid w:val="00376F07"/>
    <w:rsid w:val="00380788"/>
    <w:rsid w:val="003847A3"/>
    <w:rsid w:val="00391C4B"/>
    <w:rsid w:val="00391FA6"/>
    <w:rsid w:val="003952ED"/>
    <w:rsid w:val="00396F9D"/>
    <w:rsid w:val="00397430"/>
    <w:rsid w:val="003A5636"/>
    <w:rsid w:val="003B0433"/>
    <w:rsid w:val="003B04C1"/>
    <w:rsid w:val="003B2C84"/>
    <w:rsid w:val="003B4F01"/>
    <w:rsid w:val="003B5E6F"/>
    <w:rsid w:val="003C373E"/>
    <w:rsid w:val="003C3D7F"/>
    <w:rsid w:val="003C6326"/>
    <w:rsid w:val="003D079C"/>
    <w:rsid w:val="003D224C"/>
    <w:rsid w:val="003E14DF"/>
    <w:rsid w:val="003E3DCB"/>
    <w:rsid w:val="003E4ADE"/>
    <w:rsid w:val="003E5891"/>
    <w:rsid w:val="003F021E"/>
    <w:rsid w:val="003F03DF"/>
    <w:rsid w:val="003F1CB9"/>
    <w:rsid w:val="003F7F31"/>
    <w:rsid w:val="00402FA1"/>
    <w:rsid w:val="00403744"/>
    <w:rsid w:val="0041521E"/>
    <w:rsid w:val="00425B3B"/>
    <w:rsid w:val="004325D3"/>
    <w:rsid w:val="00437589"/>
    <w:rsid w:val="00445609"/>
    <w:rsid w:val="004476C2"/>
    <w:rsid w:val="00451368"/>
    <w:rsid w:val="004641CC"/>
    <w:rsid w:val="0046651A"/>
    <w:rsid w:val="004714FB"/>
    <w:rsid w:val="00472210"/>
    <w:rsid w:val="0047757F"/>
    <w:rsid w:val="00477AF5"/>
    <w:rsid w:val="0048354D"/>
    <w:rsid w:val="0048489E"/>
    <w:rsid w:val="00490E1A"/>
    <w:rsid w:val="00492636"/>
    <w:rsid w:val="004979BF"/>
    <w:rsid w:val="004A1724"/>
    <w:rsid w:val="004A435C"/>
    <w:rsid w:val="004A53BB"/>
    <w:rsid w:val="004A6CE0"/>
    <w:rsid w:val="004A74F4"/>
    <w:rsid w:val="004B1766"/>
    <w:rsid w:val="004B7ECE"/>
    <w:rsid w:val="004C0A56"/>
    <w:rsid w:val="004C50BF"/>
    <w:rsid w:val="004C751A"/>
    <w:rsid w:val="004D4333"/>
    <w:rsid w:val="004D6531"/>
    <w:rsid w:val="004E011D"/>
    <w:rsid w:val="004E1AC6"/>
    <w:rsid w:val="004E4B5B"/>
    <w:rsid w:val="004F6CFB"/>
    <w:rsid w:val="004F6EA8"/>
    <w:rsid w:val="004F70A7"/>
    <w:rsid w:val="005069C2"/>
    <w:rsid w:val="0051164C"/>
    <w:rsid w:val="00512176"/>
    <w:rsid w:val="00517111"/>
    <w:rsid w:val="005208BD"/>
    <w:rsid w:val="00521FF6"/>
    <w:rsid w:val="005238F0"/>
    <w:rsid w:val="00531777"/>
    <w:rsid w:val="0053589B"/>
    <w:rsid w:val="00537D95"/>
    <w:rsid w:val="00546646"/>
    <w:rsid w:val="00552694"/>
    <w:rsid w:val="0055377C"/>
    <w:rsid w:val="00554717"/>
    <w:rsid w:val="00556DE6"/>
    <w:rsid w:val="00561ED7"/>
    <w:rsid w:val="005642DD"/>
    <w:rsid w:val="00564453"/>
    <w:rsid w:val="005666D7"/>
    <w:rsid w:val="00571BEE"/>
    <w:rsid w:val="00571C08"/>
    <w:rsid w:val="00573F62"/>
    <w:rsid w:val="00576C13"/>
    <w:rsid w:val="00576CF4"/>
    <w:rsid w:val="00584718"/>
    <w:rsid w:val="00587350"/>
    <w:rsid w:val="0059556C"/>
    <w:rsid w:val="005A0C34"/>
    <w:rsid w:val="005A2501"/>
    <w:rsid w:val="005A34B6"/>
    <w:rsid w:val="005A3E34"/>
    <w:rsid w:val="005A44FF"/>
    <w:rsid w:val="005A51C6"/>
    <w:rsid w:val="005A5BAB"/>
    <w:rsid w:val="005B3439"/>
    <w:rsid w:val="005B5E17"/>
    <w:rsid w:val="005C1943"/>
    <w:rsid w:val="005C6D52"/>
    <w:rsid w:val="005C7858"/>
    <w:rsid w:val="005D11A5"/>
    <w:rsid w:val="005D4BC8"/>
    <w:rsid w:val="005D55D6"/>
    <w:rsid w:val="005D593D"/>
    <w:rsid w:val="005D769A"/>
    <w:rsid w:val="005E092E"/>
    <w:rsid w:val="005E1DD8"/>
    <w:rsid w:val="005E58E1"/>
    <w:rsid w:val="005E5F8B"/>
    <w:rsid w:val="005F709C"/>
    <w:rsid w:val="005F73A6"/>
    <w:rsid w:val="00600D9B"/>
    <w:rsid w:val="0060308F"/>
    <w:rsid w:val="0060552B"/>
    <w:rsid w:val="00606E04"/>
    <w:rsid w:val="00611C5C"/>
    <w:rsid w:val="006131E9"/>
    <w:rsid w:val="0061392C"/>
    <w:rsid w:val="0062336F"/>
    <w:rsid w:val="0063314F"/>
    <w:rsid w:val="006445A3"/>
    <w:rsid w:val="00650724"/>
    <w:rsid w:val="0065124E"/>
    <w:rsid w:val="006513A0"/>
    <w:rsid w:val="00654F37"/>
    <w:rsid w:val="00661C43"/>
    <w:rsid w:val="00662C23"/>
    <w:rsid w:val="00676326"/>
    <w:rsid w:val="006777C7"/>
    <w:rsid w:val="006839E8"/>
    <w:rsid w:val="00685F12"/>
    <w:rsid w:val="006963D2"/>
    <w:rsid w:val="006A0B4A"/>
    <w:rsid w:val="006A0F4A"/>
    <w:rsid w:val="006A1D16"/>
    <w:rsid w:val="006B120F"/>
    <w:rsid w:val="006B2EBD"/>
    <w:rsid w:val="006B2F86"/>
    <w:rsid w:val="006B37A6"/>
    <w:rsid w:val="006D0EE8"/>
    <w:rsid w:val="006D23EF"/>
    <w:rsid w:val="006D61DA"/>
    <w:rsid w:val="006E0941"/>
    <w:rsid w:val="006E1DC5"/>
    <w:rsid w:val="006E3420"/>
    <w:rsid w:val="006E3FA9"/>
    <w:rsid w:val="006F2196"/>
    <w:rsid w:val="006F2B29"/>
    <w:rsid w:val="00702D07"/>
    <w:rsid w:val="007078D6"/>
    <w:rsid w:val="007133E9"/>
    <w:rsid w:val="00714837"/>
    <w:rsid w:val="00717B00"/>
    <w:rsid w:val="00720DE3"/>
    <w:rsid w:val="00722F2C"/>
    <w:rsid w:val="00727012"/>
    <w:rsid w:val="0072723A"/>
    <w:rsid w:val="00733C05"/>
    <w:rsid w:val="007402C2"/>
    <w:rsid w:val="00743577"/>
    <w:rsid w:val="007609D5"/>
    <w:rsid w:val="007813D1"/>
    <w:rsid w:val="0078687A"/>
    <w:rsid w:val="00786BB9"/>
    <w:rsid w:val="00786FE5"/>
    <w:rsid w:val="007953B5"/>
    <w:rsid w:val="0079609E"/>
    <w:rsid w:val="007964DC"/>
    <w:rsid w:val="007A3BFB"/>
    <w:rsid w:val="007B02A8"/>
    <w:rsid w:val="007B5E3D"/>
    <w:rsid w:val="007B6B28"/>
    <w:rsid w:val="007B7B44"/>
    <w:rsid w:val="007C4C83"/>
    <w:rsid w:val="007D275E"/>
    <w:rsid w:val="007D4025"/>
    <w:rsid w:val="007E1035"/>
    <w:rsid w:val="007E18D1"/>
    <w:rsid w:val="007F166D"/>
    <w:rsid w:val="007F1EDF"/>
    <w:rsid w:val="007F40D6"/>
    <w:rsid w:val="007F742B"/>
    <w:rsid w:val="007F7CBC"/>
    <w:rsid w:val="00802F9F"/>
    <w:rsid w:val="00803E55"/>
    <w:rsid w:val="00804F92"/>
    <w:rsid w:val="00807F85"/>
    <w:rsid w:val="00811FE2"/>
    <w:rsid w:val="00820A66"/>
    <w:rsid w:val="00826371"/>
    <w:rsid w:val="0082668B"/>
    <w:rsid w:val="00830214"/>
    <w:rsid w:val="00830902"/>
    <w:rsid w:val="00834366"/>
    <w:rsid w:val="008363D1"/>
    <w:rsid w:val="00842443"/>
    <w:rsid w:val="00843285"/>
    <w:rsid w:val="00843386"/>
    <w:rsid w:val="008466C4"/>
    <w:rsid w:val="008522B5"/>
    <w:rsid w:val="00854190"/>
    <w:rsid w:val="00854682"/>
    <w:rsid w:val="00857A3C"/>
    <w:rsid w:val="00860613"/>
    <w:rsid w:val="008612B4"/>
    <w:rsid w:val="0086454A"/>
    <w:rsid w:val="00870102"/>
    <w:rsid w:val="00872847"/>
    <w:rsid w:val="00872C9B"/>
    <w:rsid w:val="008825CE"/>
    <w:rsid w:val="0088460D"/>
    <w:rsid w:val="008857AA"/>
    <w:rsid w:val="00890B66"/>
    <w:rsid w:val="008A6398"/>
    <w:rsid w:val="008B19B7"/>
    <w:rsid w:val="008B1C16"/>
    <w:rsid w:val="008B66EE"/>
    <w:rsid w:val="008C1507"/>
    <w:rsid w:val="008C5671"/>
    <w:rsid w:val="008E2336"/>
    <w:rsid w:val="008E524D"/>
    <w:rsid w:val="008F047E"/>
    <w:rsid w:val="008F2959"/>
    <w:rsid w:val="008F399F"/>
    <w:rsid w:val="009038F9"/>
    <w:rsid w:val="00905AAB"/>
    <w:rsid w:val="009139AF"/>
    <w:rsid w:val="009234FD"/>
    <w:rsid w:val="00923945"/>
    <w:rsid w:val="00924258"/>
    <w:rsid w:val="00924973"/>
    <w:rsid w:val="00931E42"/>
    <w:rsid w:val="00935EAC"/>
    <w:rsid w:val="00944529"/>
    <w:rsid w:val="00944D10"/>
    <w:rsid w:val="009454B6"/>
    <w:rsid w:val="00946929"/>
    <w:rsid w:val="00962CB7"/>
    <w:rsid w:val="00963AA3"/>
    <w:rsid w:val="00963B80"/>
    <w:rsid w:val="00966080"/>
    <w:rsid w:val="009664DD"/>
    <w:rsid w:val="00975439"/>
    <w:rsid w:val="00977317"/>
    <w:rsid w:val="00980C11"/>
    <w:rsid w:val="0098257D"/>
    <w:rsid w:val="00987232"/>
    <w:rsid w:val="00991B95"/>
    <w:rsid w:val="00992840"/>
    <w:rsid w:val="00994CC4"/>
    <w:rsid w:val="009976E7"/>
    <w:rsid w:val="009A11ED"/>
    <w:rsid w:val="009A1795"/>
    <w:rsid w:val="009A1CB0"/>
    <w:rsid w:val="009A65F0"/>
    <w:rsid w:val="009A7026"/>
    <w:rsid w:val="009B393A"/>
    <w:rsid w:val="009B7972"/>
    <w:rsid w:val="009C0DD6"/>
    <w:rsid w:val="009C1B29"/>
    <w:rsid w:val="009D0E88"/>
    <w:rsid w:val="009D24D7"/>
    <w:rsid w:val="009D2DB6"/>
    <w:rsid w:val="009D2F47"/>
    <w:rsid w:val="009D7835"/>
    <w:rsid w:val="009E172B"/>
    <w:rsid w:val="009E39C0"/>
    <w:rsid w:val="009E5367"/>
    <w:rsid w:val="009F1E76"/>
    <w:rsid w:val="009F3268"/>
    <w:rsid w:val="009F6C56"/>
    <w:rsid w:val="00A0323B"/>
    <w:rsid w:val="00A10A7A"/>
    <w:rsid w:val="00A13F1D"/>
    <w:rsid w:val="00A155ED"/>
    <w:rsid w:val="00A15F37"/>
    <w:rsid w:val="00A163E3"/>
    <w:rsid w:val="00A22A52"/>
    <w:rsid w:val="00A425BA"/>
    <w:rsid w:val="00A4316F"/>
    <w:rsid w:val="00A45FC0"/>
    <w:rsid w:val="00A5314F"/>
    <w:rsid w:val="00A54B25"/>
    <w:rsid w:val="00A569E0"/>
    <w:rsid w:val="00A60546"/>
    <w:rsid w:val="00A7149F"/>
    <w:rsid w:val="00A72FF3"/>
    <w:rsid w:val="00A7410C"/>
    <w:rsid w:val="00A832BA"/>
    <w:rsid w:val="00A85048"/>
    <w:rsid w:val="00A8750A"/>
    <w:rsid w:val="00A90878"/>
    <w:rsid w:val="00A950F4"/>
    <w:rsid w:val="00A97F5A"/>
    <w:rsid w:val="00AB0ED1"/>
    <w:rsid w:val="00AB23B0"/>
    <w:rsid w:val="00AB365A"/>
    <w:rsid w:val="00AB4CFC"/>
    <w:rsid w:val="00AB58F2"/>
    <w:rsid w:val="00AC6C46"/>
    <w:rsid w:val="00AD20AF"/>
    <w:rsid w:val="00AD3BBF"/>
    <w:rsid w:val="00AE2387"/>
    <w:rsid w:val="00AE6E19"/>
    <w:rsid w:val="00AF09A0"/>
    <w:rsid w:val="00AF18CA"/>
    <w:rsid w:val="00AF58F3"/>
    <w:rsid w:val="00B05777"/>
    <w:rsid w:val="00B15438"/>
    <w:rsid w:val="00B2310C"/>
    <w:rsid w:val="00B24E54"/>
    <w:rsid w:val="00B27646"/>
    <w:rsid w:val="00B44EAC"/>
    <w:rsid w:val="00B506AC"/>
    <w:rsid w:val="00B50E2C"/>
    <w:rsid w:val="00B54F8C"/>
    <w:rsid w:val="00B60C22"/>
    <w:rsid w:val="00B73636"/>
    <w:rsid w:val="00B7657E"/>
    <w:rsid w:val="00B76C42"/>
    <w:rsid w:val="00B84219"/>
    <w:rsid w:val="00B85546"/>
    <w:rsid w:val="00B913AA"/>
    <w:rsid w:val="00B95673"/>
    <w:rsid w:val="00B96E46"/>
    <w:rsid w:val="00BA04E1"/>
    <w:rsid w:val="00BA18D1"/>
    <w:rsid w:val="00BA1F8A"/>
    <w:rsid w:val="00BA47DA"/>
    <w:rsid w:val="00BA4E91"/>
    <w:rsid w:val="00BB50DE"/>
    <w:rsid w:val="00BB7A89"/>
    <w:rsid w:val="00BC0CB8"/>
    <w:rsid w:val="00BC1B82"/>
    <w:rsid w:val="00BC5978"/>
    <w:rsid w:val="00BD0100"/>
    <w:rsid w:val="00BD297C"/>
    <w:rsid w:val="00BD483C"/>
    <w:rsid w:val="00BD7A55"/>
    <w:rsid w:val="00BE00E4"/>
    <w:rsid w:val="00BE21A8"/>
    <w:rsid w:val="00BE2827"/>
    <w:rsid w:val="00BE48B7"/>
    <w:rsid w:val="00BE53BC"/>
    <w:rsid w:val="00BE5574"/>
    <w:rsid w:val="00BE74B4"/>
    <w:rsid w:val="00BF0B84"/>
    <w:rsid w:val="00BF5F81"/>
    <w:rsid w:val="00C04F50"/>
    <w:rsid w:val="00C05E06"/>
    <w:rsid w:val="00C12AFA"/>
    <w:rsid w:val="00C17244"/>
    <w:rsid w:val="00C2020E"/>
    <w:rsid w:val="00C21CA1"/>
    <w:rsid w:val="00C3401D"/>
    <w:rsid w:val="00C3654D"/>
    <w:rsid w:val="00C44924"/>
    <w:rsid w:val="00C461EB"/>
    <w:rsid w:val="00C520D7"/>
    <w:rsid w:val="00C57869"/>
    <w:rsid w:val="00C627A3"/>
    <w:rsid w:val="00C64C2F"/>
    <w:rsid w:val="00C6528A"/>
    <w:rsid w:val="00C7375A"/>
    <w:rsid w:val="00C74048"/>
    <w:rsid w:val="00C74654"/>
    <w:rsid w:val="00C80CEC"/>
    <w:rsid w:val="00C8685C"/>
    <w:rsid w:val="00C87795"/>
    <w:rsid w:val="00C9786B"/>
    <w:rsid w:val="00CA7866"/>
    <w:rsid w:val="00CB1580"/>
    <w:rsid w:val="00CB4072"/>
    <w:rsid w:val="00CB517A"/>
    <w:rsid w:val="00CC5AF3"/>
    <w:rsid w:val="00CC68BF"/>
    <w:rsid w:val="00CC7C45"/>
    <w:rsid w:val="00CF4CD4"/>
    <w:rsid w:val="00CF72AC"/>
    <w:rsid w:val="00D004E5"/>
    <w:rsid w:val="00D0142A"/>
    <w:rsid w:val="00D0150B"/>
    <w:rsid w:val="00D038D7"/>
    <w:rsid w:val="00D10717"/>
    <w:rsid w:val="00D13EDA"/>
    <w:rsid w:val="00D2261D"/>
    <w:rsid w:val="00D24515"/>
    <w:rsid w:val="00D324DA"/>
    <w:rsid w:val="00D32A14"/>
    <w:rsid w:val="00D32B43"/>
    <w:rsid w:val="00D357A4"/>
    <w:rsid w:val="00D36238"/>
    <w:rsid w:val="00D477C3"/>
    <w:rsid w:val="00D55406"/>
    <w:rsid w:val="00D670D3"/>
    <w:rsid w:val="00D67470"/>
    <w:rsid w:val="00D67FC9"/>
    <w:rsid w:val="00D775D2"/>
    <w:rsid w:val="00D8118D"/>
    <w:rsid w:val="00D85155"/>
    <w:rsid w:val="00D93EB9"/>
    <w:rsid w:val="00D97E49"/>
    <w:rsid w:val="00DA4875"/>
    <w:rsid w:val="00DA4917"/>
    <w:rsid w:val="00DB67E5"/>
    <w:rsid w:val="00DC13F9"/>
    <w:rsid w:val="00DC545A"/>
    <w:rsid w:val="00DC585F"/>
    <w:rsid w:val="00DD4F3E"/>
    <w:rsid w:val="00DF431A"/>
    <w:rsid w:val="00DF6D21"/>
    <w:rsid w:val="00E02136"/>
    <w:rsid w:val="00E03E17"/>
    <w:rsid w:val="00E05C46"/>
    <w:rsid w:val="00E06813"/>
    <w:rsid w:val="00E10053"/>
    <w:rsid w:val="00E27F2F"/>
    <w:rsid w:val="00E311C5"/>
    <w:rsid w:val="00E315D6"/>
    <w:rsid w:val="00E3317B"/>
    <w:rsid w:val="00E3386F"/>
    <w:rsid w:val="00E350BD"/>
    <w:rsid w:val="00E373B4"/>
    <w:rsid w:val="00E528C6"/>
    <w:rsid w:val="00E54596"/>
    <w:rsid w:val="00E56000"/>
    <w:rsid w:val="00E56378"/>
    <w:rsid w:val="00E642DC"/>
    <w:rsid w:val="00E64F71"/>
    <w:rsid w:val="00E67590"/>
    <w:rsid w:val="00E703B1"/>
    <w:rsid w:val="00E7045C"/>
    <w:rsid w:val="00E718EA"/>
    <w:rsid w:val="00E71A6E"/>
    <w:rsid w:val="00E72E55"/>
    <w:rsid w:val="00E77101"/>
    <w:rsid w:val="00E82DCF"/>
    <w:rsid w:val="00E8561A"/>
    <w:rsid w:val="00E85DE8"/>
    <w:rsid w:val="00E900CF"/>
    <w:rsid w:val="00E9372A"/>
    <w:rsid w:val="00E979A5"/>
    <w:rsid w:val="00EA5747"/>
    <w:rsid w:val="00EB3F96"/>
    <w:rsid w:val="00EB4281"/>
    <w:rsid w:val="00EC03D2"/>
    <w:rsid w:val="00EC058C"/>
    <w:rsid w:val="00EC0719"/>
    <w:rsid w:val="00EC202F"/>
    <w:rsid w:val="00EC5679"/>
    <w:rsid w:val="00EC6D2C"/>
    <w:rsid w:val="00ED2264"/>
    <w:rsid w:val="00ED412E"/>
    <w:rsid w:val="00ED41A8"/>
    <w:rsid w:val="00ED452D"/>
    <w:rsid w:val="00ED5DD6"/>
    <w:rsid w:val="00EE29BE"/>
    <w:rsid w:val="00EE3CDA"/>
    <w:rsid w:val="00EF038F"/>
    <w:rsid w:val="00EF07C3"/>
    <w:rsid w:val="00EF6331"/>
    <w:rsid w:val="00F00241"/>
    <w:rsid w:val="00F01AED"/>
    <w:rsid w:val="00F1303C"/>
    <w:rsid w:val="00F15E8D"/>
    <w:rsid w:val="00F175AF"/>
    <w:rsid w:val="00F247BC"/>
    <w:rsid w:val="00F2610F"/>
    <w:rsid w:val="00F2719D"/>
    <w:rsid w:val="00F313E8"/>
    <w:rsid w:val="00F36405"/>
    <w:rsid w:val="00F53132"/>
    <w:rsid w:val="00F5456A"/>
    <w:rsid w:val="00F545FC"/>
    <w:rsid w:val="00F573F1"/>
    <w:rsid w:val="00F57CAC"/>
    <w:rsid w:val="00F66320"/>
    <w:rsid w:val="00F6767A"/>
    <w:rsid w:val="00F67E6A"/>
    <w:rsid w:val="00F7568A"/>
    <w:rsid w:val="00F81073"/>
    <w:rsid w:val="00F83EEA"/>
    <w:rsid w:val="00F8461A"/>
    <w:rsid w:val="00F87FA4"/>
    <w:rsid w:val="00F90063"/>
    <w:rsid w:val="00F91222"/>
    <w:rsid w:val="00F9267B"/>
    <w:rsid w:val="00F94AE5"/>
    <w:rsid w:val="00F970A7"/>
    <w:rsid w:val="00F9738D"/>
    <w:rsid w:val="00FA2228"/>
    <w:rsid w:val="00FA59C6"/>
    <w:rsid w:val="00FB4A1C"/>
    <w:rsid w:val="00FB60CC"/>
    <w:rsid w:val="00FB60FB"/>
    <w:rsid w:val="00FC23C7"/>
    <w:rsid w:val="00FC5A6D"/>
    <w:rsid w:val="00FC5B2A"/>
    <w:rsid w:val="00FD12DB"/>
    <w:rsid w:val="00FD1306"/>
    <w:rsid w:val="00FD3713"/>
    <w:rsid w:val="00FD57E2"/>
    <w:rsid w:val="00FE2ED7"/>
    <w:rsid w:val="00FE797F"/>
    <w:rsid w:val="00FF052C"/>
    <w:rsid w:val="00FF27FB"/>
    <w:rsid w:val="00FF4658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7FFDFB"/>
  <w15:docId w15:val="{A3C56C42-C2BB-4C69-A941-45FEB851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250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A5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5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5747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747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46651A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C12A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6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72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238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7784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497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41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847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3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88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1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4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cid:image008.jpg@01D55C13.86FB5550" TargetMode="External"/><Relationship Id="rId10" Type="http://schemas.openxmlformats.org/officeDocument/2006/relationships/image" Target="cid:image004.jpg@01D55C13.86FB555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0af59d9a4d040d3/Projects/&#268;BA/Realitn&#237;%20trh%20v%20&#268;R/Data%20Merge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0af59d9a4d040d3/Projects/&#268;BA/Realitn&#237;%20trh%20v%20&#268;R/Data%20Merg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00af59d9a4d040d3/Projects/&#268;BA/Realitn&#237;%20trh%20v%20&#268;R/Data%20Merge%20Zaloh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86297074856592"/>
          <c:y val="0.18861162277594476"/>
          <c:w val="0.77278559637058941"/>
          <c:h val="0.54983142571096144"/>
        </c:manualLayout>
      </c:layout>
      <c:lineChart>
        <c:grouping val="standard"/>
        <c:varyColors val="0"/>
        <c:ser>
          <c:idx val="0"/>
          <c:order val="0"/>
          <c:tx>
            <c:v>EU 28</c:v>
          </c:tx>
          <c:spPr>
            <a:ln w="25400" cap="flat" cmpd="sng" algn="ctr">
              <a:solidFill>
                <a:srgbClr val="22576B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rgbClr val="22576B"/>
                </a:solidFill>
                <a:prstDash val="solid"/>
              </a:ln>
              <a:effectLst/>
            </c:spPr>
          </c:marker>
          <c:cat>
            <c:strRef>
              <c:f>'[Data Merge.xlsx]Real Gross Income'!$F$2:$N$2</c:f>
              <c:strCach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strCache>
            </c:strRef>
          </c:cat>
          <c:val>
            <c:numRef>
              <c:f>'[Data Merge.xlsx]Real Gross Income'!$F$4:$N$4</c:f>
              <c:numCache>
                <c:formatCode>0.0%</c:formatCode>
                <c:ptCount val="9"/>
                <c:pt idx="0">
                  <c:v>4.5000000000000283E-3</c:v>
                </c:pt>
                <c:pt idx="1">
                  <c:v>-2.6000000000000511E-3</c:v>
                </c:pt>
                <c:pt idx="2">
                  <c:v>-9.5999999999999367E-3</c:v>
                </c:pt>
                <c:pt idx="3">
                  <c:v>-1.980000000000004E-2</c:v>
                </c:pt>
                <c:pt idx="4">
                  <c:v>-2.1500000000000057E-2</c:v>
                </c:pt>
                <c:pt idx="5">
                  <c:v>-1.3400000000000033E-2</c:v>
                </c:pt>
                <c:pt idx="6">
                  <c:v>6.0999999999999943E-3</c:v>
                </c:pt>
                <c:pt idx="7">
                  <c:v>2.4000000000000056E-2</c:v>
                </c:pt>
                <c:pt idx="8">
                  <c:v>3.3499999999999946E-2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96-4540-A590-219354446BCA}"/>
            </c:ext>
          </c:extLst>
        </c:ser>
        <c:ser>
          <c:idx val="1"/>
          <c:order val="1"/>
          <c:tx>
            <c:v>EU 19</c:v>
          </c:tx>
          <c:spPr>
            <a:ln w="25400" cap="flat" cmpd="sng" algn="ctr">
              <a:solidFill>
                <a:schemeClr val="accent6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chemeClr val="accent6">
                    <a:lumMod val="60000"/>
                    <a:lumOff val="40000"/>
                  </a:schemeClr>
                </a:solidFill>
                <a:prstDash val="solid"/>
              </a:ln>
              <a:effectLst/>
            </c:spPr>
          </c:marker>
          <c:val>
            <c:numRef>
              <c:f>'[Data Merge.xlsx]Real Gross Income'!$F$6:$N$6</c:f>
              <c:numCache>
                <c:formatCode>0.0%</c:formatCode>
                <c:ptCount val="9"/>
                <c:pt idx="0">
                  <c:v>-6.999999999999318E-4</c:v>
                </c:pt>
                <c:pt idx="1">
                  <c:v>-8.5999999999999948E-3</c:v>
                </c:pt>
                <c:pt idx="2">
                  <c:v>-1.4800000000000041E-2</c:v>
                </c:pt>
                <c:pt idx="3">
                  <c:v>-3.2600000000000053E-2</c:v>
                </c:pt>
                <c:pt idx="4">
                  <c:v>-4.1299999999999955E-2</c:v>
                </c:pt>
                <c:pt idx="5">
                  <c:v>-3.3100000000000025E-2</c:v>
                </c:pt>
                <c:pt idx="6">
                  <c:v>-2.0300000000000012E-2</c:v>
                </c:pt>
                <c:pt idx="7">
                  <c:v>-6.0999999999999943E-3</c:v>
                </c:pt>
                <c:pt idx="8">
                  <c:v>3.9000000000000059E-3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96-4540-A590-219354446BCA}"/>
            </c:ext>
          </c:extLst>
        </c:ser>
        <c:ser>
          <c:idx val="2"/>
          <c:order val="2"/>
          <c:tx>
            <c:v>ČR</c:v>
          </c:tx>
          <c:spPr>
            <a:ln w="41275" cap="flat" cmpd="sng" algn="ctr">
              <a:solidFill>
                <a:srgbClr val="22576B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rgbClr val="22576B"/>
                </a:solidFill>
                <a:prstDash val="solid"/>
              </a:ln>
              <a:effectLst/>
            </c:spPr>
          </c:marker>
          <c:val>
            <c:numRef>
              <c:f>'[Data Merge.xlsx]Real Gross Income'!$F$10:$N$10</c:f>
              <c:numCache>
                <c:formatCode>0.0%</c:formatCode>
                <c:ptCount val="9"/>
                <c:pt idx="0">
                  <c:v>1.4300000000000068E-2</c:v>
                </c:pt>
                <c:pt idx="1">
                  <c:v>1.5499999999999972E-2</c:v>
                </c:pt>
                <c:pt idx="2">
                  <c:v>2.399999999999949E-3</c:v>
                </c:pt>
                <c:pt idx="3">
                  <c:v>-1.0799999999999983E-2</c:v>
                </c:pt>
                <c:pt idx="4">
                  <c:v>-1.7900000000000062E-2</c:v>
                </c:pt>
                <c:pt idx="5">
                  <c:v>9.0999999999999658E-3</c:v>
                </c:pt>
                <c:pt idx="6">
                  <c:v>4.8700000000000049E-2</c:v>
                </c:pt>
                <c:pt idx="7">
                  <c:v>8.1500000000000059E-2</c:v>
                </c:pt>
                <c:pt idx="8">
                  <c:v>9.8700000000000052E-2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96-4540-A590-219354446BCA}"/>
            </c:ext>
          </c:extLst>
        </c:ser>
        <c:ser>
          <c:idx val="5"/>
          <c:order val="3"/>
          <c:tx>
            <c:v>SK</c:v>
          </c:tx>
          <c:spPr>
            <a:ln w="25400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chemeClr val="bg1">
                    <a:lumMod val="75000"/>
                  </a:schemeClr>
                </a:solidFill>
                <a:prstDash val="solid"/>
              </a:ln>
              <a:effectLst/>
            </c:spPr>
          </c:marker>
          <c:val>
            <c:numRef>
              <c:f>'[Data Merge.xlsx]Real Gross Income'!$F$39:$N$39</c:f>
              <c:numCache>
                <c:formatCode>0.0%</c:formatCode>
                <c:ptCount val="9"/>
                <c:pt idx="0">
                  <c:v>1.2099999999999937E-2</c:v>
                </c:pt>
                <c:pt idx="1">
                  <c:v>1.4999999999999999E-2</c:v>
                </c:pt>
                <c:pt idx="2">
                  <c:v>1.2000000000000454E-3</c:v>
                </c:pt>
                <c:pt idx="3">
                  <c:v>-6.7000000000000167E-3</c:v>
                </c:pt>
                <c:pt idx="4">
                  <c:v>-7.0999999999999371E-3</c:v>
                </c:pt>
                <c:pt idx="5">
                  <c:v>1.7999999999999971E-2</c:v>
                </c:pt>
                <c:pt idx="6">
                  <c:v>5.7800000000000011E-2</c:v>
                </c:pt>
                <c:pt idx="7">
                  <c:v>8.5799999999999987E-2</c:v>
                </c:pt>
                <c:pt idx="8">
                  <c:v>0.11409999999999997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96-4540-A590-219354446BCA}"/>
            </c:ext>
          </c:extLst>
        </c:ser>
        <c:ser>
          <c:idx val="3"/>
          <c:order val="4"/>
          <c:tx>
            <c:v>DE</c:v>
          </c:tx>
          <c:spPr>
            <a:ln w="25400" cap="flat" cmpd="sng" algn="ctr">
              <a:solidFill>
                <a:srgbClr val="C0D58B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rgbClr val="C0D58B"/>
                </a:solidFill>
                <a:prstDash val="solid"/>
              </a:ln>
              <a:effectLst/>
            </c:spPr>
          </c:marker>
          <c:val>
            <c:numRef>
              <c:f>'[Data Merge.xlsx]Real Gross Income'!$F$13:$N$13</c:f>
              <c:numCache>
                <c:formatCode>0.0%</c:formatCode>
                <c:ptCount val="9"/>
                <c:pt idx="0">
                  <c:v>-1.0000000000005117E-4</c:v>
                </c:pt>
                <c:pt idx="1">
                  <c:v>6.7000000000000167E-3</c:v>
                </c:pt>
                <c:pt idx="2">
                  <c:v>1.719999999999999E-2</c:v>
                </c:pt>
                <c:pt idx="3">
                  <c:v>2.6500000000000058E-2</c:v>
                </c:pt>
                <c:pt idx="4">
                  <c:v>2.9000000000000057E-2</c:v>
                </c:pt>
                <c:pt idx="5">
                  <c:v>4.1700000000000015E-2</c:v>
                </c:pt>
                <c:pt idx="6">
                  <c:v>5.3299999999999986E-2</c:v>
                </c:pt>
                <c:pt idx="7">
                  <c:v>6.930000000000007E-2</c:v>
                </c:pt>
                <c:pt idx="8">
                  <c:v>8.5400000000000059E-2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96-4540-A590-219354446BCA}"/>
            </c:ext>
          </c:extLst>
        </c:ser>
        <c:ser>
          <c:idx val="4"/>
          <c:order val="5"/>
          <c:tx>
            <c:v>AT</c:v>
          </c:tx>
          <c:spPr>
            <a:ln w="22225" cap="flat" cmpd="sng" algn="ctr">
              <a:solidFill>
                <a:srgbClr val="3A807A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rgbClr val="3A807A"/>
                </a:solidFill>
                <a:prstDash val="solid"/>
              </a:ln>
              <a:effectLst/>
            </c:spPr>
          </c:marker>
          <c:val>
            <c:numRef>
              <c:f>'[Data Merge.xlsx]Real Gross Income'!$F$32:$N$32</c:f>
              <c:numCache>
                <c:formatCode>0.0%</c:formatCode>
                <c:ptCount val="9"/>
                <c:pt idx="0">
                  <c:v>-4.0000000000000565E-3</c:v>
                </c:pt>
                <c:pt idx="1">
                  <c:v>-1.4699999999999989E-2</c:v>
                </c:pt>
                <c:pt idx="2">
                  <c:v>-2.2800000000000011E-2</c:v>
                </c:pt>
                <c:pt idx="3">
                  <c:v>-1.2199999999999989E-2</c:v>
                </c:pt>
                <c:pt idx="4">
                  <c:v>-3.5799999999999985E-2</c:v>
                </c:pt>
                <c:pt idx="5">
                  <c:v>-3.650000000000006E-2</c:v>
                </c:pt>
                <c:pt idx="6">
                  <c:v>-4.7900000000000061E-2</c:v>
                </c:pt>
                <c:pt idx="7">
                  <c:v>-3.7499999999999999E-2</c:v>
                </c:pt>
                <c:pt idx="8">
                  <c:v>-3.8700000000000047E-2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796-4540-A590-219354446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2450552"/>
        <c:axId val="442450944"/>
      </c:lineChart>
      <c:catAx>
        <c:axId val="442450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prstDash val="sysDash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22576B"/>
                </a:solidFill>
                <a:latin typeface="Montserrat" pitchFamily="2" charset="0"/>
                <a:ea typeface="+mn-ea"/>
                <a:cs typeface="+mn-cs"/>
              </a:defRPr>
            </a:pPr>
            <a:endParaRPr lang="cs-CZ"/>
          </a:p>
        </c:txPr>
        <c:crossAx val="442450944"/>
        <c:crosses val="autoZero"/>
        <c:auto val="1"/>
        <c:lblAlgn val="ctr"/>
        <c:lblOffset val="100"/>
        <c:noMultiLvlLbl val="0"/>
      </c:catAx>
      <c:valAx>
        <c:axId val="44245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22576B"/>
                </a:solidFill>
                <a:latin typeface="Montserrat" pitchFamily="2" charset="0"/>
                <a:ea typeface="+mn-ea"/>
                <a:cs typeface="+mn-cs"/>
              </a:defRPr>
            </a:pPr>
            <a:endParaRPr lang="cs-CZ"/>
          </a:p>
        </c:txPr>
        <c:crossAx val="4424505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923284811950435"/>
          <c:y val="0.85512839245609751"/>
          <c:w val="0.64643524369580385"/>
          <c:h val="0.139580169628939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rgbClr val="22576B"/>
              </a:solidFill>
              <a:latin typeface="Montserrat" pitchFamily="2" charset="0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rgbClr val="22576B"/>
          </a:solidFill>
          <a:latin typeface="Montserrat" pitchFamily="2" charset="0"/>
        </a:defRPr>
      </a:pPr>
      <a:endParaRPr lang="cs-CZ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rgbClr val="22576B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900" b="1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Celkové zadlužení domácností v mil. CZK</a:t>
            </a:r>
            <a:r>
              <a:rPr lang="cs-CZ" sz="900" b="0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(Zdroj: data ARAD ČNB, Autor</a:t>
            </a:r>
            <a:r>
              <a:rPr lang="cs-CZ" sz="900" b="1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)</a:t>
            </a:r>
          </a:p>
        </c:rich>
      </c:tx>
      <c:layout>
        <c:manualLayout>
          <c:xMode val="edge"/>
          <c:yMode val="edge"/>
          <c:x val="0.21513214162879815"/>
          <c:y val="1.5119016742670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rgbClr val="22576B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v>Na spotřebu</c:v>
          </c:tx>
          <c:spPr>
            <a:solidFill>
              <a:srgbClr val="3A807A">
                <a:alpha val="70000"/>
              </a:srgbClr>
            </a:solidFill>
            <a:ln w="12700">
              <a:solidFill>
                <a:schemeClr val="accent5"/>
              </a:solidFill>
            </a:ln>
            <a:effectLst/>
          </c:spPr>
          <c:cat>
            <c:strRef>
              <c:f>'[Data Merge.xlsx]Celkové zadlužení domácností'!$E$6:$E$49</c:f>
              <c:strCache>
                <c:ptCount val="44"/>
                <c:pt idx="0">
                  <c:v>2008Q1</c:v>
                </c:pt>
                <c:pt idx="1">
                  <c:v>2008Q2</c:v>
                </c:pt>
                <c:pt idx="2">
                  <c:v>2008Q3</c:v>
                </c:pt>
                <c:pt idx="3">
                  <c:v>2008Q4</c:v>
                </c:pt>
                <c:pt idx="4">
                  <c:v>2009Q1</c:v>
                </c:pt>
                <c:pt idx="5">
                  <c:v>2009Q2</c:v>
                </c:pt>
                <c:pt idx="6">
                  <c:v>2009Q3</c:v>
                </c:pt>
                <c:pt idx="7">
                  <c:v>2009Q4</c:v>
                </c:pt>
                <c:pt idx="8">
                  <c:v>2010Q1</c:v>
                </c:pt>
                <c:pt idx="9">
                  <c:v>2010Q2</c:v>
                </c:pt>
                <c:pt idx="10">
                  <c:v>2010Q3</c:v>
                </c:pt>
                <c:pt idx="11">
                  <c:v>2010Q4</c:v>
                </c:pt>
                <c:pt idx="12">
                  <c:v>2011Q1</c:v>
                </c:pt>
                <c:pt idx="13">
                  <c:v>2011Q2</c:v>
                </c:pt>
                <c:pt idx="14">
                  <c:v>2011Q3</c:v>
                </c:pt>
                <c:pt idx="15">
                  <c:v>2011Q4</c:v>
                </c:pt>
                <c:pt idx="16">
                  <c:v>2012Q1</c:v>
                </c:pt>
                <c:pt idx="17">
                  <c:v>2012Q2</c:v>
                </c:pt>
                <c:pt idx="18">
                  <c:v>2012Q3</c:v>
                </c:pt>
                <c:pt idx="19">
                  <c:v>2012Q4</c:v>
                </c:pt>
                <c:pt idx="20">
                  <c:v>2013Q1</c:v>
                </c:pt>
                <c:pt idx="21">
                  <c:v>2013Q2</c:v>
                </c:pt>
                <c:pt idx="22">
                  <c:v>2013Q3</c:v>
                </c:pt>
                <c:pt idx="23">
                  <c:v>2013Q4</c:v>
                </c:pt>
                <c:pt idx="24">
                  <c:v>2014Q1</c:v>
                </c:pt>
                <c:pt idx="25">
                  <c:v>2014Q2</c:v>
                </c:pt>
                <c:pt idx="26">
                  <c:v>2014Q3</c:v>
                </c:pt>
                <c:pt idx="27">
                  <c:v>2014Q4</c:v>
                </c:pt>
                <c:pt idx="28">
                  <c:v>2015Q1</c:v>
                </c:pt>
                <c:pt idx="29">
                  <c:v>2015Q2</c:v>
                </c:pt>
                <c:pt idx="30">
                  <c:v>2015Q3</c:v>
                </c:pt>
                <c:pt idx="31">
                  <c:v>2015Q4</c:v>
                </c:pt>
                <c:pt idx="32">
                  <c:v>2016Q1</c:v>
                </c:pt>
                <c:pt idx="33">
                  <c:v>2016Q2</c:v>
                </c:pt>
                <c:pt idx="34">
                  <c:v>2016Q3</c:v>
                </c:pt>
                <c:pt idx="35">
                  <c:v>2016Q4</c:v>
                </c:pt>
                <c:pt idx="36">
                  <c:v>2017Q1</c:v>
                </c:pt>
                <c:pt idx="37">
                  <c:v>2017Q2</c:v>
                </c:pt>
                <c:pt idx="38">
                  <c:v>2017Q3</c:v>
                </c:pt>
                <c:pt idx="39">
                  <c:v>2017Q4</c:v>
                </c:pt>
                <c:pt idx="40">
                  <c:v>2018Q1</c:v>
                </c:pt>
                <c:pt idx="41">
                  <c:v>2018Q2</c:v>
                </c:pt>
                <c:pt idx="42">
                  <c:v>2018Q3</c:v>
                </c:pt>
                <c:pt idx="43">
                  <c:v>2018Q4</c:v>
                </c:pt>
              </c:strCache>
            </c:strRef>
          </c:cat>
          <c:val>
            <c:numRef>
              <c:f>'[Data Merge.xlsx]Úvěry MFI - domácnosti'!$E$6:$E$49</c:f>
              <c:numCache>
                <c:formatCode>General</c:formatCode>
                <c:ptCount val="44"/>
                <c:pt idx="0">
                  <c:v>145145.1</c:v>
                </c:pt>
                <c:pt idx="1">
                  <c:v>154972.20000000001</c:v>
                </c:pt>
                <c:pt idx="2">
                  <c:v>163323.1</c:v>
                </c:pt>
                <c:pt idx="3">
                  <c:v>170397.9</c:v>
                </c:pt>
                <c:pt idx="4">
                  <c:v>174676.9</c:v>
                </c:pt>
                <c:pt idx="5">
                  <c:v>180435</c:v>
                </c:pt>
                <c:pt idx="6">
                  <c:v>185099.5</c:v>
                </c:pt>
                <c:pt idx="7">
                  <c:v>187187.9</c:v>
                </c:pt>
                <c:pt idx="8">
                  <c:v>187991.9</c:v>
                </c:pt>
                <c:pt idx="9">
                  <c:v>190044.3</c:v>
                </c:pt>
                <c:pt idx="10">
                  <c:v>201935.8</c:v>
                </c:pt>
                <c:pt idx="11">
                  <c:v>201653</c:v>
                </c:pt>
                <c:pt idx="12">
                  <c:v>201017.5</c:v>
                </c:pt>
                <c:pt idx="13">
                  <c:v>200819.20000000001</c:v>
                </c:pt>
                <c:pt idx="14">
                  <c:v>200985.2</c:v>
                </c:pt>
                <c:pt idx="15">
                  <c:v>199617.3</c:v>
                </c:pt>
                <c:pt idx="16">
                  <c:v>198545.1</c:v>
                </c:pt>
                <c:pt idx="17">
                  <c:v>198679.3</c:v>
                </c:pt>
                <c:pt idx="18">
                  <c:v>198746.5</c:v>
                </c:pt>
                <c:pt idx="19">
                  <c:v>199591.3</c:v>
                </c:pt>
                <c:pt idx="20">
                  <c:v>197354.4</c:v>
                </c:pt>
                <c:pt idx="21">
                  <c:v>197661.9</c:v>
                </c:pt>
                <c:pt idx="22">
                  <c:v>199657.8</c:v>
                </c:pt>
                <c:pt idx="23">
                  <c:v>199215.1</c:v>
                </c:pt>
                <c:pt idx="24">
                  <c:v>198080</c:v>
                </c:pt>
                <c:pt idx="25">
                  <c:v>196440.9</c:v>
                </c:pt>
                <c:pt idx="26">
                  <c:v>197623.6</c:v>
                </c:pt>
                <c:pt idx="27">
                  <c:v>195416</c:v>
                </c:pt>
                <c:pt idx="28">
                  <c:v>193337.8</c:v>
                </c:pt>
                <c:pt idx="29">
                  <c:v>211625.4</c:v>
                </c:pt>
                <c:pt idx="30">
                  <c:v>212634.7</c:v>
                </c:pt>
                <c:pt idx="31">
                  <c:v>212737</c:v>
                </c:pt>
                <c:pt idx="32">
                  <c:v>211962.7</c:v>
                </c:pt>
                <c:pt idx="33">
                  <c:v>215450.3</c:v>
                </c:pt>
                <c:pt idx="34">
                  <c:v>218143</c:v>
                </c:pt>
                <c:pt idx="35">
                  <c:v>222252.2</c:v>
                </c:pt>
                <c:pt idx="36">
                  <c:v>221886.1</c:v>
                </c:pt>
                <c:pt idx="37">
                  <c:v>224934.7</c:v>
                </c:pt>
                <c:pt idx="38">
                  <c:v>226360.7</c:v>
                </c:pt>
                <c:pt idx="39">
                  <c:v>230764.6</c:v>
                </c:pt>
                <c:pt idx="40">
                  <c:v>232071</c:v>
                </c:pt>
                <c:pt idx="41">
                  <c:v>237199</c:v>
                </c:pt>
                <c:pt idx="42">
                  <c:v>241310.9</c:v>
                </c:pt>
                <c:pt idx="43">
                  <c:v>245356.9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B-4ECA-B239-03AB82A2954C}"/>
            </c:ext>
          </c:extLst>
        </c:ser>
        <c:ser>
          <c:idx val="1"/>
          <c:order val="1"/>
          <c:tx>
            <c:v>Na bydlení</c:v>
          </c:tx>
          <c:spPr>
            <a:pattFill prst="narHorz">
              <a:fgClr>
                <a:srgbClr val="C0D58B"/>
              </a:fgClr>
              <a:bgClr>
                <a:schemeClr val="bg1"/>
              </a:bgClr>
            </a:pattFill>
            <a:ln w="12700">
              <a:solidFill>
                <a:schemeClr val="accent3"/>
              </a:solidFill>
            </a:ln>
            <a:effectLst/>
          </c:spPr>
          <c:cat>
            <c:strRef>
              <c:f>'[Data Merge.xlsx]Celkové zadlužení domácností'!$E$6:$E$49</c:f>
              <c:strCache>
                <c:ptCount val="44"/>
                <c:pt idx="0">
                  <c:v>2008Q1</c:v>
                </c:pt>
                <c:pt idx="1">
                  <c:v>2008Q2</c:v>
                </c:pt>
                <c:pt idx="2">
                  <c:v>2008Q3</c:v>
                </c:pt>
                <c:pt idx="3">
                  <c:v>2008Q4</c:v>
                </c:pt>
                <c:pt idx="4">
                  <c:v>2009Q1</c:v>
                </c:pt>
                <c:pt idx="5">
                  <c:v>2009Q2</c:v>
                </c:pt>
                <c:pt idx="6">
                  <c:v>2009Q3</c:v>
                </c:pt>
                <c:pt idx="7">
                  <c:v>2009Q4</c:v>
                </c:pt>
                <c:pt idx="8">
                  <c:v>2010Q1</c:v>
                </c:pt>
                <c:pt idx="9">
                  <c:v>2010Q2</c:v>
                </c:pt>
                <c:pt idx="10">
                  <c:v>2010Q3</c:v>
                </c:pt>
                <c:pt idx="11">
                  <c:v>2010Q4</c:v>
                </c:pt>
                <c:pt idx="12">
                  <c:v>2011Q1</c:v>
                </c:pt>
                <c:pt idx="13">
                  <c:v>2011Q2</c:v>
                </c:pt>
                <c:pt idx="14">
                  <c:v>2011Q3</c:v>
                </c:pt>
                <c:pt idx="15">
                  <c:v>2011Q4</c:v>
                </c:pt>
                <c:pt idx="16">
                  <c:v>2012Q1</c:v>
                </c:pt>
                <c:pt idx="17">
                  <c:v>2012Q2</c:v>
                </c:pt>
                <c:pt idx="18">
                  <c:v>2012Q3</c:v>
                </c:pt>
                <c:pt idx="19">
                  <c:v>2012Q4</c:v>
                </c:pt>
                <c:pt idx="20">
                  <c:v>2013Q1</c:v>
                </c:pt>
                <c:pt idx="21">
                  <c:v>2013Q2</c:v>
                </c:pt>
                <c:pt idx="22">
                  <c:v>2013Q3</c:v>
                </c:pt>
                <c:pt idx="23">
                  <c:v>2013Q4</c:v>
                </c:pt>
                <c:pt idx="24">
                  <c:v>2014Q1</c:v>
                </c:pt>
                <c:pt idx="25">
                  <c:v>2014Q2</c:v>
                </c:pt>
                <c:pt idx="26">
                  <c:v>2014Q3</c:v>
                </c:pt>
                <c:pt idx="27">
                  <c:v>2014Q4</c:v>
                </c:pt>
                <c:pt idx="28">
                  <c:v>2015Q1</c:v>
                </c:pt>
                <c:pt idx="29">
                  <c:v>2015Q2</c:v>
                </c:pt>
                <c:pt idx="30">
                  <c:v>2015Q3</c:v>
                </c:pt>
                <c:pt idx="31">
                  <c:v>2015Q4</c:v>
                </c:pt>
                <c:pt idx="32">
                  <c:v>2016Q1</c:v>
                </c:pt>
                <c:pt idx="33">
                  <c:v>2016Q2</c:v>
                </c:pt>
                <c:pt idx="34">
                  <c:v>2016Q3</c:v>
                </c:pt>
                <c:pt idx="35">
                  <c:v>2016Q4</c:v>
                </c:pt>
                <c:pt idx="36">
                  <c:v>2017Q1</c:v>
                </c:pt>
                <c:pt idx="37">
                  <c:v>2017Q2</c:v>
                </c:pt>
                <c:pt idx="38">
                  <c:v>2017Q3</c:v>
                </c:pt>
                <c:pt idx="39">
                  <c:v>2017Q4</c:v>
                </c:pt>
                <c:pt idx="40">
                  <c:v>2018Q1</c:v>
                </c:pt>
                <c:pt idx="41">
                  <c:v>2018Q2</c:v>
                </c:pt>
                <c:pt idx="42">
                  <c:v>2018Q3</c:v>
                </c:pt>
                <c:pt idx="43">
                  <c:v>2018Q4</c:v>
                </c:pt>
              </c:strCache>
            </c:strRef>
          </c:cat>
          <c:val>
            <c:numRef>
              <c:f>'[Data Merge.xlsx]Úvěry MFI - domácnosti'!$I$6:$I$49</c:f>
              <c:numCache>
                <c:formatCode>General</c:formatCode>
                <c:ptCount val="44"/>
                <c:pt idx="0">
                  <c:v>535016</c:v>
                </c:pt>
                <c:pt idx="1">
                  <c:v>563558.9</c:v>
                </c:pt>
                <c:pt idx="2">
                  <c:v>593222.30000000005</c:v>
                </c:pt>
                <c:pt idx="3">
                  <c:v>618438</c:v>
                </c:pt>
                <c:pt idx="4">
                  <c:v>633052.80000000005</c:v>
                </c:pt>
                <c:pt idx="5">
                  <c:v>652391.80000000005</c:v>
                </c:pt>
                <c:pt idx="6">
                  <c:v>670368.30000000005</c:v>
                </c:pt>
                <c:pt idx="7">
                  <c:v>690330.7</c:v>
                </c:pt>
                <c:pt idx="8">
                  <c:v>696574.9</c:v>
                </c:pt>
                <c:pt idx="9">
                  <c:v>710290.5</c:v>
                </c:pt>
                <c:pt idx="10">
                  <c:v>721550.5</c:v>
                </c:pt>
                <c:pt idx="11">
                  <c:v>737217.8</c:v>
                </c:pt>
                <c:pt idx="12">
                  <c:v>740140.3</c:v>
                </c:pt>
                <c:pt idx="13">
                  <c:v>754783.3</c:v>
                </c:pt>
                <c:pt idx="14">
                  <c:v>768876.9</c:v>
                </c:pt>
                <c:pt idx="15">
                  <c:v>786894.4</c:v>
                </c:pt>
                <c:pt idx="16">
                  <c:v>792196.1</c:v>
                </c:pt>
                <c:pt idx="17">
                  <c:v>804326</c:v>
                </c:pt>
                <c:pt idx="18">
                  <c:v>814001.3</c:v>
                </c:pt>
                <c:pt idx="19">
                  <c:v>830548.8</c:v>
                </c:pt>
                <c:pt idx="20">
                  <c:v>835709.6</c:v>
                </c:pt>
                <c:pt idx="21">
                  <c:v>847098.4</c:v>
                </c:pt>
                <c:pt idx="22">
                  <c:v>859655.4</c:v>
                </c:pt>
                <c:pt idx="23">
                  <c:v>869190.7</c:v>
                </c:pt>
                <c:pt idx="24">
                  <c:v>875250.4</c:v>
                </c:pt>
                <c:pt idx="25">
                  <c:v>887340</c:v>
                </c:pt>
                <c:pt idx="26">
                  <c:v>901869.7</c:v>
                </c:pt>
                <c:pt idx="27">
                  <c:v>905538.8</c:v>
                </c:pt>
                <c:pt idx="28">
                  <c:v>915969.9</c:v>
                </c:pt>
                <c:pt idx="29">
                  <c:v>936053</c:v>
                </c:pt>
                <c:pt idx="30">
                  <c:v>955797.6</c:v>
                </c:pt>
                <c:pt idx="31">
                  <c:v>977774.5</c:v>
                </c:pt>
                <c:pt idx="32">
                  <c:v>987387.8</c:v>
                </c:pt>
                <c:pt idx="33">
                  <c:v>1010956.9</c:v>
                </c:pt>
                <c:pt idx="34">
                  <c:v>1035097.2</c:v>
                </c:pt>
                <c:pt idx="35">
                  <c:v>1059560.2</c:v>
                </c:pt>
                <c:pt idx="36">
                  <c:v>1077802.3999999999</c:v>
                </c:pt>
                <c:pt idx="37">
                  <c:v>1105089.3</c:v>
                </c:pt>
                <c:pt idx="38">
                  <c:v>1128682.8999999999</c:v>
                </c:pt>
                <c:pt idx="39">
                  <c:v>1152064.1000000001</c:v>
                </c:pt>
                <c:pt idx="40">
                  <c:v>1170671.2</c:v>
                </c:pt>
                <c:pt idx="41">
                  <c:v>1196271</c:v>
                </c:pt>
                <c:pt idx="42">
                  <c:v>1221999.2</c:v>
                </c:pt>
                <c:pt idx="43">
                  <c:v>1249524.5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3B-4ECA-B239-03AB82A2954C}"/>
            </c:ext>
          </c:extLst>
        </c:ser>
        <c:ser>
          <c:idx val="2"/>
          <c:order val="2"/>
          <c:tx>
            <c:v>Ostatní úvěry</c:v>
          </c:tx>
          <c:spPr>
            <a:pattFill prst="trellis">
              <a:fgClr>
                <a:schemeClr val="bg1">
                  <a:lumMod val="75000"/>
                </a:schemeClr>
              </a:fgClr>
              <a:bgClr>
                <a:schemeClr val="bg1"/>
              </a:bgClr>
            </a:pattFill>
            <a:ln w="12700">
              <a:solidFill>
                <a:schemeClr val="bg1">
                  <a:lumMod val="50000"/>
                </a:schemeClr>
              </a:solidFill>
            </a:ln>
            <a:effectLst/>
          </c:spPr>
          <c:cat>
            <c:strRef>
              <c:f>'[Data Merge.xlsx]Celkové zadlužení domácností'!$E$6:$E$49</c:f>
              <c:strCache>
                <c:ptCount val="44"/>
                <c:pt idx="0">
                  <c:v>2008Q1</c:v>
                </c:pt>
                <c:pt idx="1">
                  <c:v>2008Q2</c:v>
                </c:pt>
                <c:pt idx="2">
                  <c:v>2008Q3</c:v>
                </c:pt>
                <c:pt idx="3">
                  <c:v>2008Q4</c:v>
                </c:pt>
                <c:pt idx="4">
                  <c:v>2009Q1</c:v>
                </c:pt>
                <c:pt idx="5">
                  <c:v>2009Q2</c:v>
                </c:pt>
                <c:pt idx="6">
                  <c:v>2009Q3</c:v>
                </c:pt>
                <c:pt idx="7">
                  <c:v>2009Q4</c:v>
                </c:pt>
                <c:pt idx="8">
                  <c:v>2010Q1</c:v>
                </c:pt>
                <c:pt idx="9">
                  <c:v>2010Q2</c:v>
                </c:pt>
                <c:pt idx="10">
                  <c:v>2010Q3</c:v>
                </c:pt>
                <c:pt idx="11">
                  <c:v>2010Q4</c:v>
                </c:pt>
                <c:pt idx="12">
                  <c:v>2011Q1</c:v>
                </c:pt>
                <c:pt idx="13">
                  <c:v>2011Q2</c:v>
                </c:pt>
                <c:pt idx="14">
                  <c:v>2011Q3</c:v>
                </c:pt>
                <c:pt idx="15">
                  <c:v>2011Q4</c:v>
                </c:pt>
                <c:pt idx="16">
                  <c:v>2012Q1</c:v>
                </c:pt>
                <c:pt idx="17">
                  <c:v>2012Q2</c:v>
                </c:pt>
                <c:pt idx="18">
                  <c:v>2012Q3</c:v>
                </c:pt>
                <c:pt idx="19">
                  <c:v>2012Q4</c:v>
                </c:pt>
                <c:pt idx="20">
                  <c:v>2013Q1</c:v>
                </c:pt>
                <c:pt idx="21">
                  <c:v>2013Q2</c:v>
                </c:pt>
                <c:pt idx="22">
                  <c:v>2013Q3</c:v>
                </c:pt>
                <c:pt idx="23">
                  <c:v>2013Q4</c:v>
                </c:pt>
                <c:pt idx="24">
                  <c:v>2014Q1</c:v>
                </c:pt>
                <c:pt idx="25">
                  <c:v>2014Q2</c:v>
                </c:pt>
                <c:pt idx="26">
                  <c:v>2014Q3</c:v>
                </c:pt>
                <c:pt idx="27">
                  <c:v>2014Q4</c:v>
                </c:pt>
                <c:pt idx="28">
                  <c:v>2015Q1</c:v>
                </c:pt>
                <c:pt idx="29">
                  <c:v>2015Q2</c:v>
                </c:pt>
                <c:pt idx="30">
                  <c:v>2015Q3</c:v>
                </c:pt>
                <c:pt idx="31">
                  <c:v>2015Q4</c:v>
                </c:pt>
                <c:pt idx="32">
                  <c:v>2016Q1</c:v>
                </c:pt>
                <c:pt idx="33">
                  <c:v>2016Q2</c:v>
                </c:pt>
                <c:pt idx="34">
                  <c:v>2016Q3</c:v>
                </c:pt>
                <c:pt idx="35">
                  <c:v>2016Q4</c:v>
                </c:pt>
                <c:pt idx="36">
                  <c:v>2017Q1</c:v>
                </c:pt>
                <c:pt idx="37">
                  <c:v>2017Q2</c:v>
                </c:pt>
                <c:pt idx="38">
                  <c:v>2017Q3</c:v>
                </c:pt>
                <c:pt idx="39">
                  <c:v>2017Q4</c:v>
                </c:pt>
                <c:pt idx="40">
                  <c:v>2018Q1</c:v>
                </c:pt>
                <c:pt idx="41">
                  <c:v>2018Q2</c:v>
                </c:pt>
                <c:pt idx="42">
                  <c:v>2018Q3</c:v>
                </c:pt>
                <c:pt idx="43">
                  <c:v>2018Q4</c:v>
                </c:pt>
              </c:strCache>
            </c:strRef>
          </c:cat>
          <c:val>
            <c:numRef>
              <c:f>'[Data Merge.xlsx]Úvěry MFI - domácnosti'!$M$6:$M$49</c:f>
              <c:numCache>
                <c:formatCode>General</c:formatCode>
                <c:ptCount val="44"/>
                <c:pt idx="0">
                  <c:v>76028.899999999994</c:v>
                </c:pt>
                <c:pt idx="1">
                  <c:v>81147</c:v>
                </c:pt>
                <c:pt idx="2">
                  <c:v>85945.5</c:v>
                </c:pt>
                <c:pt idx="3">
                  <c:v>91384.9</c:v>
                </c:pt>
                <c:pt idx="4">
                  <c:v>98659.199999999997</c:v>
                </c:pt>
                <c:pt idx="5">
                  <c:v>100530.6</c:v>
                </c:pt>
                <c:pt idx="6">
                  <c:v>103258</c:v>
                </c:pt>
                <c:pt idx="7">
                  <c:v>105785.5</c:v>
                </c:pt>
                <c:pt idx="8">
                  <c:v>108785</c:v>
                </c:pt>
                <c:pt idx="9">
                  <c:v>111470.8</c:v>
                </c:pt>
                <c:pt idx="10">
                  <c:v>114706.7</c:v>
                </c:pt>
                <c:pt idx="11">
                  <c:v>118208.6</c:v>
                </c:pt>
                <c:pt idx="12">
                  <c:v>122847.8</c:v>
                </c:pt>
                <c:pt idx="13">
                  <c:v>124472.2</c:v>
                </c:pt>
                <c:pt idx="14">
                  <c:v>127896</c:v>
                </c:pt>
                <c:pt idx="15">
                  <c:v>131554.5</c:v>
                </c:pt>
                <c:pt idx="16">
                  <c:v>131188.29999999999</c:v>
                </c:pt>
                <c:pt idx="17">
                  <c:v>130816.4</c:v>
                </c:pt>
                <c:pt idx="18">
                  <c:v>131946.6</c:v>
                </c:pt>
                <c:pt idx="19">
                  <c:v>133178.70000000001</c:v>
                </c:pt>
                <c:pt idx="20">
                  <c:v>130898.8</c:v>
                </c:pt>
                <c:pt idx="21">
                  <c:v>133685</c:v>
                </c:pt>
                <c:pt idx="22">
                  <c:v>134210.1</c:v>
                </c:pt>
                <c:pt idx="23">
                  <c:v>137884.6</c:v>
                </c:pt>
                <c:pt idx="24">
                  <c:v>136936.70000000001</c:v>
                </c:pt>
                <c:pt idx="25">
                  <c:v>137317.70000000001</c:v>
                </c:pt>
                <c:pt idx="26">
                  <c:v>138031.5</c:v>
                </c:pt>
                <c:pt idx="27">
                  <c:v>137102.39999999999</c:v>
                </c:pt>
                <c:pt idx="28">
                  <c:v>137089.4</c:v>
                </c:pt>
                <c:pt idx="29">
                  <c:v>138985.70000000001</c:v>
                </c:pt>
                <c:pt idx="30">
                  <c:v>139535.5</c:v>
                </c:pt>
                <c:pt idx="31">
                  <c:v>141357</c:v>
                </c:pt>
                <c:pt idx="32">
                  <c:v>140346.1</c:v>
                </c:pt>
                <c:pt idx="33">
                  <c:v>142240.20000000001</c:v>
                </c:pt>
                <c:pt idx="34">
                  <c:v>144597.20000000001</c:v>
                </c:pt>
                <c:pt idx="35">
                  <c:v>146557.70000000001</c:v>
                </c:pt>
                <c:pt idx="36">
                  <c:v>146588.9</c:v>
                </c:pt>
                <c:pt idx="37">
                  <c:v>148753.5</c:v>
                </c:pt>
                <c:pt idx="38">
                  <c:v>150567.29999999999</c:v>
                </c:pt>
                <c:pt idx="39">
                  <c:v>152313</c:v>
                </c:pt>
                <c:pt idx="40">
                  <c:v>153234.5</c:v>
                </c:pt>
                <c:pt idx="41">
                  <c:v>155581.5</c:v>
                </c:pt>
                <c:pt idx="42">
                  <c:v>156777.20000000001</c:v>
                </c:pt>
                <c:pt idx="43">
                  <c:v>155786.9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3B-4ECA-B239-03AB82A29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axId val="1142404880"/>
        <c:axId val="861540768"/>
      </c:areaChart>
      <c:catAx>
        <c:axId val="1142404880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61540768"/>
        <c:crosses val="autoZero"/>
        <c:auto val="1"/>
        <c:lblAlgn val="ctr"/>
        <c:lblOffset val="100"/>
        <c:tickLblSkip val="2"/>
        <c:noMultiLvlLbl val="0"/>
      </c:catAx>
      <c:valAx>
        <c:axId val="86154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424048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rgbClr val="22576B"/>
          </a:solidFill>
          <a:latin typeface="Montserrat" pitchFamily="2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rgbClr val="22576B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Počet vydaných stavebních ohlášení a povolení na výstavbu bytových jednotek na 1 000 obyv. za rok </a:t>
            </a:r>
            <a:r>
              <a:rPr lang="cs-CZ" sz="1000" b="0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(Zdroj: data ČSÚ, Autor)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rgbClr val="22576B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'[Data Merge Zaloha.xlsx]Stavební povolení'!$A$5</c:f>
              <c:strCache>
                <c:ptCount val="1"/>
                <c:pt idx="0">
                  <c:v>Hl. m. Praha</c:v>
                </c:pt>
              </c:strCache>
            </c:strRef>
          </c:tx>
          <c:spPr>
            <a:ln w="25400" cap="flat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</c:marker>
          <c:cat>
            <c:numRef>
              <c:f>'[Data Merge Zaloha.xlsx]Stavební povolení'!$C$3:$L$3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'[Data Merge Zaloha.xlsx]Stavební povolení'!$AA$59:$AJ$59</c:f>
              <c:numCache>
                <c:formatCode>0.0</c:formatCode>
                <c:ptCount val="10"/>
                <c:pt idx="0">
                  <c:v>0.31859534850791182</c:v>
                </c:pt>
                <c:pt idx="1">
                  <c:v>0.23247899300645666</c:v>
                </c:pt>
                <c:pt idx="2">
                  <c:v>0.28838161369303755</c:v>
                </c:pt>
                <c:pt idx="3">
                  <c:v>0.25810186581115147</c:v>
                </c:pt>
                <c:pt idx="4">
                  <c:v>0.22494259946881412</c:v>
                </c:pt>
                <c:pt idx="5">
                  <c:v>0.26936834322482661</c:v>
                </c:pt>
                <c:pt idx="6">
                  <c:v>0.2843548590225638</c:v>
                </c:pt>
                <c:pt idx="7">
                  <c:v>0.33785588796384469</c:v>
                </c:pt>
                <c:pt idx="8">
                  <c:v>0.3785305552662383</c:v>
                </c:pt>
                <c:pt idx="9">
                  <c:v>0.23517928577741742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BE-4315-9082-06BDD6F6E756}"/>
            </c:ext>
          </c:extLst>
        </c:ser>
        <c:ser>
          <c:idx val="1"/>
          <c:order val="1"/>
          <c:tx>
            <c:strRef>
              <c:f>'[Data Merge Zaloha.xlsx]Stavební povolení'!$A$6</c:f>
              <c:strCache>
                <c:ptCount val="1"/>
                <c:pt idx="0">
                  <c:v>Středočeský </c:v>
                </c:pt>
              </c:strCache>
            </c:strRef>
          </c:tx>
          <c:spPr>
            <a:ln w="19050" cap="flat" cmpd="sng" algn="ctr">
              <a:solidFill>
                <a:srgbClr val="47916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lt1"/>
              </a:solidFill>
              <a:ln w="25400" cap="flat" cmpd="sng" algn="ctr">
                <a:solidFill>
                  <a:srgbClr val="479160"/>
                </a:solidFill>
                <a:prstDash val="solid"/>
              </a:ln>
              <a:effectLst/>
            </c:spPr>
          </c:marker>
          <c:cat>
            <c:numRef>
              <c:f>'[Data Merge Zaloha.xlsx]Stavební povolení'!$C$3:$L$3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'[Data Merge Zaloha.xlsx]Stavební povolení'!$AA$79:$AJ$79</c:f>
              <c:numCache>
                <c:formatCode>0.0</c:formatCode>
                <c:ptCount val="10"/>
                <c:pt idx="0">
                  <c:v>3.4283234369063456</c:v>
                </c:pt>
                <c:pt idx="1">
                  <c:v>3.0926014600769651</c:v>
                </c:pt>
                <c:pt idx="2">
                  <c:v>2.9188732332412215</c:v>
                </c:pt>
                <c:pt idx="3">
                  <c:v>2.4643355664511315</c:v>
                </c:pt>
                <c:pt idx="4">
                  <c:v>2.2278599670523409</c:v>
                </c:pt>
                <c:pt idx="5">
                  <c:v>2.2938740653207952</c:v>
                </c:pt>
                <c:pt idx="6">
                  <c:v>2.4532054839742838</c:v>
                </c:pt>
                <c:pt idx="7">
                  <c:v>2.6709189356226779</c:v>
                </c:pt>
                <c:pt idx="8">
                  <c:v>3.103070077665921</c:v>
                </c:pt>
                <c:pt idx="9">
                  <c:v>2.9926568591577651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BE-4315-9082-06BDD6F6E756}"/>
            </c:ext>
          </c:extLst>
        </c:ser>
        <c:ser>
          <c:idx val="2"/>
          <c:order val="2"/>
          <c:tx>
            <c:strRef>
              <c:f>'[Data Merge Zaloha.xlsx]Stavební povolení'!$A$4</c:f>
              <c:strCache>
                <c:ptCount val="1"/>
                <c:pt idx="0">
                  <c:v>Celkem ČR</c:v>
                </c:pt>
              </c:strCache>
            </c:strRef>
          </c:tx>
          <c:spPr>
            <a:ln w="25400" cap="rnd">
              <a:solidFill>
                <a:srgbClr val="22576B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'[Data Merge Zaloha.xlsx]Stavební povolení'!$C$3:$L$3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'[Data Merge Zaloha.xlsx]Stavební povolení'!$AA$102:$AJ$102</c:f>
              <c:numCache>
                <c:formatCode>0.0</c:formatCode>
                <c:ptCount val="10"/>
                <c:pt idx="0">
                  <c:v>1.673260581049864</c:v>
                </c:pt>
                <c:pt idx="1">
                  <c:v>1.4788090457512313</c:v>
                </c:pt>
                <c:pt idx="2">
                  <c:v>1.5102882132546391</c:v>
                </c:pt>
                <c:pt idx="3">
                  <c:v>1.269258444389086</c:v>
                </c:pt>
                <c:pt idx="4">
                  <c:v>1.1302747224048137</c:v>
                </c:pt>
                <c:pt idx="5">
                  <c:v>1.1334200429595556</c:v>
                </c:pt>
                <c:pt idx="6">
                  <c:v>1.2260334923591538</c:v>
                </c:pt>
                <c:pt idx="7">
                  <c:v>1.3998677177064054</c:v>
                </c:pt>
                <c:pt idx="8">
                  <c:v>1.6236798512039161</c:v>
                </c:pt>
                <c:pt idx="9">
                  <c:v>1.6242519830272255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BE-4315-9082-06BDD6F6E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6297056"/>
        <c:axId val="1057449952"/>
      </c:lineChart>
      <c:catAx>
        <c:axId val="896297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449952"/>
        <c:crosses val="autoZero"/>
        <c:auto val="1"/>
        <c:lblAlgn val="ctr"/>
        <c:lblOffset val="100"/>
        <c:noMultiLvlLbl val="0"/>
      </c:catAx>
      <c:valAx>
        <c:axId val="105744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962970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22576B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rgbClr val="22576B"/>
          </a:solidFill>
          <a:latin typeface="Montserrat" pitchFamily="2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0.04154</cdr:x>
      <cdr:y>0</cdr:y>
    </cdr:from>
    <cdr:to>
      <cdr:x>1</cdr:x>
      <cdr:y>0.13271</cdr:y>
    </cdr:to>
    <cdr:sp macro="" textlink="">
      <cdr:nvSpPr>
        <cdr:cNvPr id="2" name="Textové pol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6700" y="0"/>
          <a:ext cx="6153150" cy="22499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ctr" hangingPunct="0">
            <a:spcAft>
              <a:spcPts val="0"/>
            </a:spcAft>
          </a:pPr>
          <a:r>
            <a:rPr lang="cs-CZ" sz="900" b="1">
              <a:ln>
                <a:noFill/>
              </a:ln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Meziroční změny vývoje reálného hrubého disp. důchodu domácností </a:t>
          </a:r>
          <a:r>
            <a:rPr lang="cs-CZ" sz="900" b="0">
              <a:ln>
                <a:noFill/>
              </a:ln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(Zdroj: data Eurostat, Autor) 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EFDB5-BDF7-4059-9BFA-CDE2D381B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1522</Words>
  <Characters>8982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vlachova</dc:creator>
  <cp:lastModifiedBy>Monika Petrásková</cp:lastModifiedBy>
  <cp:revision>3</cp:revision>
  <cp:lastPrinted>2019-08-27T11:23:00Z</cp:lastPrinted>
  <dcterms:created xsi:type="dcterms:W3CDTF">2019-08-27T15:29:00Z</dcterms:created>
  <dcterms:modified xsi:type="dcterms:W3CDTF">2019-08-27T16:01:00Z</dcterms:modified>
</cp:coreProperties>
</file>