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AF" w:rsidRPr="005D593D" w:rsidRDefault="00F87FA4" w:rsidP="008B1C16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872C9B">
        <w:rPr>
          <w:rFonts w:cs="Arial"/>
          <w:b/>
          <w:color w:val="007E79"/>
          <w:sz w:val="28"/>
          <w:szCs w:val="28"/>
        </w:rPr>
        <w:t xml:space="preserve">Průzkum ČBA Češi a digitalizace: </w:t>
      </w:r>
      <w:r w:rsidR="00AF09A0" w:rsidRPr="00872C9B">
        <w:rPr>
          <w:rFonts w:cs="Arial"/>
          <w:b/>
          <w:color w:val="007E79"/>
          <w:sz w:val="28"/>
          <w:szCs w:val="28"/>
        </w:rPr>
        <w:t xml:space="preserve">Elektronické bankovnictví využívá </w:t>
      </w:r>
      <w:r w:rsidR="00717B00" w:rsidRPr="00872C9B">
        <w:rPr>
          <w:rFonts w:cs="Arial"/>
          <w:b/>
          <w:color w:val="007E79"/>
          <w:sz w:val="28"/>
          <w:szCs w:val="28"/>
        </w:rPr>
        <w:t>téměř každý</w:t>
      </w:r>
      <w:r w:rsidR="00AF09A0" w:rsidRPr="00872C9B">
        <w:rPr>
          <w:rFonts w:cs="Arial"/>
          <w:b/>
          <w:color w:val="007E79"/>
          <w:sz w:val="28"/>
          <w:szCs w:val="28"/>
        </w:rPr>
        <w:t xml:space="preserve"> Čech</w:t>
      </w:r>
      <w:r w:rsidR="00DA4875" w:rsidRPr="00872C9B">
        <w:rPr>
          <w:rFonts w:cs="Arial"/>
          <w:b/>
          <w:color w:val="007E79"/>
          <w:sz w:val="28"/>
          <w:szCs w:val="28"/>
        </w:rPr>
        <w:t>, uvítali by možnost přes něj čerpat služby od státu</w:t>
      </w:r>
      <w:r w:rsidR="00DA4875">
        <w:rPr>
          <w:rFonts w:cs="Arial"/>
          <w:b/>
          <w:color w:val="007E79"/>
          <w:sz w:val="28"/>
          <w:szCs w:val="28"/>
        </w:rPr>
        <w:t xml:space="preserve">  </w:t>
      </w:r>
      <w:r w:rsidR="00AF09A0">
        <w:rPr>
          <w:rFonts w:cs="Arial"/>
          <w:b/>
          <w:color w:val="007E79"/>
          <w:sz w:val="28"/>
          <w:szCs w:val="28"/>
        </w:rPr>
        <w:t xml:space="preserve"> </w:t>
      </w:r>
      <w:r w:rsidR="00F01AED">
        <w:rPr>
          <w:rFonts w:cs="Arial"/>
          <w:b/>
          <w:color w:val="007E79"/>
          <w:sz w:val="28"/>
          <w:szCs w:val="28"/>
        </w:rPr>
        <w:t xml:space="preserve"> </w:t>
      </w:r>
    </w:p>
    <w:p w:rsidR="009D24D7" w:rsidRPr="00573F62" w:rsidRDefault="009D24D7" w:rsidP="008B1C16">
      <w:pPr>
        <w:spacing w:line="276" w:lineRule="auto"/>
        <w:contextualSpacing/>
        <w:rPr>
          <w:rFonts w:cs="Arial"/>
          <w:b/>
          <w:color w:val="007E79"/>
          <w:sz w:val="12"/>
          <w:szCs w:val="28"/>
        </w:rPr>
      </w:pPr>
    </w:p>
    <w:p w:rsidR="00576CF4" w:rsidRDefault="00576CF4" w:rsidP="00BD483C">
      <w:pPr>
        <w:spacing w:after="120" w:line="276" w:lineRule="auto"/>
        <w:contextualSpacing/>
        <w:rPr>
          <w:rFonts w:cs="Arial"/>
          <w:szCs w:val="18"/>
        </w:rPr>
      </w:pPr>
    </w:p>
    <w:p w:rsidR="00D13EDA" w:rsidRDefault="001F3DF4" w:rsidP="002B4617">
      <w:pPr>
        <w:spacing w:after="120" w:line="276" w:lineRule="auto"/>
        <w:contextualSpacing/>
        <w:rPr>
          <w:rFonts w:cs="Arial"/>
          <w:szCs w:val="18"/>
        </w:rPr>
      </w:pPr>
      <w:r w:rsidRPr="00D13EDA">
        <w:rPr>
          <w:rFonts w:cs="Arial"/>
          <w:b/>
          <w:color w:val="007E79"/>
          <w:szCs w:val="18"/>
        </w:rPr>
        <w:t xml:space="preserve">Praha, 20. června – </w:t>
      </w:r>
      <w:r w:rsidR="00BB7A89" w:rsidRPr="00D13EDA">
        <w:rPr>
          <w:rFonts w:cs="Arial"/>
          <w:b/>
          <w:color w:val="007E79"/>
          <w:szCs w:val="18"/>
        </w:rPr>
        <w:t xml:space="preserve">Elektronické bankovnictví využívá </w:t>
      </w:r>
      <w:r w:rsidR="00F87FA4" w:rsidRPr="00D13EDA">
        <w:rPr>
          <w:rFonts w:cs="Arial"/>
          <w:b/>
          <w:color w:val="007E79"/>
          <w:szCs w:val="18"/>
        </w:rPr>
        <w:t>ke správě svých financí již naprostá většina (95 %)</w:t>
      </w:r>
      <w:r w:rsidR="00086094" w:rsidRPr="00D13EDA">
        <w:rPr>
          <w:rFonts w:cs="Arial"/>
          <w:b/>
          <w:color w:val="007E79"/>
          <w:szCs w:val="18"/>
        </w:rPr>
        <w:t xml:space="preserve"> Čechů.</w:t>
      </w:r>
      <w:r w:rsidR="00F87FA4" w:rsidRPr="00D13EDA">
        <w:rPr>
          <w:rFonts w:cs="Arial"/>
          <w:b/>
          <w:color w:val="007E79"/>
          <w:szCs w:val="18"/>
        </w:rPr>
        <w:t xml:space="preserve"> Dvě třetiny z nich si do</w:t>
      </w:r>
      <w:r w:rsidR="00BB7A89" w:rsidRPr="00D13EDA">
        <w:rPr>
          <w:rFonts w:cs="Arial"/>
          <w:b/>
          <w:color w:val="007E79"/>
          <w:szCs w:val="18"/>
        </w:rPr>
        <w:t xml:space="preserve">konce </w:t>
      </w:r>
      <w:r w:rsidR="00E03E17">
        <w:rPr>
          <w:rFonts w:cs="Arial"/>
          <w:b/>
          <w:color w:val="007E79"/>
          <w:szCs w:val="18"/>
        </w:rPr>
        <w:t>dokáží</w:t>
      </w:r>
      <w:r w:rsidR="00BB7A89" w:rsidRPr="00D13EDA">
        <w:rPr>
          <w:rFonts w:cs="Arial"/>
          <w:b/>
          <w:color w:val="007E79"/>
          <w:szCs w:val="18"/>
        </w:rPr>
        <w:t xml:space="preserve"> </w:t>
      </w:r>
      <w:r w:rsidR="00015933" w:rsidRPr="00D13EDA">
        <w:rPr>
          <w:rFonts w:cs="Arial"/>
          <w:b/>
          <w:color w:val="007E79"/>
          <w:szCs w:val="18"/>
        </w:rPr>
        <w:t xml:space="preserve">představit, že by nahradilo </w:t>
      </w:r>
      <w:r w:rsidR="00A22A52" w:rsidRPr="00D13EDA">
        <w:rPr>
          <w:rFonts w:cs="Arial"/>
          <w:b/>
          <w:color w:val="007E79"/>
          <w:szCs w:val="18"/>
        </w:rPr>
        <w:t>bankéře</w:t>
      </w:r>
      <w:r w:rsidR="00015933" w:rsidRPr="00D13EDA">
        <w:rPr>
          <w:rFonts w:cs="Arial"/>
          <w:b/>
          <w:color w:val="007E79"/>
          <w:szCs w:val="18"/>
        </w:rPr>
        <w:t xml:space="preserve"> na pobočkách. </w:t>
      </w:r>
      <w:r w:rsidR="009E39C0" w:rsidRPr="00D13EDA">
        <w:rPr>
          <w:rFonts w:cs="Arial"/>
          <w:b/>
          <w:color w:val="007E79"/>
          <w:szCs w:val="18"/>
        </w:rPr>
        <w:t xml:space="preserve">Vyplývá to </w:t>
      </w:r>
      <w:r w:rsidR="00980C11" w:rsidRPr="00D13EDA">
        <w:rPr>
          <w:rFonts w:cs="Arial"/>
          <w:b/>
          <w:color w:val="007E79"/>
          <w:szCs w:val="18"/>
        </w:rPr>
        <w:t xml:space="preserve">z průzkumu zaměřeného </w:t>
      </w:r>
      <w:r w:rsidRPr="00D13EDA">
        <w:rPr>
          <w:rFonts w:cs="Arial"/>
          <w:b/>
          <w:color w:val="007E79"/>
          <w:szCs w:val="18"/>
        </w:rPr>
        <w:t xml:space="preserve">na </w:t>
      </w:r>
      <w:r w:rsidR="00980C11" w:rsidRPr="00D13EDA">
        <w:rPr>
          <w:rFonts w:cs="Arial"/>
          <w:b/>
          <w:color w:val="007E79"/>
          <w:szCs w:val="18"/>
        </w:rPr>
        <w:t>digitalizaci, který pro Českou bankovní asociaci (ČBA) realizovala agentura SC&amp;C.</w:t>
      </w:r>
      <w:r w:rsidR="00BB7A89" w:rsidRPr="00D13EDA">
        <w:rPr>
          <w:rFonts w:cs="Arial"/>
          <w:b/>
          <w:color w:val="007E79"/>
          <w:szCs w:val="18"/>
        </w:rPr>
        <w:t xml:space="preserve"> </w:t>
      </w:r>
      <w:r w:rsidR="006E0941">
        <w:rPr>
          <w:rFonts w:cs="Arial"/>
          <w:b/>
          <w:color w:val="007E79"/>
          <w:szCs w:val="18"/>
        </w:rPr>
        <w:t>Zároveň p</w:t>
      </w:r>
      <w:r w:rsidR="00BB7A89" w:rsidRPr="00D13EDA">
        <w:rPr>
          <w:rFonts w:cs="Arial"/>
          <w:b/>
          <w:color w:val="007E79"/>
          <w:szCs w:val="18"/>
        </w:rPr>
        <w:t xml:space="preserve">odle </w:t>
      </w:r>
      <w:r w:rsidRPr="00D13EDA">
        <w:rPr>
          <w:rFonts w:cs="Arial"/>
          <w:b/>
          <w:color w:val="007E79"/>
          <w:szCs w:val="18"/>
        </w:rPr>
        <w:t>něj</w:t>
      </w:r>
      <w:r w:rsidR="00BB7A89" w:rsidRPr="00D13EDA">
        <w:rPr>
          <w:rFonts w:cs="Arial"/>
          <w:b/>
          <w:color w:val="007E79"/>
          <w:szCs w:val="18"/>
        </w:rPr>
        <w:t xml:space="preserve"> </w:t>
      </w:r>
      <w:r w:rsidR="006E0941">
        <w:rPr>
          <w:rFonts w:cs="Arial"/>
          <w:b/>
          <w:color w:val="007E79"/>
          <w:szCs w:val="18"/>
        </w:rPr>
        <w:t>respondenti</w:t>
      </w:r>
      <w:r w:rsidR="006E0941" w:rsidRPr="00D13EDA">
        <w:rPr>
          <w:rFonts w:cs="Arial"/>
          <w:b/>
          <w:color w:val="007E79"/>
          <w:szCs w:val="18"/>
        </w:rPr>
        <w:t xml:space="preserve"> </w:t>
      </w:r>
      <w:r w:rsidR="00872C9B" w:rsidRPr="00D13EDA">
        <w:rPr>
          <w:rFonts w:cs="Arial"/>
          <w:b/>
          <w:color w:val="007E79"/>
          <w:szCs w:val="18"/>
        </w:rPr>
        <w:t xml:space="preserve">vítají </w:t>
      </w:r>
      <w:proofErr w:type="spellStart"/>
      <w:r w:rsidR="00BB7A89" w:rsidRPr="00D13EDA">
        <w:rPr>
          <w:rFonts w:cs="Arial"/>
          <w:b/>
          <w:color w:val="007E79"/>
          <w:szCs w:val="18"/>
        </w:rPr>
        <w:t>multibanking</w:t>
      </w:r>
      <w:proofErr w:type="spellEnd"/>
      <w:r w:rsidRPr="00D13EDA">
        <w:rPr>
          <w:rFonts w:cs="Arial"/>
          <w:b/>
          <w:color w:val="007E79"/>
          <w:szCs w:val="18"/>
        </w:rPr>
        <w:t>, který považují za p</w:t>
      </w:r>
      <w:bookmarkStart w:id="0" w:name="_GoBack"/>
      <w:bookmarkEnd w:id="0"/>
      <w:r w:rsidRPr="00D13EDA">
        <w:rPr>
          <w:rFonts w:cs="Arial"/>
          <w:b/>
          <w:color w:val="007E79"/>
          <w:szCs w:val="18"/>
        </w:rPr>
        <w:t>řínos v oblasti bankovnictví (62 %)</w:t>
      </w:r>
      <w:r w:rsidR="00872C9B" w:rsidRPr="00D13EDA">
        <w:rPr>
          <w:rFonts w:cs="Arial"/>
          <w:b/>
          <w:color w:val="007E79"/>
          <w:szCs w:val="18"/>
        </w:rPr>
        <w:t xml:space="preserve">, ačkoli ne každý </w:t>
      </w:r>
      <w:r w:rsidRPr="00D13EDA">
        <w:rPr>
          <w:rFonts w:cs="Arial"/>
          <w:b/>
          <w:color w:val="007E79"/>
          <w:szCs w:val="18"/>
        </w:rPr>
        <w:t xml:space="preserve">by </w:t>
      </w:r>
      <w:r w:rsidR="006E0941">
        <w:rPr>
          <w:rFonts w:cs="Arial"/>
          <w:b/>
          <w:color w:val="007E79"/>
          <w:szCs w:val="18"/>
        </w:rPr>
        <w:t>ho</w:t>
      </w:r>
      <w:r w:rsidRPr="00D13EDA">
        <w:rPr>
          <w:rFonts w:cs="Arial"/>
          <w:b/>
          <w:color w:val="007E79"/>
          <w:szCs w:val="18"/>
        </w:rPr>
        <w:t xml:space="preserve"> využíval. </w:t>
      </w:r>
      <w:r w:rsidR="006E0941">
        <w:rPr>
          <w:rFonts w:cs="Arial"/>
          <w:b/>
          <w:color w:val="007E79"/>
          <w:szCs w:val="18"/>
        </w:rPr>
        <w:t>Naopak m</w:t>
      </w:r>
      <w:r w:rsidR="00D13EDA" w:rsidRPr="00D13EDA">
        <w:rPr>
          <w:rFonts w:cs="Arial"/>
          <w:b/>
          <w:color w:val="007E79"/>
          <w:szCs w:val="18"/>
        </w:rPr>
        <w:t>ožnost čerpat služby státu</w:t>
      </w:r>
      <w:r w:rsidR="003E5891">
        <w:rPr>
          <w:rFonts w:cs="Arial"/>
          <w:b/>
          <w:color w:val="007E79"/>
          <w:szCs w:val="18"/>
        </w:rPr>
        <w:t xml:space="preserve"> </w:t>
      </w:r>
      <w:r w:rsidR="006E0941">
        <w:rPr>
          <w:rFonts w:cs="Arial"/>
          <w:b/>
          <w:color w:val="007E79"/>
          <w:szCs w:val="18"/>
        </w:rPr>
        <w:t xml:space="preserve">elektronicky </w:t>
      </w:r>
      <w:r w:rsidR="003E5891">
        <w:rPr>
          <w:rFonts w:cs="Arial"/>
          <w:b/>
          <w:color w:val="007E79"/>
          <w:szCs w:val="18"/>
        </w:rPr>
        <w:t xml:space="preserve">a pořídit si tak např. výpis z katastru </w:t>
      </w:r>
      <w:r w:rsidR="00283681">
        <w:rPr>
          <w:rFonts w:cs="Arial"/>
          <w:b/>
          <w:color w:val="007E79"/>
          <w:szCs w:val="18"/>
        </w:rPr>
        <w:t>nemovitostí</w:t>
      </w:r>
      <w:r w:rsidR="006E0941">
        <w:rPr>
          <w:rFonts w:cs="Arial"/>
          <w:b/>
          <w:color w:val="007E79"/>
          <w:szCs w:val="18"/>
        </w:rPr>
        <w:t xml:space="preserve"> </w:t>
      </w:r>
      <w:r w:rsidR="00E03E17">
        <w:rPr>
          <w:rFonts w:cs="Arial"/>
          <w:b/>
          <w:color w:val="007E79"/>
          <w:szCs w:val="18"/>
        </w:rPr>
        <w:t xml:space="preserve">by v nabídce služeb svého </w:t>
      </w:r>
      <w:r w:rsidR="001622C2">
        <w:rPr>
          <w:rFonts w:cs="Arial"/>
          <w:b/>
          <w:color w:val="007E79"/>
          <w:szCs w:val="18"/>
        </w:rPr>
        <w:t>elektronického</w:t>
      </w:r>
      <w:r w:rsidR="00E03E17">
        <w:rPr>
          <w:rFonts w:cs="Arial"/>
          <w:b/>
          <w:color w:val="007E79"/>
          <w:szCs w:val="18"/>
        </w:rPr>
        <w:t xml:space="preserve"> bankovnictví </w:t>
      </w:r>
      <w:r w:rsidR="006E0941">
        <w:rPr>
          <w:rFonts w:cs="Arial"/>
          <w:b/>
          <w:color w:val="007E79"/>
          <w:szCs w:val="18"/>
        </w:rPr>
        <w:t>ocenilo 58 % Čechů.</w:t>
      </w:r>
      <w:r w:rsidR="00E03E17">
        <w:rPr>
          <w:rFonts w:cs="Arial"/>
          <w:b/>
          <w:color w:val="007E79"/>
          <w:szCs w:val="18"/>
        </w:rPr>
        <w:t xml:space="preserve"> </w:t>
      </w:r>
    </w:p>
    <w:p w:rsidR="00D13EDA" w:rsidRDefault="00D13EDA" w:rsidP="002B4617">
      <w:pPr>
        <w:spacing w:after="120" w:line="276" w:lineRule="auto"/>
        <w:contextualSpacing/>
        <w:rPr>
          <w:rFonts w:cs="Arial"/>
          <w:szCs w:val="18"/>
        </w:rPr>
      </w:pPr>
    </w:p>
    <w:p w:rsidR="009E39C0" w:rsidRDefault="002472A6" w:rsidP="00BD483C">
      <w:pPr>
        <w:spacing w:after="120" w:line="276" w:lineRule="auto"/>
        <w:contextualSpacing/>
        <w:rPr>
          <w:rFonts w:cs="Arial"/>
          <w:iCs/>
          <w:szCs w:val="18"/>
        </w:rPr>
      </w:pPr>
      <w:r>
        <w:rPr>
          <w:rFonts w:cs="Arial"/>
          <w:szCs w:val="18"/>
        </w:rPr>
        <w:t>P</w:t>
      </w:r>
      <w:r w:rsidR="00F5456A">
        <w:rPr>
          <w:rFonts w:cs="Arial"/>
          <w:szCs w:val="18"/>
        </w:rPr>
        <w:t xml:space="preserve">očet </w:t>
      </w:r>
      <w:r w:rsidR="00BB7A89">
        <w:rPr>
          <w:rFonts w:cs="Arial"/>
          <w:szCs w:val="18"/>
        </w:rPr>
        <w:t>Čechů</w:t>
      </w:r>
      <w:r w:rsidR="00086094">
        <w:rPr>
          <w:rFonts w:cs="Arial"/>
          <w:szCs w:val="18"/>
        </w:rPr>
        <w:t>, kteří svůj bankovní účet spravují přes elektronické bankovnictví</w:t>
      </w:r>
      <w:r w:rsidR="00F5456A">
        <w:rPr>
          <w:rFonts w:cs="Arial"/>
          <w:szCs w:val="18"/>
        </w:rPr>
        <w:t>,</w:t>
      </w:r>
      <w:r w:rsidR="00086094">
        <w:rPr>
          <w:rFonts w:cs="Arial"/>
          <w:szCs w:val="18"/>
        </w:rPr>
        <w:t xml:space="preserve"> </w:t>
      </w:r>
      <w:r w:rsidR="00043889">
        <w:rPr>
          <w:rFonts w:cs="Arial"/>
          <w:szCs w:val="18"/>
        </w:rPr>
        <w:t>narostl oproti loňsku téměř o pětinu</w:t>
      </w:r>
      <w:r w:rsidR="00BB7A89">
        <w:rPr>
          <w:rFonts w:cs="Arial"/>
          <w:szCs w:val="18"/>
        </w:rPr>
        <w:t xml:space="preserve"> na 95 %</w:t>
      </w:r>
      <w:r w:rsidR="00043889">
        <w:rPr>
          <w:rFonts w:cs="Arial"/>
          <w:szCs w:val="18"/>
        </w:rPr>
        <w:t>.</w:t>
      </w:r>
      <w:r w:rsidR="00086094">
        <w:rPr>
          <w:rFonts w:cs="Arial"/>
          <w:szCs w:val="18"/>
        </w:rPr>
        <w:t xml:space="preserve"> </w:t>
      </w:r>
      <w:r w:rsidR="00A22A52">
        <w:rPr>
          <w:rFonts w:cs="Arial"/>
          <w:szCs w:val="18"/>
        </w:rPr>
        <w:br/>
      </w:r>
      <w:r w:rsidR="009E39C0" w:rsidRPr="00E7045C">
        <w:rPr>
          <w:rFonts w:cs="Arial"/>
          <w:szCs w:val="18"/>
        </w:rPr>
        <w:t xml:space="preserve">Vzrostl jak počet lidí, kteří </w:t>
      </w:r>
      <w:r w:rsidR="00043889" w:rsidRPr="00E7045C">
        <w:rPr>
          <w:rFonts w:cs="Arial"/>
          <w:szCs w:val="18"/>
        </w:rPr>
        <w:t xml:space="preserve">do </w:t>
      </w:r>
      <w:r w:rsidR="009E39C0" w:rsidRPr="00E7045C">
        <w:rPr>
          <w:rFonts w:cs="Arial"/>
          <w:szCs w:val="18"/>
        </w:rPr>
        <w:t>svého e</w:t>
      </w:r>
      <w:r w:rsidR="000A664C">
        <w:rPr>
          <w:rFonts w:cs="Arial"/>
          <w:szCs w:val="18"/>
        </w:rPr>
        <w:t xml:space="preserve">l. </w:t>
      </w:r>
      <w:r w:rsidR="009E39C0" w:rsidRPr="00E7045C">
        <w:rPr>
          <w:rFonts w:cs="Arial"/>
          <w:szCs w:val="18"/>
        </w:rPr>
        <w:t>bankovnictví</w:t>
      </w:r>
      <w:r w:rsidR="00043889" w:rsidRPr="00E7045C">
        <w:rPr>
          <w:rFonts w:cs="Arial"/>
          <w:szCs w:val="18"/>
        </w:rPr>
        <w:t xml:space="preserve"> </w:t>
      </w:r>
      <w:r w:rsidR="009E39C0" w:rsidRPr="00E7045C">
        <w:rPr>
          <w:rFonts w:cs="Arial"/>
          <w:szCs w:val="18"/>
        </w:rPr>
        <w:t xml:space="preserve">přistupují </w:t>
      </w:r>
      <w:r w:rsidR="00043889" w:rsidRPr="00E7045C">
        <w:rPr>
          <w:rFonts w:cs="Arial"/>
          <w:szCs w:val="18"/>
        </w:rPr>
        <w:t>p</w:t>
      </w:r>
      <w:r w:rsidR="00DA4917" w:rsidRPr="00E7045C">
        <w:rPr>
          <w:rFonts w:cs="Arial"/>
          <w:szCs w:val="18"/>
        </w:rPr>
        <w:t xml:space="preserve">rimárně </w:t>
      </w:r>
      <w:r w:rsidR="00086094" w:rsidRPr="00E7045C">
        <w:rPr>
          <w:rFonts w:cs="Arial"/>
          <w:szCs w:val="18"/>
        </w:rPr>
        <w:t xml:space="preserve">přes webový portál banky, </w:t>
      </w:r>
      <w:r w:rsidR="009E39C0" w:rsidRPr="00E7045C">
        <w:rPr>
          <w:rFonts w:cs="Arial"/>
          <w:szCs w:val="18"/>
        </w:rPr>
        <w:t xml:space="preserve">tak těch, kteří upřednostňují </w:t>
      </w:r>
      <w:r w:rsidR="00043889" w:rsidRPr="00E7045C">
        <w:rPr>
          <w:rFonts w:cs="Arial"/>
          <w:szCs w:val="18"/>
        </w:rPr>
        <w:t>mobilní aplikaci</w:t>
      </w:r>
      <w:r w:rsidR="00980C11" w:rsidRPr="00E7045C">
        <w:rPr>
          <w:rFonts w:cs="Arial"/>
          <w:szCs w:val="18"/>
        </w:rPr>
        <w:t>.</w:t>
      </w:r>
      <w:r w:rsidR="00980C11" w:rsidRPr="00980C11">
        <w:rPr>
          <w:rFonts w:cs="Arial"/>
          <w:i/>
          <w:iCs/>
          <w:szCs w:val="18"/>
        </w:rPr>
        <w:t xml:space="preserve"> </w:t>
      </w:r>
      <w:r w:rsidR="00E7045C">
        <w:rPr>
          <w:rFonts w:cs="Arial"/>
          <w:i/>
          <w:iCs/>
          <w:szCs w:val="18"/>
        </w:rPr>
        <w:t>„</w:t>
      </w:r>
      <w:r w:rsidR="00980C11" w:rsidRPr="00980C11">
        <w:rPr>
          <w:rFonts w:cs="Arial"/>
          <w:i/>
          <w:iCs/>
          <w:szCs w:val="18"/>
        </w:rPr>
        <w:t xml:space="preserve">V prvním případě to je o </w:t>
      </w:r>
      <w:proofErr w:type="gramStart"/>
      <w:r w:rsidR="00980C11" w:rsidRPr="00980C11">
        <w:rPr>
          <w:rFonts w:cs="Arial"/>
          <w:i/>
          <w:iCs/>
          <w:szCs w:val="18"/>
        </w:rPr>
        <w:t>1</w:t>
      </w:r>
      <w:r w:rsidR="00980C11">
        <w:rPr>
          <w:rFonts w:cs="Arial"/>
          <w:i/>
          <w:iCs/>
          <w:szCs w:val="18"/>
        </w:rPr>
        <w:t xml:space="preserve">1 </w:t>
      </w:r>
      <w:r w:rsidR="00980C11" w:rsidRPr="00980C11">
        <w:rPr>
          <w:rFonts w:cs="Arial"/>
          <w:i/>
          <w:iCs/>
          <w:szCs w:val="18"/>
        </w:rPr>
        <w:t>procentních</w:t>
      </w:r>
      <w:proofErr w:type="gramEnd"/>
      <w:r w:rsidR="00980C11" w:rsidRPr="00980C11">
        <w:rPr>
          <w:rFonts w:cs="Arial"/>
          <w:i/>
          <w:iCs/>
          <w:szCs w:val="18"/>
        </w:rPr>
        <w:t xml:space="preserve"> bodů na 83 %, ve druhém o 5 procentních bodů na 35 %,</w:t>
      </w:r>
      <w:r w:rsidR="00980C11">
        <w:rPr>
          <w:rFonts w:cs="Arial"/>
          <w:i/>
          <w:iCs/>
          <w:szCs w:val="18"/>
        </w:rPr>
        <w:t xml:space="preserve">“ </w:t>
      </w:r>
      <w:r w:rsidR="00E7045C">
        <w:rPr>
          <w:rFonts w:cs="Arial"/>
          <w:szCs w:val="18"/>
        </w:rPr>
        <w:t xml:space="preserve">doplňuje </w:t>
      </w:r>
      <w:r w:rsidR="002045A5">
        <w:rPr>
          <w:rFonts w:cs="Arial"/>
          <w:szCs w:val="18"/>
        </w:rPr>
        <w:t xml:space="preserve">konkrétní čísla </w:t>
      </w:r>
      <w:r w:rsidR="00980C11" w:rsidRPr="00980C11">
        <w:rPr>
          <w:rFonts w:cs="Arial"/>
          <w:szCs w:val="18"/>
        </w:rPr>
        <w:t>Jana Hamanová, ředitelka výzkumu z agentury SC&amp;C</w:t>
      </w:r>
      <w:r w:rsidR="00980C11">
        <w:rPr>
          <w:rFonts w:cs="Arial"/>
          <w:szCs w:val="18"/>
        </w:rPr>
        <w:t>,</w:t>
      </w:r>
      <w:r w:rsidR="00980C11" w:rsidRPr="00980C11">
        <w:rPr>
          <w:rFonts w:cs="Arial"/>
          <w:szCs w:val="18"/>
        </w:rPr>
        <w:t xml:space="preserve"> a do</w:t>
      </w:r>
      <w:r w:rsidR="00E7045C">
        <w:rPr>
          <w:rFonts w:cs="Arial"/>
          <w:szCs w:val="18"/>
        </w:rPr>
        <w:t>dává</w:t>
      </w:r>
      <w:r w:rsidR="00980C11">
        <w:rPr>
          <w:rFonts w:cs="Arial"/>
          <w:i/>
          <w:iCs/>
          <w:szCs w:val="18"/>
        </w:rPr>
        <w:t xml:space="preserve">: </w:t>
      </w:r>
      <w:r w:rsidR="009E39C0" w:rsidRPr="009E39C0">
        <w:rPr>
          <w:rFonts w:cs="Arial"/>
          <w:i/>
          <w:iCs/>
          <w:szCs w:val="18"/>
        </w:rPr>
        <w:t>„</w:t>
      </w:r>
      <w:r w:rsidR="00E7045C">
        <w:rPr>
          <w:rFonts w:cs="Arial"/>
          <w:i/>
          <w:iCs/>
          <w:szCs w:val="18"/>
        </w:rPr>
        <w:t>Zkoumali jsme dospělé Čechy mezi 18 a</w:t>
      </w:r>
      <w:r w:rsidR="003B2C84">
        <w:rPr>
          <w:rFonts w:cs="Arial"/>
          <w:i/>
          <w:iCs/>
          <w:szCs w:val="18"/>
        </w:rPr>
        <w:t>ž</w:t>
      </w:r>
      <w:r w:rsidR="00E7045C">
        <w:rPr>
          <w:rFonts w:cs="Arial"/>
          <w:i/>
          <w:iCs/>
          <w:szCs w:val="18"/>
        </w:rPr>
        <w:t xml:space="preserve"> </w:t>
      </w:r>
      <w:r w:rsidR="003B2C84">
        <w:rPr>
          <w:rFonts w:cs="Arial"/>
          <w:i/>
          <w:iCs/>
          <w:szCs w:val="18"/>
        </w:rPr>
        <w:t>7</w:t>
      </w:r>
      <w:r w:rsidR="00E7045C">
        <w:rPr>
          <w:rFonts w:cs="Arial"/>
          <w:i/>
          <w:iCs/>
          <w:szCs w:val="18"/>
        </w:rPr>
        <w:t xml:space="preserve">9 lety, tedy kvalifikovaný vzorek. Pokud bychom si respondenty rozdělili do věkových skupin, </w:t>
      </w:r>
      <w:r w:rsidR="001622C2">
        <w:rPr>
          <w:rFonts w:cs="Arial"/>
          <w:i/>
          <w:iCs/>
          <w:szCs w:val="18"/>
        </w:rPr>
        <w:t xml:space="preserve">odpovídají </w:t>
      </w:r>
      <w:r w:rsidR="00BB7A89">
        <w:rPr>
          <w:rFonts w:cs="Arial"/>
          <w:i/>
          <w:iCs/>
          <w:szCs w:val="18"/>
        </w:rPr>
        <w:t xml:space="preserve">zjištěná </w:t>
      </w:r>
      <w:r w:rsidR="00E7045C">
        <w:rPr>
          <w:rFonts w:cs="Arial"/>
          <w:i/>
          <w:iCs/>
          <w:szCs w:val="18"/>
        </w:rPr>
        <w:t>čísla</w:t>
      </w:r>
      <w:r w:rsidR="009E39C0" w:rsidRPr="009E39C0">
        <w:rPr>
          <w:rFonts w:cs="Arial"/>
          <w:i/>
          <w:iCs/>
          <w:szCs w:val="18"/>
        </w:rPr>
        <w:t xml:space="preserve"> nedávno publikovanému průzkumu společnosti </w:t>
      </w:r>
      <w:proofErr w:type="spellStart"/>
      <w:r w:rsidR="009E39C0" w:rsidRPr="009E39C0">
        <w:rPr>
          <w:rFonts w:cs="Arial"/>
          <w:i/>
          <w:iCs/>
          <w:szCs w:val="18"/>
        </w:rPr>
        <w:t>MasterCard</w:t>
      </w:r>
      <w:proofErr w:type="spellEnd"/>
      <w:r w:rsidR="009E39C0" w:rsidRPr="009E39C0">
        <w:rPr>
          <w:rFonts w:cs="Arial"/>
          <w:i/>
          <w:iCs/>
          <w:szCs w:val="18"/>
        </w:rPr>
        <w:t xml:space="preserve">, podle které využívá mobilní bankovnictví 48 % Čechů </w:t>
      </w:r>
      <w:r w:rsidR="00E7045C">
        <w:rPr>
          <w:rFonts w:cs="Arial"/>
          <w:i/>
          <w:iCs/>
          <w:szCs w:val="18"/>
        </w:rPr>
        <w:t xml:space="preserve">ve </w:t>
      </w:r>
      <w:r w:rsidR="00BB7A89">
        <w:rPr>
          <w:rFonts w:cs="Arial"/>
          <w:i/>
          <w:iCs/>
          <w:szCs w:val="18"/>
        </w:rPr>
        <w:t xml:space="preserve">věku </w:t>
      </w:r>
      <w:r w:rsidR="00980C11">
        <w:rPr>
          <w:rFonts w:cs="Arial"/>
          <w:i/>
          <w:iCs/>
          <w:szCs w:val="18"/>
        </w:rPr>
        <w:t>mezi</w:t>
      </w:r>
      <w:r w:rsidR="00BB7A89">
        <w:rPr>
          <w:rFonts w:cs="Arial"/>
          <w:i/>
          <w:iCs/>
          <w:szCs w:val="18"/>
        </w:rPr>
        <w:t xml:space="preserve"> 20 a</w:t>
      </w:r>
      <w:r w:rsidR="003B2C84">
        <w:rPr>
          <w:rFonts w:cs="Arial"/>
          <w:i/>
          <w:iCs/>
          <w:szCs w:val="18"/>
        </w:rPr>
        <w:t>ž</w:t>
      </w:r>
      <w:r w:rsidR="00BB7A89">
        <w:rPr>
          <w:rFonts w:cs="Arial"/>
          <w:i/>
          <w:iCs/>
          <w:szCs w:val="18"/>
        </w:rPr>
        <w:t xml:space="preserve"> 50 lety.</w:t>
      </w:r>
      <w:r w:rsidR="009E39C0" w:rsidRPr="009E39C0">
        <w:rPr>
          <w:rFonts w:cs="Arial"/>
          <w:i/>
          <w:iCs/>
          <w:szCs w:val="18"/>
        </w:rPr>
        <w:t>“</w:t>
      </w:r>
      <w:r w:rsidR="003E4ADE">
        <w:rPr>
          <w:rFonts w:cs="Arial"/>
          <w:i/>
          <w:iCs/>
          <w:szCs w:val="18"/>
        </w:rPr>
        <w:t xml:space="preserve"> </w:t>
      </w:r>
      <w:r w:rsidR="003E4ADE" w:rsidRPr="00A22A52">
        <w:rPr>
          <w:rFonts w:cs="Arial"/>
          <w:iCs/>
          <w:szCs w:val="18"/>
        </w:rPr>
        <w:t>A právě tito mladí uživatelé</w:t>
      </w:r>
      <w:r w:rsidR="00A22A52">
        <w:rPr>
          <w:rFonts w:cs="Arial"/>
          <w:iCs/>
          <w:szCs w:val="18"/>
        </w:rPr>
        <w:t xml:space="preserve"> </w:t>
      </w:r>
      <w:r w:rsidR="0041521E">
        <w:rPr>
          <w:rFonts w:cs="Arial"/>
          <w:iCs/>
          <w:szCs w:val="18"/>
        </w:rPr>
        <w:t>převažují</w:t>
      </w:r>
      <w:r w:rsidR="00A22A52">
        <w:rPr>
          <w:rFonts w:cs="Arial"/>
          <w:iCs/>
          <w:szCs w:val="18"/>
        </w:rPr>
        <w:t xml:space="preserve"> mezi respondenty (62 %), kteří by si</w:t>
      </w:r>
      <w:r w:rsidR="0041521E">
        <w:rPr>
          <w:rFonts w:cs="Arial"/>
          <w:iCs/>
          <w:szCs w:val="18"/>
        </w:rPr>
        <w:t xml:space="preserve"> podle svého tvrzení </w:t>
      </w:r>
      <w:r w:rsidR="00A22A52">
        <w:rPr>
          <w:rFonts w:cs="Arial"/>
          <w:iCs/>
          <w:szCs w:val="18"/>
        </w:rPr>
        <w:t xml:space="preserve">uměli představit, </w:t>
      </w:r>
      <w:r w:rsidR="003E4ADE" w:rsidRPr="00A22A52">
        <w:rPr>
          <w:rFonts w:cs="Arial"/>
          <w:iCs/>
          <w:szCs w:val="18"/>
        </w:rPr>
        <w:t xml:space="preserve">že </w:t>
      </w:r>
      <w:r w:rsidR="00A22A52" w:rsidRPr="00A22A52">
        <w:rPr>
          <w:rFonts w:cs="Arial"/>
          <w:iCs/>
          <w:szCs w:val="18"/>
        </w:rPr>
        <w:t xml:space="preserve">by </w:t>
      </w:r>
      <w:r w:rsidR="00A22A52">
        <w:rPr>
          <w:rFonts w:cs="Arial"/>
          <w:iCs/>
          <w:szCs w:val="18"/>
        </w:rPr>
        <w:t xml:space="preserve">e-bankovnictví zcela </w:t>
      </w:r>
      <w:r w:rsidR="00A22A52" w:rsidRPr="00A22A52">
        <w:rPr>
          <w:rFonts w:cs="Arial"/>
          <w:iCs/>
          <w:szCs w:val="18"/>
        </w:rPr>
        <w:t>nahradi</w:t>
      </w:r>
      <w:r w:rsidR="0041521E">
        <w:rPr>
          <w:rFonts w:cs="Arial"/>
          <w:iCs/>
          <w:szCs w:val="18"/>
        </w:rPr>
        <w:t>lo</w:t>
      </w:r>
      <w:r w:rsidR="00A22A52" w:rsidRPr="00A22A52">
        <w:rPr>
          <w:rFonts w:cs="Arial"/>
          <w:iCs/>
          <w:szCs w:val="18"/>
        </w:rPr>
        <w:t xml:space="preserve"> bankovní poradce na pobočkác</w:t>
      </w:r>
      <w:r w:rsidR="00A22A52">
        <w:rPr>
          <w:rFonts w:cs="Arial"/>
          <w:iCs/>
          <w:szCs w:val="18"/>
        </w:rPr>
        <w:t>h</w:t>
      </w:r>
      <w:r w:rsidR="0041521E">
        <w:rPr>
          <w:rFonts w:cs="Arial"/>
          <w:iCs/>
          <w:szCs w:val="18"/>
        </w:rPr>
        <w:t xml:space="preserve"> bank.</w:t>
      </w:r>
    </w:p>
    <w:p w:rsidR="00C57869" w:rsidRDefault="000A664C" w:rsidP="00BD483C">
      <w:pPr>
        <w:spacing w:after="120" w:line="276" w:lineRule="auto"/>
        <w:contextualSpacing/>
        <w:rPr>
          <w:rFonts w:cs="Arial"/>
          <w:iCs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.85pt;margin-top:7.55pt;width:319.7pt;height:23.6pt;z-index:251700224" filled="f" stroked="f">
            <v:textbox>
              <w:txbxContent>
                <w:p w:rsidR="00D13EDA" w:rsidRPr="00D13EDA" w:rsidRDefault="00D13EDA">
                  <w:pPr>
                    <w:rPr>
                      <w:b/>
                      <w:bCs/>
                      <w:sz w:val="20"/>
                      <w:szCs w:val="22"/>
                    </w:rPr>
                  </w:pPr>
                  <w:r w:rsidRPr="00D13EDA">
                    <w:rPr>
                      <w:b/>
                      <w:bCs/>
                      <w:sz w:val="20"/>
                      <w:szCs w:val="22"/>
                    </w:rPr>
                    <w:t>Pomocí jakého zařízení se přihlašujete do e-bankovnictví?</w:t>
                  </w:r>
                </w:p>
              </w:txbxContent>
            </v:textbox>
          </v:shape>
        </w:pict>
      </w:r>
    </w:p>
    <w:p w:rsidR="00556DE6" w:rsidRDefault="00556DE6" w:rsidP="00BD483C">
      <w:pPr>
        <w:spacing w:after="120" w:line="276" w:lineRule="auto"/>
        <w:contextualSpacing/>
        <w:rPr>
          <w:rFonts w:cs="Arial"/>
          <w:iCs/>
          <w:szCs w:val="18"/>
        </w:rPr>
      </w:pPr>
    </w:p>
    <w:p w:rsidR="00556DE6" w:rsidRDefault="00556DE6" w:rsidP="00BD483C">
      <w:pPr>
        <w:spacing w:after="120" w:line="276" w:lineRule="auto"/>
        <w:contextualSpacing/>
        <w:rPr>
          <w:rFonts w:cs="Arial"/>
          <w:iCs/>
          <w:szCs w:val="18"/>
        </w:rPr>
      </w:pPr>
    </w:p>
    <w:p w:rsidR="009E39C0" w:rsidRDefault="000A664C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noProof/>
        </w:rPr>
        <w:pict w14:anchorId="6C046DA2">
          <v:shape id="Textové pole 2" o:spid="_x0000_s1035" type="#_x0000_t202" style="position:absolute;left:0;text-align:left;margin-left:344.35pt;margin-top:276.75pt;width:171.75pt;height:21.5pt;z-index:251687935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ed="f" stroked="f">
            <v:textbox style="mso-next-textbox:#Textové pole 2">
              <w:txbxContent>
                <w:p w:rsidR="00556DE6" w:rsidRPr="0017441E" w:rsidRDefault="00556DE6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17441E">
                    <w:rPr>
                      <w:color w:val="C00000"/>
                      <w:sz w:val="16"/>
                      <w:szCs w:val="16"/>
                    </w:rPr>
                    <w:t>95 % Čechů využívá e-bankovnictví</w:t>
                  </w:r>
                </w:p>
              </w:txbxContent>
            </v:textbox>
            <w10:wrap anchorx="margin" anchory="margin"/>
          </v:shape>
        </w:pict>
      </w:r>
      <w:r>
        <w:rPr>
          <w:rFonts w:cs="Arial"/>
          <w:iCs/>
          <w:noProof/>
          <w:szCs w:val="18"/>
        </w:rPr>
        <w:pict w14:anchorId="660816F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404pt;margin-top:34.9pt;width:49.95pt;height:34.5pt;rotation:4024958fd;z-index:251699200" adj="16097,7157" fillcolor="#c00000"/>
        </w:pict>
      </w:r>
      <w:r w:rsidR="00BC5978">
        <w:rPr>
          <w:noProof/>
        </w:rPr>
        <w:drawing>
          <wp:inline distT="0" distB="0" distL="0" distR="0" wp14:anchorId="70526805" wp14:editId="6FCA9A8B">
            <wp:extent cx="6543675" cy="196215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E0D94DB8-E8DD-4911-B755-59E3502F72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45A5" w:rsidRDefault="002472A6" w:rsidP="002045A5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Obvykle Češi do </w:t>
      </w:r>
      <w:r w:rsidR="00BE2827">
        <w:rPr>
          <w:rFonts w:cs="Arial"/>
          <w:szCs w:val="18"/>
        </w:rPr>
        <w:t>elektronického</w:t>
      </w:r>
      <w:r w:rsidR="00BB7A89">
        <w:rPr>
          <w:rFonts w:cs="Arial"/>
          <w:szCs w:val="18"/>
        </w:rPr>
        <w:t xml:space="preserve"> bankovnictví vstupují dvakrát až čtyři</w:t>
      </w:r>
      <w:r>
        <w:rPr>
          <w:rFonts w:cs="Arial"/>
          <w:szCs w:val="18"/>
        </w:rPr>
        <w:t>krát týdně. V</w:t>
      </w:r>
      <w:r w:rsidR="002045A5">
        <w:rPr>
          <w:rFonts w:cs="Arial"/>
          <w:szCs w:val="18"/>
        </w:rPr>
        <w:t xml:space="preserve">lastníci mobilní aplikace </w:t>
      </w:r>
      <w:r w:rsidR="00BE2827">
        <w:rPr>
          <w:rFonts w:cs="Arial"/>
          <w:szCs w:val="18"/>
        </w:rPr>
        <w:t xml:space="preserve">ho </w:t>
      </w:r>
      <w:r>
        <w:rPr>
          <w:rFonts w:cs="Arial"/>
          <w:szCs w:val="18"/>
        </w:rPr>
        <w:t xml:space="preserve">pak </w:t>
      </w:r>
      <w:r w:rsidR="00BE2827">
        <w:rPr>
          <w:rFonts w:cs="Arial"/>
          <w:szCs w:val="18"/>
        </w:rPr>
        <w:t xml:space="preserve">obecně </w:t>
      </w:r>
      <w:r w:rsidR="00BB7A89">
        <w:rPr>
          <w:rFonts w:cs="Arial"/>
          <w:szCs w:val="18"/>
        </w:rPr>
        <w:t xml:space="preserve">používají </w:t>
      </w:r>
      <w:r w:rsidR="002045A5">
        <w:rPr>
          <w:rFonts w:cs="Arial"/>
          <w:szCs w:val="18"/>
        </w:rPr>
        <w:t xml:space="preserve">častěji, </w:t>
      </w:r>
      <w:r w:rsidR="00BB7A89">
        <w:rPr>
          <w:rFonts w:cs="Arial"/>
          <w:szCs w:val="18"/>
        </w:rPr>
        <w:t xml:space="preserve">někteří (9 %) i </w:t>
      </w:r>
      <w:r w:rsidR="002045A5">
        <w:rPr>
          <w:rFonts w:cs="Arial"/>
          <w:szCs w:val="18"/>
        </w:rPr>
        <w:t>několikrát denně</w:t>
      </w:r>
      <w:r w:rsidR="002045A5" w:rsidRPr="00E315D6">
        <w:rPr>
          <w:rFonts w:cs="Arial"/>
          <w:i/>
          <w:iCs/>
          <w:szCs w:val="18"/>
        </w:rPr>
        <w:t xml:space="preserve">. „Mobilní telefon nosíme neustále u sebe. </w:t>
      </w:r>
      <w:r w:rsidR="0041521E">
        <w:rPr>
          <w:rFonts w:cs="Arial"/>
          <w:i/>
          <w:iCs/>
          <w:szCs w:val="18"/>
        </w:rPr>
        <w:t>P</w:t>
      </w:r>
      <w:r w:rsidR="002045A5" w:rsidRPr="00E315D6">
        <w:rPr>
          <w:rFonts w:cs="Arial"/>
          <w:i/>
          <w:iCs/>
          <w:szCs w:val="18"/>
        </w:rPr>
        <w:t xml:space="preserve">okud si do něho nainstalujeme potřebnou aplikaci banky, </w:t>
      </w:r>
      <w:r w:rsidR="0041521E">
        <w:rPr>
          <w:rFonts w:cs="Arial"/>
          <w:i/>
          <w:iCs/>
          <w:szCs w:val="18"/>
        </w:rPr>
        <w:t>máme logicky možnost kontrolovat</w:t>
      </w:r>
      <w:r w:rsidR="002045A5" w:rsidRPr="00E315D6">
        <w:rPr>
          <w:rFonts w:cs="Arial"/>
          <w:i/>
          <w:iCs/>
          <w:szCs w:val="18"/>
        </w:rPr>
        <w:t xml:space="preserve"> a sprav</w:t>
      </w:r>
      <w:r w:rsidR="0041521E">
        <w:rPr>
          <w:rFonts w:cs="Arial"/>
          <w:i/>
          <w:iCs/>
          <w:szCs w:val="18"/>
        </w:rPr>
        <w:t>ovat</w:t>
      </w:r>
      <w:r w:rsidR="002045A5" w:rsidRPr="00E315D6">
        <w:rPr>
          <w:rFonts w:cs="Arial"/>
          <w:i/>
          <w:iCs/>
          <w:szCs w:val="18"/>
        </w:rPr>
        <w:t xml:space="preserve"> své finanční prostředky na účtu častěji</w:t>
      </w:r>
      <w:r w:rsidR="0041521E">
        <w:rPr>
          <w:rFonts w:cs="Arial"/>
          <w:i/>
          <w:iCs/>
          <w:szCs w:val="18"/>
        </w:rPr>
        <w:t>, což také děláme</w:t>
      </w:r>
      <w:r w:rsidR="002045A5" w:rsidRPr="00E315D6">
        <w:rPr>
          <w:rFonts w:cs="Arial"/>
          <w:i/>
          <w:iCs/>
          <w:szCs w:val="18"/>
        </w:rPr>
        <w:t>,“</w:t>
      </w:r>
      <w:r w:rsidR="002045A5">
        <w:rPr>
          <w:rFonts w:cs="Arial"/>
          <w:szCs w:val="18"/>
        </w:rPr>
        <w:t xml:space="preserve"> vysvětluje Helena Zavázalová, poradkyně ČBA pro fintech a digitalizaci. </w:t>
      </w:r>
      <w:r w:rsidR="00F83EEA">
        <w:rPr>
          <w:rFonts w:cs="Arial"/>
          <w:szCs w:val="18"/>
        </w:rPr>
        <w:t>K o</w:t>
      </w:r>
      <w:r>
        <w:rPr>
          <w:rFonts w:cs="Arial"/>
          <w:szCs w:val="18"/>
        </w:rPr>
        <w:t>blibě mobilní bankovní aplikace současně přispívá i možnost přihlášení s</w:t>
      </w:r>
      <w:r w:rsidR="000A664C">
        <w:rPr>
          <w:rFonts w:cs="Arial"/>
          <w:szCs w:val="18"/>
        </w:rPr>
        <w:t>e s</w:t>
      </w:r>
      <w:r>
        <w:rPr>
          <w:rFonts w:cs="Arial"/>
          <w:szCs w:val="18"/>
        </w:rPr>
        <w:t xml:space="preserve"> pomocí biometrických údajů, kterou preferuje na 36 % respondentů.</w:t>
      </w:r>
      <w:r w:rsidR="0036420C">
        <w:rPr>
          <w:rFonts w:cs="Arial"/>
          <w:szCs w:val="18"/>
        </w:rPr>
        <w:t xml:space="preserve"> Nejčastěji (75 %) používáme otisk prstu.</w:t>
      </w:r>
    </w:p>
    <w:p w:rsidR="002472A6" w:rsidRDefault="002472A6" w:rsidP="002045A5">
      <w:pPr>
        <w:spacing w:after="120" w:line="276" w:lineRule="auto"/>
        <w:contextualSpacing/>
        <w:rPr>
          <w:rFonts w:cs="Arial"/>
          <w:szCs w:val="18"/>
        </w:rPr>
      </w:pPr>
    </w:p>
    <w:p w:rsidR="00C04F50" w:rsidRDefault="009E39C0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Používání elektronického bankovnictví se vyhýbají především starší </w:t>
      </w:r>
      <w:r w:rsidRPr="00F9738D">
        <w:rPr>
          <w:rFonts w:cs="Arial"/>
          <w:szCs w:val="18"/>
        </w:rPr>
        <w:t>lidé (průměrn</w:t>
      </w:r>
      <w:r w:rsidR="00F9738D" w:rsidRPr="00F9738D">
        <w:rPr>
          <w:rFonts w:cs="Arial"/>
          <w:szCs w:val="18"/>
        </w:rPr>
        <w:t>ý věk</w:t>
      </w:r>
      <w:r>
        <w:rPr>
          <w:rFonts w:cs="Arial"/>
          <w:szCs w:val="18"/>
        </w:rPr>
        <w:t xml:space="preserve"> 60 let)</w:t>
      </w:r>
      <w:r w:rsidR="00717B00">
        <w:rPr>
          <w:rFonts w:cs="Arial"/>
          <w:szCs w:val="18"/>
        </w:rPr>
        <w:t>. V</w:t>
      </w:r>
      <w:r>
        <w:rPr>
          <w:rFonts w:cs="Arial"/>
          <w:szCs w:val="18"/>
        </w:rPr>
        <w:t>ede je k tomu obava o bezpečnost či zažitý zvyk chodit na pobočku.</w:t>
      </w:r>
      <w:r w:rsidR="00F545FC">
        <w:rPr>
          <w:rFonts w:cs="Arial"/>
          <w:szCs w:val="18"/>
        </w:rPr>
        <w:t xml:space="preserve"> Nevadí jim tedy menší komfort, kterého si společně s rychlostí a </w:t>
      </w:r>
      <w:r w:rsidR="00717B00">
        <w:rPr>
          <w:rFonts w:cs="Arial"/>
          <w:szCs w:val="18"/>
        </w:rPr>
        <w:t>okamžitým přehledem uživatelé e-</w:t>
      </w:r>
      <w:r w:rsidR="00F545FC">
        <w:rPr>
          <w:rFonts w:cs="Arial"/>
          <w:szCs w:val="18"/>
        </w:rPr>
        <w:t xml:space="preserve">bankingu cení nejvíce. </w:t>
      </w:r>
    </w:p>
    <w:p w:rsidR="0041521E" w:rsidRDefault="0041521E" w:rsidP="00BD483C">
      <w:pPr>
        <w:spacing w:after="120" w:line="276" w:lineRule="auto"/>
        <w:contextualSpacing/>
        <w:rPr>
          <w:rFonts w:cs="Arial"/>
          <w:szCs w:val="18"/>
        </w:rPr>
      </w:pPr>
    </w:p>
    <w:p w:rsidR="0041521E" w:rsidRDefault="0041521E" w:rsidP="00BD483C">
      <w:pPr>
        <w:spacing w:after="120" w:line="276" w:lineRule="auto"/>
        <w:contextualSpacing/>
        <w:rPr>
          <w:rFonts w:cs="Arial"/>
          <w:szCs w:val="18"/>
        </w:rPr>
      </w:pPr>
    </w:p>
    <w:p w:rsidR="00650724" w:rsidRDefault="00650724" w:rsidP="00BD483C">
      <w:pPr>
        <w:spacing w:after="120" w:line="276" w:lineRule="auto"/>
        <w:contextualSpacing/>
        <w:rPr>
          <w:rFonts w:cs="Arial"/>
          <w:b/>
          <w:color w:val="007E79"/>
          <w:kern w:val="3"/>
          <w:szCs w:val="18"/>
          <w:lang w:eastAsia="zh-CN" w:bidi="hi-IN"/>
        </w:rPr>
      </w:pPr>
      <w:r w:rsidRPr="001F3DF4">
        <w:rPr>
          <w:rFonts w:cs="Arial"/>
          <w:b/>
          <w:color w:val="007E79"/>
          <w:kern w:val="3"/>
          <w:szCs w:val="18"/>
          <w:lang w:eastAsia="zh-CN" w:bidi="hi-IN"/>
        </w:rPr>
        <w:t>S E-</w:t>
      </w:r>
      <w:r w:rsidR="0036420C">
        <w:rPr>
          <w:rFonts w:cs="Arial"/>
          <w:b/>
          <w:color w:val="007E79"/>
          <w:kern w:val="3"/>
          <w:szCs w:val="18"/>
          <w:lang w:eastAsia="zh-CN" w:bidi="hi-IN"/>
        </w:rPr>
        <w:t>BANKINGEM</w:t>
      </w:r>
      <w:r w:rsidR="00E54596">
        <w:rPr>
          <w:rFonts w:cs="Arial"/>
          <w:b/>
          <w:color w:val="007E79"/>
          <w:kern w:val="3"/>
          <w:szCs w:val="18"/>
          <w:lang w:eastAsia="zh-CN" w:bidi="hi-IN"/>
        </w:rPr>
        <w:t xml:space="preserve"> JSOU ČEŠI</w:t>
      </w:r>
      <w:r w:rsidRPr="001F3DF4">
        <w:rPr>
          <w:rFonts w:cs="Arial"/>
          <w:b/>
          <w:color w:val="007E79"/>
          <w:kern w:val="3"/>
          <w:szCs w:val="18"/>
          <w:lang w:eastAsia="zh-CN" w:bidi="hi-IN"/>
        </w:rPr>
        <w:t xml:space="preserve"> </w:t>
      </w:r>
      <w:r w:rsidR="00C44924" w:rsidRPr="001F3DF4">
        <w:rPr>
          <w:rFonts w:cs="Arial"/>
          <w:b/>
          <w:color w:val="007E79"/>
          <w:kern w:val="3"/>
          <w:szCs w:val="18"/>
          <w:lang w:eastAsia="zh-CN" w:bidi="hi-IN"/>
        </w:rPr>
        <w:t>SPOKOJENI</w:t>
      </w:r>
      <w:r w:rsidRPr="001F3DF4">
        <w:rPr>
          <w:rFonts w:cs="Arial"/>
          <w:b/>
          <w:color w:val="007E79"/>
          <w:kern w:val="3"/>
          <w:szCs w:val="18"/>
          <w:lang w:eastAsia="zh-CN" w:bidi="hi-IN"/>
        </w:rPr>
        <w:t>, S MULTIBANKINGEM</w:t>
      </w:r>
      <w:r w:rsidR="00E54596" w:rsidRPr="00E54596">
        <w:rPr>
          <w:rFonts w:cs="Arial"/>
          <w:b/>
          <w:color w:val="007E79"/>
          <w:kern w:val="3"/>
          <w:szCs w:val="18"/>
          <w:lang w:eastAsia="zh-CN" w:bidi="hi-IN"/>
        </w:rPr>
        <w:t xml:space="preserve"> </w:t>
      </w:r>
      <w:r w:rsidR="00E54596" w:rsidRPr="001F3DF4">
        <w:rPr>
          <w:rFonts w:cs="Arial"/>
          <w:b/>
          <w:color w:val="007E79"/>
          <w:kern w:val="3"/>
          <w:szCs w:val="18"/>
          <w:lang w:eastAsia="zh-CN" w:bidi="hi-IN"/>
        </w:rPr>
        <w:t>SE</w:t>
      </w:r>
      <w:r w:rsidR="00E54596" w:rsidRPr="00E54596">
        <w:rPr>
          <w:rFonts w:cs="Arial"/>
          <w:b/>
          <w:color w:val="007E79"/>
          <w:kern w:val="3"/>
          <w:szCs w:val="18"/>
          <w:lang w:eastAsia="zh-CN" w:bidi="hi-IN"/>
        </w:rPr>
        <w:t xml:space="preserve"> </w:t>
      </w:r>
      <w:r w:rsidR="00E54596" w:rsidRPr="001F3DF4">
        <w:rPr>
          <w:rFonts w:cs="Arial"/>
          <w:b/>
          <w:color w:val="007E79"/>
          <w:kern w:val="3"/>
          <w:szCs w:val="18"/>
          <w:lang w:eastAsia="zh-CN" w:bidi="hi-IN"/>
        </w:rPr>
        <w:t>SEZNAMUJÍ</w:t>
      </w:r>
    </w:p>
    <w:p w:rsidR="007609D5" w:rsidRPr="009A65F0" w:rsidRDefault="000C234E" w:rsidP="00BD483C">
      <w:pPr>
        <w:spacing w:after="120" w:line="276" w:lineRule="auto"/>
        <w:contextualSpacing/>
        <w:rPr>
          <w:rFonts w:cs="Arial"/>
          <w:iCs/>
          <w:szCs w:val="18"/>
        </w:rPr>
      </w:pPr>
      <w:r>
        <w:rPr>
          <w:rFonts w:cs="Arial"/>
          <w:szCs w:val="18"/>
        </w:rPr>
        <w:t>S</w:t>
      </w:r>
      <w:r w:rsidR="00991B95">
        <w:rPr>
          <w:rFonts w:cs="Arial"/>
          <w:szCs w:val="18"/>
        </w:rPr>
        <w:t>vou spokojenost</w:t>
      </w:r>
      <w:r>
        <w:rPr>
          <w:rFonts w:cs="Arial"/>
          <w:szCs w:val="18"/>
        </w:rPr>
        <w:t> </w:t>
      </w:r>
      <w:r w:rsidR="00991B95">
        <w:rPr>
          <w:rFonts w:cs="Arial"/>
          <w:szCs w:val="18"/>
        </w:rPr>
        <w:t xml:space="preserve">s </w:t>
      </w:r>
      <w:r>
        <w:rPr>
          <w:rFonts w:cs="Arial"/>
          <w:szCs w:val="18"/>
        </w:rPr>
        <w:t>podobou a funkcemi, ať web</w:t>
      </w:r>
      <w:r w:rsidR="00717B00">
        <w:rPr>
          <w:rFonts w:cs="Arial"/>
          <w:szCs w:val="18"/>
        </w:rPr>
        <w:t>ového portálu</w:t>
      </w:r>
      <w:r>
        <w:rPr>
          <w:rFonts w:cs="Arial"/>
          <w:szCs w:val="18"/>
        </w:rPr>
        <w:t xml:space="preserve"> či mobilní aplikac</w:t>
      </w:r>
      <w:r w:rsidR="00717B00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, </w:t>
      </w:r>
      <w:r w:rsidR="00991B95">
        <w:rPr>
          <w:rFonts w:cs="Arial"/>
          <w:szCs w:val="18"/>
        </w:rPr>
        <w:t>vyslovily</w:t>
      </w:r>
      <w:r>
        <w:rPr>
          <w:rFonts w:cs="Arial"/>
          <w:szCs w:val="18"/>
        </w:rPr>
        <w:t xml:space="preserve"> </w:t>
      </w:r>
      <w:r w:rsidR="0036420C">
        <w:rPr>
          <w:rFonts w:cs="Arial"/>
          <w:szCs w:val="18"/>
        </w:rPr>
        <w:t>více než polovina</w:t>
      </w:r>
      <w:r>
        <w:rPr>
          <w:rFonts w:cs="Arial"/>
          <w:szCs w:val="18"/>
        </w:rPr>
        <w:t xml:space="preserve"> </w:t>
      </w:r>
      <w:r w:rsidR="00F83EEA">
        <w:rPr>
          <w:rFonts w:cs="Arial"/>
          <w:szCs w:val="18"/>
        </w:rPr>
        <w:t>dotázaných</w:t>
      </w:r>
      <w:r>
        <w:rPr>
          <w:rFonts w:cs="Arial"/>
          <w:szCs w:val="18"/>
        </w:rPr>
        <w:t xml:space="preserve">. </w:t>
      </w:r>
      <w:r w:rsidR="00991B95">
        <w:rPr>
          <w:rFonts w:cs="Arial"/>
          <w:szCs w:val="18"/>
        </w:rPr>
        <w:t>Z</w:t>
      </w:r>
      <w:r w:rsidR="003E4ADE">
        <w:rPr>
          <w:rFonts w:cs="Arial"/>
          <w:szCs w:val="18"/>
        </w:rPr>
        <w:t xml:space="preserve">ásadní </w:t>
      </w:r>
      <w:r w:rsidR="00991B95">
        <w:rPr>
          <w:rFonts w:cs="Arial"/>
          <w:szCs w:val="18"/>
        </w:rPr>
        <w:t xml:space="preserve">jsou z tohoto pohledu </w:t>
      </w:r>
      <w:r w:rsidR="003E4ADE">
        <w:rPr>
          <w:rFonts w:cs="Arial"/>
          <w:szCs w:val="18"/>
        </w:rPr>
        <w:t>zejména jednoduché a přehledné ovládání (9,</w:t>
      </w:r>
      <w:r w:rsidR="003E4ADE" w:rsidRPr="00F9738D">
        <w:rPr>
          <w:rFonts w:cs="Arial"/>
          <w:szCs w:val="18"/>
        </w:rPr>
        <w:t xml:space="preserve">1 bodů z 10), vysoká míra zabezpečení (8,7 bodů z 10) a </w:t>
      </w:r>
      <w:r w:rsidR="00991B95" w:rsidRPr="00F9738D">
        <w:rPr>
          <w:rFonts w:cs="Arial"/>
          <w:szCs w:val="18"/>
        </w:rPr>
        <w:t>u webových portálů</w:t>
      </w:r>
      <w:r w:rsidR="00717B00" w:rsidRPr="00F9738D">
        <w:rPr>
          <w:rFonts w:cs="Arial"/>
          <w:szCs w:val="18"/>
        </w:rPr>
        <w:t xml:space="preserve"> také možnost fultextového vyhledávání či dlouhodobý výpis transakcí (8,6 a 8,4 bodů z </w:t>
      </w:r>
      <w:r w:rsidR="00F83EEA">
        <w:rPr>
          <w:rFonts w:cs="Arial"/>
          <w:szCs w:val="18"/>
        </w:rPr>
        <w:t>10</w:t>
      </w:r>
      <w:r w:rsidR="00717B00" w:rsidRPr="00F9738D">
        <w:rPr>
          <w:rFonts w:cs="Arial"/>
          <w:szCs w:val="18"/>
        </w:rPr>
        <w:t xml:space="preserve">). </w:t>
      </w:r>
      <w:r w:rsidR="00991B95" w:rsidRPr="00F9738D">
        <w:rPr>
          <w:rFonts w:cs="Arial"/>
          <w:i/>
          <w:szCs w:val="18"/>
        </w:rPr>
        <w:t>„Banky zpravidla podrobují své webové portály s </w:t>
      </w:r>
      <w:r w:rsidR="00991B95" w:rsidRPr="009A65F0">
        <w:rPr>
          <w:rFonts w:cs="Arial"/>
          <w:i/>
          <w:szCs w:val="18"/>
        </w:rPr>
        <w:t>elektronickým</w:t>
      </w:r>
      <w:r w:rsidR="00991B95" w:rsidRPr="00F9738D">
        <w:rPr>
          <w:rFonts w:cs="Arial"/>
          <w:i/>
          <w:szCs w:val="18"/>
        </w:rPr>
        <w:t xml:space="preserve"> bankovnictvím</w:t>
      </w:r>
      <w:r w:rsidR="00991B95" w:rsidRPr="00991B95">
        <w:rPr>
          <w:rFonts w:cs="Arial"/>
          <w:i/>
          <w:szCs w:val="18"/>
        </w:rPr>
        <w:t xml:space="preserve"> </w:t>
      </w:r>
      <w:r w:rsidR="00991B95">
        <w:rPr>
          <w:rFonts w:cs="Arial"/>
          <w:i/>
          <w:szCs w:val="18"/>
        </w:rPr>
        <w:t xml:space="preserve">i bankovní mobilní aplikace </w:t>
      </w:r>
      <w:r w:rsidR="00991B95" w:rsidRPr="00991B95">
        <w:rPr>
          <w:rFonts w:cs="Arial"/>
          <w:i/>
          <w:szCs w:val="18"/>
        </w:rPr>
        <w:t>důkladnému uživatelskému (tzv. UX) testování</w:t>
      </w:r>
      <w:r w:rsidR="00991B95">
        <w:rPr>
          <w:rFonts w:cs="Arial"/>
          <w:i/>
          <w:szCs w:val="18"/>
        </w:rPr>
        <w:t>. A dělají dobře, podle</w:t>
      </w:r>
      <w:r w:rsidR="00C44924">
        <w:rPr>
          <w:rFonts w:cs="Arial"/>
          <w:i/>
          <w:szCs w:val="18"/>
        </w:rPr>
        <w:t xml:space="preserve"> průzkumu by kvůli elektronickému bankovnictví </w:t>
      </w:r>
      <w:r w:rsidR="00FE797F">
        <w:rPr>
          <w:rFonts w:cs="Arial"/>
          <w:i/>
          <w:szCs w:val="18"/>
        </w:rPr>
        <w:t xml:space="preserve">mohla </w:t>
      </w:r>
      <w:r w:rsidR="005B5E17">
        <w:rPr>
          <w:rFonts w:cs="Arial"/>
          <w:i/>
          <w:szCs w:val="18"/>
        </w:rPr>
        <w:t>zhruba čtvrtina klientů</w:t>
      </w:r>
      <w:r w:rsidR="002C513E">
        <w:rPr>
          <w:rFonts w:cs="Arial"/>
          <w:i/>
          <w:szCs w:val="18"/>
        </w:rPr>
        <w:t xml:space="preserve"> </w:t>
      </w:r>
      <w:r w:rsidR="005B5E17" w:rsidRPr="009A65F0">
        <w:rPr>
          <w:rFonts w:cs="Arial"/>
          <w:i/>
          <w:szCs w:val="18"/>
        </w:rPr>
        <w:t>změnit banku</w:t>
      </w:r>
      <w:r w:rsidR="009A65F0" w:rsidRPr="009A65F0">
        <w:rPr>
          <w:rFonts w:cs="Arial"/>
          <w:i/>
          <w:szCs w:val="18"/>
        </w:rPr>
        <w:t>,</w:t>
      </w:r>
      <w:r w:rsidR="00991B95" w:rsidRPr="009A65F0">
        <w:rPr>
          <w:rFonts w:cs="Arial"/>
          <w:i/>
          <w:szCs w:val="18"/>
        </w:rPr>
        <w:t>“</w:t>
      </w:r>
      <w:r w:rsidR="009A65F0">
        <w:rPr>
          <w:rFonts w:cs="Arial"/>
          <w:i/>
          <w:color w:val="FF0000"/>
          <w:szCs w:val="18"/>
        </w:rPr>
        <w:t xml:space="preserve"> </w:t>
      </w:r>
      <w:r w:rsidR="009A65F0" w:rsidRPr="009A65F0">
        <w:rPr>
          <w:rFonts w:cs="Arial"/>
          <w:iCs/>
          <w:szCs w:val="18"/>
        </w:rPr>
        <w:t>uvádí Helena Zavázalová.</w:t>
      </w:r>
      <w:r w:rsidR="00C44924" w:rsidRPr="009A65F0">
        <w:rPr>
          <w:rFonts w:cs="Arial"/>
          <w:iCs/>
          <w:szCs w:val="18"/>
        </w:rPr>
        <w:t xml:space="preserve">  </w:t>
      </w:r>
    </w:p>
    <w:p w:rsidR="007609D5" w:rsidRDefault="007609D5" w:rsidP="00BD483C">
      <w:pPr>
        <w:spacing w:after="120" w:line="276" w:lineRule="auto"/>
        <w:contextualSpacing/>
        <w:rPr>
          <w:rFonts w:cs="Arial"/>
          <w:szCs w:val="18"/>
        </w:rPr>
      </w:pPr>
    </w:p>
    <w:p w:rsidR="003E4ADE" w:rsidRDefault="00C44924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lastRenderedPageBreak/>
        <w:t>Odliš</w:t>
      </w:r>
      <w:r w:rsidR="005B5E17">
        <w:rPr>
          <w:rFonts w:cs="Arial"/>
          <w:szCs w:val="18"/>
        </w:rPr>
        <w:t>nost</w:t>
      </w:r>
      <w:r>
        <w:rPr>
          <w:rFonts w:cs="Arial"/>
          <w:szCs w:val="18"/>
        </w:rPr>
        <w:t xml:space="preserve"> </w:t>
      </w:r>
      <w:r w:rsidR="005B5E17">
        <w:rPr>
          <w:rFonts w:cs="Arial"/>
          <w:szCs w:val="18"/>
        </w:rPr>
        <w:t xml:space="preserve">požadavků uživatelů na funkce webového bankovnictví a na funkce mobilních aplikací </w:t>
      </w:r>
      <w:r>
        <w:rPr>
          <w:rFonts w:cs="Arial"/>
          <w:szCs w:val="18"/>
        </w:rPr>
        <w:t xml:space="preserve">odpovídá způsobu využívání </w:t>
      </w:r>
      <w:r w:rsidR="005B5E17">
        <w:rPr>
          <w:rFonts w:cs="Arial"/>
          <w:szCs w:val="18"/>
        </w:rPr>
        <w:t>těchto dvou digitálních kanálů</w:t>
      </w:r>
      <w:r>
        <w:rPr>
          <w:rFonts w:cs="Arial"/>
          <w:szCs w:val="18"/>
        </w:rPr>
        <w:t xml:space="preserve">. </w:t>
      </w:r>
      <w:r w:rsidR="007609D5">
        <w:rPr>
          <w:rFonts w:cs="Arial"/>
          <w:szCs w:val="18"/>
        </w:rPr>
        <w:t xml:space="preserve">Zatímco </w:t>
      </w:r>
      <w:r w:rsidR="005B5E17">
        <w:rPr>
          <w:rFonts w:cs="Arial"/>
          <w:szCs w:val="18"/>
        </w:rPr>
        <w:t>při</w:t>
      </w:r>
      <w:r w:rsidR="007609D5">
        <w:rPr>
          <w:rFonts w:cs="Arial"/>
          <w:szCs w:val="18"/>
        </w:rPr>
        <w:t xml:space="preserve"> prov</w:t>
      </w:r>
      <w:r w:rsidR="005B5E17">
        <w:rPr>
          <w:rFonts w:cs="Arial"/>
          <w:szCs w:val="18"/>
        </w:rPr>
        <w:t>á</w:t>
      </w:r>
      <w:r w:rsidR="007609D5">
        <w:rPr>
          <w:rFonts w:cs="Arial"/>
          <w:szCs w:val="18"/>
        </w:rPr>
        <w:t>d</w:t>
      </w:r>
      <w:r w:rsidR="005B5E17">
        <w:rPr>
          <w:rFonts w:cs="Arial"/>
          <w:szCs w:val="18"/>
        </w:rPr>
        <w:t>ě</w:t>
      </w:r>
      <w:r w:rsidR="007609D5">
        <w:rPr>
          <w:rFonts w:cs="Arial"/>
          <w:szCs w:val="18"/>
        </w:rPr>
        <w:t>ní plateb, ověř</w:t>
      </w:r>
      <w:r w:rsidR="005B5E17">
        <w:rPr>
          <w:rFonts w:cs="Arial"/>
          <w:szCs w:val="18"/>
        </w:rPr>
        <w:t>ování</w:t>
      </w:r>
      <w:r w:rsidR="007609D5">
        <w:rPr>
          <w:rFonts w:cs="Arial"/>
          <w:szCs w:val="18"/>
        </w:rPr>
        <w:t xml:space="preserve"> zůstatku či kontrol</w:t>
      </w:r>
      <w:r w:rsidR="005B5E17">
        <w:rPr>
          <w:rFonts w:cs="Arial"/>
          <w:szCs w:val="18"/>
        </w:rPr>
        <w:t>e</w:t>
      </w:r>
      <w:r w:rsidR="007609D5">
        <w:rPr>
          <w:rFonts w:cs="Arial"/>
          <w:szCs w:val="18"/>
        </w:rPr>
        <w:t xml:space="preserve"> příjmů a výdajů si Češi často vystačí s mobilní aplikací, v případě nastavování trvalých příkazů a inkas, nastavení účtu a karet a dalších, obecně složitějších operací na jejich bankovním účtu preferují přístup přes webový portál. </w:t>
      </w:r>
    </w:p>
    <w:p w:rsidR="00451368" w:rsidRDefault="000A664C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noProof/>
          <w:szCs w:val="18"/>
        </w:rPr>
        <w:pict>
          <v:shape id="_x0000_s1038" type="#_x0000_t202" style="position:absolute;left:0;text-align:left;margin-left:.75pt;margin-top:9.75pt;width:234pt;height:24.45pt;z-index:251701248" filled="f" stroked="f">
            <v:textbox>
              <w:txbxContent>
                <w:p w:rsidR="00F83EEA" w:rsidRPr="00F83EEA" w:rsidRDefault="00F83EEA">
                  <w:pPr>
                    <w:rPr>
                      <w:b/>
                      <w:bCs/>
                      <w:sz w:val="20"/>
                      <w:szCs w:val="22"/>
                    </w:rPr>
                  </w:pPr>
                  <w:r w:rsidRPr="00F83EEA">
                    <w:rPr>
                      <w:b/>
                      <w:bCs/>
                      <w:sz w:val="20"/>
                      <w:szCs w:val="22"/>
                    </w:rPr>
                    <w:t>Co prostřednictvím e-bankovnictví děláte?</w:t>
                  </w:r>
                </w:p>
              </w:txbxContent>
            </v:textbox>
          </v:shape>
        </w:pict>
      </w:r>
    </w:p>
    <w:p w:rsidR="00451368" w:rsidRDefault="00451368" w:rsidP="00BD483C">
      <w:pPr>
        <w:spacing w:after="120" w:line="276" w:lineRule="auto"/>
        <w:contextualSpacing/>
        <w:rPr>
          <w:rFonts w:cs="Arial"/>
          <w:szCs w:val="18"/>
        </w:rPr>
      </w:pPr>
    </w:p>
    <w:p w:rsidR="0015295E" w:rsidRDefault="00F83EEA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BE04638">
            <wp:simplePos x="0" y="0"/>
            <wp:positionH relativeFrom="column">
              <wp:posOffset>-1270</wp:posOffset>
            </wp:positionH>
            <wp:positionV relativeFrom="paragraph">
              <wp:posOffset>148228</wp:posOffset>
            </wp:positionV>
            <wp:extent cx="6619875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849F5F6C-539A-4743-801C-18A5327B59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15933" w:rsidRDefault="000A3ECF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Novou f</w:t>
      </w:r>
      <w:r w:rsidR="0015295E">
        <w:rPr>
          <w:rFonts w:cs="Arial"/>
          <w:szCs w:val="18"/>
        </w:rPr>
        <w:t xml:space="preserve">unkcí, kterou české banky </w:t>
      </w:r>
      <w:r>
        <w:rPr>
          <w:rFonts w:cs="Arial"/>
          <w:szCs w:val="18"/>
        </w:rPr>
        <w:t xml:space="preserve">v návaznosti na implementaci směrnice PSD2 v současné době často integrují do svých elektronických bankovnictví, je tzv. </w:t>
      </w:r>
      <w:proofErr w:type="spellStart"/>
      <w:r>
        <w:rPr>
          <w:rFonts w:cs="Arial"/>
          <w:szCs w:val="18"/>
        </w:rPr>
        <w:t>multibanking</w:t>
      </w:r>
      <w:proofErr w:type="spellEnd"/>
      <w:r>
        <w:rPr>
          <w:rFonts w:cs="Arial"/>
          <w:szCs w:val="18"/>
        </w:rPr>
        <w:t xml:space="preserve">. Z výsledků průzkumu vyplývá, že o možnosti </w:t>
      </w:r>
      <w:r w:rsidRPr="00872C9B">
        <w:rPr>
          <w:rFonts w:cs="Arial"/>
          <w:szCs w:val="18"/>
        </w:rPr>
        <w:t>ovládat všechny své bankovní účty z jednoho místa již slyšela téměř polovina Čechů a</w:t>
      </w:r>
      <w:r w:rsidR="00A45FC0" w:rsidRPr="00872C9B">
        <w:rPr>
          <w:rFonts w:cs="Arial"/>
          <w:szCs w:val="18"/>
        </w:rPr>
        <w:t xml:space="preserve"> asi dvě procenta ji</w:t>
      </w:r>
      <w:r w:rsidRPr="00872C9B">
        <w:rPr>
          <w:rFonts w:cs="Arial"/>
          <w:szCs w:val="18"/>
        </w:rPr>
        <w:t xml:space="preserve"> již aktivně využívají. </w:t>
      </w:r>
      <w:r w:rsidR="0086454A" w:rsidRPr="00872C9B">
        <w:rPr>
          <w:rFonts w:cs="Arial"/>
          <w:szCs w:val="18"/>
        </w:rPr>
        <w:t xml:space="preserve">Celkově </w:t>
      </w:r>
      <w:proofErr w:type="spellStart"/>
      <w:r w:rsidR="00A45FC0" w:rsidRPr="00872C9B">
        <w:rPr>
          <w:rFonts w:cs="Arial"/>
          <w:szCs w:val="18"/>
        </w:rPr>
        <w:t>multibanking</w:t>
      </w:r>
      <w:proofErr w:type="spellEnd"/>
      <w:r w:rsidR="0086454A" w:rsidRPr="00872C9B">
        <w:rPr>
          <w:rFonts w:cs="Arial"/>
          <w:szCs w:val="18"/>
        </w:rPr>
        <w:t xml:space="preserve"> jako přínosnou funkci hodnotí téměř dvě třetiny Čechů. Na druhou stranu 39 </w:t>
      </w:r>
      <w:r w:rsidR="00E54596">
        <w:rPr>
          <w:rFonts w:cs="Arial"/>
          <w:szCs w:val="18"/>
        </w:rPr>
        <w:t>%</w:t>
      </w:r>
      <w:r w:rsidR="0086454A" w:rsidRPr="00872C9B">
        <w:rPr>
          <w:rFonts w:cs="Arial"/>
          <w:szCs w:val="18"/>
        </w:rPr>
        <w:t xml:space="preserve"> deklarovalo, že by ho neužívalo, protože ho vzhledem k vlastnictví pouze jednoho účtu nepotřebují, případně tuto funkci nepovažují za bezpečnou</w:t>
      </w:r>
      <w:r w:rsidR="00C57869" w:rsidRPr="00872C9B">
        <w:rPr>
          <w:rFonts w:cs="Arial"/>
          <w:szCs w:val="18"/>
        </w:rPr>
        <w:t xml:space="preserve"> (23 %)</w:t>
      </w:r>
      <w:r w:rsidR="0086454A" w:rsidRPr="00872C9B">
        <w:rPr>
          <w:rFonts w:cs="Arial"/>
          <w:szCs w:val="18"/>
        </w:rPr>
        <w:t>. Obavy o bezpečnost</w:t>
      </w:r>
      <w:r w:rsidR="009A65F0">
        <w:rPr>
          <w:rFonts w:cs="Arial"/>
          <w:szCs w:val="18"/>
        </w:rPr>
        <w:t xml:space="preserve"> (29 %)</w:t>
      </w:r>
      <w:r w:rsidR="0086454A" w:rsidRPr="00872C9B">
        <w:rPr>
          <w:rFonts w:cs="Arial"/>
          <w:szCs w:val="18"/>
        </w:rPr>
        <w:t xml:space="preserve"> </w:t>
      </w:r>
      <w:r w:rsidR="0086454A" w:rsidRPr="009A65F0">
        <w:rPr>
          <w:rFonts w:cs="Arial"/>
          <w:szCs w:val="18"/>
        </w:rPr>
        <w:t xml:space="preserve">jsou současně druhým největším důvodem, proč by službu </w:t>
      </w:r>
      <w:proofErr w:type="spellStart"/>
      <w:r w:rsidR="0086454A" w:rsidRPr="009A65F0">
        <w:rPr>
          <w:rFonts w:cs="Arial"/>
          <w:szCs w:val="18"/>
        </w:rPr>
        <w:t>multibankingu</w:t>
      </w:r>
      <w:proofErr w:type="spellEnd"/>
      <w:r w:rsidR="0086454A" w:rsidRPr="009A65F0">
        <w:rPr>
          <w:rFonts w:cs="Arial"/>
          <w:szCs w:val="18"/>
        </w:rPr>
        <w:t xml:space="preserve"> využívali </w:t>
      </w:r>
      <w:r w:rsidR="009A65F0" w:rsidRPr="009A65F0">
        <w:rPr>
          <w:rFonts w:cs="Arial"/>
          <w:szCs w:val="18"/>
        </w:rPr>
        <w:t>pouze prostřednictvím své</w:t>
      </w:r>
      <w:r w:rsidR="0086454A" w:rsidRPr="009A65F0">
        <w:rPr>
          <w:rFonts w:cs="Arial"/>
          <w:szCs w:val="18"/>
        </w:rPr>
        <w:t xml:space="preserve"> banky</w:t>
      </w:r>
      <w:r w:rsidR="00C57869" w:rsidRPr="009A65F0">
        <w:rPr>
          <w:rFonts w:cs="Arial"/>
          <w:szCs w:val="18"/>
        </w:rPr>
        <w:t xml:space="preserve"> (</w:t>
      </w:r>
      <w:r w:rsidR="009A65F0" w:rsidRPr="009A65F0">
        <w:rPr>
          <w:rFonts w:cs="Arial"/>
          <w:szCs w:val="18"/>
        </w:rPr>
        <w:t>76</w:t>
      </w:r>
      <w:r w:rsidR="00C57869" w:rsidRPr="009A65F0">
        <w:rPr>
          <w:rFonts w:cs="Arial"/>
          <w:szCs w:val="18"/>
        </w:rPr>
        <w:t xml:space="preserve"> %)</w:t>
      </w:r>
      <w:r w:rsidR="0086454A" w:rsidRPr="009A65F0">
        <w:rPr>
          <w:rFonts w:cs="Arial"/>
          <w:szCs w:val="18"/>
        </w:rPr>
        <w:t xml:space="preserve">. </w:t>
      </w:r>
      <w:r w:rsidR="006777C7" w:rsidRPr="009A65F0">
        <w:rPr>
          <w:rFonts w:cs="Arial"/>
          <w:szCs w:val="18"/>
        </w:rPr>
        <w:t>Nejčastěji</w:t>
      </w:r>
      <w:r w:rsidR="00C57869" w:rsidRPr="00872C9B">
        <w:rPr>
          <w:rFonts w:cs="Arial"/>
          <w:szCs w:val="18"/>
        </w:rPr>
        <w:t xml:space="preserve"> (63 %)</w:t>
      </w:r>
      <w:r w:rsidR="0086454A" w:rsidRPr="00872C9B">
        <w:rPr>
          <w:rFonts w:cs="Arial"/>
          <w:szCs w:val="18"/>
        </w:rPr>
        <w:t xml:space="preserve"> </w:t>
      </w:r>
      <w:r w:rsidR="006777C7" w:rsidRPr="00872C9B">
        <w:rPr>
          <w:rFonts w:cs="Arial"/>
          <w:szCs w:val="18"/>
        </w:rPr>
        <w:t xml:space="preserve">však </w:t>
      </w:r>
      <w:r w:rsidR="0086454A" w:rsidRPr="00872C9B">
        <w:rPr>
          <w:rFonts w:cs="Arial"/>
          <w:szCs w:val="18"/>
        </w:rPr>
        <w:t xml:space="preserve">nechtějí, </w:t>
      </w:r>
      <w:r w:rsidR="005C7858" w:rsidRPr="00872C9B">
        <w:rPr>
          <w:rFonts w:cs="Arial"/>
          <w:szCs w:val="18"/>
        </w:rPr>
        <w:t xml:space="preserve">aby s informacemi o </w:t>
      </w:r>
      <w:r w:rsidR="00C57869" w:rsidRPr="00872C9B">
        <w:rPr>
          <w:rFonts w:cs="Arial"/>
          <w:szCs w:val="18"/>
        </w:rPr>
        <w:t xml:space="preserve">jejich </w:t>
      </w:r>
      <w:r w:rsidR="005C7858" w:rsidRPr="00872C9B">
        <w:rPr>
          <w:rFonts w:cs="Arial"/>
          <w:szCs w:val="18"/>
        </w:rPr>
        <w:t>bankovním účtu a transakcích disponoval někdo jiný</w:t>
      </w:r>
      <w:r w:rsidR="00C57869">
        <w:rPr>
          <w:rFonts w:cs="Arial"/>
          <w:szCs w:val="18"/>
        </w:rPr>
        <w:t xml:space="preserve"> </w:t>
      </w:r>
      <w:r w:rsidR="005C7858">
        <w:rPr>
          <w:rFonts w:cs="Arial"/>
          <w:szCs w:val="18"/>
        </w:rPr>
        <w:t xml:space="preserve">než jejich banka.  </w:t>
      </w:r>
    </w:p>
    <w:p w:rsidR="0086454A" w:rsidRDefault="0086454A" w:rsidP="00BD483C">
      <w:pPr>
        <w:spacing w:after="120" w:line="276" w:lineRule="auto"/>
        <w:contextualSpacing/>
        <w:rPr>
          <w:rFonts w:cs="Arial"/>
          <w:szCs w:val="18"/>
        </w:rPr>
      </w:pPr>
    </w:p>
    <w:p w:rsidR="0086454A" w:rsidRDefault="005C7858" w:rsidP="00BD483C">
      <w:pPr>
        <w:spacing w:after="120" w:line="276" w:lineRule="auto"/>
        <w:contextualSpacing/>
        <w:rPr>
          <w:rFonts w:cs="Arial"/>
          <w:szCs w:val="18"/>
        </w:rPr>
      </w:pPr>
      <w:r w:rsidRPr="00C57869">
        <w:rPr>
          <w:rFonts w:cs="Arial"/>
          <w:i/>
          <w:iCs/>
          <w:szCs w:val="18"/>
        </w:rPr>
        <w:t xml:space="preserve">„Účelem směrnice PSD2 </w:t>
      </w:r>
      <w:r w:rsidR="001A2623">
        <w:rPr>
          <w:rFonts w:cs="Arial"/>
          <w:i/>
          <w:iCs/>
          <w:szCs w:val="18"/>
        </w:rPr>
        <w:t>bylo mimo jiné</w:t>
      </w:r>
      <w:r w:rsidR="00C57869">
        <w:rPr>
          <w:rFonts w:cs="Arial"/>
          <w:i/>
          <w:iCs/>
          <w:szCs w:val="18"/>
        </w:rPr>
        <w:t xml:space="preserve"> </w:t>
      </w:r>
      <w:r w:rsidR="001A2623">
        <w:rPr>
          <w:rFonts w:cs="Arial"/>
          <w:i/>
          <w:iCs/>
          <w:szCs w:val="18"/>
        </w:rPr>
        <w:t>otevřít</w:t>
      </w:r>
      <w:r w:rsidRPr="00C57869">
        <w:rPr>
          <w:rFonts w:cs="Arial"/>
          <w:i/>
          <w:iCs/>
          <w:szCs w:val="18"/>
        </w:rPr>
        <w:t xml:space="preserve"> trh platebních služeb </w:t>
      </w:r>
      <w:r w:rsidR="00A45FC0" w:rsidRPr="00C57869">
        <w:rPr>
          <w:rFonts w:cs="Arial"/>
          <w:i/>
          <w:iCs/>
          <w:szCs w:val="18"/>
        </w:rPr>
        <w:t>i dalším</w:t>
      </w:r>
      <w:r w:rsidRPr="00C57869">
        <w:rPr>
          <w:rFonts w:cs="Arial"/>
          <w:i/>
          <w:iCs/>
          <w:szCs w:val="18"/>
        </w:rPr>
        <w:t xml:space="preserve"> finančním subjektům</w:t>
      </w:r>
      <w:r w:rsidR="00A45FC0" w:rsidRPr="00C57869">
        <w:rPr>
          <w:rFonts w:cs="Arial"/>
          <w:i/>
          <w:iCs/>
          <w:szCs w:val="18"/>
        </w:rPr>
        <w:t>,“</w:t>
      </w:r>
      <w:r w:rsidR="00A45FC0">
        <w:rPr>
          <w:rFonts w:cs="Arial"/>
          <w:szCs w:val="18"/>
        </w:rPr>
        <w:t xml:space="preserve"> vysvětluje Helena Zavázalová. Většina Čechů by však podle výsledků průzkumu žádné ze služeb, které pro ně zajišťují banky, jiným subjektům </w:t>
      </w:r>
      <w:r w:rsidR="00650724">
        <w:rPr>
          <w:rFonts w:cs="Arial"/>
          <w:szCs w:val="18"/>
        </w:rPr>
        <w:t xml:space="preserve">prozatím </w:t>
      </w:r>
      <w:r w:rsidR="00A45FC0">
        <w:rPr>
          <w:rFonts w:cs="Arial"/>
          <w:szCs w:val="18"/>
        </w:rPr>
        <w:t>nesvěřila</w:t>
      </w:r>
      <w:r w:rsidR="00C57869">
        <w:rPr>
          <w:rFonts w:cs="Arial"/>
          <w:szCs w:val="18"/>
        </w:rPr>
        <w:t>.</w:t>
      </w:r>
      <w:r w:rsidR="00477AF5">
        <w:rPr>
          <w:rFonts w:cs="Arial"/>
          <w:szCs w:val="18"/>
        </w:rPr>
        <w:t xml:space="preserve"> </w:t>
      </w:r>
      <w:r w:rsidR="00C57869">
        <w:rPr>
          <w:rFonts w:cs="Arial"/>
          <w:szCs w:val="18"/>
        </w:rPr>
        <w:t>D</w:t>
      </w:r>
      <w:r w:rsidR="00477AF5">
        <w:rPr>
          <w:rFonts w:cs="Arial"/>
          <w:szCs w:val="18"/>
        </w:rPr>
        <w:t>ůvodem je právě strach o bezpečnost jejich dat a hesel či celkově jejich peněz</w:t>
      </w:r>
      <w:r w:rsidR="00A45FC0">
        <w:rPr>
          <w:rFonts w:cs="Arial"/>
          <w:szCs w:val="18"/>
        </w:rPr>
        <w:t xml:space="preserve">. Výjimku </w:t>
      </w:r>
      <w:r w:rsidR="00C57869">
        <w:rPr>
          <w:rFonts w:cs="Arial"/>
          <w:szCs w:val="18"/>
        </w:rPr>
        <w:t xml:space="preserve">v tomto ohledu </w:t>
      </w:r>
      <w:r w:rsidR="00477AF5">
        <w:rPr>
          <w:rFonts w:cs="Arial"/>
          <w:szCs w:val="18"/>
        </w:rPr>
        <w:t>tvoří</w:t>
      </w:r>
      <w:r w:rsidR="00A45FC0">
        <w:rPr>
          <w:rFonts w:cs="Arial"/>
          <w:szCs w:val="18"/>
        </w:rPr>
        <w:t xml:space="preserve"> finanční poradenství, případně zprostředkování půjček či spoření a správa osobních financí. </w:t>
      </w:r>
    </w:p>
    <w:p w:rsidR="00C57869" w:rsidRDefault="000A664C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noProof/>
        </w:rPr>
        <w:pict>
          <v:shape id="_x0000_s1039" type="#_x0000_t202" style="position:absolute;left:0;text-align:left;margin-left:-6.85pt;margin-top:5.4pt;width:204.1pt;height:30.2pt;z-index:25170432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_x0000_s1039;mso-fit-shape-to-text:t">
              <w:txbxContent>
                <w:p w:rsidR="00E54596" w:rsidRPr="00E54596" w:rsidRDefault="00E54596">
                  <w:pPr>
                    <w:rPr>
                      <w:b/>
                      <w:bCs/>
                      <w:sz w:val="20"/>
                      <w:szCs w:val="22"/>
                    </w:rPr>
                  </w:pPr>
                  <w:r w:rsidRPr="00E54596">
                    <w:rPr>
                      <w:b/>
                      <w:bCs/>
                      <w:sz w:val="20"/>
                      <w:szCs w:val="22"/>
                    </w:rPr>
                    <w:t>Které finanční služby byste svěřili někomu jinému než bance?</w:t>
                  </w:r>
                </w:p>
              </w:txbxContent>
            </v:textbox>
          </v:shape>
        </w:pict>
      </w:r>
    </w:p>
    <w:p w:rsidR="00C57869" w:rsidRDefault="00E54596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8DE77B6">
            <wp:simplePos x="0" y="0"/>
            <wp:positionH relativeFrom="column">
              <wp:posOffset>118110</wp:posOffset>
            </wp:positionH>
            <wp:positionV relativeFrom="paragraph">
              <wp:posOffset>129540</wp:posOffset>
            </wp:positionV>
            <wp:extent cx="6115050" cy="1704975"/>
            <wp:effectExtent l="0" t="0" r="0" b="0"/>
            <wp:wrapTight wrapText="bothSides">
              <wp:wrapPolygon edited="0">
                <wp:start x="0" y="0"/>
                <wp:lineTo x="0" y="21238"/>
                <wp:lineTo x="21533" y="21238"/>
                <wp:lineTo x="21533" y="0"/>
                <wp:lineTo x="0" y="0"/>
              </wp:wrapPolygon>
            </wp:wrapTight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43591291-8B24-4FCE-8329-F7101E50F2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6454A" w:rsidRDefault="0086454A" w:rsidP="00BD483C">
      <w:pPr>
        <w:spacing w:after="120" w:line="276" w:lineRule="auto"/>
        <w:contextualSpacing/>
        <w:rPr>
          <w:rFonts w:cs="Arial"/>
          <w:szCs w:val="18"/>
        </w:rPr>
      </w:pPr>
    </w:p>
    <w:p w:rsidR="00BC5978" w:rsidRDefault="00BC5978" w:rsidP="00BD483C">
      <w:pPr>
        <w:spacing w:after="120" w:line="276" w:lineRule="auto"/>
        <w:contextualSpacing/>
        <w:rPr>
          <w:rFonts w:cs="Arial"/>
          <w:szCs w:val="18"/>
        </w:rPr>
      </w:pPr>
    </w:p>
    <w:p w:rsidR="00E54596" w:rsidRDefault="00E54596" w:rsidP="00BD483C">
      <w:pPr>
        <w:spacing w:after="120" w:line="276" w:lineRule="auto"/>
        <w:contextualSpacing/>
        <w:rPr>
          <w:rFonts w:cs="Arial"/>
          <w:szCs w:val="18"/>
        </w:rPr>
      </w:pPr>
    </w:p>
    <w:p w:rsidR="00E54596" w:rsidRDefault="00E54596" w:rsidP="00BD483C">
      <w:pPr>
        <w:spacing w:after="120" w:line="276" w:lineRule="auto"/>
        <w:contextualSpacing/>
        <w:rPr>
          <w:rFonts w:cs="Arial"/>
          <w:szCs w:val="18"/>
        </w:rPr>
      </w:pPr>
    </w:p>
    <w:p w:rsidR="00E54596" w:rsidRDefault="00E54596" w:rsidP="00BD483C">
      <w:pPr>
        <w:spacing w:after="120" w:line="276" w:lineRule="auto"/>
        <w:contextualSpacing/>
        <w:rPr>
          <w:rFonts w:cs="Arial"/>
          <w:szCs w:val="18"/>
        </w:rPr>
      </w:pPr>
    </w:p>
    <w:p w:rsidR="00E54596" w:rsidRDefault="00E54596" w:rsidP="00BD483C">
      <w:pPr>
        <w:spacing w:after="120" w:line="276" w:lineRule="auto"/>
        <w:contextualSpacing/>
        <w:rPr>
          <w:rFonts w:cs="Arial"/>
          <w:szCs w:val="18"/>
        </w:rPr>
      </w:pPr>
    </w:p>
    <w:p w:rsidR="00E54596" w:rsidRDefault="00E54596" w:rsidP="00BD483C">
      <w:pPr>
        <w:spacing w:after="120" w:line="276" w:lineRule="auto"/>
        <w:contextualSpacing/>
        <w:rPr>
          <w:rFonts w:cs="Arial"/>
          <w:szCs w:val="18"/>
        </w:rPr>
      </w:pPr>
    </w:p>
    <w:p w:rsidR="00E54596" w:rsidRDefault="00E54596" w:rsidP="00BD483C">
      <w:pPr>
        <w:spacing w:after="120" w:line="276" w:lineRule="auto"/>
        <w:contextualSpacing/>
        <w:rPr>
          <w:rFonts w:cs="Arial"/>
          <w:szCs w:val="18"/>
        </w:rPr>
      </w:pPr>
    </w:p>
    <w:p w:rsidR="00E54596" w:rsidRDefault="00E54596" w:rsidP="00BD483C">
      <w:pPr>
        <w:spacing w:after="120" w:line="276" w:lineRule="auto"/>
        <w:contextualSpacing/>
        <w:rPr>
          <w:rFonts w:cs="Arial"/>
          <w:szCs w:val="18"/>
        </w:rPr>
      </w:pPr>
    </w:p>
    <w:p w:rsidR="00E54596" w:rsidRDefault="00E54596" w:rsidP="00BD483C">
      <w:pPr>
        <w:spacing w:after="120" w:line="276" w:lineRule="auto"/>
        <w:contextualSpacing/>
        <w:rPr>
          <w:rFonts w:cs="Arial"/>
          <w:szCs w:val="18"/>
        </w:rPr>
      </w:pPr>
    </w:p>
    <w:p w:rsidR="00E54596" w:rsidRDefault="00E54596" w:rsidP="00BD483C">
      <w:pPr>
        <w:spacing w:after="120" w:line="276" w:lineRule="auto"/>
        <w:contextualSpacing/>
        <w:rPr>
          <w:rFonts w:cs="Arial"/>
          <w:szCs w:val="18"/>
        </w:rPr>
      </w:pPr>
    </w:p>
    <w:p w:rsidR="00650724" w:rsidRPr="00843285" w:rsidRDefault="00843285" w:rsidP="00BD483C">
      <w:pPr>
        <w:spacing w:after="120" w:line="276" w:lineRule="auto"/>
        <w:contextualSpacing/>
        <w:rPr>
          <w:rFonts w:cs="Arial"/>
          <w:b/>
          <w:bCs/>
          <w:color w:val="007E79"/>
          <w:szCs w:val="18"/>
        </w:rPr>
      </w:pPr>
      <w:r w:rsidRPr="00843285">
        <w:rPr>
          <w:rFonts w:cs="Arial"/>
          <w:b/>
          <w:bCs/>
          <w:color w:val="007E79"/>
          <w:szCs w:val="18"/>
        </w:rPr>
        <w:lastRenderedPageBreak/>
        <w:t>BANKOVNÍ IDENTITA</w:t>
      </w:r>
      <w:r w:rsidR="00650724" w:rsidRPr="00843285">
        <w:rPr>
          <w:rFonts w:cs="Arial"/>
          <w:b/>
          <w:bCs/>
          <w:color w:val="007E79"/>
          <w:szCs w:val="18"/>
        </w:rPr>
        <w:t xml:space="preserve"> JAKO BRÁNA </w:t>
      </w:r>
      <w:r w:rsidR="009976E7">
        <w:rPr>
          <w:rFonts w:cs="Arial"/>
          <w:b/>
          <w:bCs/>
          <w:color w:val="007E79"/>
          <w:szCs w:val="18"/>
        </w:rPr>
        <w:t>K DIGITÁLNÍMU ČERPÁNÍ SLUŽEB STÁTU</w:t>
      </w:r>
    </w:p>
    <w:p w:rsidR="0053589B" w:rsidRPr="003B04C1" w:rsidRDefault="00477AF5" w:rsidP="00BD483C">
      <w:pPr>
        <w:spacing w:after="120" w:line="276" w:lineRule="auto"/>
        <w:contextualSpacing/>
        <w:rPr>
          <w:rFonts w:cs="Arial"/>
          <w:i/>
          <w:szCs w:val="18"/>
        </w:rPr>
      </w:pPr>
      <w:r>
        <w:rPr>
          <w:rFonts w:cs="Arial"/>
          <w:szCs w:val="18"/>
        </w:rPr>
        <w:t xml:space="preserve">Co by </w:t>
      </w:r>
      <w:r w:rsidR="001A2623">
        <w:rPr>
          <w:rFonts w:cs="Arial"/>
          <w:szCs w:val="18"/>
        </w:rPr>
        <w:t xml:space="preserve">však </w:t>
      </w:r>
      <w:r>
        <w:rPr>
          <w:rFonts w:cs="Arial"/>
          <w:szCs w:val="18"/>
        </w:rPr>
        <w:t>Češi</w:t>
      </w:r>
      <w:r w:rsidR="001A262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jednoznačně </w:t>
      </w:r>
      <w:r w:rsidR="009F1E76">
        <w:rPr>
          <w:rFonts w:cs="Arial"/>
          <w:szCs w:val="18"/>
        </w:rPr>
        <w:t>v nabídce služeb elektronického bankovnictví uvítali,</w:t>
      </w:r>
      <w:r w:rsidR="00872C9B">
        <w:rPr>
          <w:rFonts w:cs="Arial"/>
          <w:szCs w:val="18"/>
        </w:rPr>
        <w:t xml:space="preserve"> a to zejména na webovém bankovnictví,</w:t>
      </w:r>
      <w:r w:rsidR="009F1E7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je možnost čerpat služby státu</w:t>
      </w:r>
      <w:r w:rsidR="00BF5F81">
        <w:rPr>
          <w:rFonts w:cs="Arial"/>
          <w:szCs w:val="18"/>
        </w:rPr>
        <w:t xml:space="preserve"> (58 %)</w:t>
      </w:r>
      <w:r>
        <w:rPr>
          <w:rFonts w:cs="Arial"/>
          <w:szCs w:val="18"/>
        </w:rPr>
        <w:t>, např. pořídit si výpis z katastru nemovitostí či z rejstříku trestů</w:t>
      </w:r>
      <w:r w:rsidR="009F1E76">
        <w:rPr>
          <w:rFonts w:cs="Arial"/>
          <w:szCs w:val="18"/>
        </w:rPr>
        <w:t xml:space="preserve">. Tato služba jednoznačně zvítězila nejen nad </w:t>
      </w:r>
      <w:proofErr w:type="spellStart"/>
      <w:r w:rsidR="009F1E76">
        <w:rPr>
          <w:rFonts w:cs="Arial"/>
          <w:szCs w:val="18"/>
        </w:rPr>
        <w:t>multibankingem</w:t>
      </w:r>
      <w:proofErr w:type="spellEnd"/>
      <w:r w:rsidR="00BF5F81">
        <w:rPr>
          <w:rFonts w:cs="Arial"/>
          <w:szCs w:val="18"/>
        </w:rPr>
        <w:t xml:space="preserve"> (44 %)</w:t>
      </w:r>
      <w:r w:rsidR="009F1E76">
        <w:rPr>
          <w:rFonts w:cs="Arial"/>
          <w:szCs w:val="18"/>
        </w:rPr>
        <w:t>, ale i možností nákupů díky e</w:t>
      </w:r>
      <w:r w:rsidR="000A664C">
        <w:rPr>
          <w:rFonts w:cs="Arial"/>
          <w:szCs w:val="18"/>
        </w:rPr>
        <w:t xml:space="preserve">l. </w:t>
      </w:r>
      <w:r w:rsidR="009F1E76">
        <w:rPr>
          <w:rFonts w:cs="Arial"/>
          <w:szCs w:val="18"/>
        </w:rPr>
        <w:t>bankovnictví se slevou či v e-shopech</w:t>
      </w:r>
      <w:r w:rsidR="00BF5F81">
        <w:rPr>
          <w:rFonts w:cs="Arial"/>
          <w:szCs w:val="18"/>
        </w:rPr>
        <w:t xml:space="preserve"> (39 %)</w:t>
      </w:r>
      <w:r w:rsidR="009F1E76" w:rsidRPr="003B04C1">
        <w:rPr>
          <w:rFonts w:cs="Arial"/>
          <w:i/>
          <w:szCs w:val="18"/>
        </w:rPr>
        <w:t xml:space="preserve">. „Na této možnosti již </w:t>
      </w:r>
      <w:r w:rsidR="00650724">
        <w:rPr>
          <w:rFonts w:cs="Arial"/>
          <w:i/>
          <w:szCs w:val="18"/>
        </w:rPr>
        <w:t xml:space="preserve">některé </w:t>
      </w:r>
      <w:r w:rsidR="009F1E76" w:rsidRPr="003B04C1">
        <w:rPr>
          <w:rFonts w:cs="Arial"/>
          <w:i/>
          <w:szCs w:val="18"/>
        </w:rPr>
        <w:t>banky pracují v rámci projektu s názvem Sonia,“</w:t>
      </w:r>
      <w:r w:rsidR="009F1E76">
        <w:rPr>
          <w:rFonts w:cs="Arial"/>
          <w:szCs w:val="18"/>
        </w:rPr>
        <w:t xml:space="preserve"> informuje Helena Zavázalová</w:t>
      </w:r>
      <w:r w:rsidR="003B04C1">
        <w:rPr>
          <w:rFonts w:cs="Arial"/>
          <w:szCs w:val="18"/>
        </w:rPr>
        <w:t xml:space="preserve">, a pokračuje: </w:t>
      </w:r>
      <w:r w:rsidR="000A664C">
        <w:rPr>
          <w:rFonts w:cs="Arial"/>
          <w:szCs w:val="18"/>
        </w:rPr>
        <w:t>„</w:t>
      </w:r>
      <w:r w:rsidR="003B04C1" w:rsidRPr="003B04C1">
        <w:rPr>
          <w:rFonts w:cs="Arial"/>
          <w:i/>
          <w:szCs w:val="18"/>
        </w:rPr>
        <w:t>Pokud se podaří prosadit potřebné změny legisl</w:t>
      </w:r>
      <w:r w:rsidR="00650724">
        <w:rPr>
          <w:rFonts w:cs="Arial"/>
          <w:i/>
          <w:szCs w:val="18"/>
        </w:rPr>
        <w:t>a</w:t>
      </w:r>
      <w:r w:rsidR="003B04C1" w:rsidRPr="003B04C1">
        <w:rPr>
          <w:rFonts w:cs="Arial"/>
          <w:i/>
          <w:szCs w:val="18"/>
        </w:rPr>
        <w:t xml:space="preserve">tivy, budou mít Češi možnost prostřednictvím svých přihlašovacích údajů do </w:t>
      </w:r>
      <w:r w:rsidR="00650724">
        <w:rPr>
          <w:rFonts w:cs="Arial"/>
          <w:i/>
          <w:szCs w:val="18"/>
        </w:rPr>
        <w:t>e</w:t>
      </w:r>
      <w:r w:rsidR="000A664C">
        <w:rPr>
          <w:rFonts w:cs="Arial"/>
          <w:i/>
          <w:szCs w:val="18"/>
        </w:rPr>
        <w:t xml:space="preserve">lektronického </w:t>
      </w:r>
      <w:r w:rsidR="003B04C1" w:rsidRPr="003B04C1">
        <w:rPr>
          <w:rFonts w:cs="Arial"/>
          <w:i/>
          <w:szCs w:val="18"/>
        </w:rPr>
        <w:t>bankovnictví</w:t>
      </w:r>
      <w:r w:rsidR="009A65F0">
        <w:rPr>
          <w:rFonts w:cs="Arial"/>
          <w:i/>
          <w:szCs w:val="18"/>
        </w:rPr>
        <w:t xml:space="preserve">, tzv. </w:t>
      </w:r>
      <w:r w:rsidR="00843285">
        <w:rPr>
          <w:rFonts w:cs="Arial"/>
          <w:i/>
          <w:szCs w:val="18"/>
        </w:rPr>
        <w:t>bankovní identit</w:t>
      </w:r>
      <w:r w:rsidR="002C513E">
        <w:rPr>
          <w:rFonts w:cs="Arial"/>
          <w:i/>
          <w:szCs w:val="18"/>
        </w:rPr>
        <w:t>y</w:t>
      </w:r>
      <w:r w:rsidR="009A65F0">
        <w:rPr>
          <w:rFonts w:cs="Arial"/>
          <w:i/>
          <w:szCs w:val="18"/>
        </w:rPr>
        <w:t>,</w:t>
      </w:r>
      <w:r w:rsidR="003B04C1" w:rsidRPr="003B04C1">
        <w:rPr>
          <w:rFonts w:cs="Arial"/>
          <w:i/>
          <w:szCs w:val="18"/>
        </w:rPr>
        <w:t xml:space="preserve"> čerpat elektronicky služby od státu i soukromých společností</w:t>
      </w:r>
      <w:r w:rsidR="00650724">
        <w:rPr>
          <w:rFonts w:cs="Arial"/>
          <w:i/>
          <w:szCs w:val="18"/>
        </w:rPr>
        <w:t>. U soukromých služeb půjde třeba o</w:t>
      </w:r>
      <w:r w:rsidR="003B04C1" w:rsidRPr="003B04C1">
        <w:rPr>
          <w:rFonts w:cs="Arial"/>
          <w:i/>
          <w:szCs w:val="18"/>
        </w:rPr>
        <w:t xml:space="preserve"> změn</w:t>
      </w:r>
      <w:r w:rsidR="00650724">
        <w:rPr>
          <w:rFonts w:cs="Arial"/>
          <w:i/>
          <w:szCs w:val="18"/>
        </w:rPr>
        <w:t>u</w:t>
      </w:r>
      <w:r w:rsidR="003B04C1" w:rsidRPr="003B04C1">
        <w:rPr>
          <w:rFonts w:cs="Arial"/>
          <w:i/>
          <w:szCs w:val="18"/>
        </w:rPr>
        <w:t xml:space="preserve"> dodavatel</w:t>
      </w:r>
      <w:r w:rsidR="00650724">
        <w:rPr>
          <w:rFonts w:cs="Arial"/>
          <w:i/>
          <w:szCs w:val="18"/>
        </w:rPr>
        <w:t>e</w:t>
      </w:r>
      <w:r w:rsidR="003B04C1" w:rsidRPr="003B04C1">
        <w:rPr>
          <w:rFonts w:cs="Arial"/>
          <w:i/>
          <w:szCs w:val="18"/>
        </w:rPr>
        <w:t xml:space="preserve"> energi</w:t>
      </w:r>
      <w:r w:rsidR="00650724">
        <w:rPr>
          <w:rFonts w:cs="Arial"/>
          <w:i/>
          <w:szCs w:val="18"/>
        </w:rPr>
        <w:t>í</w:t>
      </w:r>
      <w:r w:rsidR="003B04C1" w:rsidRPr="003B04C1">
        <w:rPr>
          <w:rFonts w:cs="Arial"/>
          <w:i/>
          <w:szCs w:val="18"/>
        </w:rPr>
        <w:t>, úpravy nastavení služeb svého mobilního operátora apod.“</w:t>
      </w:r>
      <w:r w:rsidR="00E54596">
        <w:rPr>
          <w:rFonts w:cs="Arial"/>
          <w:i/>
          <w:szCs w:val="18"/>
        </w:rPr>
        <w:t>.</w:t>
      </w:r>
      <w:r w:rsidR="003B04C1" w:rsidRPr="003B04C1">
        <w:rPr>
          <w:rFonts w:cs="Arial"/>
          <w:i/>
          <w:szCs w:val="18"/>
        </w:rPr>
        <w:t xml:space="preserve"> </w:t>
      </w:r>
      <w:r w:rsidR="0065124E" w:rsidRPr="00650724">
        <w:rPr>
          <w:rFonts w:cs="Arial"/>
          <w:iCs/>
          <w:szCs w:val="18"/>
        </w:rPr>
        <w:t xml:space="preserve">Podle průzkumu mají o tuto službu </w:t>
      </w:r>
      <w:r w:rsidR="00650724" w:rsidRPr="00650724">
        <w:rPr>
          <w:rFonts w:cs="Arial"/>
          <w:iCs/>
          <w:szCs w:val="18"/>
        </w:rPr>
        <w:t xml:space="preserve">lidé </w:t>
      </w:r>
      <w:r w:rsidR="0065124E" w:rsidRPr="00650724">
        <w:rPr>
          <w:rFonts w:cs="Arial"/>
          <w:iCs/>
          <w:szCs w:val="18"/>
        </w:rPr>
        <w:t>zájem především pokud to bude bezpečné, uživatelsky přívětivé a v neposlední řadě také bezplatné</w:t>
      </w:r>
      <w:r w:rsidR="0065124E">
        <w:rPr>
          <w:rFonts w:cs="Arial"/>
          <w:i/>
          <w:szCs w:val="18"/>
        </w:rPr>
        <w:t xml:space="preserve">. „Mohu říci, že z tohoto pohledu bude vše bezpečné, postupy a projekt projednáváme s příslušnými státními </w:t>
      </w:r>
      <w:r w:rsidR="001F3DF4">
        <w:rPr>
          <w:rFonts w:cs="Arial"/>
          <w:i/>
          <w:szCs w:val="18"/>
        </w:rPr>
        <w:t>institucemi,</w:t>
      </w:r>
      <w:r w:rsidR="0065124E">
        <w:rPr>
          <w:rFonts w:cs="Arial"/>
          <w:i/>
          <w:szCs w:val="18"/>
        </w:rPr>
        <w:t xml:space="preserve"> a právě na bezpečnost, funkčnost a bezplatnost je </w:t>
      </w:r>
      <w:r w:rsidR="00650724">
        <w:rPr>
          <w:rFonts w:cs="Arial"/>
          <w:i/>
          <w:szCs w:val="18"/>
        </w:rPr>
        <w:t>klade</w:t>
      </w:r>
      <w:r w:rsidR="0065124E">
        <w:rPr>
          <w:rFonts w:cs="Arial"/>
          <w:i/>
          <w:szCs w:val="18"/>
        </w:rPr>
        <w:t xml:space="preserve">n největší důraz. Samozřejmě ale bude </w:t>
      </w:r>
      <w:r w:rsidR="00650724">
        <w:rPr>
          <w:rFonts w:cs="Arial"/>
          <w:i/>
          <w:szCs w:val="18"/>
        </w:rPr>
        <w:t xml:space="preserve">jako </w:t>
      </w:r>
      <w:r w:rsidR="0065124E">
        <w:rPr>
          <w:rFonts w:cs="Arial"/>
          <w:i/>
          <w:szCs w:val="18"/>
        </w:rPr>
        <w:t xml:space="preserve">vždy platit, že </w:t>
      </w:r>
      <w:r w:rsidR="00D324DA">
        <w:rPr>
          <w:rFonts w:cs="Arial"/>
          <w:i/>
          <w:szCs w:val="18"/>
        </w:rPr>
        <w:t xml:space="preserve">opatrní musí být </w:t>
      </w:r>
      <w:r w:rsidR="00650724">
        <w:rPr>
          <w:rFonts w:cs="Arial"/>
          <w:i/>
          <w:szCs w:val="18"/>
        </w:rPr>
        <w:t xml:space="preserve">při </w:t>
      </w:r>
      <w:r w:rsidR="00D324DA">
        <w:rPr>
          <w:rFonts w:cs="Arial"/>
          <w:i/>
          <w:szCs w:val="18"/>
        </w:rPr>
        <w:t xml:space="preserve">nakládání s přístupovými údaji, hesly a </w:t>
      </w:r>
      <w:proofErr w:type="spellStart"/>
      <w:r w:rsidR="00D324DA">
        <w:rPr>
          <w:rFonts w:cs="Arial"/>
          <w:i/>
          <w:szCs w:val="18"/>
        </w:rPr>
        <w:t>PINy</w:t>
      </w:r>
      <w:proofErr w:type="spellEnd"/>
      <w:r w:rsidR="00D324DA">
        <w:rPr>
          <w:rFonts w:cs="Arial"/>
          <w:i/>
          <w:szCs w:val="18"/>
        </w:rPr>
        <w:t xml:space="preserve"> především sami uživatelé</w:t>
      </w:r>
      <w:r w:rsidR="00D0150B">
        <w:rPr>
          <w:rFonts w:cs="Arial"/>
          <w:i/>
          <w:szCs w:val="18"/>
        </w:rPr>
        <w:t>,</w:t>
      </w:r>
      <w:r w:rsidR="00D324DA">
        <w:rPr>
          <w:rFonts w:cs="Arial"/>
          <w:i/>
          <w:szCs w:val="18"/>
        </w:rPr>
        <w:t>“</w:t>
      </w:r>
      <w:r w:rsidR="00650724">
        <w:rPr>
          <w:rFonts w:cs="Arial"/>
          <w:i/>
          <w:szCs w:val="18"/>
        </w:rPr>
        <w:t xml:space="preserve"> </w:t>
      </w:r>
      <w:r w:rsidR="0017441E">
        <w:rPr>
          <w:rFonts w:cs="Arial"/>
          <w:iCs/>
          <w:szCs w:val="18"/>
        </w:rPr>
        <w:t>říká</w:t>
      </w:r>
      <w:r w:rsidR="00D0150B" w:rsidRPr="00D0150B">
        <w:rPr>
          <w:rFonts w:cs="Arial"/>
          <w:iCs/>
          <w:szCs w:val="18"/>
        </w:rPr>
        <w:t xml:space="preserve"> Helena Zavázalová</w:t>
      </w:r>
      <w:r w:rsidR="00D0150B">
        <w:rPr>
          <w:rFonts w:cs="Arial"/>
          <w:iCs/>
          <w:szCs w:val="18"/>
        </w:rPr>
        <w:t>.</w:t>
      </w:r>
    </w:p>
    <w:p w:rsidR="0053589B" w:rsidRDefault="0053589B" w:rsidP="00BD483C">
      <w:pPr>
        <w:spacing w:after="120" w:line="276" w:lineRule="auto"/>
        <w:contextualSpacing/>
        <w:rPr>
          <w:rFonts w:cs="Arial"/>
          <w:szCs w:val="18"/>
        </w:rPr>
      </w:pPr>
    </w:p>
    <w:p w:rsidR="00804F92" w:rsidRDefault="003B04C1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V současné době mohou Češi elektronicky čerpat služby státu pomocí datové schránky či e-občanky, čehož využívá 9 % Čechů. </w:t>
      </w:r>
      <w:r w:rsidR="00650724" w:rsidRPr="00872C9B">
        <w:rPr>
          <w:rFonts w:cs="Arial"/>
          <w:szCs w:val="18"/>
        </w:rPr>
        <w:t>Důvodem</w:t>
      </w:r>
      <w:r w:rsidRPr="00872C9B">
        <w:rPr>
          <w:rFonts w:cs="Arial"/>
          <w:szCs w:val="18"/>
        </w:rPr>
        <w:t>, proč tyto služby nevyužívají</w:t>
      </w:r>
      <w:r w:rsidR="00650724" w:rsidRPr="00872C9B">
        <w:rPr>
          <w:rFonts w:cs="Arial"/>
          <w:szCs w:val="18"/>
        </w:rPr>
        <w:t>,</w:t>
      </w:r>
      <w:r w:rsidRPr="00872C9B">
        <w:rPr>
          <w:rFonts w:cs="Arial"/>
          <w:szCs w:val="18"/>
        </w:rPr>
        <w:t xml:space="preserve"> je skutečnost, že o této možnosti neví, případně že nevlastní datovou schránku či </w:t>
      </w:r>
      <w:r w:rsidR="00E54596">
        <w:rPr>
          <w:rFonts w:cs="Arial"/>
          <w:szCs w:val="18"/>
        </w:rPr>
        <w:t>e-</w:t>
      </w:r>
      <w:r w:rsidRPr="00872C9B">
        <w:rPr>
          <w:rFonts w:cs="Arial"/>
          <w:szCs w:val="18"/>
        </w:rPr>
        <w:t xml:space="preserve">občanku. </w:t>
      </w:r>
      <w:r w:rsidRPr="00872C9B">
        <w:rPr>
          <w:rFonts w:cs="Arial"/>
          <w:i/>
          <w:szCs w:val="18"/>
        </w:rPr>
        <w:t>„Je zřejmé</w:t>
      </w:r>
      <w:r w:rsidR="00650724" w:rsidRPr="00872C9B">
        <w:rPr>
          <w:rFonts w:cs="Arial"/>
          <w:i/>
          <w:szCs w:val="18"/>
        </w:rPr>
        <w:t>,</w:t>
      </w:r>
      <w:r w:rsidRPr="00872C9B">
        <w:rPr>
          <w:rFonts w:cs="Arial"/>
          <w:i/>
          <w:szCs w:val="18"/>
        </w:rPr>
        <w:t xml:space="preserve"> že hlavní problém je ve špatné informovano</w:t>
      </w:r>
      <w:r w:rsidR="00650724" w:rsidRPr="00872C9B">
        <w:rPr>
          <w:rFonts w:cs="Arial"/>
          <w:i/>
          <w:szCs w:val="18"/>
        </w:rPr>
        <w:t>s</w:t>
      </w:r>
      <w:r w:rsidRPr="00872C9B">
        <w:rPr>
          <w:rFonts w:cs="Arial"/>
          <w:i/>
          <w:szCs w:val="18"/>
        </w:rPr>
        <w:t>ti veřejnosti</w:t>
      </w:r>
      <w:r w:rsidR="00FC5A6D" w:rsidRPr="00872C9B">
        <w:rPr>
          <w:rFonts w:cs="Arial"/>
          <w:i/>
          <w:szCs w:val="18"/>
        </w:rPr>
        <w:t>, a to ve dvou krocích – obecně, že v ČR existuje možnost komunikovat se státem elekt</w:t>
      </w:r>
      <w:r w:rsidR="00650724" w:rsidRPr="00872C9B">
        <w:rPr>
          <w:rFonts w:cs="Arial"/>
          <w:i/>
          <w:szCs w:val="18"/>
        </w:rPr>
        <w:t>ro</w:t>
      </w:r>
      <w:r w:rsidR="00FC5A6D" w:rsidRPr="00872C9B">
        <w:rPr>
          <w:rFonts w:cs="Arial"/>
          <w:i/>
          <w:szCs w:val="18"/>
        </w:rPr>
        <w:t xml:space="preserve">nicky a následně </w:t>
      </w:r>
      <w:r w:rsidR="00650724" w:rsidRPr="00872C9B">
        <w:rPr>
          <w:rFonts w:cs="Arial"/>
          <w:i/>
          <w:szCs w:val="18"/>
        </w:rPr>
        <w:t>lze díky této komunikaci vůbec nějaké služby využívat</w:t>
      </w:r>
      <w:r w:rsidR="00FC5A6D" w:rsidRPr="00872C9B">
        <w:rPr>
          <w:rFonts w:cs="Arial"/>
          <w:i/>
          <w:szCs w:val="18"/>
        </w:rPr>
        <w:t>,“</w:t>
      </w:r>
      <w:r w:rsidR="00FC5A6D" w:rsidRPr="00872C9B">
        <w:rPr>
          <w:rFonts w:cs="Arial"/>
          <w:szCs w:val="18"/>
        </w:rPr>
        <w:t xml:space="preserve"> uzavírá Jana Hamanová.</w:t>
      </w:r>
    </w:p>
    <w:p w:rsidR="00226F32" w:rsidRDefault="000A664C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noProof/>
        </w:rPr>
        <w:pict w14:anchorId="57B93966">
          <v:shape id="TextovéPole 9" o:spid="_x0000_s1030" type="#_x0000_t202" style="position:absolute;left:0;text-align:left;margin-left:242.45pt;margin-top:3.7pt;width:235.65pt;height:32.2pt;z-index:2516940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qnEgIAAPUDAAAOAAAAZHJzL2Uyb0RvYy54bWysU1GOmzAQ/a/UO1j+JxAgJKCQFUmgqlS1&#10;K+32AI4xAQmwazuBaLUH6jl6sY6dkK3an6rqjz2M7TfvvRnWD2PXojOTquF9iuczDyPWU142/THF&#10;X58LZ4WR0qQvSct7luILU/hh8/7dehAJ83nN25JJBCC9SgaR4lprkbiuojXriJpxwXo4rLjsiIZP&#10;eXRLSQZA71rX97zIHbgsheSUKQXZ/fUQbyx+VTGqv1SVYhq1KQZu2q7Srgezups1SY6SiLqhNxrk&#10;H1h0pOmh6B1qTzRBJ9n8AdU1VHLFKz2jvHN5VTWUWQ2gZu79puapJoJZLWCOEneb1P+DpZ/PjxI1&#10;JfQO7OlJBz16ZqPm5x/fH3nLUGxlQeaT0kYgRFdhL0Xhbxd5EToFRE7obUNnm4exU/jBKveXxc4P&#10;olfzeh4lVDKiYUQ+lpPJ8+jvRNzabewJXWuzZfsCReJ9kEXOMttB9Tz3nMwz1RcrLwNaQbbav5r2&#10;upbztFsV7iBUYpWbObHhkwAb9LjlIzhhnpm8gqTRPFayMzu0C8E5GHW5z47xg0IyiJfxIpxjROEs&#10;CqMgsDBQfXotpNIfGO+QCVIsYTatt+QMpK5EpyumWM+Lpm1N/o2KifR4GK0FwUTzwMsLsB9gilOs&#10;vp2IZBhJ3e64HXoDpkR20gBo6xiU65sbOMyW9ef2H5jh/fXb3nr7Wzc/AQAA//8DAFBLAwQUAAYA&#10;CAAAACEAFCHRtd8AAAALAQAADwAAAGRycy9kb3ducmV2LnhtbEyPTU/DMAyG70j8h8hI3FjaVR1b&#10;aTpNfEgcuGyUu9eYpqJxqiZbu39PdoKbLT96/bzldra9ONPoO8cK0kUCgrhxuuNWQf359rAG4QOy&#10;xt4xKbiQh211e1Niod3EezofQitiCPsCFZgQhkJK3xiy6BduII63bzdaDHEdW6lHnGK47eUySVbS&#10;Ysfxg8GBng01P4eTVRCC3qWX+tX696/542UySZNjrdT93bx7AhFoDn8wXPWjOlTR6ehOrL3oFWxW&#10;6zyiCrL0EcQVyDf5EsQxTlmWg6xK+b9D9QsAAP//AwBQSwECLQAUAAYACAAAACEAtoM4kv4AAADh&#10;AQAAEwAAAAAAAAAAAAAAAAAAAAAAW0NvbnRlbnRfVHlwZXNdLnhtbFBLAQItABQABgAIAAAAIQA4&#10;/SH/1gAAAJQBAAALAAAAAAAAAAAAAAAAAC8BAABfcmVscy8ucmVsc1BLAQItABQABgAIAAAAIQC0&#10;hqqnEgIAAPUDAAAOAAAAAAAAAAAAAAAAAC4CAABkcnMvZTJvRG9jLnhtbFBLAQItABQABgAIAAAA&#10;IQAUIdG13wAAAAsBAAAPAAAAAAAAAAAAAAAAAGwEAABkcnMvZG93bnJldi54bWxQSwUGAAAAAAQA&#10;BADzAAAAeAUAAAAA&#10;" filled="f" stroked="f">
            <v:textbox>
              <w:txbxContent>
                <w:p w:rsidR="00BF5F81" w:rsidRPr="0017441E" w:rsidRDefault="00BF5F81" w:rsidP="00BF5F81">
                  <w:pPr>
                    <w:rPr>
                      <w:rFonts w:cs="Arial"/>
                      <w:color w:val="007E79"/>
                      <w:sz w:val="10"/>
                      <w:szCs w:val="10"/>
                    </w:rPr>
                  </w:pPr>
                  <w:r w:rsidRPr="0017441E">
                    <w:rPr>
                      <w:rFonts w:cs="Arial"/>
                      <w:b/>
                      <w:bCs/>
                      <w:color w:val="007E79"/>
                      <w:kern w:val="24"/>
                      <w:sz w:val="16"/>
                      <w:szCs w:val="16"/>
                    </w:rPr>
                    <w:t xml:space="preserve">85 % datová schránka </w:t>
                  </w:r>
                  <w:r w:rsidRPr="0017441E">
                    <w:rPr>
                      <w:rFonts w:cs="Arial"/>
                      <w:b/>
                      <w:bCs/>
                      <w:i/>
                      <w:iCs/>
                      <w:color w:val="007E79"/>
                      <w:kern w:val="24"/>
                      <w:sz w:val="16"/>
                      <w:szCs w:val="16"/>
                    </w:rPr>
                    <w:t>(= 8 % ze všech)</w:t>
                  </w:r>
                </w:p>
                <w:p w:rsidR="00BF5F81" w:rsidRPr="0017441E" w:rsidRDefault="00BF5F81" w:rsidP="00BF5F81">
                  <w:pPr>
                    <w:rPr>
                      <w:rFonts w:cs="Arial"/>
                      <w:color w:val="007E79"/>
                      <w:sz w:val="4"/>
                      <w:szCs w:val="6"/>
                    </w:rPr>
                  </w:pPr>
                  <w:r w:rsidRPr="0017441E">
                    <w:rPr>
                      <w:rFonts w:cs="Arial"/>
                      <w:b/>
                      <w:bCs/>
                      <w:color w:val="007E79"/>
                      <w:kern w:val="24"/>
                      <w:sz w:val="16"/>
                      <w:szCs w:val="16"/>
                    </w:rPr>
                    <w:t>15 % e-občanka (</w:t>
                  </w:r>
                  <w:r w:rsidRPr="0017441E">
                    <w:rPr>
                      <w:rFonts w:cs="Arial"/>
                      <w:b/>
                      <w:bCs/>
                      <w:i/>
                      <w:iCs/>
                      <w:color w:val="007E79"/>
                      <w:kern w:val="24"/>
                      <w:sz w:val="16"/>
                      <w:szCs w:val="16"/>
                    </w:rPr>
                    <w:t>=1 % ze všech</w:t>
                  </w:r>
                  <w:r w:rsidRPr="0017441E">
                    <w:rPr>
                      <w:rFonts w:cs="Arial"/>
                      <w:b/>
                      <w:bCs/>
                      <w:color w:val="007E79"/>
                      <w:kern w:val="24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962CB7" w:rsidRDefault="00F9738D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B0A711F">
            <wp:simplePos x="0" y="0"/>
            <wp:positionH relativeFrom="column">
              <wp:posOffset>2193290</wp:posOffset>
            </wp:positionH>
            <wp:positionV relativeFrom="paragraph">
              <wp:posOffset>876935</wp:posOffset>
            </wp:positionV>
            <wp:extent cx="4152900" cy="1543050"/>
            <wp:effectExtent l="0" t="0" r="0" b="0"/>
            <wp:wrapNone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9BB2158E-9578-494C-B3CD-5D4209F562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64C">
        <w:rPr>
          <w:rFonts w:cs="Arial"/>
          <w:szCs w:val="18"/>
        </w:rPr>
        <w:pict>
          <v:shape id="Šipka: ohnutá 8" o:spid="_x0000_s1031" style="position:absolute;left:0;text-align:left;margin-left:135pt;margin-top:1.5pt;width:99.75pt;height:29.25pt;z-index:251697152;visibility:visible;mso-wrap-style:square;mso-wrap-distance-left:9pt;mso-wrap-distance-top:0;mso-wrap-distance-right:9pt;mso-wrap-distance-bottom:0;mso-position-horizontal-relative:text;mso-position-vertical-relative:text;v-text-anchor:middle" coordsize="1933575,514350" path="m,514350l,289322c,165042,100748,64294,225028,64294r1579960,l1804988,r128587,128588l1804988,257175r,-64294l225028,192881v-53263,,-96441,43178,-96441,96441c128587,364331,128588,439341,128588,514350l,514350xe" fillcolor="#007e79" stroked="f" strokeweight="1pt">
            <v:stroke joinstyle="miter"/>
            <v:path arrowok="t" o:connecttype="custom" o:connectlocs="0,514350;0,289322;225028,64294;1804988,64294;1804988,0;1933575,128588;1804988,257175;1804988,192881;225028,192881;128587,289322;128588,514350;0,514350" o:connectangles="0,0,0,0,0,0,0,0,0,0,0,0"/>
          </v:shape>
        </w:pict>
      </w:r>
      <w:r w:rsidR="00BF5F81" w:rsidRPr="00BF5F81">
        <w:rPr>
          <w:noProof/>
          <w:color w:val="007E79"/>
        </w:rPr>
        <w:drawing>
          <wp:inline distT="0" distB="0" distL="0" distR="0" wp14:anchorId="27476FDD" wp14:editId="0E380E64">
            <wp:extent cx="3371850" cy="1857375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121CF9AA-B8C0-46DF-88A7-FEFBC357FD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2CB7" w:rsidRDefault="00962CB7" w:rsidP="00BD483C">
      <w:pPr>
        <w:spacing w:after="120" w:line="276" w:lineRule="auto"/>
        <w:contextualSpacing/>
        <w:rPr>
          <w:rFonts w:cs="Arial"/>
          <w:szCs w:val="18"/>
        </w:rPr>
      </w:pPr>
    </w:p>
    <w:p w:rsidR="00962CB7" w:rsidRDefault="00962CB7" w:rsidP="00962CB7">
      <w:pPr>
        <w:spacing w:after="120" w:line="276" w:lineRule="auto"/>
        <w:contextualSpacing/>
        <w:jc w:val="center"/>
        <w:rPr>
          <w:rFonts w:cs="Arial"/>
          <w:szCs w:val="18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Cs w:val="18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Cs w:val="18"/>
        </w:rPr>
      </w:pPr>
    </w:p>
    <w:p w:rsidR="00BA1F8A" w:rsidRPr="009038F9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ab/>
      </w: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:rsidR="00AB0ED1" w:rsidRDefault="000A664C" w:rsidP="008B1C16">
      <w:pPr>
        <w:spacing w:line="276" w:lineRule="auto"/>
        <w:contextualSpacing/>
        <w:rPr>
          <w:rFonts w:cs="Arial"/>
          <w:szCs w:val="18"/>
        </w:rPr>
      </w:pPr>
      <w:r>
        <w:rPr>
          <w:rFonts w:eastAsiaTheme="minorEastAsia" w:cs="Arial"/>
          <w:noProof/>
        </w:rPr>
        <w:pict>
          <v:rect id="Obdélník 5" o:spid="_x0000_s1026" style="position:absolute;left:0;text-align:left;margin-left:0;margin-top:2.2pt;width:517.7pt;height:66.25pt;z-index:25169203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s8qAIAALYFAAAOAAAAZHJzL2Uyb0RvYy54bWysVMFu2zAMvQ/YPwi6r7a7pemCOkXQosOA&#10;rinWDj0rshwbk0RNUmJnf7TDvqI/Nkpy3KUrdhh2sUmJfCSfSJ6d90qSrbCuBV3S4iinRGgOVavX&#10;Jf1yf/XmlBLnma6YBC1KuhOOns9fvzrrzEwcQwOyEpYgiHazzpS08d7MsszxRijmjsAIjZc1WMU8&#10;qnadVZZ1iK5kdpznJ1kHtjIWuHAOTy/TJZ1H/LoW3C/r2glPZEkxNx+/Nn5X4ZvNz9hsbZlpWj6k&#10;wf4hC8VajUFHqEvmGdnY9g8o1XILDmp/xEFlUNctF7EGrKbIn1Vz1zAjYi1IjjMjTe7/wfKb7a0l&#10;bVXSCSWaKXyi5ap6/CH148+vZBL46YybodmdubWD5lAMxfa1VeGPZZA+crobORW9JxwPTybTd9P3&#10;SD3Hu2nxtsgjaPbkbazzHwQoEoSSWnyzSCXbXjuPEdF0bxKCOZBtddVKGZXQJ+JCWrJl+MKrdRFd&#10;5UZ9giqdTSd5Ht8ZcWJbBfOIeoAkdcDTEJBT0HCSheJTuVHyOymCndSfRY20YYHHMeKInIIyzoX2&#10;KRnXsEqk45DKy7lEwIBcY/wRewA4LHKPnbIc7IOriP0+Oud/Syw5jx4xMmg/OqtWg30JQGJVQ+Rk&#10;vycpURNY8v2qR5MgrqDaYX9ZSIPnDL9q8ZWvmfO3zOKkYWPg9vBL/NQSupLCIFHSgP3+0nmwxwHA&#10;W0o6nNySum8bZgUl8qPG0Sjy08Ay8QeaPdBWB5reqAvA9ilwVxkeRfS3Xu7F2oJ6wEWzCJHximmO&#10;8Uvq9+KFTzsFFxUXi0U0wgE3zF/rO8MDdKA49PF9/8CsGZrd45jcwH7O2exZzyfb4KlhsfFQt3Eg&#10;npgdyMflEDt6WGRh+/yuR6undTv/BQAA//8DAFBLAwQUAAYACAAAACEApjQQGdkAAAAGAQAADwAA&#10;AGRycy9kb3ducmV2LnhtbEyPwU7DMBBE70j8g7VI3KidhqAqxKkQEhdOUCrEcRsvSUS8DrGbhr9n&#10;e4LbrGY186baLn5QM02xD2whWxlQxE1wPbcW9m9PNxtQMSE7HAKThR+KsK0vLyosXTjxK8271CoJ&#10;4ViihS6lsdQ6Nh15jKswEov3GSaPSc6p1W7Ck4T7Qa+NudMee5aGDkd67Kj52h299G7iy/ea5/z5&#10;fY/FB+pRm1RYe321PNyDSrSkv2c44ws61MJ0CEd2UQ0WZEiyIPRnz+TFLaiDqCzPQNeV/o9f/wIA&#10;AP//AwBQSwECLQAUAAYACAAAACEAtoM4kv4AAADhAQAAEwAAAAAAAAAAAAAAAAAAAAAAW0NvbnRl&#10;bnRfVHlwZXNdLnhtbFBLAQItABQABgAIAAAAIQA4/SH/1gAAAJQBAAALAAAAAAAAAAAAAAAAAC8B&#10;AABfcmVscy8ucmVsc1BLAQItABQABgAIAAAAIQD723s8qAIAALYFAAAOAAAAAAAAAAAAAAAAAC4C&#10;AABkcnMvZTJvRG9jLnhtbFBLAQItABQABgAIAAAAIQCmNBAZ2QAAAAYBAAAPAAAAAAAAAAAAAAAA&#10;AAIFAABkcnMvZG93bnJldi54bWxQSwUGAAAAAAQABADzAAAACAYAAAAA&#10;" fillcolor="#bfbfbf [2412]" stroked="f" strokeweight="1pt">
            <v:textbox inset="3mm,3mm,3mm,3mm">
              <w:txbxContent>
                <w:p w:rsidR="0065124E" w:rsidRPr="003028DC" w:rsidRDefault="0065124E" w:rsidP="00F8461A">
                  <w:pPr>
                    <w:spacing w:after="120" w:line="276" w:lineRule="auto"/>
                    <w:contextualSpacing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O p</w:t>
                  </w:r>
                  <w:r w:rsidRPr="003028DC">
                    <w:rPr>
                      <w:rFonts w:cs="Arial"/>
                      <w:b/>
                      <w:szCs w:val="18"/>
                    </w:rPr>
                    <w:t xml:space="preserve">růzkumu </w:t>
                  </w:r>
                </w:p>
                <w:p w:rsidR="0065124E" w:rsidRPr="00335341" w:rsidRDefault="0065124E" w:rsidP="00335341">
                  <w:pPr>
                    <w:spacing w:line="276" w:lineRule="auto"/>
                    <w:contextualSpacing/>
                    <w:rPr>
                      <w:rFonts w:cs="Arial"/>
                      <w:szCs w:val="18"/>
                    </w:rPr>
                  </w:pPr>
                  <w:r w:rsidRPr="003028DC">
                    <w:rPr>
                      <w:rFonts w:cs="Arial"/>
                      <w:szCs w:val="18"/>
                    </w:rPr>
                    <w:t>Průzkum</w:t>
                  </w:r>
                  <w:r>
                    <w:rPr>
                      <w:rFonts w:cs="Arial"/>
                      <w:szCs w:val="18"/>
                    </w:rPr>
                    <w:t xml:space="preserve">, </w:t>
                  </w:r>
                  <w:r w:rsidRPr="00335341">
                    <w:rPr>
                      <w:rFonts w:cs="Arial"/>
                      <w:szCs w:val="18"/>
                    </w:rPr>
                    <w:t>který se zaměřil na zkoumání postojů Čechů k</w:t>
                  </w:r>
                  <w:r w:rsidR="004D4333">
                    <w:rPr>
                      <w:rFonts w:cs="Arial"/>
                      <w:szCs w:val="18"/>
                    </w:rPr>
                    <w:t> Elektronickému bankovnictví a Digitalizaci</w:t>
                  </w:r>
                  <w:r w:rsidRPr="00335341">
                    <w:rPr>
                      <w:rFonts w:cs="Arial"/>
                      <w:szCs w:val="18"/>
                    </w:rPr>
                    <w:t>, realizovala p</w:t>
                  </w:r>
                  <w:r w:rsidRPr="003028DC">
                    <w:rPr>
                      <w:rFonts w:cs="Arial"/>
                      <w:szCs w:val="18"/>
                    </w:rPr>
                    <w:t xml:space="preserve">ro </w:t>
                  </w:r>
                  <w:r>
                    <w:rPr>
                      <w:rFonts w:cs="Arial"/>
                      <w:szCs w:val="18"/>
                    </w:rPr>
                    <w:t xml:space="preserve">Českou bankovní asociaci </w:t>
                  </w:r>
                  <w:r w:rsidRPr="003028DC">
                    <w:rPr>
                      <w:rFonts w:cs="Arial"/>
                      <w:szCs w:val="18"/>
                    </w:rPr>
                    <w:t>agentura SC&amp;C</w:t>
                  </w:r>
                  <w:r>
                    <w:rPr>
                      <w:rFonts w:cs="Arial"/>
                      <w:szCs w:val="18"/>
                    </w:rPr>
                    <w:t xml:space="preserve">. Sběr dat probíhal </w:t>
                  </w:r>
                  <w:r w:rsidR="004D4333">
                    <w:rPr>
                      <w:rFonts w:cs="Arial"/>
                      <w:szCs w:val="18"/>
                    </w:rPr>
                    <w:t>od 9. května do 4. června</w:t>
                  </w:r>
                  <w:r>
                    <w:rPr>
                      <w:rFonts w:cs="Arial"/>
                      <w:szCs w:val="18"/>
                    </w:rPr>
                    <w:t xml:space="preserve"> 2019</w:t>
                  </w:r>
                  <w:r w:rsidRPr="003028DC">
                    <w:rPr>
                      <w:rFonts w:cs="Arial"/>
                      <w:szCs w:val="18"/>
                    </w:rPr>
                    <w:t xml:space="preserve"> na reprezentativním vzorku 10</w:t>
                  </w:r>
                  <w:r w:rsidR="004D4333">
                    <w:rPr>
                      <w:rFonts w:cs="Arial"/>
                      <w:szCs w:val="18"/>
                    </w:rPr>
                    <w:t>11</w:t>
                  </w:r>
                  <w:r w:rsidRPr="003028DC">
                    <w:rPr>
                      <w:rFonts w:cs="Arial"/>
                      <w:szCs w:val="18"/>
                    </w:rPr>
                    <w:t xml:space="preserve"> respondentů ve věku od 18-79 let.</w:t>
                  </w:r>
                </w:p>
                <w:p w:rsidR="0065124E" w:rsidRPr="00335341" w:rsidRDefault="0065124E" w:rsidP="00060D7F">
                  <w:pPr>
                    <w:pStyle w:val="Zhlav"/>
                    <w:spacing w:line="276" w:lineRule="auto"/>
                    <w:jc w:val="left"/>
                    <w:rPr>
                      <w:rFonts w:cs="Arial"/>
                      <w:szCs w:val="18"/>
                    </w:rPr>
                  </w:pPr>
                </w:p>
              </w:txbxContent>
            </v:textbox>
            <w10:wrap anchorx="margin"/>
          </v:rect>
        </w:pict>
      </w:r>
    </w:p>
    <w:p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:rsidR="00FF052C" w:rsidRDefault="000A664C" w:rsidP="008B1C16">
      <w:pPr>
        <w:spacing w:line="276" w:lineRule="auto"/>
        <w:contextualSpacing/>
        <w:rPr>
          <w:rFonts w:cs="Arial"/>
          <w:szCs w:val="18"/>
        </w:rPr>
      </w:pPr>
      <w:r>
        <w:rPr>
          <w:rFonts w:eastAsiaTheme="minorEastAsia" w:cs="Arial"/>
          <w:noProof/>
        </w:rPr>
        <w:pict>
          <v:rect id="Obdélník 200" o:spid="_x0000_s1027" style="position:absolute;left:0;text-align:left;margin-left:344.45pt;margin-top:.5pt;width:173.1pt;height:122.65pt;z-index:251688960;visibility:visible;mso-position-horizontal-relative:margin;mso-width-relative:margin;mso-height-relative:margin" fillcolor="#007e79" stroked="f" strokeweight="1pt">
            <v:fill opacity="56361f"/>
            <v:textbox inset="3mm,3mm,3mm,3mm">
              <w:txbxContent>
                <w:p w:rsidR="0065124E" w:rsidRPr="005A44FF" w:rsidRDefault="0065124E" w:rsidP="00044002">
                  <w:pPr>
                    <w:spacing w:line="276" w:lineRule="auto"/>
                    <w:ind w:left="28" w:hanging="28"/>
                    <w:jc w:val="left"/>
                    <w:outlineLvl w:val="0"/>
                    <w:rPr>
                      <w:rFonts w:cs="Arial"/>
                      <w:b/>
                      <w:sz w:val="20"/>
                      <w:szCs w:val="18"/>
                    </w:rPr>
                  </w:pPr>
                  <w:r w:rsidRPr="005A44FF">
                    <w:rPr>
                      <w:rFonts w:cs="Arial"/>
                      <w:b/>
                      <w:sz w:val="20"/>
                      <w:szCs w:val="18"/>
                    </w:rPr>
                    <w:t xml:space="preserve">Další informace </w:t>
                  </w:r>
                </w:p>
                <w:p w:rsidR="0065124E" w:rsidRPr="005A44FF" w:rsidRDefault="0065124E" w:rsidP="00044002">
                  <w:pPr>
                    <w:spacing w:line="276" w:lineRule="auto"/>
                    <w:ind w:left="28" w:hanging="28"/>
                    <w:jc w:val="left"/>
                    <w:outlineLvl w:val="0"/>
                    <w:rPr>
                      <w:rFonts w:cs="Arial"/>
                      <w:b/>
                      <w:sz w:val="20"/>
                      <w:szCs w:val="18"/>
                    </w:rPr>
                  </w:pPr>
                  <w:r w:rsidRPr="005A44FF">
                    <w:rPr>
                      <w:rFonts w:cs="Arial"/>
                      <w:b/>
                      <w:sz w:val="20"/>
                      <w:szCs w:val="18"/>
                    </w:rPr>
                    <w:t>obdržíte na adrese:</w:t>
                  </w:r>
                </w:p>
                <w:p w:rsidR="0065124E" w:rsidRPr="003D3951" w:rsidRDefault="0065124E" w:rsidP="00044002">
                  <w:pPr>
                    <w:spacing w:line="276" w:lineRule="auto"/>
                    <w:jc w:val="left"/>
                    <w:rPr>
                      <w:rFonts w:cs="Arial"/>
                      <w:b/>
                      <w:szCs w:val="18"/>
                    </w:rPr>
                  </w:pPr>
                </w:p>
                <w:p w:rsidR="0065124E" w:rsidRPr="005A44FF" w:rsidRDefault="0065124E" w:rsidP="00044002">
                  <w:pPr>
                    <w:spacing w:line="276" w:lineRule="auto"/>
                    <w:jc w:val="left"/>
                    <w:rPr>
                      <w:rFonts w:cs="Arial"/>
                      <w:noProof/>
                      <w:szCs w:val="18"/>
                    </w:rPr>
                  </w:pPr>
                  <w:r w:rsidRPr="005A44FF">
                    <w:rPr>
                      <w:rFonts w:cs="Arial"/>
                      <w:noProof/>
                      <w:szCs w:val="18"/>
                    </w:rPr>
                    <w:t xml:space="preserve">Monika Petrásková, </w:t>
                  </w:r>
                </w:p>
                <w:p w:rsidR="0065124E" w:rsidRPr="005A44FF" w:rsidRDefault="0065124E" w:rsidP="00044002">
                  <w:pPr>
                    <w:spacing w:line="276" w:lineRule="auto"/>
                    <w:jc w:val="left"/>
                    <w:rPr>
                      <w:rFonts w:cs="Arial"/>
                      <w:szCs w:val="18"/>
                    </w:rPr>
                  </w:pPr>
                  <w:r w:rsidRPr="005A44FF">
                    <w:rPr>
                      <w:rFonts w:cs="Arial"/>
                      <w:noProof/>
                      <w:szCs w:val="18"/>
                    </w:rPr>
                    <w:t>m</w:t>
                  </w:r>
                  <w:proofErr w:type="spellStart"/>
                  <w:r w:rsidRPr="005A44FF">
                    <w:rPr>
                      <w:rFonts w:cs="Arial"/>
                      <w:szCs w:val="18"/>
                    </w:rPr>
                    <w:t>anažerka</w:t>
                  </w:r>
                  <w:proofErr w:type="spellEnd"/>
                  <w:r w:rsidRPr="005A44FF">
                    <w:rPr>
                      <w:rFonts w:cs="Arial"/>
                      <w:szCs w:val="18"/>
                    </w:rPr>
                    <w:t xml:space="preserve"> PR a komunikace ČBA</w:t>
                  </w:r>
                </w:p>
                <w:p w:rsidR="0065124E" w:rsidRPr="005A44FF" w:rsidRDefault="0065124E" w:rsidP="00044002">
                  <w:pPr>
                    <w:spacing w:line="276" w:lineRule="auto"/>
                    <w:jc w:val="left"/>
                    <w:rPr>
                      <w:rFonts w:cs="Arial"/>
                      <w:szCs w:val="18"/>
                    </w:rPr>
                  </w:pPr>
                  <w:r w:rsidRPr="005A44FF">
                    <w:rPr>
                      <w:rFonts w:cs="Arial"/>
                      <w:szCs w:val="18"/>
                    </w:rPr>
                    <w:t>petraskova@czech-ba.cz</w:t>
                  </w:r>
                </w:p>
                <w:p w:rsidR="0065124E" w:rsidRPr="005A44FF" w:rsidRDefault="0065124E" w:rsidP="00044002">
                  <w:pPr>
                    <w:spacing w:line="276" w:lineRule="auto"/>
                    <w:jc w:val="left"/>
                    <w:rPr>
                      <w:rFonts w:cs="Arial"/>
                      <w:szCs w:val="18"/>
                    </w:rPr>
                  </w:pPr>
                  <w:r w:rsidRPr="005A44FF">
                    <w:rPr>
                      <w:rFonts w:cs="Arial"/>
                      <w:szCs w:val="18"/>
                    </w:rPr>
                    <w:t>tel: + 420 733 130 282</w:t>
                  </w:r>
                </w:p>
                <w:p w:rsidR="0065124E" w:rsidRDefault="0065124E" w:rsidP="00044002">
                  <w:pPr>
                    <w:jc w:val="left"/>
                  </w:pPr>
                </w:p>
              </w:txbxContent>
            </v:textbox>
            <w10:wrap anchorx="margin"/>
          </v:rect>
        </w:pict>
      </w:r>
      <w:r>
        <w:rPr>
          <w:rFonts w:eastAsiaTheme="minorEastAsia" w:cs="Arial"/>
          <w:noProof/>
        </w:rPr>
        <w:pict>
          <v:rect id="Obdélník 199" o:spid="_x0000_s1028" style="position:absolute;left:0;text-align:left;margin-left:0;margin-top:.3pt;width:340.35pt;height:122.7pt;z-index:2516869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UArwIAAMIFAAAOAAAAZHJzL2Uyb0RvYy54bWysVMFu2zAMvQ/YPwi6r3a8ZmuDOkXQosOA&#10;rinWDj0rshQbk0VNUuJkf7TDvqI/Nkqy3aUrdhh2sUWKfCSfSJ6d71pFtsK6BnRJJ0c5JUJzqBq9&#10;LumX+6s3J5Q4z3TFFGhR0r1w9Hz++tVZZ2aigBpUJSxBEO1mnSlp7b2ZZZnjtWiZOwIjNF5KsC3z&#10;KNp1VlnWIXqrsiLP32Ud2MpY4MI51F6mSzqP+FIK7pdSOuGJKinm5uPXxu8qfLP5GZutLTN1w/s0&#10;2D9k0bJGY9AR6pJ5Rja2+QOqbbgFB9IfcWgzkLLhItaA1UzyZ9Xc1cyIWAuS48xIk/t/sPxme2tJ&#10;U+HbnZ5SolmLj7RcVY8/lH78+ZUELXLUGTdD0ztza3vJ4TEUvJO2DX8shewir/uRV7HzhKPy+G1R&#10;HB9PKeF4N5lOT4rTyHz25G6s8x8EtCQcSmrx4SKfbHvtPIZE08EkRHOgmuqqUSoKoVnEhbJky/CZ&#10;V+tJdFWb9hNUSfd+mudDyNhbwTyiHiApHfA0BOQUNGiyUH2qN578Xolgp/RnIZE7rLCIEUfkFJRx&#10;LrRPybiaVSKpQyov5xIBA7LE+CN2D3BY5ICdsuztg6uITT86539LLDmPHjEyaD86t40G+xKAwqr6&#10;yMl+IClRE1jyu9Uu9lUx9M8Kqj32moU0hM7wqwYf+5o5f8ssTh3OJ24Sv8SPVNCVFPoTJTXY7y/p&#10;gz0OA95S0uEUl9R92zArKFEfNY7JJD8JZBN/INkDaXUg6U17AdhFE9xbhscj+luvhqO00D7g0lmE&#10;yHjFNMf4JfXD8cKn/YJLi4vFIhrhsBvmr/Wd4QE6MB3a+X73wKzpe97juNzAMPNs9qz1k23w1LDY&#10;eJBNnIvAdWK2fwNcFLGx+6UWNtHvcrR6Wr3zXwAAAP//AwBQSwMEFAAGAAgAAAAhAPxsGdLZAAAA&#10;BQEAAA8AAABkcnMvZG93bnJldi54bWxMj8FOwzAQRO9I/IO1SNyoTaAhCnEqhMSFE5QKcdzGSxIR&#10;r0PspuHvWU70OJrRzJtqs/hBzTTFPrCF65UBRdwE13NrYff2dFWAignZ4RCYLPxQhE19flZh6cKR&#10;X2neplZJCccSLXQpjaXWsenIY1yFkVi8zzB5TCKnVrsJj1LuB50Zk2uPPctChyM9dtR8bQ9edov4&#10;8p3xfPP8vsP1B+pRm7S29vJiebgHlWhJ/2H4wxd0qIVpHw7sohosyJFkIQclXl6YO1B7C9ltbkDX&#10;lT6lr38BAAD//wMAUEsBAi0AFAAGAAgAAAAhALaDOJL+AAAA4QEAABMAAAAAAAAAAAAAAAAAAAAA&#10;AFtDb250ZW50X1R5cGVzXS54bWxQSwECLQAUAAYACAAAACEAOP0h/9YAAACUAQAACwAAAAAAAAAA&#10;AAAAAAAvAQAAX3JlbHMvLnJlbHNQSwECLQAUAAYACAAAACEATqe1AK8CAADCBQAADgAAAAAAAAAA&#10;AAAAAAAuAgAAZHJzL2Uyb0RvYy54bWxQSwECLQAUAAYACAAAACEA/GwZ0tkAAAAFAQAADwAAAAAA&#10;AAAAAAAAAAAJBQAAZHJzL2Rvd25yZXYueG1sUEsFBgAAAAAEAAQA8wAAAA8GAAAAAA==&#10;" fillcolor="#bfbfbf [2412]" stroked="f" strokeweight="1pt">
            <v:textbox inset="3mm,3mm,3mm,3mm">
              <w:txbxContent>
                <w:p w:rsidR="0065124E" w:rsidRPr="009F3268" w:rsidRDefault="0065124E" w:rsidP="00060D7F">
                  <w:pPr>
                    <w:pStyle w:val="Standard"/>
                    <w:spacing w:line="276" w:lineRule="auto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9F3268">
                    <w:rPr>
                      <w:rFonts w:cs="Arial"/>
                      <w:b/>
                      <w:szCs w:val="18"/>
                    </w:rPr>
                    <w:t>O České bankovní asociaci</w:t>
                  </w:r>
                </w:p>
                <w:p w:rsidR="0065124E" w:rsidRPr="009F3268" w:rsidRDefault="0065124E" w:rsidP="00060D7F">
                  <w:pPr>
                    <w:pStyle w:val="Standard"/>
                    <w:spacing w:line="276" w:lineRule="auto"/>
                    <w:jc w:val="left"/>
                    <w:rPr>
                      <w:rFonts w:cs="Arial"/>
                      <w:szCs w:val="18"/>
                    </w:rPr>
                  </w:pPr>
                  <w:r w:rsidRPr="009F3268">
                    <w:rPr>
                      <w:rFonts w:cs="Arial"/>
                      <w:szCs w:val="18"/>
                    </w:rPr>
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</w:r>
                  <w:r w:rsidRPr="009F3268">
                    <w:rPr>
                      <w:rFonts w:cs="Arial"/>
                      <w:i/>
                      <w:szCs w:val="18"/>
                    </w:rPr>
                    <w:t> </w:t>
                  </w:r>
                  <w:r w:rsidRPr="009F3268">
                    <w:rPr>
                      <w:rFonts w:cs="Arial"/>
                      <w:szCs w:val="18"/>
                    </w:rPr>
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</w:r>
                  <w:r w:rsidRPr="009F3268">
                    <w:rPr>
                      <w:rFonts w:cs="Arial"/>
                      <w:i/>
                      <w:szCs w:val="18"/>
                    </w:rPr>
                    <w:t> </w:t>
                  </w:r>
                  <w:r w:rsidRPr="009F3268">
                    <w:rPr>
                      <w:rFonts w:cs="Arial"/>
                      <w:szCs w:val="18"/>
                    </w:rPr>
                    <w:t>EMMI.</w:t>
                  </w:r>
                </w:p>
              </w:txbxContent>
            </v:textbox>
            <w10:wrap anchorx="margin"/>
          </v:rect>
        </w:pict>
      </w:r>
    </w:p>
    <w:p w:rsidR="00E373B4" w:rsidRDefault="00E373B4" w:rsidP="008B1C16">
      <w:pPr>
        <w:spacing w:line="276" w:lineRule="auto"/>
        <w:contextualSpacing/>
        <w:rPr>
          <w:rFonts w:cs="Arial"/>
          <w:szCs w:val="18"/>
        </w:rPr>
      </w:pPr>
    </w:p>
    <w:p w:rsidR="004F6EA8" w:rsidRPr="00010564" w:rsidRDefault="004F6EA8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:rsidR="00B15438" w:rsidRDefault="00B1543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:rsidR="00B85546" w:rsidRDefault="00B85546" w:rsidP="008B1C16">
      <w:pPr>
        <w:spacing w:line="276" w:lineRule="auto"/>
        <w:contextualSpacing/>
        <w:rPr>
          <w:rFonts w:eastAsiaTheme="minorEastAsia" w:cs="Arial"/>
        </w:rPr>
      </w:pPr>
    </w:p>
    <w:sectPr w:rsidR="00B85546" w:rsidSect="00F83EEA">
      <w:headerReference w:type="default" r:id="rId13"/>
      <w:footerReference w:type="default" r:id="rId14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B6" w:rsidRDefault="009D2DB6" w:rsidP="00F573F1">
      <w:r>
        <w:separator/>
      </w:r>
    </w:p>
  </w:endnote>
  <w:endnote w:type="continuationSeparator" w:id="0">
    <w:p w:rsidR="009D2DB6" w:rsidRDefault="009D2DB6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DB67E5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B6" w:rsidRDefault="009D2DB6" w:rsidP="00F573F1">
      <w:r>
        <w:separator/>
      </w:r>
    </w:p>
  </w:footnote>
  <w:footnote w:type="continuationSeparator" w:id="0">
    <w:p w:rsidR="009D2DB6" w:rsidRDefault="009D2DB6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3E9F"/>
    <w:rsid w:val="00037707"/>
    <w:rsid w:val="00043889"/>
    <w:rsid w:val="00044002"/>
    <w:rsid w:val="00051A5B"/>
    <w:rsid w:val="000559DE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4ABC"/>
    <w:rsid w:val="000E563F"/>
    <w:rsid w:val="000F70CA"/>
    <w:rsid w:val="0010268F"/>
    <w:rsid w:val="0010277A"/>
    <w:rsid w:val="001126B2"/>
    <w:rsid w:val="0011443F"/>
    <w:rsid w:val="00123FF9"/>
    <w:rsid w:val="00131E94"/>
    <w:rsid w:val="00144D53"/>
    <w:rsid w:val="00146F46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2045A5"/>
    <w:rsid w:val="002137B0"/>
    <w:rsid w:val="00217881"/>
    <w:rsid w:val="0022648E"/>
    <w:rsid w:val="00226F32"/>
    <w:rsid w:val="00227ACD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513E"/>
    <w:rsid w:val="002D1376"/>
    <w:rsid w:val="002D49FB"/>
    <w:rsid w:val="002E5E57"/>
    <w:rsid w:val="002F1752"/>
    <w:rsid w:val="002F477C"/>
    <w:rsid w:val="002F557F"/>
    <w:rsid w:val="003028DC"/>
    <w:rsid w:val="00315F32"/>
    <w:rsid w:val="00327407"/>
    <w:rsid w:val="00335341"/>
    <w:rsid w:val="003472AF"/>
    <w:rsid w:val="003508FE"/>
    <w:rsid w:val="00351369"/>
    <w:rsid w:val="003608FD"/>
    <w:rsid w:val="0036420C"/>
    <w:rsid w:val="00366057"/>
    <w:rsid w:val="003677E2"/>
    <w:rsid w:val="00370F35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1521E"/>
    <w:rsid w:val="00425B3B"/>
    <w:rsid w:val="004325D3"/>
    <w:rsid w:val="00437589"/>
    <w:rsid w:val="00445609"/>
    <w:rsid w:val="004476C2"/>
    <w:rsid w:val="00451368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7350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963D2"/>
    <w:rsid w:val="006A0B4A"/>
    <w:rsid w:val="006A0F4A"/>
    <w:rsid w:val="006A1D16"/>
    <w:rsid w:val="006B120F"/>
    <w:rsid w:val="006B2EBD"/>
    <w:rsid w:val="006B2F86"/>
    <w:rsid w:val="006B37A6"/>
    <w:rsid w:val="006D0EE8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813D1"/>
    <w:rsid w:val="00786BB9"/>
    <w:rsid w:val="00786FE5"/>
    <w:rsid w:val="007964DC"/>
    <w:rsid w:val="007A3BFB"/>
    <w:rsid w:val="007B02A8"/>
    <w:rsid w:val="007B6B28"/>
    <w:rsid w:val="007B7B44"/>
    <w:rsid w:val="007C4C83"/>
    <w:rsid w:val="007D275E"/>
    <w:rsid w:val="007D4025"/>
    <w:rsid w:val="007E1035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68B"/>
    <w:rsid w:val="00830214"/>
    <w:rsid w:val="00834366"/>
    <w:rsid w:val="008363D1"/>
    <w:rsid w:val="00842443"/>
    <w:rsid w:val="00843285"/>
    <w:rsid w:val="00843386"/>
    <w:rsid w:val="008466C4"/>
    <w:rsid w:val="00854190"/>
    <w:rsid w:val="00854682"/>
    <w:rsid w:val="00857A3C"/>
    <w:rsid w:val="008612B4"/>
    <w:rsid w:val="0086454A"/>
    <w:rsid w:val="00870102"/>
    <w:rsid w:val="00872847"/>
    <w:rsid w:val="00872C9B"/>
    <w:rsid w:val="008825CE"/>
    <w:rsid w:val="0088460D"/>
    <w:rsid w:val="008857AA"/>
    <w:rsid w:val="00890B66"/>
    <w:rsid w:val="008A6398"/>
    <w:rsid w:val="008B19B7"/>
    <w:rsid w:val="008B1C16"/>
    <w:rsid w:val="008C1507"/>
    <w:rsid w:val="008E2336"/>
    <w:rsid w:val="008F399F"/>
    <w:rsid w:val="009038F9"/>
    <w:rsid w:val="00905AAB"/>
    <w:rsid w:val="009139AF"/>
    <w:rsid w:val="009234FD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4DD"/>
    <w:rsid w:val="00975439"/>
    <w:rsid w:val="00977317"/>
    <w:rsid w:val="00980C11"/>
    <w:rsid w:val="0098257D"/>
    <w:rsid w:val="00987232"/>
    <w:rsid w:val="00991B95"/>
    <w:rsid w:val="00992840"/>
    <w:rsid w:val="00994CC4"/>
    <w:rsid w:val="009976E7"/>
    <w:rsid w:val="009A11ED"/>
    <w:rsid w:val="009A1CB0"/>
    <w:rsid w:val="009A65F0"/>
    <w:rsid w:val="009A7026"/>
    <w:rsid w:val="009B393A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5FC0"/>
    <w:rsid w:val="00A5314F"/>
    <w:rsid w:val="00A569E0"/>
    <w:rsid w:val="00A7149F"/>
    <w:rsid w:val="00A72FF3"/>
    <w:rsid w:val="00A7410C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4F8C"/>
    <w:rsid w:val="00B73636"/>
    <w:rsid w:val="00B76C42"/>
    <w:rsid w:val="00B84219"/>
    <w:rsid w:val="00B85546"/>
    <w:rsid w:val="00B913AA"/>
    <w:rsid w:val="00B95673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827"/>
    <w:rsid w:val="00BE48B7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44924"/>
    <w:rsid w:val="00C461EB"/>
    <w:rsid w:val="00C520D7"/>
    <w:rsid w:val="00C57869"/>
    <w:rsid w:val="00C627A3"/>
    <w:rsid w:val="00C6528A"/>
    <w:rsid w:val="00C7375A"/>
    <w:rsid w:val="00C74048"/>
    <w:rsid w:val="00C74654"/>
    <w:rsid w:val="00C8685C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477C3"/>
    <w:rsid w:val="00D55406"/>
    <w:rsid w:val="00D67470"/>
    <w:rsid w:val="00D67FC9"/>
    <w:rsid w:val="00D775D2"/>
    <w:rsid w:val="00D8118D"/>
    <w:rsid w:val="00D85155"/>
    <w:rsid w:val="00D93EB9"/>
    <w:rsid w:val="00D97E49"/>
    <w:rsid w:val="00DA4875"/>
    <w:rsid w:val="00DA4917"/>
    <w:rsid w:val="00DB67E5"/>
    <w:rsid w:val="00DC585F"/>
    <w:rsid w:val="00DD4F3E"/>
    <w:rsid w:val="00DF431A"/>
    <w:rsid w:val="00DF6D21"/>
    <w:rsid w:val="00E02136"/>
    <w:rsid w:val="00E03E17"/>
    <w:rsid w:val="00E06813"/>
    <w:rsid w:val="00E10053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703B1"/>
    <w:rsid w:val="00E7045C"/>
    <w:rsid w:val="00E718EA"/>
    <w:rsid w:val="00E71A6E"/>
    <w:rsid w:val="00E72E55"/>
    <w:rsid w:val="00E77101"/>
    <w:rsid w:val="00E82DCF"/>
    <w:rsid w:val="00E8561A"/>
    <w:rsid w:val="00E85DE8"/>
    <w:rsid w:val="00E9372A"/>
    <w:rsid w:val="00EA5747"/>
    <w:rsid w:val="00EB3F96"/>
    <w:rsid w:val="00EC03D2"/>
    <w:rsid w:val="00EC202F"/>
    <w:rsid w:val="00EC5679"/>
    <w:rsid w:val="00ED2264"/>
    <w:rsid w:val="00ED412E"/>
    <w:rsid w:val="00ED41A8"/>
    <w:rsid w:val="00ED452D"/>
    <w:rsid w:val="00EE29BE"/>
    <w:rsid w:val="00EF038F"/>
    <w:rsid w:val="00EF07C3"/>
    <w:rsid w:val="00EF6331"/>
    <w:rsid w:val="00F01AED"/>
    <w:rsid w:val="00F1303C"/>
    <w:rsid w:val="00F15E8D"/>
    <w:rsid w:val="00F247BC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3EEA"/>
    <w:rsid w:val="00F8461A"/>
    <w:rsid w:val="00F87FA4"/>
    <w:rsid w:val="00F91222"/>
    <w:rsid w:val="00F94AE5"/>
    <w:rsid w:val="00F970A7"/>
    <w:rsid w:val="00F9738D"/>
    <w:rsid w:val="00FA2228"/>
    <w:rsid w:val="00FA59C6"/>
    <w:rsid w:val="00FB4A1C"/>
    <w:rsid w:val="00FB60CC"/>
    <w:rsid w:val="00FB60FB"/>
    <w:rsid w:val="00FC5A6D"/>
    <w:rsid w:val="00FC5B2A"/>
    <w:rsid w:val="00FD12DB"/>
    <w:rsid w:val="00FD1306"/>
    <w:rsid w:val="00FD3713"/>
    <w:rsid w:val="00FD57E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E69CF6A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\Documents\jh\V18_&#268;BA%20Dan&#283;,kyberbezpe&#269;nost\DigitalizaceI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\Documents\jh\V18_&#268;BA%20Dan&#283;,kyberbezpe&#269;nost\DigitalizaceI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\Documents\jh\V18_&#268;BA%20Dan&#283;,kyberbezpe&#269;nost\DigitalizaceI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746766916144217E-3"/>
          <c:y val="0.11829297281236072"/>
          <c:w val="0.93297800618914439"/>
          <c:h val="0.605793503075177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E7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ECF-4C31-BFE4-A93557B5FF4E}"/>
              </c:ext>
            </c:extLst>
          </c:dPt>
          <c:dPt>
            <c:idx val="1"/>
            <c:invertIfNegative val="0"/>
            <c:bubble3D val="0"/>
            <c:spPr>
              <a:solidFill>
                <a:srgbClr val="007E7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ECF-4C31-BFE4-A93557B5FF4E}"/>
              </c:ext>
            </c:extLst>
          </c:dPt>
          <c:dPt>
            <c:idx val="5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ECF-4C31-BFE4-A93557B5FF4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83 % </a:t>
                    </a:r>
                  </a:p>
                  <a:p>
                    <a:r>
                      <a:rPr lang="en-US" b="0" dirty="0"/>
                      <a:t>(2018: 72 %)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CF-4C31-BFE4-A93557B5FF4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/>
                      <a:t>35 %</a:t>
                    </a:r>
                  </a:p>
                  <a:p>
                    <a:r>
                      <a:rPr lang="en-US" b="0" dirty="0"/>
                      <a:t>(2018: 30 %)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CF-4C31-BFE4-A93557B5FF4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dirty="0"/>
                      <a:t>12 %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CF-4C31-BFE4-A93557B5FF4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dirty="0"/>
                      <a:t>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CF-4C31-BFE4-A93557B5FF4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ECF-4C31-BFE4-A93557B5FF4E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baseline="0">
                        <a:solidFill>
                          <a:srgbClr val="C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700" dirty="0">
                        <a:solidFill>
                          <a:srgbClr val="C00000"/>
                        </a:solidFill>
                      </a:rPr>
                      <a:t>5 %</a:t>
                    </a:r>
                  </a:p>
                  <a:p>
                    <a:pPr>
                      <a:defRPr sz="700" b="1">
                        <a:solidFill>
                          <a:srgbClr val="C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700" b="0" dirty="0">
                        <a:solidFill>
                          <a:srgbClr val="C00000"/>
                        </a:solidFill>
                      </a:rPr>
                      <a:t>(2018: 18 %)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rgbClr val="C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CF-4C31-BFE4-A93557B5FF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Sheet1!$L$2:$Q$2</c:f>
              <c:strCache>
                <c:ptCount val="6"/>
                <c:pt idx="0">
                  <c:v>Počítač (www stránky).</c:v>
                </c:pt>
                <c:pt idx="1">
                  <c:v>Mobilní telefon (aplikace banky).</c:v>
                </c:pt>
                <c:pt idx="2">
                  <c:v>Telefon přes webový prohlížeč (www stránky; NE přes bankovní mobilní aplikaci).</c:v>
                </c:pt>
                <c:pt idx="3">
                  <c:v>Tablet přes webový prohlížeč (www stránky; NE přes bankovní mobilní aplikaci).</c:v>
                </c:pt>
                <c:pt idx="4">
                  <c:v>Tablet (aplikace banky).</c:v>
                </c:pt>
                <c:pt idx="5">
                  <c:v>Elektronické bankovnictví vůbec nepoužívám.</c:v>
                </c:pt>
              </c:strCache>
            </c:strRef>
          </c:cat>
          <c:val>
            <c:numRef>
              <c:f>Sheet1!$L$3:$Q$3</c:f>
              <c:numCache>
                <c:formatCode>###0%</c:formatCode>
                <c:ptCount val="6"/>
                <c:pt idx="0">
                  <c:v>0.82906023008469953</c:v>
                </c:pt>
                <c:pt idx="1">
                  <c:v>0.35141608922482559</c:v>
                </c:pt>
                <c:pt idx="2">
                  <c:v>0.11716759233234679</c:v>
                </c:pt>
                <c:pt idx="3">
                  <c:v>5.2849871929847601E-2</c:v>
                </c:pt>
                <c:pt idx="4">
                  <c:v>4.0444478373223985E-2</c:v>
                </c:pt>
                <c:pt idx="5">
                  <c:v>4.6623035591670942E-2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ECF-4C31-BFE4-A93557B5F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1847024"/>
        <c:axId val="433483824"/>
      </c:barChart>
      <c:catAx>
        <c:axId val="42184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3483824"/>
        <c:crosses val="autoZero"/>
        <c:auto val="1"/>
        <c:lblAlgn val="ctr"/>
        <c:lblOffset val="100"/>
        <c:noMultiLvlLbl val="0"/>
      </c:catAx>
      <c:valAx>
        <c:axId val="433483824"/>
        <c:scaling>
          <c:orientation val="minMax"/>
        </c:scaling>
        <c:delete val="1"/>
        <c:axPos val="l"/>
        <c:numFmt formatCode="###0%" sourceLinked="1"/>
        <c:majorTickMark val="none"/>
        <c:minorTickMark val="none"/>
        <c:tickLblPos val="nextTo"/>
        <c:crossAx val="42184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891566546514698"/>
          <c:y val="2.537360509806326E-4"/>
          <c:w val="0.57108433453485308"/>
          <c:h val="0.932176205837184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'tabulky grafy'!$R$17</c:f>
              <c:strCache>
                <c:ptCount val="1"/>
                <c:pt idx="0">
                  <c:v>mobilní aplikace</c:v>
                </c:pt>
              </c:strCache>
            </c:strRef>
          </c:tx>
          <c:spPr>
            <a:solidFill>
              <a:srgbClr val="007E79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D7-4A89-B385-6929FBF7EAF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D7-4A89-B385-6929FBF7EAF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D7-4A89-B385-6929FBF7EAF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D7-4A89-B385-6929FBF7EAF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dirty="0"/>
                      <a:t>55 %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D7-4A89-B385-6929FBF7EAF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D7-4A89-B385-6929FBF7EAF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37 %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D7-4A89-B385-6929FBF7EAF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D7-4A89-B385-6929FBF7EAF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en-US" baseline="0"/>
                      <a:t>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D7-4A89-B385-6929FBF7EAF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D7-4A89-B385-6929FBF7EAF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D7-4A89-B385-6929FBF7EAF2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81 %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D7-4A89-B385-6929FBF7EA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7E79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grafy'!$Q$18:$Q$29</c:f>
              <c:strCache>
                <c:ptCount val="12"/>
                <c:pt idx="0">
                  <c:v>Jiné</c:v>
                </c:pt>
                <c:pt idx="1">
                  <c:v>Žádost o úvěr</c:v>
                </c:pt>
                <c:pt idx="2">
                  <c:v>Zřízení a správa kontokorentu</c:v>
                </c:pt>
                <c:pt idx="3">
                  <c:v>Nakupuji zboží se slevou (sleva díky využití elektronického bankovnictví)</c:v>
                </c:pt>
                <c:pt idx="4">
                  <c:v>Kontrola úspor</c:v>
                </c:pt>
                <c:pt idx="5">
                  <c:v>Převedení peněz z běžného účtu na spořicí a naopak</c:v>
                </c:pt>
                <c:pt idx="6">
                  <c:v>Nakupuji zboží v e-shopech (jednoduchá platba bez nutnosti použít kartu)</c:v>
                </c:pt>
                <c:pt idx="7">
                  <c:v>Nastavení účtu a karet – limity, avíza, apod</c:v>
                </c:pt>
                <c:pt idx="8">
                  <c:v>Trvalé příkazy a inkasa – zadávání, správa</c:v>
                </c:pt>
                <c:pt idx="9">
                  <c:v>Kontrola příjmů a výdajů</c:v>
                </c:pt>
                <c:pt idx="10">
                  <c:v>Ověření zůstatku na účtu</c:v>
                </c:pt>
                <c:pt idx="11">
                  <c:v>Provedení platby</c:v>
                </c:pt>
              </c:strCache>
            </c:strRef>
          </c:cat>
          <c:val>
            <c:numRef>
              <c:f>'tabulky grafy'!$R$18:$R$29</c:f>
              <c:numCache>
                <c:formatCode>###0%</c:formatCode>
                <c:ptCount val="12"/>
                <c:pt idx="0">
                  <c:v>3.3041800780620849E-2</c:v>
                </c:pt>
                <c:pt idx="1">
                  <c:v>4.3901635524089967E-2</c:v>
                </c:pt>
                <c:pt idx="2">
                  <c:v>6.2836907532677816E-2</c:v>
                </c:pt>
                <c:pt idx="3">
                  <c:v>0.16949848000865553</c:v>
                </c:pt>
                <c:pt idx="4">
                  <c:v>0.55367151142606152</c:v>
                </c:pt>
                <c:pt idx="5">
                  <c:v>0.44721025934415271</c:v>
                </c:pt>
                <c:pt idx="6">
                  <c:v>0.36785551500279079</c:v>
                </c:pt>
                <c:pt idx="7">
                  <c:v>0.36428608077236069</c:v>
                </c:pt>
                <c:pt idx="8">
                  <c:v>0.47487088498019148</c:v>
                </c:pt>
                <c:pt idx="9">
                  <c:v>0.74785037400025711</c:v>
                </c:pt>
                <c:pt idx="10">
                  <c:v>0.81200550815337447</c:v>
                </c:pt>
                <c:pt idx="11">
                  <c:v>0.80634328825641599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BD7-4A89-B385-6929FBF7EAF2}"/>
            </c:ext>
          </c:extLst>
        </c:ser>
        <c:ser>
          <c:idx val="1"/>
          <c:order val="1"/>
          <c:tx>
            <c:strRef>
              <c:f>'tabulky grafy'!$S$17</c:f>
              <c:strCache>
                <c:ptCount val="1"/>
                <c:pt idx="0">
                  <c:v>webový prohlížeč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D7-4A89-B385-6929FBF7EAF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BD7-4A89-B385-6929FBF7EAF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D7-4A89-B385-6929FBF7EAF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BD7-4A89-B385-6929FBF7EAF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56 %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BD7-4A89-B385-6929FBF7EAF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57 %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BD7-4A89-B385-6929FBF7EAF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61 %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BD7-4A89-B385-6929FBF7EAF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D7-4A89-B385-6929FBF7EAF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D7-4A89-B385-6929FBF7EAF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D7-4A89-B385-6929FBF7EAF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D7-4A89-B385-6929FBF7EAF2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86 %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D7-4A89-B385-6929FBF7EAF2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'tabulky grafy'!$Q$18:$Q$29</c:f>
              <c:strCache>
                <c:ptCount val="12"/>
                <c:pt idx="0">
                  <c:v>Jiné</c:v>
                </c:pt>
                <c:pt idx="1">
                  <c:v>Žádost o úvěr</c:v>
                </c:pt>
                <c:pt idx="2">
                  <c:v>Zřízení a správa kontokorentu</c:v>
                </c:pt>
                <c:pt idx="3">
                  <c:v>Nakupuji zboží se slevou (sleva díky využití elektronického bankovnictví)</c:v>
                </c:pt>
                <c:pt idx="4">
                  <c:v>Kontrola úspor</c:v>
                </c:pt>
                <c:pt idx="5">
                  <c:v>Převedení peněz z běžného účtu na spořicí a naopak</c:v>
                </c:pt>
                <c:pt idx="6">
                  <c:v>Nakupuji zboží v e-shopech (jednoduchá platba bez nutnosti použít kartu)</c:v>
                </c:pt>
                <c:pt idx="7">
                  <c:v>Nastavení účtu a karet – limity, avíza, apod</c:v>
                </c:pt>
                <c:pt idx="8">
                  <c:v>Trvalé příkazy a inkasa – zadávání, správa</c:v>
                </c:pt>
                <c:pt idx="9">
                  <c:v>Kontrola příjmů a výdajů</c:v>
                </c:pt>
                <c:pt idx="10">
                  <c:v>Ověření zůstatku na účtu</c:v>
                </c:pt>
                <c:pt idx="11">
                  <c:v>Provedení platby</c:v>
                </c:pt>
              </c:strCache>
            </c:strRef>
          </c:cat>
          <c:val>
            <c:numRef>
              <c:f>'tabulky grafy'!$S$18:$S$29</c:f>
              <c:numCache>
                <c:formatCode>General</c:formatCode>
                <c:ptCount val="12"/>
                <c:pt idx="0">
                  <c:v>1.5644591091266539E-2</c:v>
                </c:pt>
                <c:pt idx="1">
                  <c:v>9.3754264798019363E-2</c:v>
                </c:pt>
                <c:pt idx="2">
                  <c:v>0.13735468040644658</c:v>
                </c:pt>
                <c:pt idx="3">
                  <c:v>0.19479860137305011</c:v>
                </c:pt>
                <c:pt idx="4">
                  <c:v>0.56495586907161432</c:v>
                </c:pt>
                <c:pt idx="5">
                  <c:v>0.56506700365918228</c:v>
                </c:pt>
                <c:pt idx="6">
                  <c:v>0.60672130668962598</c:v>
                </c:pt>
                <c:pt idx="7">
                  <c:v>0.65121528013657193</c:v>
                </c:pt>
                <c:pt idx="8">
                  <c:v>0.79253950914402305</c:v>
                </c:pt>
                <c:pt idx="9">
                  <c:v>0.80804173903521359</c:v>
                </c:pt>
                <c:pt idx="10">
                  <c:v>0.83238345198184338</c:v>
                </c:pt>
                <c:pt idx="11">
                  <c:v>0.85597032596064992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BD7-4A89-B385-6929FBF7E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2"/>
        <c:axId val="466731024"/>
        <c:axId val="542945024"/>
      </c:barChart>
      <c:catAx>
        <c:axId val="46673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2945024"/>
        <c:crosses val="autoZero"/>
        <c:auto val="1"/>
        <c:lblAlgn val="ctr"/>
        <c:lblOffset val="100"/>
        <c:noMultiLvlLbl val="0"/>
      </c:catAx>
      <c:valAx>
        <c:axId val="542945024"/>
        <c:scaling>
          <c:orientation val="minMax"/>
        </c:scaling>
        <c:delete val="1"/>
        <c:axPos val="b"/>
        <c:numFmt formatCode="###0%" sourceLinked="1"/>
        <c:majorTickMark val="none"/>
        <c:minorTickMark val="none"/>
        <c:tickLblPos val="nextTo"/>
        <c:crossAx val="46673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536466892255741"/>
          <c:y val="0.81927355288062498"/>
          <c:w val="0.27086891916288242"/>
          <c:h val="8.6099068600329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630913922962959"/>
          <c:y val="2.6524226947893088E-2"/>
          <c:w val="0.52369086077037041"/>
          <c:h val="0.9469515461042138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5965-448F-8965-F285AC83875B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965-448F-8965-F285AC83875B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5965-448F-8965-F285AC83875B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965-448F-8965-F285AC83875B}"/>
              </c:ext>
            </c:extLst>
          </c:dPt>
          <c:dPt>
            <c:idx val="4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5965-448F-8965-F285AC83875B}"/>
              </c:ext>
            </c:extLst>
          </c:dPt>
          <c:dPt>
            <c:idx val="5"/>
            <c:invertIfNegative val="0"/>
            <c:bubble3D val="0"/>
            <c:spPr>
              <a:solidFill>
                <a:srgbClr val="007E7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965-448F-8965-F285AC83875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65-448F-8965-F285AC83875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65-448F-8965-F285AC83875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65-448F-8965-F285AC83875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dirty="0"/>
                      <a:t>13 %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65-448F-8965-F285AC83875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32 %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65-448F-8965-F285AC83875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65-448F-8965-F285AC8387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List1!$B$2:$I$2</c:f>
              <c:strCache>
                <c:ptCount val="6"/>
                <c:pt idx="0">
                  <c:v>Platební služby, tj. posílání a přijímání plateb (např. Twisto)</c:v>
                </c:pt>
                <c:pt idx="1">
                  <c:v>Přístup ke všem svým účtům v různých bankách (multibanking)</c:v>
                </c:pt>
                <c:pt idx="2">
                  <c:v>Spoření a správa osobních investic</c:v>
                </c:pt>
                <c:pt idx="3">
                  <c:v>Zprostředkování půjček (např. Zonky)</c:v>
                </c:pt>
                <c:pt idx="4">
                  <c:v>Finanční poradenství</c:v>
                </c:pt>
                <c:pt idx="5">
                  <c:v>Žádné</c:v>
                </c:pt>
              </c:strCache>
              <c:extLst/>
            </c:strRef>
          </c:cat>
          <c:val>
            <c:numRef>
              <c:f>List1!$B$3:$I$3</c:f>
              <c:numCache>
                <c:formatCode>0%</c:formatCode>
                <c:ptCount val="6"/>
                <c:pt idx="0">
                  <c:v>7.5640236780640246E-2</c:v>
                </c:pt>
                <c:pt idx="1">
                  <c:v>6.3349518523417858E-2</c:v>
                </c:pt>
                <c:pt idx="2">
                  <c:v>0.1445839928657843</c:v>
                </c:pt>
                <c:pt idx="3">
                  <c:v>0.1289339293286246</c:v>
                </c:pt>
                <c:pt idx="4">
                  <c:v>0.32111901445014679</c:v>
                </c:pt>
                <c:pt idx="5">
                  <c:v>0.52588947776883077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7-5965-448F-8965-F285AC838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1268696"/>
        <c:axId val="431268368"/>
      </c:barChart>
      <c:catAx>
        <c:axId val="43126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1268368"/>
        <c:crosses val="autoZero"/>
        <c:auto val="1"/>
        <c:lblAlgn val="ctr"/>
        <c:lblOffset val="100"/>
        <c:noMultiLvlLbl val="0"/>
      </c:catAx>
      <c:valAx>
        <c:axId val="43126836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3126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606837606837605E-2"/>
          <c:y val="0.15238095238095239"/>
          <c:w val="0.90427350427350428"/>
          <c:h val="0.445330333708286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6D-4E72-B0E7-467D04D93BB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6D-4E72-B0E7-467D04D93BB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6D-4E72-B0E7-467D04D93BB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6D-4E72-B0E7-467D04D93BB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6D-4E72-B0E7-467D04D93B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List1!$B$82:$G$82</c:f>
              <c:strCache>
                <c:ptCount val="5"/>
                <c:pt idx="0">
                  <c:v>Nevím o ni.</c:v>
                </c:pt>
                <c:pt idx="1">
                  <c:v>Nemám datovou schránku nebo e-občanku.</c:v>
                </c:pt>
                <c:pt idx="2">
                  <c:v>Je složitá / Nechápu to.</c:v>
                </c:pt>
                <c:pt idx="3">
                  <c:v>Vyřizuju vše osobně na úřadu.</c:v>
                </c:pt>
                <c:pt idx="4">
                  <c:v>Jiné důvody</c:v>
                </c:pt>
              </c:strCache>
              <c:extLst/>
            </c:strRef>
          </c:cat>
          <c:val>
            <c:numRef>
              <c:f>List1!$B$83:$G$83</c:f>
              <c:numCache>
                <c:formatCode>0%</c:formatCode>
                <c:ptCount val="5"/>
                <c:pt idx="0">
                  <c:v>0.46043143422727051</c:v>
                </c:pt>
                <c:pt idx="1">
                  <c:v>0.34916860124580423</c:v>
                </c:pt>
                <c:pt idx="2">
                  <c:v>3.0559904201348274E-2</c:v>
                </c:pt>
                <c:pt idx="3">
                  <c:v>0.13222286975768133</c:v>
                </c:pt>
                <c:pt idx="4">
                  <c:v>2.7617190567901208E-2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826D-4E72-B0E7-467D04D93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322272"/>
        <c:axId val="432320960"/>
      </c:barChart>
      <c:catAx>
        <c:axId val="43232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2320960"/>
        <c:crosses val="autoZero"/>
        <c:auto val="1"/>
        <c:lblAlgn val="ctr"/>
        <c:lblOffset val="100"/>
        <c:noMultiLvlLbl val="0"/>
      </c:catAx>
      <c:valAx>
        <c:axId val="4323209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3232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5433505594557609"/>
          <c:y val="0.15751233971147083"/>
          <c:w val="0.40819514113701139"/>
          <c:h val="0.73516508293936644"/>
        </c:manualLayout>
      </c:layout>
      <c:doughnutChart>
        <c:varyColors val="1"/>
        <c:ser>
          <c:idx val="0"/>
          <c:order val="0"/>
          <c:tx>
            <c:strRef>
              <c:f>List1!$B$43</c:f>
              <c:strCache>
                <c:ptCount val="1"/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0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F7-49BC-859E-4F986B94BB3B}"/>
              </c:ext>
            </c:extLst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F7-49BC-859E-4F986B94BB3B}"/>
              </c:ext>
            </c:extLst>
          </c:dPt>
          <c:dLbls>
            <c:dLbl>
              <c:idx val="0"/>
              <c:layout>
                <c:manualLayout>
                  <c:x val="0.16854922050406337"/>
                  <c:y val="-2.275363217393101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rgbClr val="007E79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56509D11-35A5-4B7B-9D04-3C79BC190301}" type="CATEGORYNAME">
                      <a:rPr lang="en-US" sz="800">
                        <a:solidFill>
                          <a:srgbClr val="007E79"/>
                        </a:solidFill>
                      </a:rPr>
                      <a:pPr>
                        <a:defRPr sz="800">
                          <a:solidFill>
                            <a:srgbClr val="007E79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[NÁZEV KATEGORIE]</a:t>
                    </a:fld>
                    <a:r>
                      <a:rPr lang="en-US" sz="800" baseline="0" dirty="0">
                        <a:solidFill>
                          <a:srgbClr val="007E79"/>
                        </a:solidFill>
                      </a:rPr>
                      <a:t>
</a:t>
                    </a:r>
                    <a:r>
                      <a:rPr lang="en-US" sz="800" b="1" baseline="0" dirty="0">
                        <a:solidFill>
                          <a:srgbClr val="007E79"/>
                        </a:solidFill>
                      </a:rPr>
                      <a:t>9 %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rgbClr val="007E79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3F7-49BC-859E-4F986B94BB3B}"/>
                </c:ext>
              </c:extLst>
            </c:dLbl>
            <c:dLbl>
              <c:idx val="1"/>
              <c:layout>
                <c:manualLayout>
                  <c:x val="-0.16982813588979342"/>
                  <c:y val="4.1388787939969043E-2"/>
                </c:manualLayout>
              </c:layout>
              <c:tx>
                <c:rich>
                  <a:bodyPr/>
                  <a:lstStyle/>
                  <a:p>
                    <a:fld id="{574FFCEE-D044-4DE3-9E7A-36E72FFF9E49}" type="CATEGORYNAME">
                      <a:rPr lang="en-US"/>
                      <a:pPr/>
                      <a:t>[NÁZEV KATEGORIE]</a:t>
                    </a:fld>
                    <a:r>
                      <a:rPr lang="en-US" baseline="0" dirty="0"/>
                      <a:t>
</a:t>
                    </a:r>
                    <a:r>
                      <a:rPr lang="en-US" b="1" baseline="0" dirty="0"/>
                      <a:t>91 %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117795275590549"/>
                      <c:h val="0.247978428925892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3F7-49BC-859E-4F986B94BB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List1!$C$42:$D$42</c:f>
              <c:strCache>
                <c:ptCount val="2"/>
                <c:pt idx="0">
                  <c:v>využívá</c:v>
                </c:pt>
                <c:pt idx="1">
                  <c:v>nevyužívá</c:v>
                </c:pt>
              </c:strCache>
            </c:strRef>
          </c:cat>
          <c:val>
            <c:numRef>
              <c:f>List1!$C$43:$D$43</c:f>
              <c:numCache>
                <c:formatCode>0%</c:formatCode>
                <c:ptCount val="2"/>
                <c:pt idx="0">
                  <c:v>8.7610609499849432E-2</c:v>
                </c:pt>
                <c:pt idx="1">
                  <c:v>0.91238939050015189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F7-49BC-859E-4F986B94B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0.87711</cdr:x>
      <cdr:y>0.65204</cdr:y>
    </cdr:from>
    <cdr:to>
      <cdr:x>0.94241</cdr:x>
      <cdr:y>0.69181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CC75A1E4-D175-45D1-9706-D40D1709066B}"/>
            </a:ext>
          </a:extLst>
        </cdr:cNvPr>
        <cdr:cNvSpPr txBox="1"/>
      </cdr:nvSpPr>
      <cdr:spPr>
        <a:xfrm xmlns:a="http://schemas.openxmlformats.org/drawingml/2006/main">
          <a:off x="7052735" y="2498845"/>
          <a:ext cx="52508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 dirty="0"/>
        </a:p>
      </cdr:txBody>
    </cdr:sp>
  </cdr:relSizeAnchor>
  <cdr:relSizeAnchor xmlns:cdr="http://schemas.openxmlformats.org/drawingml/2006/chartDrawing">
    <cdr:from>
      <cdr:x>0.87711</cdr:x>
      <cdr:y>0.63713</cdr:y>
    </cdr:from>
    <cdr:to>
      <cdr:x>0.94555</cdr:x>
      <cdr:y>0.67689</cdr:y>
    </cdr:to>
    <cdr:sp macro="" textlink="">
      <cdr:nvSpPr>
        <cdr:cNvPr id="3" name="TextovéPole 2">
          <a:extLst xmlns:a="http://schemas.openxmlformats.org/drawingml/2006/main">
            <a:ext uri="{FF2B5EF4-FFF2-40B4-BE49-F238E27FC236}">
              <a16:creationId xmlns:a16="http://schemas.microsoft.com/office/drawing/2014/main" id="{A404D1F4-B031-4155-827F-D804A20F9F0E}"/>
            </a:ext>
          </a:extLst>
        </cdr:cNvPr>
        <cdr:cNvSpPr txBox="1"/>
      </cdr:nvSpPr>
      <cdr:spPr>
        <a:xfrm xmlns:a="http://schemas.openxmlformats.org/drawingml/2006/main">
          <a:off x="7052735" y="2441695"/>
          <a:ext cx="550333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 dirty="0"/>
        </a:p>
      </cdr:txBody>
    </cdr:sp>
  </cdr:relSizeAnchor>
  <cdr:relSizeAnchor xmlns:cdr="http://schemas.openxmlformats.org/drawingml/2006/chartDrawing">
    <cdr:from>
      <cdr:x>0.86829</cdr:x>
      <cdr:y>0.50789</cdr:y>
    </cdr:from>
    <cdr:to>
      <cdr:x>0.95832</cdr:x>
      <cdr:y>0.65701</cdr:y>
    </cdr:to>
    <cdr:sp macro="" textlink="">
      <cdr:nvSpPr>
        <cdr:cNvPr id="4" name="TextovéPole 3">
          <a:extLst xmlns:a="http://schemas.openxmlformats.org/drawingml/2006/main">
            <a:ext uri="{FF2B5EF4-FFF2-40B4-BE49-F238E27FC236}">
              <a16:creationId xmlns:a16="http://schemas.microsoft.com/office/drawing/2014/main" id="{2FEB623F-C6A9-4C20-B71E-D2BF562B4F0B}"/>
            </a:ext>
          </a:extLst>
        </cdr:cNvPr>
        <cdr:cNvSpPr txBox="1"/>
      </cdr:nvSpPr>
      <cdr:spPr>
        <a:xfrm xmlns:a="http://schemas.openxmlformats.org/drawingml/2006/main">
          <a:off x="6981825" y="1946395"/>
          <a:ext cx="7239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 dirty="0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DE7C-A4DD-4C9C-AD9E-2D01CD14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18</cp:revision>
  <cp:lastPrinted>2019-06-20T06:13:00Z</cp:lastPrinted>
  <dcterms:created xsi:type="dcterms:W3CDTF">2019-06-18T22:01:00Z</dcterms:created>
  <dcterms:modified xsi:type="dcterms:W3CDTF">2019-06-20T06:43:00Z</dcterms:modified>
</cp:coreProperties>
</file>