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1B59" w14:textId="1DFAA72C" w:rsidR="009139AF" w:rsidRPr="009139AF" w:rsidRDefault="009139AF" w:rsidP="009139AF">
      <w:pPr>
        <w:rPr>
          <w:rFonts w:cs="Arial"/>
          <w:b/>
          <w:color w:val="007E79"/>
          <w:sz w:val="32"/>
          <w:szCs w:val="28"/>
        </w:rPr>
      </w:pPr>
      <w:r w:rsidRPr="0051711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BBDBD55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77777777" w:rsidR="00517111" w:rsidRPr="00517111" w:rsidRDefault="00267ACA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05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02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77777777" w:rsidR="00517111" w:rsidRPr="00517111" w:rsidRDefault="00267ACA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05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02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201</w:t>
                      </w:r>
                      <w:r>
                        <w:rPr>
                          <w:color w:val="BFBFBF" w:themeColor="background1" w:themeShade="BF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4048">
        <w:rPr>
          <w:rFonts w:cs="Arial"/>
          <w:b/>
          <w:color w:val="007E79"/>
          <w:sz w:val="32"/>
          <w:szCs w:val="28"/>
        </w:rPr>
        <w:t>M</w:t>
      </w:r>
      <w:r w:rsidRPr="009139AF">
        <w:rPr>
          <w:rFonts w:cs="Arial"/>
          <w:b/>
          <w:color w:val="007E79"/>
          <w:sz w:val="32"/>
          <w:szCs w:val="28"/>
        </w:rPr>
        <w:t>AKROEKONOMICKÁ PROGNÓZA ČESKÉ BANKOVNÍ ASOCIACE</w:t>
      </w:r>
    </w:p>
    <w:p w14:paraId="5622E1E0" w14:textId="38C4293B" w:rsidR="009139AF" w:rsidRPr="009139AF" w:rsidRDefault="009139AF" w:rsidP="009139AF">
      <w:pPr>
        <w:rPr>
          <w:rFonts w:cs="Arial"/>
          <w:b/>
          <w:color w:val="007E79"/>
          <w:sz w:val="24"/>
          <w:szCs w:val="28"/>
        </w:rPr>
      </w:pPr>
      <w:r w:rsidRPr="009139AF">
        <w:rPr>
          <w:rFonts w:cs="Arial"/>
          <w:b/>
          <w:color w:val="007E79"/>
          <w:sz w:val="24"/>
          <w:szCs w:val="28"/>
        </w:rPr>
        <w:t>S</w:t>
      </w:r>
      <w:r w:rsidR="000D5D2B">
        <w:rPr>
          <w:rFonts w:cs="Arial"/>
          <w:b/>
          <w:color w:val="007E79"/>
          <w:sz w:val="24"/>
          <w:szCs w:val="28"/>
        </w:rPr>
        <w:t xml:space="preserve">nížení </w:t>
      </w:r>
      <w:r w:rsidRPr="009139AF">
        <w:rPr>
          <w:rFonts w:cs="Arial"/>
          <w:b/>
          <w:color w:val="007E79"/>
          <w:sz w:val="24"/>
          <w:szCs w:val="28"/>
        </w:rPr>
        <w:t>odhad</w:t>
      </w:r>
      <w:r w:rsidR="000D5D2B">
        <w:rPr>
          <w:rFonts w:cs="Arial"/>
          <w:b/>
          <w:color w:val="007E79"/>
          <w:sz w:val="24"/>
          <w:szCs w:val="28"/>
        </w:rPr>
        <w:t>u</w:t>
      </w:r>
      <w:r w:rsidRPr="009139AF">
        <w:rPr>
          <w:rFonts w:cs="Arial"/>
          <w:b/>
          <w:color w:val="007E79"/>
          <w:sz w:val="24"/>
          <w:szCs w:val="28"/>
        </w:rPr>
        <w:t xml:space="preserve"> ekonomického růstu pro rok 2019</w:t>
      </w:r>
      <w:r w:rsidR="000D5D2B">
        <w:rPr>
          <w:rFonts w:cs="Arial"/>
          <w:b/>
          <w:color w:val="007E79"/>
          <w:sz w:val="24"/>
          <w:szCs w:val="28"/>
        </w:rPr>
        <w:t xml:space="preserve"> a stabilizace v roce 2020</w:t>
      </w:r>
      <w:r w:rsidRPr="009139AF">
        <w:rPr>
          <w:rFonts w:cs="Arial"/>
          <w:b/>
          <w:color w:val="007E79"/>
          <w:sz w:val="24"/>
          <w:szCs w:val="28"/>
        </w:rPr>
        <w:t xml:space="preserve"> </w:t>
      </w:r>
    </w:p>
    <w:p w14:paraId="4A6E52AD" w14:textId="52FE842A" w:rsidR="009139AF" w:rsidRDefault="009139AF" w:rsidP="001D5BB9"/>
    <w:p w14:paraId="3856F10A" w14:textId="1EAEDC94" w:rsidR="00803E55" w:rsidRPr="00195C6D" w:rsidRDefault="009139AF" w:rsidP="00803E55">
      <w:pPr>
        <w:rPr>
          <w:b/>
          <w:color w:val="008080"/>
        </w:rPr>
      </w:pPr>
      <w:r w:rsidRPr="00C74048">
        <w:rPr>
          <w:rFonts w:cs="Arial"/>
          <w:b/>
          <w:color w:val="007E79"/>
          <w:szCs w:val="22"/>
        </w:rPr>
        <w:t xml:space="preserve">Praha, </w:t>
      </w:r>
      <w:r>
        <w:rPr>
          <w:rFonts w:cs="Arial"/>
          <w:b/>
          <w:color w:val="007E79"/>
          <w:szCs w:val="22"/>
        </w:rPr>
        <w:t>5</w:t>
      </w:r>
      <w:r w:rsidRPr="00C74048">
        <w:rPr>
          <w:rFonts w:cs="Arial"/>
          <w:b/>
          <w:color w:val="007E79"/>
          <w:szCs w:val="22"/>
        </w:rPr>
        <w:t xml:space="preserve">. </w:t>
      </w:r>
      <w:r>
        <w:rPr>
          <w:rFonts w:cs="Arial"/>
          <w:b/>
          <w:color w:val="007E79"/>
          <w:szCs w:val="22"/>
        </w:rPr>
        <w:t>února</w:t>
      </w:r>
      <w:r w:rsidRPr="00C74048">
        <w:rPr>
          <w:rFonts w:cs="Arial"/>
          <w:b/>
          <w:color w:val="007E79"/>
          <w:szCs w:val="22"/>
        </w:rPr>
        <w:t xml:space="preserve"> 201</w:t>
      </w:r>
      <w:r>
        <w:rPr>
          <w:rFonts w:cs="Arial"/>
          <w:b/>
          <w:color w:val="007E79"/>
          <w:szCs w:val="22"/>
        </w:rPr>
        <w:t xml:space="preserve">9 – </w:t>
      </w:r>
      <w:r w:rsidR="00B27646">
        <w:rPr>
          <w:rFonts w:cs="Arial"/>
          <w:b/>
          <w:color w:val="007E79"/>
          <w:szCs w:val="22"/>
        </w:rPr>
        <w:t xml:space="preserve">Česká bankovní asociace ve své </w:t>
      </w:r>
      <w:r w:rsidR="00B27646" w:rsidRPr="000D5D2B">
        <w:rPr>
          <w:rFonts w:cs="Arial"/>
          <w:b/>
          <w:color w:val="007E79"/>
          <w:szCs w:val="22"/>
        </w:rPr>
        <w:t xml:space="preserve">aktuální prognóze předpovídá </w:t>
      </w:r>
      <w:r w:rsidR="007F40D6">
        <w:rPr>
          <w:rFonts w:cs="Arial"/>
          <w:b/>
          <w:color w:val="007E79"/>
          <w:szCs w:val="22"/>
        </w:rPr>
        <w:t xml:space="preserve">na rok 2019 </w:t>
      </w:r>
      <w:r w:rsidR="00B27646" w:rsidRPr="000D5D2B">
        <w:rPr>
          <w:rFonts w:cs="Arial"/>
          <w:b/>
          <w:color w:val="007E79"/>
          <w:szCs w:val="22"/>
        </w:rPr>
        <w:t xml:space="preserve">další zpomalování </w:t>
      </w:r>
      <w:r w:rsidR="00803E55" w:rsidRPr="000D5D2B">
        <w:rPr>
          <w:rFonts w:cs="Arial"/>
          <w:b/>
          <w:color w:val="007E79"/>
          <w:szCs w:val="22"/>
        </w:rPr>
        <w:t xml:space="preserve">růstu české </w:t>
      </w:r>
      <w:r w:rsidR="00B27646" w:rsidRPr="000D5D2B">
        <w:rPr>
          <w:rFonts w:cs="Arial"/>
          <w:b/>
          <w:color w:val="007E79"/>
          <w:szCs w:val="22"/>
        </w:rPr>
        <w:t xml:space="preserve">ekonomiky </w:t>
      </w:r>
      <w:r w:rsidR="000D5D2B" w:rsidRPr="000D5D2B">
        <w:rPr>
          <w:rFonts w:cs="Arial"/>
          <w:b/>
          <w:color w:val="007E79"/>
          <w:szCs w:val="22"/>
        </w:rPr>
        <w:t xml:space="preserve">na hodnotu 2,6 %. </w:t>
      </w:r>
      <w:r w:rsidR="00870102" w:rsidRPr="000D5D2B">
        <w:rPr>
          <w:rFonts w:cs="Arial"/>
          <w:b/>
          <w:color w:val="007E79"/>
          <w:szCs w:val="22"/>
        </w:rPr>
        <w:t xml:space="preserve">Prognóza reaguje </w:t>
      </w:r>
      <w:r w:rsidR="00D10717" w:rsidRPr="000D5D2B">
        <w:rPr>
          <w:rFonts w:cs="Arial"/>
          <w:b/>
          <w:color w:val="007E79"/>
          <w:szCs w:val="22"/>
        </w:rPr>
        <w:t xml:space="preserve">zejména </w:t>
      </w:r>
      <w:r w:rsidR="00870102" w:rsidRPr="000D5D2B">
        <w:rPr>
          <w:rFonts w:cs="Arial"/>
          <w:b/>
          <w:color w:val="007E79"/>
          <w:szCs w:val="22"/>
        </w:rPr>
        <w:t xml:space="preserve">na přetrvávající nejistoty vnějšího </w:t>
      </w:r>
      <w:r w:rsidR="00870102" w:rsidRPr="000D5D2B">
        <w:rPr>
          <w:rFonts w:cs="Arial"/>
          <w:b/>
          <w:color w:val="008080"/>
          <w:szCs w:val="22"/>
        </w:rPr>
        <w:t>prostředí</w:t>
      </w:r>
      <w:r w:rsidR="00803E55" w:rsidRPr="000D5D2B">
        <w:rPr>
          <w:rFonts w:cs="Arial"/>
          <w:b/>
          <w:color w:val="008080"/>
          <w:szCs w:val="22"/>
        </w:rPr>
        <w:t xml:space="preserve">. </w:t>
      </w:r>
      <w:r w:rsidR="00195C6D" w:rsidRPr="000D5D2B">
        <w:rPr>
          <w:b/>
          <w:color w:val="008080"/>
        </w:rPr>
        <w:t xml:space="preserve">V roce 2020 již </w:t>
      </w:r>
      <w:r w:rsidR="000D5D2B" w:rsidRPr="000D5D2B">
        <w:rPr>
          <w:b/>
          <w:color w:val="008080"/>
        </w:rPr>
        <w:t xml:space="preserve">tempo růstu </w:t>
      </w:r>
      <w:r w:rsidR="007F40D6">
        <w:rPr>
          <w:b/>
          <w:color w:val="008080"/>
        </w:rPr>
        <w:t>HDP</w:t>
      </w:r>
      <w:r w:rsidR="000D5D2B" w:rsidRPr="000D5D2B">
        <w:rPr>
          <w:b/>
          <w:color w:val="008080"/>
        </w:rPr>
        <w:t xml:space="preserve"> </w:t>
      </w:r>
      <w:r w:rsidR="00195C6D" w:rsidRPr="000D5D2B">
        <w:rPr>
          <w:b/>
          <w:color w:val="008080"/>
        </w:rPr>
        <w:t xml:space="preserve">dále zpomalovat </w:t>
      </w:r>
      <w:r w:rsidR="00D10717" w:rsidRPr="000D5D2B">
        <w:rPr>
          <w:b/>
          <w:color w:val="008080"/>
        </w:rPr>
        <w:t>nebude</w:t>
      </w:r>
      <w:r w:rsidR="000D5D2B" w:rsidRPr="000D5D2B">
        <w:rPr>
          <w:b/>
          <w:color w:val="008080"/>
        </w:rPr>
        <w:t xml:space="preserve"> a stabilizuje se na udržitelnějších úrovních.</w:t>
      </w:r>
    </w:p>
    <w:p w14:paraId="7A69DDA1" w14:textId="77777777" w:rsidR="00803E55" w:rsidRPr="00803E55" w:rsidRDefault="00803E55" w:rsidP="00803E55">
      <w:pPr>
        <w:rPr>
          <w:color w:val="538135" w:themeColor="accent6" w:themeShade="BF"/>
        </w:rPr>
      </w:pPr>
    </w:p>
    <w:p w14:paraId="407CBA0A" w14:textId="0DA32768" w:rsidR="00B27646" w:rsidRPr="00803E55" w:rsidRDefault="00B27646" w:rsidP="00B27646">
      <w:pPr>
        <w:rPr>
          <w:rFonts w:cs="Arial"/>
          <w:szCs w:val="22"/>
        </w:rPr>
      </w:pPr>
      <w:r w:rsidRPr="00803E55">
        <w:rPr>
          <w:rFonts w:cs="Arial"/>
          <w:szCs w:val="22"/>
        </w:rPr>
        <w:t xml:space="preserve">Únorová prognóza České bankovní asociace </w:t>
      </w:r>
      <w:r w:rsidR="007F40D6">
        <w:rPr>
          <w:rFonts w:cs="Arial"/>
          <w:szCs w:val="22"/>
        </w:rPr>
        <w:t xml:space="preserve">(ČBA) </w:t>
      </w:r>
      <w:r w:rsidRPr="00803E55">
        <w:rPr>
          <w:rFonts w:cs="Arial"/>
          <w:szCs w:val="22"/>
        </w:rPr>
        <w:t xml:space="preserve">potvrzuje předpoklad postupného snižování dynamiky ekonomického růstu, který byl hlavním poselstvím prognózy minulé. Odhad růstu pro letošní rok </w:t>
      </w:r>
      <w:r w:rsidR="007F40D6">
        <w:rPr>
          <w:rFonts w:cs="Arial"/>
          <w:szCs w:val="22"/>
        </w:rPr>
        <w:t xml:space="preserve">ČBA </w:t>
      </w:r>
      <w:r w:rsidRPr="00803E55">
        <w:rPr>
          <w:rFonts w:cs="Arial"/>
          <w:szCs w:val="22"/>
        </w:rPr>
        <w:t xml:space="preserve">snižuje oproti </w:t>
      </w:r>
      <w:r w:rsidR="00E77101">
        <w:rPr>
          <w:rFonts w:cs="Arial"/>
          <w:szCs w:val="22"/>
        </w:rPr>
        <w:t>říjnové prognóze</w:t>
      </w:r>
      <w:r w:rsidRPr="00803E55">
        <w:rPr>
          <w:rFonts w:cs="Arial"/>
          <w:szCs w:val="22"/>
        </w:rPr>
        <w:t xml:space="preserve"> o tři desetiny procentního bodu na 2,6 %</w:t>
      </w:r>
      <w:r w:rsidR="00E77101">
        <w:rPr>
          <w:rFonts w:cs="Arial"/>
          <w:szCs w:val="22"/>
        </w:rPr>
        <w:t>.</w:t>
      </w:r>
      <w:r w:rsidRPr="00803E55">
        <w:rPr>
          <w:rFonts w:cs="Arial"/>
          <w:szCs w:val="22"/>
        </w:rPr>
        <w:t xml:space="preserve"> </w:t>
      </w:r>
    </w:p>
    <w:p w14:paraId="47DF2AE7" w14:textId="77777777" w:rsidR="00807F85" w:rsidRDefault="00807F85" w:rsidP="001D5BB9"/>
    <w:p w14:paraId="577DBF3A" w14:textId="6F2FAF3B" w:rsidR="001D5BB9" w:rsidRDefault="001D5BB9" w:rsidP="001D5BB9">
      <w:r>
        <w:t>V prvním čtvrtletí letošního roku se pokles růstového tempa ještě nemusí projevit intenzivně. Jsou zde signály, že zakázkové knihy některých vývozců jsou pro nejbližší měsíce ještě plné, což lze spojovat s předpokladem, že výkon německého exportu, který je pro českou ekonomiku zásadní, nesklouzne do volného pádu. Co však může výkony exportérů dočasně zvyšovat, je předzásobení v Británii před termínem brexitu. Navazující období od druhého čtvrtletí 2019 dále již přináší větší nejistoty, které budou v</w:t>
      </w:r>
      <w:r w:rsidR="00803E55">
        <w:t xml:space="preserve"> čase </w:t>
      </w:r>
      <w:r>
        <w:t>narůstat.</w:t>
      </w:r>
    </w:p>
    <w:p w14:paraId="13624F5D" w14:textId="3D8B7009" w:rsidR="00E77101" w:rsidRDefault="00E77101" w:rsidP="001D5BB9"/>
    <w:p w14:paraId="2955ED86" w14:textId="6DA8BAA2" w:rsidR="00E77101" w:rsidRDefault="00E77101" w:rsidP="001D5BB9">
      <w:r>
        <w:rPr>
          <w:rFonts w:cs="Arial"/>
          <w:szCs w:val="22"/>
        </w:rPr>
        <w:t>N</w:t>
      </w:r>
      <w:r w:rsidRPr="00803E55">
        <w:rPr>
          <w:rFonts w:cs="Arial"/>
          <w:szCs w:val="22"/>
        </w:rPr>
        <w:t xml:space="preserve">icméně </w:t>
      </w:r>
      <w:r>
        <w:rPr>
          <w:rFonts w:cs="Arial"/>
          <w:szCs w:val="22"/>
        </w:rPr>
        <w:t>v roce</w:t>
      </w:r>
      <w:r w:rsidRPr="00803E55">
        <w:rPr>
          <w:rFonts w:cs="Arial"/>
          <w:szCs w:val="22"/>
        </w:rPr>
        <w:t xml:space="preserve"> 2020, který j</w:t>
      </w:r>
      <w:r>
        <w:rPr>
          <w:rFonts w:cs="Arial"/>
          <w:szCs w:val="22"/>
        </w:rPr>
        <w:t>e</w:t>
      </w:r>
      <w:r w:rsidRPr="00803E55">
        <w:rPr>
          <w:rFonts w:cs="Arial"/>
          <w:szCs w:val="22"/>
        </w:rPr>
        <w:t xml:space="preserve"> do prognózy zahrnu</w:t>
      </w:r>
      <w:r>
        <w:rPr>
          <w:rFonts w:cs="Arial"/>
          <w:szCs w:val="22"/>
        </w:rPr>
        <w:t>t</w:t>
      </w:r>
      <w:r w:rsidRPr="00803E55">
        <w:rPr>
          <w:rFonts w:cs="Arial"/>
          <w:szCs w:val="22"/>
        </w:rPr>
        <w:t xml:space="preserve"> nově</w:t>
      </w:r>
      <w:r>
        <w:rPr>
          <w:rFonts w:cs="Arial"/>
          <w:szCs w:val="22"/>
        </w:rPr>
        <w:t>, se</w:t>
      </w:r>
      <w:r w:rsidRPr="00803E55">
        <w:rPr>
          <w:rFonts w:cs="Arial"/>
          <w:szCs w:val="22"/>
        </w:rPr>
        <w:t xml:space="preserve"> s dalším zpomalením růstu nepočítá</w:t>
      </w:r>
      <w:r>
        <w:rPr>
          <w:rFonts w:cs="Arial"/>
          <w:szCs w:val="22"/>
        </w:rPr>
        <w:t xml:space="preserve"> (růst reálného HDP je odhadován na 2,5 %)</w:t>
      </w:r>
      <w:r w:rsidRPr="00803E5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ČBA totiž odhaduje</w:t>
      </w:r>
      <w:r w:rsidRPr="00803E55">
        <w:rPr>
          <w:rFonts w:cs="Arial"/>
          <w:szCs w:val="22"/>
        </w:rPr>
        <w:t xml:space="preserve">, že zpomalení ekonomického růstu v eurozóně, které nastane v roce 2019 oproti roku 2018, se v roce 2020 již nebude </w:t>
      </w:r>
      <w:r>
        <w:rPr>
          <w:rFonts w:cs="Arial"/>
          <w:szCs w:val="22"/>
        </w:rPr>
        <w:t xml:space="preserve">dále </w:t>
      </w:r>
      <w:r w:rsidRPr="00803E55">
        <w:rPr>
          <w:rFonts w:cs="Arial"/>
          <w:szCs w:val="22"/>
        </w:rPr>
        <w:t>prohlubovat. Poptávka z eurozóny se tak stane stabilizujícím faktorem ekonomické dynamiky i v naší velmi otevřené ekonomice.</w:t>
      </w:r>
    </w:p>
    <w:p w14:paraId="0E1DEFB6" w14:textId="77777777" w:rsidR="00E10053" w:rsidRPr="00E10053" w:rsidRDefault="00E10053" w:rsidP="00E10053">
      <w:pPr>
        <w:overflowPunct/>
        <w:spacing w:after="160" w:line="276" w:lineRule="auto"/>
        <w:textAlignment w:val="auto"/>
        <w:rPr>
          <w:rFonts w:cs="Arial"/>
        </w:rPr>
      </w:pPr>
    </w:p>
    <w:p w14:paraId="2D81D237" w14:textId="77777777" w:rsidR="00E10053" w:rsidRPr="009139AF" w:rsidRDefault="00E10053" w:rsidP="009139AF">
      <w:pPr>
        <w:rPr>
          <w:b/>
          <w:color w:val="007E79"/>
          <w:sz w:val="20"/>
        </w:rPr>
      </w:pPr>
      <w:r w:rsidRPr="009139AF">
        <w:rPr>
          <w:b/>
          <w:color w:val="007E79"/>
          <w:sz w:val="20"/>
        </w:rPr>
        <w:t>Domácí faktory</w:t>
      </w:r>
      <w:r w:rsidR="006D23EF" w:rsidRPr="009139AF">
        <w:rPr>
          <w:b/>
          <w:color w:val="007E79"/>
          <w:sz w:val="20"/>
        </w:rPr>
        <w:t>, nízká nezaměstnanost a růst mezd</w:t>
      </w:r>
    </w:p>
    <w:p w14:paraId="686A4B30" w14:textId="67B11322" w:rsidR="001D5BB9" w:rsidRDefault="00ED452D" w:rsidP="001D5B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7381F8" wp14:editId="5F4FB74F">
                <wp:simplePos x="0" y="0"/>
                <wp:positionH relativeFrom="column">
                  <wp:posOffset>-7620</wp:posOffset>
                </wp:positionH>
                <wp:positionV relativeFrom="paragraph">
                  <wp:posOffset>1017270</wp:posOffset>
                </wp:positionV>
                <wp:extent cx="6353175" cy="1404620"/>
                <wp:effectExtent l="0" t="0" r="28575" b="1778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4B717" w14:textId="77777777" w:rsidR="00807F85" w:rsidRPr="00D60567" w:rsidRDefault="00807F85" w:rsidP="00807F85">
                            <w:pPr>
                              <w:ind w:left="-4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D60567">
                              <w:rPr>
                                <w:rFonts w:cs="Arial"/>
                                <w:sz w:val="20"/>
                                <w:szCs w:val="22"/>
                              </w:rPr>
                              <w:t>KOMENTÁŘ:</w:t>
                            </w:r>
                          </w:p>
                          <w:p w14:paraId="6750C625" w14:textId="77777777" w:rsidR="00807F85" w:rsidRPr="00807F85" w:rsidRDefault="00807F85" w:rsidP="00807F8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807F85">
                              <w:rPr>
                                <w:b/>
                              </w:rPr>
                              <w:t>Pavel Sobíšek, hlavní ekonom UniCredit Bank:</w:t>
                            </w:r>
                          </w:p>
                          <w:p w14:paraId="20CE5CA6" w14:textId="77777777" w:rsidR="00807F85" w:rsidRPr="00807F85" w:rsidRDefault="00807F85">
                            <w:r>
                              <w:t>„</w:t>
                            </w:r>
                            <w:r w:rsidRPr="001D5BB9">
                              <w:rPr>
                                <w:i/>
                              </w:rPr>
                              <w:t>Prezentovat přesný číselný odhad růstu HDP v době, kdy se zdánlivě láme řada trendů, je samozřejmě trochu rizikem. V diskuzích na půdě České bankovní asociace ale panovala jednoznačná shoda, že se dnešní situace nijak nepodobá předkrizovému stavu roku 2008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381F8" id="_x0000_s1029" type="#_x0000_t202" style="position:absolute;left:0;text-align:left;margin-left:-.6pt;margin-top:80.1pt;width:500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">
                <v:textbox style="mso-fit-shape-to-text:t">
                  <w:txbxContent>
                    <w:p w14:paraId="3EE4B717" w14:textId="77777777" w:rsidR="00807F85" w:rsidRPr="00D60567" w:rsidRDefault="00807F85" w:rsidP="00807F85">
                      <w:pPr>
                        <w:ind w:left="-4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D60567">
                        <w:rPr>
                          <w:rFonts w:cs="Arial"/>
                          <w:sz w:val="20"/>
                          <w:szCs w:val="22"/>
                        </w:rPr>
                        <w:t>KOMENTÁŘ:</w:t>
                      </w:r>
                    </w:p>
                    <w:p w14:paraId="6750C625" w14:textId="77777777" w:rsidR="00807F85" w:rsidRPr="00807F85" w:rsidRDefault="00807F85" w:rsidP="00807F85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807F85">
                        <w:rPr>
                          <w:b/>
                        </w:rPr>
                        <w:t>Pavel Sobíšek, hlavní ekonom UniCredit Bank:</w:t>
                      </w:r>
                    </w:p>
                    <w:p w14:paraId="20CE5CA6" w14:textId="77777777" w:rsidR="00807F85" w:rsidRPr="00807F85" w:rsidRDefault="00807F85">
                      <w:r>
                        <w:t>„</w:t>
                      </w:r>
                      <w:r w:rsidRPr="001D5BB9">
                        <w:rPr>
                          <w:i/>
                        </w:rPr>
                        <w:t>Prezentovat přesný číselný odhad růstu HDP v době, kdy se zdánlivě láme řada trendů, je samozřejmě trochu rizikem. V diskuzích na půdě České bankovní asociace ale panovala jednoznačná shoda, že se dnešní situace nijak nepodobá předkrizovému stavu roku 2008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BB9">
        <w:t>Na snížení růstové dynamiky se budou rovnoměrně podílet domácí faktory, ať už jde o soukromou a vládní spotřebu nebo investice. Zároveň však stejně jako v předchozí prognóze platí, že na tuzemském poli budou ještě v roce 2019 přetrvávat jevy, které jsou spíše symptomem ekonomického přehřátí. Jsou a budou jimi zejména nízká nezaměstnanost a s ní spojený výrazný růst mezd. I když růst mezd v roce 2019 oproti roku 2018</w:t>
      </w:r>
      <w:r w:rsidR="001D5BB9" w:rsidRPr="005C3EAC">
        <w:t xml:space="preserve"> </w:t>
      </w:r>
      <w:r w:rsidR="001D5BB9">
        <w:t>mírně zpomalí, jeho odhadovaná dynamika na úrovni bezmála sedmi procent může pro některé firmy, a to především v sektoru malých a středních podniků a ve firmách s vyšším podílem mzdových nákladů, znamenat budoucí existenční nejistotu. Očekávané snížení mzdové dynamiky na pět procent v roce 2020 už poměrně dobře odpovídá dlouhodobějším možnostem a výkonnosti ekonomiky.</w:t>
      </w:r>
    </w:p>
    <w:p w14:paraId="50D36E04" w14:textId="77777777" w:rsidR="001D5BB9" w:rsidRDefault="001D5BB9" w:rsidP="001D5BB9"/>
    <w:p w14:paraId="5A3079C6" w14:textId="6F31C056" w:rsidR="001D5BB9" w:rsidRDefault="001D5BB9" w:rsidP="001D5BB9">
      <w:r>
        <w:t xml:space="preserve">Za zmínku stojí, že živý růst mezd je sice tažen primárně situací na trhu práce, ale do jisté míry je ovlivněn také </w:t>
      </w:r>
      <w:r w:rsidRPr="00FA5EEC">
        <w:t>dynamickým v</w:t>
      </w:r>
      <w:r>
        <w:t>ývojem mezd ve veřejném sektoru. Souvislost mezi růstem platů ve veřejném sektoru s růstem mezd v sektoru soukromém je empiricky ověřenou skutečností v řadě zemí, kde stát zůstává významným zaměstnavatelem.</w:t>
      </w:r>
      <w:r w:rsidR="00D2261D">
        <w:t xml:space="preserve"> </w:t>
      </w:r>
      <w:r>
        <w:t>Odhadované postupné zpomalování růstu soukromé spotřeby mezi lety 2018, 2019 a 2020 odpovídá předpokládanému mzdovému vývoji.</w:t>
      </w:r>
    </w:p>
    <w:p w14:paraId="10BC9778" w14:textId="77777777" w:rsidR="001D5BB9" w:rsidRDefault="001D5BB9" w:rsidP="00E10053"/>
    <w:p w14:paraId="2E0B97B5" w14:textId="77777777" w:rsidR="001D5BB9" w:rsidRDefault="001D5BB9" w:rsidP="00E10053"/>
    <w:p w14:paraId="0DC7CEAD" w14:textId="77777777" w:rsidR="00E10053" w:rsidRPr="009139AF" w:rsidRDefault="00FD12DB" w:rsidP="009139AF">
      <w:pPr>
        <w:rPr>
          <w:b/>
          <w:color w:val="007E79"/>
          <w:sz w:val="20"/>
        </w:rPr>
      </w:pPr>
      <w:r w:rsidRPr="009139AF">
        <w:rPr>
          <w:b/>
          <w:color w:val="007E79"/>
          <w:sz w:val="20"/>
        </w:rPr>
        <w:t>Fiskální politika</w:t>
      </w:r>
      <w:r w:rsidR="005C6D52" w:rsidRPr="009139AF">
        <w:rPr>
          <w:b/>
          <w:color w:val="007E79"/>
          <w:sz w:val="20"/>
        </w:rPr>
        <w:t xml:space="preserve"> a dopad na veřejné rozpočty</w:t>
      </w:r>
    </w:p>
    <w:p w14:paraId="4550871B" w14:textId="77777777" w:rsidR="005C6D52" w:rsidRPr="00195C6D" w:rsidRDefault="006D23EF" w:rsidP="00195C6D">
      <w:r w:rsidRPr="00195C6D">
        <w:t xml:space="preserve">Pokud jde o vývoj českých veřejných rozpočtů, jejich výsledná salda sice působila v posledních letech na ekonomický cyklus spíše neutrálně. Je však zřejmé, že letos fiskální politika vyšle do ekonomiky expanzivní impulz. Jeho velikost (možná až přes </w:t>
      </w:r>
    </w:p>
    <w:p w14:paraId="3D5C02DB" w14:textId="77777777" w:rsidR="00FD12DB" w:rsidRPr="00195C6D" w:rsidRDefault="006D23EF" w:rsidP="00195C6D">
      <w:r w:rsidRPr="00195C6D">
        <w:t xml:space="preserve">1 % HDP), časování a také struktura jsou ovšem zatím obestřeny značnou nejistotou. Výdajová expanze kumulující se postupně v posledních čtvrtletích vede k úvaze, zda právě ve fázi zmírňování hospodářského růstu s nevyhnutelným nepříznivým dopadem </w:t>
      </w:r>
      <w:r w:rsidR="00A7149F" w:rsidRPr="00195C6D">
        <w:t>d</w:t>
      </w:r>
      <w:r w:rsidRPr="00195C6D">
        <w:t>o dynamiky příjmové strany veřejných rozpočtů a při zohlednění dalšího očekávaného růstu úrokových sazeb nezakládá tato expanze nejistotu ohledně prostoru pro reakci fiskální politiky v případě, že by ekonomika byla zasažena větším vnějším šokem.</w:t>
      </w:r>
    </w:p>
    <w:p w14:paraId="0DE6628E" w14:textId="629D5445" w:rsidR="00FD12DB" w:rsidRDefault="0060552B" w:rsidP="00195C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C71DD9" wp14:editId="4792E014">
                <wp:simplePos x="0" y="0"/>
                <wp:positionH relativeFrom="column">
                  <wp:posOffset>12065</wp:posOffset>
                </wp:positionH>
                <wp:positionV relativeFrom="paragraph">
                  <wp:posOffset>194310</wp:posOffset>
                </wp:positionV>
                <wp:extent cx="6471285" cy="1404620"/>
                <wp:effectExtent l="0" t="0" r="24765" b="1778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8940" w14:textId="77777777" w:rsidR="00FD12DB" w:rsidRPr="00D60567" w:rsidRDefault="00FD12DB" w:rsidP="00FD12DB">
                            <w:pPr>
                              <w:ind w:left="-4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D60567">
                              <w:rPr>
                                <w:rFonts w:cs="Arial"/>
                                <w:sz w:val="20"/>
                                <w:szCs w:val="22"/>
                              </w:rPr>
                              <w:t>KOMENTÁŘ:</w:t>
                            </w:r>
                          </w:p>
                          <w:p w14:paraId="2C8B1220" w14:textId="77777777" w:rsidR="00FD12DB" w:rsidRPr="00FD12DB" w:rsidRDefault="00FD12DB">
                            <w:pPr>
                              <w:rPr>
                                <w:b/>
                              </w:rPr>
                            </w:pPr>
                            <w:r w:rsidRPr="00FD12DB">
                              <w:rPr>
                                <w:b/>
                              </w:rPr>
                              <w:t>Michal Skořepa, ekonom České spořitelny:</w:t>
                            </w:r>
                          </w:p>
                          <w:p w14:paraId="6E43201A" w14:textId="77777777" w:rsidR="00FD12DB" w:rsidRDefault="00FD12DB">
                            <w:r>
                              <w:t>„</w:t>
                            </w:r>
                            <w:r w:rsidRPr="00FD12DB">
                              <w:rPr>
                                <w:i/>
                              </w:rPr>
                              <w:t>Domácí fiskální expanze může sice přechodně vyvážit nepříznivý vliv slábnoucího zahraničí, je však otázka, do jaké míry bude zvýšená úroveň veřejných výdajů udržitelná i v dalších letech</w:t>
                            </w:r>
                            <w:r>
                              <w:t>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71DD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95pt;margin-top:15.3pt;width:509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">
                <v:textbox style="mso-fit-shape-to-text:t">
                  <w:txbxContent>
                    <w:p w14:paraId="27D18940" w14:textId="77777777" w:rsidR="00FD12DB" w:rsidRPr="00D60567" w:rsidRDefault="00FD12DB" w:rsidP="00FD12DB">
                      <w:pPr>
                        <w:ind w:left="-4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D60567">
                        <w:rPr>
                          <w:rFonts w:cs="Arial"/>
                          <w:sz w:val="20"/>
                          <w:szCs w:val="22"/>
                        </w:rPr>
                        <w:t>KOMENTÁŘ:</w:t>
                      </w:r>
                    </w:p>
                    <w:p w14:paraId="2C8B1220" w14:textId="77777777" w:rsidR="00FD12DB" w:rsidRPr="00FD12DB" w:rsidRDefault="00FD12DB">
                      <w:pPr>
                        <w:rPr>
                          <w:b/>
                        </w:rPr>
                      </w:pPr>
                      <w:r w:rsidRPr="00FD12DB">
                        <w:rPr>
                          <w:b/>
                        </w:rPr>
                        <w:t>Michal Skořepa, ekonom České spořitelny:</w:t>
                      </w:r>
                    </w:p>
                    <w:p w14:paraId="6E43201A" w14:textId="77777777" w:rsidR="00FD12DB" w:rsidRDefault="00FD12DB">
                      <w:r>
                        <w:t>„</w:t>
                      </w:r>
                      <w:r w:rsidRPr="00FD12DB">
                        <w:rPr>
                          <w:i/>
                        </w:rPr>
                        <w:t>Domácí fiskální expanze může sice přechodně vyvážit nepříznivý vliv slábnoucího zahraničí, je však otázka, do jaké míry bude zvýšená úroveň veřejných výdajů udržitelná i v dalších letech</w:t>
                      </w:r>
                      <w:r>
                        <w:t>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F90A4" w14:textId="5D5F4CE0" w:rsidR="00FD12DB" w:rsidRDefault="00FD12DB" w:rsidP="006D23EF"/>
    <w:p w14:paraId="13CAC0F4" w14:textId="77777777" w:rsidR="00D2261D" w:rsidRDefault="00D2261D" w:rsidP="006D23EF"/>
    <w:p w14:paraId="78A2FEE2" w14:textId="05387997" w:rsidR="00A7149F" w:rsidRDefault="00A7149F" w:rsidP="006D23EF"/>
    <w:p w14:paraId="201928F4" w14:textId="11E96E08" w:rsidR="006D23EF" w:rsidRDefault="006D23EF" w:rsidP="006D23EF">
      <w:r>
        <w:lastRenderedPageBreak/>
        <w:t xml:space="preserve">Již v minulé prognóze jsme upozorňovali na to, že pokud by došlo ke krizovému otřesu ekonomiky, ať už by tato situace byla vyvolána čímkoliv, </w:t>
      </w:r>
      <w:r w:rsidRPr="005C6D52">
        <w:rPr>
          <w:b/>
        </w:rPr>
        <w:t>dopad na veřejné rozpočty</w:t>
      </w:r>
      <w:r>
        <w:t xml:space="preserve"> by mohl být poměrně značný. Projevil by se například snížením příjmů státního rozpočtu a tlakem na nárůst rozpočtového deficitu. Souběžně by nejspíš docházelo k růstu nákladů na dluhové financování rozpočtového deficitu</w:t>
      </w:r>
      <w:r w:rsidR="00D2261D">
        <w:t>.</w:t>
      </w:r>
      <w:r>
        <w:t xml:space="preserve"> </w:t>
      </w:r>
      <w:r w:rsidR="00D2261D">
        <w:t>S</w:t>
      </w:r>
      <w:r>
        <w:t>amozřejmě v závislosti na tom, jak by na takovou situaci reagovala politika měnová.</w:t>
      </w:r>
    </w:p>
    <w:p w14:paraId="0044CE12" w14:textId="77777777" w:rsidR="005C6D52" w:rsidRDefault="005C6D52" w:rsidP="006D23EF"/>
    <w:p w14:paraId="6AA22935" w14:textId="77777777" w:rsidR="006D23EF" w:rsidRDefault="006D23EF" w:rsidP="006D23EF">
      <w:r>
        <w:t>Pominout nelze ani strukturální rizika veřejných rozpočtů, vyplývajících zejména z</w:t>
      </w:r>
      <w:r w:rsidR="005C6D52">
        <w:t>e</w:t>
      </w:r>
      <w:r>
        <w:t xml:space="preserve"> stárnutí populace a z vysokého podílu souvisejících mandatorních výdajů. Nastávající další kolo debaty o penzijní reformě bude třeba bedlivě monitorovat jako příležitost dát fiskálu stabilní dlouhodobou perspektivu.</w:t>
      </w:r>
    </w:p>
    <w:p w14:paraId="6A13B796" w14:textId="77777777" w:rsidR="00E10053" w:rsidRDefault="00E10053" w:rsidP="00E10053">
      <w:pPr>
        <w:rPr>
          <w:b/>
        </w:rPr>
      </w:pPr>
    </w:p>
    <w:p w14:paraId="1176DBD9" w14:textId="77777777" w:rsidR="006D23EF" w:rsidRDefault="006D23EF" w:rsidP="00E10053">
      <w:pPr>
        <w:rPr>
          <w:b/>
        </w:rPr>
      </w:pPr>
    </w:p>
    <w:p w14:paraId="17DCCBF5" w14:textId="77777777" w:rsidR="00E10053" w:rsidRPr="009139AF" w:rsidRDefault="00E10053" w:rsidP="009139AF">
      <w:pPr>
        <w:rPr>
          <w:b/>
          <w:color w:val="007E79"/>
          <w:sz w:val="20"/>
        </w:rPr>
      </w:pPr>
      <w:r w:rsidRPr="009139AF">
        <w:rPr>
          <w:b/>
          <w:color w:val="007E79"/>
          <w:sz w:val="20"/>
        </w:rPr>
        <w:t>Inflace, devizový kurz a měnová politika</w:t>
      </w:r>
    </w:p>
    <w:p w14:paraId="5A0A7A92" w14:textId="11B9D0AA" w:rsidR="00D2261D" w:rsidRDefault="00FD12DB" w:rsidP="00FD12DB">
      <w:r>
        <w:t>Náš scénář předpokládá pro celý horizont prognózy do roku 2020 zpevňování koruny, a to v ročních průměrech za rok 2019 proti 2018 o 25 haléřů a za rok 2020 proti roku 2019 o dalších 55 haléřů. Samotný devizový kurz tak bude sehrávat roli stabilizačního činitele inflačního vývoje. To nemění nic na samotném předpokladu, že řídící úrokové sazby měnové politiky nadále porostou</w:t>
      </w:r>
      <w:r w:rsidR="00D2261D">
        <w:t xml:space="preserve"> –</w:t>
      </w:r>
    </w:p>
    <w:p w14:paraId="0C892B5B" w14:textId="5E212849" w:rsidR="00FD12DB" w:rsidRDefault="00FD12DB" w:rsidP="00FD12DB">
      <w:r>
        <w:t xml:space="preserve">oproti stávající úrovni celkově o 50 bazických bodů letos a o dalších 25 bazických bodů v roce 2020. Prognóza tak pracuje s předpokladem, že trajektorie růstu těchto úrokových sazeb bude pozvolnější, než se donedávna očekávalo. </w:t>
      </w:r>
    </w:p>
    <w:p w14:paraId="05510220" w14:textId="77777777" w:rsidR="00FD12DB" w:rsidRDefault="00FD12DB" w:rsidP="00FD12DB"/>
    <w:p w14:paraId="0FCB44B8" w14:textId="77777777" w:rsidR="00FD12DB" w:rsidRDefault="00FD12DB" w:rsidP="00FD12DB">
      <w:r w:rsidRPr="005C6D52">
        <w:rPr>
          <w:b/>
        </w:rPr>
        <w:t>Inflace</w:t>
      </w:r>
      <w:r>
        <w:t xml:space="preserve"> se bude v celém horizontu prognózy pohybovat blízko </w:t>
      </w:r>
      <w:r w:rsidRPr="005C6D52">
        <w:t>dvouprocentní hranice</w:t>
      </w:r>
      <w:r>
        <w:t>, i když spíš těsně nad touto úrovní, a nebude tedy problémem. Stabilitu inflace bude pomáhat udržet nejen posilující koruna, ale také např. očekávaná stabilita cen ropy.</w:t>
      </w:r>
    </w:p>
    <w:p w14:paraId="0417F813" w14:textId="77777777" w:rsidR="00FD12DB" w:rsidRDefault="00FD12DB" w:rsidP="00FD12DB">
      <w:r>
        <w:t>Pokud jde o celkový vývoj bankovních úvěrů, s prognózou je kompatibilní predikce jejich dalšího růstu jak v roce 2019, tak 2020 s dynamikou srovnatelnou s rokem 2018. Překvapením není odhad zpomalení růstu úvěrů domácnostem v roce 2019 proti roku 2018, a to zejména kvůli nižší poptávce po hypotékách. Tento vývoj však bude do značné míry kompenzován oživením růstu podnikových úvěrů.</w:t>
      </w:r>
    </w:p>
    <w:p w14:paraId="2694B158" w14:textId="77777777" w:rsidR="00FD12DB" w:rsidRDefault="00FD12DB" w:rsidP="00FD12DB"/>
    <w:p w14:paraId="3164388A" w14:textId="77777777" w:rsidR="00807F85" w:rsidRDefault="00807F85" w:rsidP="00FD12DB"/>
    <w:p w14:paraId="6CD9C91E" w14:textId="36EAC26E" w:rsidR="00FD12DB" w:rsidRPr="009139AF" w:rsidRDefault="004A1724" w:rsidP="009139AF">
      <w:pPr>
        <w:rPr>
          <w:b/>
          <w:color w:val="007E79"/>
          <w:sz w:val="20"/>
        </w:rPr>
      </w:pPr>
      <w:r>
        <w:rPr>
          <w:b/>
          <w:color w:val="007E79"/>
          <w:sz w:val="20"/>
        </w:rPr>
        <w:t>Rizika prognózy jsou převážně vnějšího charakteru</w:t>
      </w:r>
    </w:p>
    <w:p w14:paraId="7A609E74" w14:textId="77777777" w:rsidR="00803E55" w:rsidRDefault="00FD12DB" w:rsidP="00803E55">
      <w:r>
        <w:t>Rizika prognózy se oproti předchozí prognóze rovněž nemění. Hlavní nejistotou zůstává vývoj světové ekonomiky, zejména pak brexitu a z USA přicházející hrozby obchodních válek.</w:t>
      </w:r>
      <w:r w:rsidR="00803E55">
        <w:t xml:space="preserve"> </w:t>
      </w:r>
      <w:r w:rsidR="00803E55" w:rsidRPr="00807F85">
        <w:t>Varování před možnou náhlou změnou růstových scénářů směrem k horšímu trvá nadále, jednak proto, že naše velmi otevřená ekonomika je vůči případným výrazným vnějším šokům velmi citlivá a také proto, že trvají rizika tvrdého brexitu i globálních obchodních konfliktů.</w:t>
      </w:r>
    </w:p>
    <w:p w14:paraId="4AC40F03" w14:textId="77777777" w:rsidR="00803E55" w:rsidRDefault="00803E55" w:rsidP="00803E55"/>
    <w:p w14:paraId="2CC62935" w14:textId="77777777" w:rsidR="00803E55" w:rsidRDefault="00803E55" w:rsidP="00803E55">
      <w:r w:rsidRPr="00807F85">
        <w:t xml:space="preserve">Krátkodobě je největší nejistotou způsob a na něj navazující dopady </w:t>
      </w:r>
      <w:r w:rsidRPr="00803E55">
        <w:rPr>
          <w:b/>
        </w:rPr>
        <w:t>brexitu</w:t>
      </w:r>
      <w:r w:rsidRPr="00807F85">
        <w:t>.</w:t>
      </w:r>
      <w:r>
        <w:t xml:space="preserve"> Ve scénáři prognózy uvažujeme pouze</w:t>
      </w:r>
      <w:r w:rsidRPr="00803E55">
        <w:t xml:space="preserve"> dopady organizovaného brexitu, </w:t>
      </w:r>
      <w:r>
        <w:t xml:space="preserve">jsme si ale vědomi, že s přibližujícím se termínem efektivního odchodu Velké Británie z EU se význam rizika dopadu „tvrdého“ brexitu na českou ekonomiku zvětšuje. V prognostickém týmu však převládá názor, že tvrdý brexit by přinesl především volatilitu do obchodních vztahů mezi UK a EU. Přímý „úrovňový“ dopad, jakkoliv nezanedbatelný a pro některé individuální firmy bolestný, by byl spíše jen přechodný a česká ekonomika jako celek by ho ustála.    </w:t>
      </w:r>
    </w:p>
    <w:p w14:paraId="6C1DDAEC" w14:textId="77777777" w:rsidR="00803E55" w:rsidRDefault="00803E55" w:rsidP="00803E55"/>
    <w:p w14:paraId="0AFAEEBC" w14:textId="64F0273A" w:rsidR="00803E55" w:rsidRDefault="00803E55" w:rsidP="00803E55">
      <w:r w:rsidRPr="00807F85">
        <w:t xml:space="preserve">Nepřehlédnutelným činitelem, který může ovlivnit dynamiku české ekonomiky, je hospodářský vývoj našeho hlavního obchodního partnera, kterým je </w:t>
      </w:r>
      <w:r w:rsidRPr="00803E55">
        <w:rPr>
          <w:b/>
        </w:rPr>
        <w:t>Německo</w:t>
      </w:r>
      <w:r w:rsidRPr="00807F85">
        <w:t>, přes nějž by se dopady globálních ekonomických šoků přenášely i na nás.</w:t>
      </w:r>
    </w:p>
    <w:p w14:paraId="2FD2C317" w14:textId="43932764" w:rsidR="00803E55" w:rsidRDefault="00803E55" w:rsidP="00803E55"/>
    <w:p w14:paraId="2E738702" w14:textId="5D0D4EF2" w:rsidR="00803E55" w:rsidRDefault="00803E55" w:rsidP="00803E55">
      <w:r>
        <w:t xml:space="preserve">Na poli </w:t>
      </w:r>
      <w:r w:rsidRPr="00803E55">
        <w:t>globálních rizik</w:t>
      </w:r>
      <w:r>
        <w:t xml:space="preserve"> se oproti minulým prognózám bankovní asociace objevuje tentokrát i poukaz na vývoj v</w:t>
      </w:r>
      <w:r w:rsidRPr="00803E55">
        <w:rPr>
          <w:b/>
        </w:rPr>
        <w:t> Číně</w:t>
      </w:r>
      <w:r>
        <w:t>. I zde platí, že interpretace budoucího vývoje není snadná, protože se tu střetává množství vlivů, z nichž některé působí protisměrně. Na jedné straně je tu možný dopad již zmíněného obchodního konfliktu s USA a nelze pominout to, že již nějakou dobu je vidět trendové zpomalování čínské ekonomiky. Při diskusi v prognostickém týmu asociace však také zazněl názor, že proti těmto vlivům mohou v horizontu naší prognózy protisměrně působit prorůstové impulzy, které do čínské ekonomiky vysílá expanzivní fiskální i měnová politika.</w:t>
      </w:r>
    </w:p>
    <w:p w14:paraId="7F5AFF97" w14:textId="77777777" w:rsidR="00803E55" w:rsidRDefault="00803E55" w:rsidP="00803E55"/>
    <w:p w14:paraId="05BB7592" w14:textId="77777777" w:rsidR="00FD12DB" w:rsidRDefault="005C6D52" w:rsidP="00FD12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68A241" wp14:editId="16F70D97">
                <wp:simplePos x="0" y="0"/>
                <wp:positionH relativeFrom="column">
                  <wp:posOffset>0</wp:posOffset>
                </wp:positionH>
                <wp:positionV relativeFrom="paragraph">
                  <wp:posOffset>675640</wp:posOffset>
                </wp:positionV>
                <wp:extent cx="6476365" cy="1404620"/>
                <wp:effectExtent l="0" t="0" r="19685" b="1778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E0CB" w14:textId="77777777" w:rsidR="00F67E6A" w:rsidRPr="00D60567" w:rsidRDefault="00F67E6A" w:rsidP="00F67E6A">
                            <w:pPr>
                              <w:ind w:left="-4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D60567">
                              <w:rPr>
                                <w:rFonts w:cs="Arial"/>
                                <w:sz w:val="20"/>
                                <w:szCs w:val="22"/>
                              </w:rPr>
                              <w:t>KOMENTÁŘ:</w:t>
                            </w:r>
                          </w:p>
                          <w:p w14:paraId="098DC73B" w14:textId="77777777" w:rsidR="00F67E6A" w:rsidRDefault="00F67E6A" w:rsidP="00F67E6A">
                            <w:r w:rsidRPr="00FB22B7">
                              <w:rPr>
                                <w:b/>
                              </w:rPr>
                              <w:t>Miroslav Zámečník</w:t>
                            </w:r>
                            <w:r w:rsidRPr="00807F85">
                              <w:rPr>
                                <w:b/>
                              </w:rPr>
                              <w:t>, ekonomický analytik České bankovní asociace</w:t>
                            </w:r>
                            <w:r w:rsidR="00807F85">
                              <w:rPr>
                                <w:b/>
                              </w:rPr>
                              <w:t>:</w:t>
                            </w:r>
                          </w:p>
                          <w:p w14:paraId="1F20E319" w14:textId="0161D833" w:rsidR="00F67E6A" w:rsidRDefault="00F67E6A">
                            <w:r w:rsidRPr="00FB22B7">
                              <w:t>„</w:t>
                            </w:r>
                            <w:r w:rsidRPr="00F67E6A">
                              <w:rPr>
                                <w:i/>
                              </w:rPr>
                              <w:t>Pro mezinárodní obchod tady zůstává kromě Brexitu zdroj nepredikovatelné nejistoty v podobě „faktoru Trump“. V pro nás důležitém automobilovém průmyslu například americké ministerstvo průmyslu dosud zkoumá, zda dovoz aut (například z Německa s mnoha v </w:t>
                            </w:r>
                            <w:r w:rsidR="003E3DCB">
                              <w:rPr>
                                <w:i/>
                              </w:rPr>
                              <w:t>Č</w:t>
                            </w:r>
                            <w:r w:rsidRPr="00F67E6A">
                              <w:rPr>
                                <w:i/>
                              </w:rPr>
                              <w:t>esku vyrobenými komponenty) neohrožuje národní bezpečnost USA.</w:t>
                            </w:r>
                            <w:r>
                              <w:t xml:space="preserve">“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8A241" id="_x0000_s1029" type="#_x0000_t202" style="position:absolute;left:0;text-align:left;margin-left:0;margin-top:53.2pt;width:509.9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">
                <v:textbox style="mso-fit-shape-to-text:t">
                  <w:txbxContent>
                    <w:p w14:paraId="7105E0CB" w14:textId="77777777" w:rsidR="00F67E6A" w:rsidRPr="00D60567" w:rsidRDefault="00F67E6A" w:rsidP="00F67E6A">
                      <w:pPr>
                        <w:ind w:left="-4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D60567">
                        <w:rPr>
                          <w:rFonts w:cs="Arial"/>
                          <w:sz w:val="20"/>
                          <w:szCs w:val="22"/>
                        </w:rPr>
                        <w:t>KOMENTÁŘ:</w:t>
                      </w:r>
                    </w:p>
                    <w:p w14:paraId="098DC73B" w14:textId="77777777" w:rsidR="00F67E6A" w:rsidRDefault="00F67E6A" w:rsidP="00F67E6A">
                      <w:r w:rsidRPr="00FB22B7">
                        <w:rPr>
                          <w:b/>
                        </w:rPr>
                        <w:t>Miroslav Zámečník</w:t>
                      </w:r>
                      <w:r w:rsidRPr="00807F85">
                        <w:rPr>
                          <w:b/>
                        </w:rPr>
                        <w:t>, ekonomický analytik České bankovní asociace</w:t>
                      </w:r>
                      <w:r w:rsidR="00807F85">
                        <w:rPr>
                          <w:b/>
                        </w:rPr>
                        <w:t>:</w:t>
                      </w:r>
                    </w:p>
                    <w:p w14:paraId="1F20E319" w14:textId="0161D833" w:rsidR="00F67E6A" w:rsidRDefault="00F67E6A">
                      <w:r w:rsidRPr="00FB22B7">
                        <w:t>„</w:t>
                      </w:r>
                      <w:r w:rsidRPr="00F67E6A">
                        <w:rPr>
                          <w:i/>
                        </w:rPr>
                        <w:t>Pro mezinárodní obchod tady zůstává kromě Brexitu zdroj nepredikovatelné nejistoty v podobě „faktoru Trump“. V pro nás důležitém automobilovém průmyslu například americké ministerstvo průmyslu dosud zkoumá, zda dovoz aut (například z Německa s mnoha v </w:t>
                      </w:r>
                      <w:r w:rsidR="003E3DCB">
                        <w:rPr>
                          <w:i/>
                        </w:rPr>
                        <w:t>Č</w:t>
                      </w:r>
                      <w:r w:rsidRPr="00F67E6A">
                        <w:rPr>
                          <w:i/>
                        </w:rPr>
                        <w:t>esku vyrobenými komponenty) neohrožuje národní bezpečnost USA.</w:t>
                      </w:r>
                      <w:r>
                        <w:t xml:space="preserve">“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2DB">
        <w:t>Velkou nejistotou nejen v případě</w:t>
      </w:r>
      <w:r w:rsidR="00FD12DB" w:rsidRPr="00803E55">
        <w:t xml:space="preserve"> české ekonomiky, ale i celoevropsky </w:t>
      </w:r>
      <w:r w:rsidR="00FD12DB">
        <w:t xml:space="preserve">je, jak se bude vyvíjet </w:t>
      </w:r>
      <w:r w:rsidR="00FD12DB" w:rsidRPr="00803E55">
        <w:rPr>
          <w:b/>
        </w:rPr>
        <w:t>situace v automobilovém průmyslu včetně celé subdodavatelské linie</w:t>
      </w:r>
      <w:r w:rsidR="00FD12DB">
        <w:t>. V očekávaném poklesu výkonu v tomto segmentu ekonomiky bude obtížné odlišit jednorázové vlivy, například v souvislosti s efektem předzásobení, vyvolaným na britském automobilovém trhu blížícím se brexitem, od možného cyklického poklesu souvisejícího s oslabením poptávky na hlavních trzích.</w:t>
      </w:r>
    </w:p>
    <w:p w14:paraId="01A57007" w14:textId="77777777" w:rsidR="00F67E6A" w:rsidRDefault="00F67E6A" w:rsidP="00FD12DB"/>
    <w:p w14:paraId="4A3564CD" w14:textId="39136072" w:rsidR="003F7F31" w:rsidRDefault="003F7F31" w:rsidP="003F7F31">
      <w:pPr>
        <w:spacing w:after="160" w:line="276" w:lineRule="auto"/>
        <w:rPr>
          <w:rFonts w:cs="Arial"/>
          <w:color w:val="BFBFBF" w:themeColor="background1" w:themeShade="BF"/>
        </w:rPr>
      </w:pPr>
    </w:p>
    <w:p w14:paraId="3767CCC8" w14:textId="77777777" w:rsidR="00D2261D" w:rsidRDefault="00D2261D" w:rsidP="003F7F31">
      <w:pPr>
        <w:spacing w:after="160" w:line="276" w:lineRule="auto"/>
        <w:rPr>
          <w:rFonts w:cs="Arial"/>
          <w:color w:val="BFBFBF" w:themeColor="background1" w:themeShade="BF"/>
        </w:rPr>
      </w:pPr>
    </w:p>
    <w:p w14:paraId="3397B655" w14:textId="77777777" w:rsidR="00ED452D" w:rsidRDefault="00ED452D" w:rsidP="009139AF">
      <w:pPr>
        <w:rPr>
          <w:b/>
          <w:color w:val="007E79"/>
          <w:sz w:val="20"/>
        </w:rPr>
      </w:pPr>
    </w:p>
    <w:p w14:paraId="7D68D706" w14:textId="49AAAC10" w:rsidR="00F67E6A" w:rsidRPr="009139AF" w:rsidRDefault="00F67E6A" w:rsidP="009139AF">
      <w:pPr>
        <w:rPr>
          <w:b/>
          <w:color w:val="007E79"/>
          <w:sz w:val="20"/>
        </w:rPr>
      </w:pPr>
      <w:r w:rsidRPr="009139AF">
        <w:rPr>
          <w:b/>
          <w:color w:val="007E79"/>
          <w:sz w:val="20"/>
        </w:rPr>
        <w:lastRenderedPageBreak/>
        <w:t>Prognózy růstu reálného HDP:</w:t>
      </w:r>
      <w:bookmarkStart w:id="0" w:name="_GoBack"/>
      <w:bookmarkEnd w:id="0"/>
    </w:p>
    <w:p w14:paraId="3A0DF71E" w14:textId="77777777" w:rsidR="00F67E6A" w:rsidRDefault="00F67E6A" w:rsidP="00F67E6A">
      <w:pPr>
        <w:rPr>
          <w:rFonts w:cs="Arial"/>
          <w:color w:val="339966"/>
          <w:sz w:val="20"/>
          <w:szCs w:val="1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54"/>
      </w:tblGrid>
      <w:tr w:rsidR="00F67E6A" w14:paraId="067B154A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hideMark/>
          </w:tcPr>
          <w:p w14:paraId="44CE1024" w14:textId="77777777" w:rsidR="00F67E6A" w:rsidRDefault="00F67E6A">
            <w:pPr>
              <w:spacing w:line="256" w:lineRule="auto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Instituce </w:t>
            </w:r>
            <w:r>
              <w:rPr>
                <w:rFonts w:cs="Arial"/>
                <w:color w:val="FFFFFF"/>
                <w:sz w:val="20"/>
                <w:szCs w:val="18"/>
              </w:rPr>
              <w:t>(+ nejaktuálnější prognóza)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hideMark/>
          </w:tcPr>
          <w:p w14:paraId="304E118A" w14:textId="77777777" w:rsidR="00F67E6A" w:rsidRDefault="00F67E6A" w:rsidP="00F67E6A">
            <w:pPr>
              <w:spacing w:line="256" w:lineRule="auto"/>
              <w:jc w:val="center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hideMark/>
          </w:tcPr>
          <w:p w14:paraId="3E03BA84" w14:textId="77777777" w:rsidR="00F67E6A" w:rsidRDefault="00F67E6A" w:rsidP="00F67E6A">
            <w:pPr>
              <w:spacing w:line="256" w:lineRule="auto"/>
              <w:jc w:val="center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hideMark/>
          </w:tcPr>
          <w:p w14:paraId="30173C8F" w14:textId="77777777" w:rsidR="00F67E6A" w:rsidRDefault="00F67E6A" w:rsidP="00F67E6A">
            <w:pPr>
              <w:spacing w:line="256" w:lineRule="auto"/>
              <w:jc w:val="center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2020</w:t>
            </w:r>
          </w:p>
        </w:tc>
      </w:tr>
      <w:tr w:rsidR="00F67E6A" w14:paraId="251ED925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7B78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ČNB (prognóza listopad 2018)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E4B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  3,1 %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B29A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3,3 %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8FFE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3,3 %</w:t>
            </w:r>
          </w:p>
        </w:tc>
      </w:tr>
      <w:tr w:rsidR="00F67E6A" w14:paraId="0EDCFAAF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1A10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Ministerstvo financí ČR (prognóza leden 2019)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A56F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2,8 %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9A6C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2,5 %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7E4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2,4 %</w:t>
            </w:r>
          </w:p>
        </w:tc>
      </w:tr>
      <w:tr w:rsidR="00F67E6A" w14:paraId="43D9D58F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D1C8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OECD (prognóza listopad 2018)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711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3,0 %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8FBF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2,7 %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718C" w14:textId="77777777" w:rsidR="00F67E6A" w:rsidRDefault="00F67E6A">
            <w:pPr>
              <w:spacing w:line="256" w:lineRule="auto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2,6 %</w:t>
            </w:r>
          </w:p>
        </w:tc>
      </w:tr>
      <w:tr w:rsidR="00F67E6A" w14:paraId="39C504E0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B6A7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FF0000"/>
                <w:sz w:val="20"/>
                <w:szCs w:val="18"/>
              </w:rPr>
              <w:t xml:space="preserve">ČBA (prognóza únor 2019)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5E722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Cs/>
                <w:color w:val="FF0000"/>
                <w:kern w:val="24"/>
                <w:sz w:val="22"/>
                <w:szCs w:val="22"/>
              </w:rPr>
              <w:t>2,8 %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0BB40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Cs/>
                <w:color w:val="FF0000"/>
                <w:kern w:val="24"/>
                <w:sz w:val="22"/>
                <w:szCs w:val="22"/>
              </w:rPr>
              <w:t>2,6 %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4D0E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Cs/>
                <w:color w:val="FF0000"/>
                <w:kern w:val="24"/>
                <w:sz w:val="22"/>
                <w:szCs w:val="22"/>
              </w:rPr>
              <w:t>2,5 %</w:t>
            </w:r>
          </w:p>
        </w:tc>
      </w:tr>
    </w:tbl>
    <w:p w14:paraId="5658E9B4" w14:textId="77777777" w:rsidR="00F67E6A" w:rsidRDefault="00F67E6A" w:rsidP="00F67E6A">
      <w:pPr>
        <w:spacing w:after="240"/>
        <w:rPr>
          <w:rFonts w:cs="Arial"/>
          <w:b/>
          <w:sz w:val="20"/>
          <w:szCs w:val="18"/>
        </w:rPr>
      </w:pPr>
    </w:p>
    <w:p w14:paraId="2C0A808C" w14:textId="77777777" w:rsidR="00F67E6A" w:rsidRPr="009139AF" w:rsidRDefault="00F67E6A" w:rsidP="009139AF">
      <w:pPr>
        <w:rPr>
          <w:b/>
          <w:color w:val="007E79"/>
          <w:sz w:val="20"/>
        </w:rPr>
      </w:pPr>
      <w:r w:rsidRPr="009139AF">
        <w:rPr>
          <w:b/>
          <w:color w:val="007E79"/>
          <w:sz w:val="20"/>
        </w:rPr>
        <w:t>Makroekonomická prognóza ČBA v číslech:</w:t>
      </w:r>
    </w:p>
    <w:p w14:paraId="29F252C0" w14:textId="77777777" w:rsidR="00F67E6A" w:rsidRDefault="00F67E6A" w:rsidP="00F67E6A">
      <w:pPr>
        <w:rPr>
          <w:rFonts w:cs="Arial"/>
          <w:sz w:val="20"/>
          <w:szCs w:val="1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54"/>
      </w:tblGrid>
      <w:tr w:rsidR="00F67E6A" w14:paraId="532F0727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hideMark/>
          </w:tcPr>
          <w:p w14:paraId="505D6C10" w14:textId="77777777" w:rsidR="00F67E6A" w:rsidRDefault="00F67E6A">
            <w:pPr>
              <w:spacing w:line="256" w:lineRule="auto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Ukazatel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hideMark/>
          </w:tcPr>
          <w:p w14:paraId="2B077343" w14:textId="77777777" w:rsidR="00F67E6A" w:rsidRDefault="00F67E6A" w:rsidP="00F67E6A">
            <w:pPr>
              <w:spacing w:line="256" w:lineRule="auto"/>
              <w:jc w:val="center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hideMark/>
          </w:tcPr>
          <w:p w14:paraId="57DD95D3" w14:textId="77777777" w:rsidR="00F67E6A" w:rsidRDefault="00F67E6A" w:rsidP="00F67E6A">
            <w:pPr>
              <w:spacing w:line="256" w:lineRule="auto"/>
              <w:jc w:val="center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hideMark/>
          </w:tcPr>
          <w:p w14:paraId="6AC99A3D" w14:textId="77777777" w:rsidR="00F67E6A" w:rsidRDefault="00F67E6A" w:rsidP="00F67E6A">
            <w:pPr>
              <w:spacing w:line="256" w:lineRule="auto"/>
              <w:jc w:val="center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2020</w:t>
            </w:r>
          </w:p>
        </w:tc>
      </w:tr>
      <w:tr w:rsidR="00F67E6A" w14:paraId="5B81C70A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9B6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reálného HDP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CD16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4BA41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A33CA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2,5</w:t>
            </w:r>
          </w:p>
        </w:tc>
      </w:tr>
      <w:tr w:rsidR="00F67E6A" w14:paraId="23CA042B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B1D0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Podíl nezaměstnaných osob (MPSV): průměr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B309C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4A56B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BE0F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3,0</w:t>
            </w:r>
          </w:p>
        </w:tc>
      </w:tr>
      <w:tr w:rsidR="00F67E6A" w14:paraId="1C26BF61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9A60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Průměrná nominální mzda (růst v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5038F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63EA6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6,9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E148A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5,0</w:t>
            </w:r>
          </w:p>
        </w:tc>
      </w:tr>
      <w:tr w:rsidR="00F67E6A" w14:paraId="78AAA51D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9AD9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Míra inflace: CPI (%) průměr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298F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C2BAA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   2,2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F4FE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2,0</w:t>
            </w:r>
          </w:p>
        </w:tc>
      </w:tr>
      <w:tr w:rsidR="00F67E6A" w14:paraId="1E435E56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3881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Vládní deficit/přebytek (% HDP)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D8727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B849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AF8C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0,0</w:t>
            </w:r>
          </w:p>
        </w:tc>
      </w:tr>
      <w:tr w:rsidR="00F67E6A" w14:paraId="76A5BE69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BFDE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Vládní dluh (% HDP)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B6B15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7F0C0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BD3B6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30,2</w:t>
            </w:r>
          </w:p>
        </w:tc>
      </w:tr>
      <w:tr w:rsidR="00F67E6A" w14:paraId="24ED54E0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C56B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spotřeby domácností (%) reálně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07CB5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CF46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67A8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2,8</w:t>
            </w:r>
          </w:p>
        </w:tc>
      </w:tr>
      <w:tr w:rsidR="00F67E6A" w14:paraId="7EC8FFA8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DBBC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vládní spotřeby (%) reálně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38447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66E7C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96AF4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1,9</w:t>
            </w:r>
          </w:p>
        </w:tc>
      </w:tr>
      <w:tr w:rsidR="00F67E6A" w14:paraId="30928768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DB41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investic (%) reálně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BEC9B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0E5A7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71C39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3,0</w:t>
            </w:r>
          </w:p>
        </w:tc>
      </w:tr>
      <w:tr w:rsidR="00F67E6A" w14:paraId="43C69B46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6C50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reálného HDP v eurozóně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4F023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D3599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1,5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E105E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1,4</w:t>
            </w:r>
          </w:p>
        </w:tc>
      </w:tr>
      <w:tr w:rsidR="00F67E6A" w14:paraId="38936E12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9DF4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Směnný kurz CZEK/EUR: průměr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B6517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22030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25,39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99C70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24,84</w:t>
            </w:r>
          </w:p>
        </w:tc>
      </w:tr>
      <w:tr w:rsidR="00F67E6A" w14:paraId="2254D39A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8C46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Ceny ropy (USD za barel): brent průměr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C03D8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     71,70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C219B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1EA43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70,00</w:t>
            </w:r>
          </w:p>
        </w:tc>
      </w:tr>
      <w:tr w:rsidR="00F67E6A" w14:paraId="75D38BA3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2D8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Základní sazba ČNB </w:t>
            </w:r>
            <w:proofErr w:type="gramStart"/>
            <w:r>
              <w:rPr>
                <w:rFonts w:cs="Arial"/>
                <w:sz w:val="20"/>
                <w:szCs w:val="18"/>
              </w:rPr>
              <w:t>2T</w:t>
            </w:r>
            <w:proofErr w:type="gramEnd"/>
            <w:r>
              <w:rPr>
                <w:rFonts w:cs="Arial"/>
                <w:sz w:val="20"/>
                <w:szCs w:val="18"/>
              </w:rPr>
              <w:t xml:space="preserve"> REPO (%): konec období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08F47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56338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3FAD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2,5</w:t>
            </w:r>
          </w:p>
        </w:tc>
      </w:tr>
      <w:tr w:rsidR="00F67E6A" w14:paraId="03AACFBE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78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Základní sazba ECB (%): konec období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FD9FA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A4A99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0,25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B650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0,5</w:t>
            </w:r>
          </w:p>
        </w:tc>
      </w:tr>
      <w:tr w:rsidR="00F67E6A" w14:paraId="245ABCBB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53BC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3M-PRIBOR (%): průměr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9377B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2178A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DE944" w14:textId="77777777" w:rsidR="00F67E6A" w:rsidRDefault="00F67E6A">
            <w:pPr>
              <w:pStyle w:val="Normlnweb"/>
              <w:spacing w:before="0" w:beforeAutospacing="0" w:after="0" w:afterAutospacing="0" w:line="254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2,65</w:t>
            </w:r>
          </w:p>
        </w:tc>
      </w:tr>
      <w:tr w:rsidR="00F67E6A" w14:paraId="00028C3A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2268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bankovních úvěrů klientských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FCCC4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F6500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5,0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29D20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4,8</w:t>
            </w:r>
          </w:p>
        </w:tc>
      </w:tr>
      <w:tr w:rsidR="00F67E6A" w14:paraId="04773C8B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3800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bankovních úvěrů domácnostem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35B46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17D32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5,9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CCF3E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5,5</w:t>
            </w:r>
          </w:p>
        </w:tc>
      </w:tr>
      <w:tr w:rsidR="00F67E6A" w14:paraId="517AFB7D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4AC1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bankovních úvěrů (nefinančním) podnikům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B909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16FE6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4,0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EBE65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3,8</w:t>
            </w:r>
          </w:p>
        </w:tc>
      </w:tr>
      <w:tr w:rsidR="00F67E6A" w14:paraId="3B430599" w14:textId="77777777" w:rsidTr="0004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93B" w14:textId="77777777" w:rsidR="00F67E6A" w:rsidRDefault="00F67E6A">
            <w:pPr>
              <w:spacing w:line="25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Růst bankovních vkladů klientských celkem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50FEF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11545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6,0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9E2EB" w14:textId="77777777" w:rsidR="00F67E6A" w:rsidRDefault="00F67E6A">
            <w:pPr>
              <w:pStyle w:val="Normlnweb"/>
              <w:spacing w:before="0" w:beforeAutospacing="0" w:after="0" w:afterAutospacing="0" w:line="256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5,3</w:t>
            </w:r>
          </w:p>
        </w:tc>
      </w:tr>
    </w:tbl>
    <w:p w14:paraId="153A8937" w14:textId="77777777" w:rsidR="00F67E6A" w:rsidRDefault="00F67E6A" w:rsidP="00F67E6A">
      <w:pPr>
        <w:rPr>
          <w:rFonts w:cs="Arial"/>
          <w:sz w:val="20"/>
          <w:szCs w:val="18"/>
        </w:rPr>
      </w:pPr>
    </w:p>
    <w:p w14:paraId="01AEB32A" w14:textId="77777777" w:rsidR="00F67E6A" w:rsidRDefault="00F67E6A" w:rsidP="00F67E6A">
      <w:pPr>
        <w:rPr>
          <w:rFonts w:cs="Arial"/>
        </w:rPr>
      </w:pPr>
    </w:p>
    <w:p w14:paraId="261BFDDE" w14:textId="77777777" w:rsidR="00F67E6A" w:rsidRDefault="00F67E6A" w:rsidP="00F67E6A"/>
    <w:p w14:paraId="1AE6FC8E" w14:textId="77777777" w:rsidR="005C1943" w:rsidRPr="00517111" w:rsidRDefault="00044002" w:rsidP="00F67E6A">
      <w:pPr>
        <w:rPr>
          <w:rFonts w:eastAsiaTheme="minorEastAsia" w:cs="Arial"/>
        </w:rPr>
      </w:pPr>
      <w:r w:rsidRPr="005A44FF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4DFD89B4">
                <wp:simplePos x="0" y="0"/>
                <wp:positionH relativeFrom="margin">
                  <wp:posOffset>4184015</wp:posOffset>
                </wp:positionH>
                <wp:positionV relativeFrom="paragraph">
                  <wp:posOffset>895350</wp:posOffset>
                </wp:positionV>
                <wp:extent cx="2235200" cy="1637665"/>
                <wp:effectExtent l="0" t="0" r="0" b="63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63766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044002" w:rsidRPr="003D3951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14:paraId="0B0CE061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044002" w:rsidRDefault="00044002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32" style="position:absolute;left:0;text-align:left;margin-left:329.45pt;margin-top:70.5pt;width:176pt;height:128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" fillcolor="#007e79" stroked="f" strokeweight="1pt">
                <v:fill opacity="32639f"/>
                <v:textbox inset="3mm,3mm,3mm,3mm">
                  <w:txbxContent>
                    <w:p w14:paraId="7AC95292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044002" w:rsidRPr="003D3951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14:paraId="0B0CE061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044002" w:rsidRDefault="00044002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44FF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0262A921">
                <wp:simplePos x="0" y="0"/>
                <wp:positionH relativeFrom="margin">
                  <wp:posOffset>-209550</wp:posOffset>
                </wp:positionH>
                <wp:positionV relativeFrom="paragraph">
                  <wp:posOffset>894715</wp:posOffset>
                </wp:positionV>
                <wp:extent cx="4216400" cy="1637969"/>
                <wp:effectExtent l="0" t="0" r="0" b="635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6379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044002" w:rsidRPr="005A44FF" w:rsidRDefault="00044002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77777777" w:rsidR="00044002" w:rsidRPr="00F67E6A" w:rsidRDefault="00044002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33" style="position:absolute;left:0;text-align:left;margin-left:-16.5pt;margin-top:70.45pt;width:332pt;height:1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" fillcolor="#bfbfbf [2412]" stroked="f" strokeweight="1pt">
                <v:textbox inset="3mm,3mm,3mm,3mm">
                  <w:txbxContent>
                    <w:p w14:paraId="4C1160DE" w14:textId="77777777" w:rsidR="00044002" w:rsidRPr="005A44FF" w:rsidRDefault="00044002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51BDEFCD" w14:textId="77777777" w:rsidR="00044002" w:rsidRPr="00F67E6A" w:rsidRDefault="00044002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7E6A" w:rsidRPr="00517111">
        <w:rPr>
          <w:rFonts w:eastAsiaTheme="minorEastAsia" w:cs="Arial"/>
        </w:rPr>
        <w:t xml:space="preserve"> </w:t>
      </w:r>
    </w:p>
    <w:sectPr w:rsidR="005C1943" w:rsidRPr="00517111" w:rsidSect="001D5BB9">
      <w:headerReference w:type="default" r:id="rId8"/>
      <w:footerReference w:type="default" r:id="rId9"/>
      <w:pgSz w:w="11906" w:h="16838"/>
      <w:pgMar w:top="2552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FE53" w14:textId="77777777" w:rsidR="00A90878" w:rsidRDefault="00A90878" w:rsidP="00F573F1">
      <w:r>
        <w:separator/>
      </w:r>
    </w:p>
  </w:endnote>
  <w:endnote w:type="continuationSeparator" w:id="0">
    <w:p w14:paraId="32C9162F" w14:textId="77777777" w:rsidR="00A90878" w:rsidRDefault="00A9087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14:paraId="13CE44BD" w14:textId="77777777" w:rsidR="00FB4A1C" w:rsidRPr="00FB4A1C" w:rsidRDefault="00FB4A1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C635" w14:textId="77777777" w:rsidR="00A90878" w:rsidRDefault="00A90878" w:rsidP="00F573F1">
      <w:r>
        <w:separator/>
      </w:r>
    </w:p>
  </w:footnote>
  <w:footnote w:type="continuationSeparator" w:id="0">
    <w:p w14:paraId="7AE1463E" w14:textId="77777777" w:rsidR="00A90878" w:rsidRDefault="00A90878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44002"/>
    <w:rsid w:val="000D5D2B"/>
    <w:rsid w:val="0011443F"/>
    <w:rsid w:val="00195C6D"/>
    <w:rsid w:val="001D5BB9"/>
    <w:rsid w:val="00267ACA"/>
    <w:rsid w:val="002D1376"/>
    <w:rsid w:val="002F477C"/>
    <w:rsid w:val="00327407"/>
    <w:rsid w:val="00370F35"/>
    <w:rsid w:val="00391FA6"/>
    <w:rsid w:val="003952ED"/>
    <w:rsid w:val="003C3D7F"/>
    <w:rsid w:val="003E3DCB"/>
    <w:rsid w:val="003F1CB9"/>
    <w:rsid w:val="003F7F31"/>
    <w:rsid w:val="00437589"/>
    <w:rsid w:val="004A1724"/>
    <w:rsid w:val="004E1AC6"/>
    <w:rsid w:val="00517111"/>
    <w:rsid w:val="005642DD"/>
    <w:rsid w:val="005A2501"/>
    <w:rsid w:val="005A44FF"/>
    <w:rsid w:val="005C1943"/>
    <w:rsid w:val="005C6D52"/>
    <w:rsid w:val="005E58E1"/>
    <w:rsid w:val="0060552B"/>
    <w:rsid w:val="00611C5C"/>
    <w:rsid w:val="006963D2"/>
    <w:rsid w:val="006B2F86"/>
    <w:rsid w:val="006D23EF"/>
    <w:rsid w:val="007B02A8"/>
    <w:rsid w:val="007C4C83"/>
    <w:rsid w:val="007D4025"/>
    <w:rsid w:val="007F40D6"/>
    <w:rsid w:val="00803E55"/>
    <w:rsid w:val="00807F85"/>
    <w:rsid w:val="00811FE2"/>
    <w:rsid w:val="00854190"/>
    <w:rsid w:val="00870102"/>
    <w:rsid w:val="00872847"/>
    <w:rsid w:val="008857AA"/>
    <w:rsid w:val="009139AF"/>
    <w:rsid w:val="00944D10"/>
    <w:rsid w:val="00977317"/>
    <w:rsid w:val="00A7149F"/>
    <w:rsid w:val="00A8750A"/>
    <w:rsid w:val="00A90878"/>
    <w:rsid w:val="00B27646"/>
    <w:rsid w:val="00B506AC"/>
    <w:rsid w:val="00B95673"/>
    <w:rsid w:val="00C17244"/>
    <w:rsid w:val="00C74048"/>
    <w:rsid w:val="00CA7866"/>
    <w:rsid w:val="00D10717"/>
    <w:rsid w:val="00D2261D"/>
    <w:rsid w:val="00D97E49"/>
    <w:rsid w:val="00E10053"/>
    <w:rsid w:val="00E3317B"/>
    <w:rsid w:val="00E3386F"/>
    <w:rsid w:val="00E77101"/>
    <w:rsid w:val="00ED452D"/>
    <w:rsid w:val="00F573F1"/>
    <w:rsid w:val="00F6767A"/>
    <w:rsid w:val="00F67E6A"/>
    <w:rsid w:val="00FB4A1C"/>
    <w:rsid w:val="00FD12DB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0846-B3D1-4BCC-9C5A-2612E2D9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6</cp:revision>
  <cp:lastPrinted>2019-02-04T15:22:00Z</cp:lastPrinted>
  <dcterms:created xsi:type="dcterms:W3CDTF">2019-02-04T14:49:00Z</dcterms:created>
  <dcterms:modified xsi:type="dcterms:W3CDTF">2019-02-05T07:58:00Z</dcterms:modified>
</cp:coreProperties>
</file>