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E6" w:rsidRPr="000D7434" w:rsidRDefault="00D35DB0" w:rsidP="003A393D">
      <w:pPr>
        <w:pStyle w:val="Standard"/>
        <w:overflowPunct w:val="0"/>
        <w:spacing w:line="276" w:lineRule="auto"/>
        <w:ind w:left="28" w:hanging="28"/>
        <w:rPr>
          <w:rFonts w:cs="Arial"/>
          <w:b/>
          <w:color w:val="57B167"/>
          <w:sz w:val="28"/>
          <w:szCs w:val="24"/>
        </w:rPr>
      </w:pPr>
      <w:r>
        <w:rPr>
          <w:rFonts w:cs="Arial"/>
          <w:b/>
          <w:color w:val="57B167"/>
          <w:sz w:val="28"/>
          <w:szCs w:val="24"/>
        </w:rPr>
        <w:t>10 let od vypuknutí finanční krize</w:t>
      </w:r>
      <w:r w:rsidR="00CB7191">
        <w:rPr>
          <w:rFonts w:cs="Arial"/>
          <w:b/>
          <w:color w:val="57B167"/>
          <w:sz w:val="28"/>
          <w:szCs w:val="24"/>
        </w:rPr>
        <w:t xml:space="preserve"> </w:t>
      </w:r>
    </w:p>
    <w:p w:rsidR="00823363" w:rsidRDefault="00823363" w:rsidP="009B3FC9">
      <w:pPr>
        <w:pStyle w:val="Standard"/>
        <w:spacing w:line="276" w:lineRule="auto"/>
        <w:rPr>
          <w:rFonts w:cs="Arial"/>
          <w:sz w:val="20"/>
        </w:rPr>
      </w:pPr>
    </w:p>
    <w:p w:rsidR="00231085" w:rsidRDefault="00461149" w:rsidP="00FC6778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V roce 2018, tedy v roce desetiletého výročí vypuknutí finanční krize</w:t>
      </w:r>
      <w:r w:rsidR="0013470E">
        <w:rPr>
          <w:rFonts w:cs="Arial"/>
          <w:sz w:val="20"/>
        </w:rPr>
        <w:t>,</w:t>
      </w:r>
      <w:r>
        <w:rPr>
          <w:rFonts w:cs="Arial"/>
          <w:sz w:val="20"/>
        </w:rPr>
        <w:t xml:space="preserve"> která se přelila do reálných ekonomik prakticky celého vyspělého světa</w:t>
      </w:r>
      <w:r w:rsidR="0013470E">
        <w:rPr>
          <w:rFonts w:cs="Arial"/>
          <w:sz w:val="20"/>
        </w:rPr>
        <w:t>,</w:t>
      </w:r>
      <w:r>
        <w:rPr>
          <w:rFonts w:cs="Arial"/>
          <w:sz w:val="20"/>
        </w:rPr>
        <w:t xml:space="preserve"> čeká g</w:t>
      </w:r>
      <w:r w:rsidR="00FC6778">
        <w:rPr>
          <w:rFonts w:cs="Arial"/>
          <w:sz w:val="20"/>
        </w:rPr>
        <w:t xml:space="preserve">lobální ekonomiku pravděpodobně poměrně </w:t>
      </w:r>
      <w:r>
        <w:rPr>
          <w:rFonts w:cs="Arial"/>
          <w:sz w:val="20"/>
        </w:rPr>
        <w:t xml:space="preserve">dobrý </w:t>
      </w:r>
      <w:r w:rsidR="00FC6778">
        <w:rPr>
          <w:rFonts w:cs="Arial"/>
          <w:sz w:val="20"/>
        </w:rPr>
        <w:t>rok s</w:t>
      </w:r>
      <w:r>
        <w:rPr>
          <w:rFonts w:cs="Arial"/>
          <w:sz w:val="20"/>
        </w:rPr>
        <w:t xml:space="preserve"> hospodářským </w:t>
      </w:r>
      <w:r w:rsidR="00FC6778">
        <w:rPr>
          <w:rFonts w:cs="Arial"/>
          <w:sz w:val="20"/>
        </w:rPr>
        <w:t xml:space="preserve">růstem </w:t>
      </w:r>
      <w:r w:rsidR="00F9438E">
        <w:rPr>
          <w:rFonts w:cs="Arial"/>
          <w:sz w:val="20"/>
        </w:rPr>
        <w:t xml:space="preserve">blízkým 4 %. </w:t>
      </w:r>
      <w:r>
        <w:rPr>
          <w:rFonts w:cs="Arial"/>
          <w:sz w:val="20"/>
        </w:rPr>
        <w:t>V</w:t>
      </w:r>
      <w:r w:rsidR="00231085">
        <w:rPr>
          <w:rFonts w:cs="Arial"/>
          <w:sz w:val="20"/>
        </w:rPr>
        <w:t xml:space="preserve"> závěru roku 2017 převažoval optimismus i ve </w:t>
      </w:r>
      <w:r w:rsidR="00FC6778">
        <w:rPr>
          <w:rFonts w:cs="Arial"/>
          <w:sz w:val="20"/>
        </w:rPr>
        <w:t>výkonnostně nevyrovnan</w:t>
      </w:r>
      <w:r w:rsidR="00231085">
        <w:rPr>
          <w:rFonts w:cs="Arial"/>
          <w:sz w:val="20"/>
        </w:rPr>
        <w:t>é eurozóně. N</w:t>
      </w:r>
      <w:r w:rsidR="00FC6778">
        <w:rPr>
          <w:rFonts w:cs="Arial"/>
          <w:sz w:val="20"/>
        </w:rPr>
        <w:t>ěmecká ekonomika v</w:t>
      </w:r>
      <w:r>
        <w:rPr>
          <w:rFonts w:cs="Arial"/>
          <w:sz w:val="20"/>
        </w:rPr>
        <w:t>loni</w:t>
      </w:r>
      <w:r w:rsidR="00FC6778">
        <w:rPr>
          <w:rFonts w:cs="Arial"/>
          <w:sz w:val="20"/>
        </w:rPr>
        <w:t xml:space="preserve"> ohlásila nejsilnější růst za posledních šest let</w:t>
      </w:r>
      <w:r w:rsidR="00231085">
        <w:rPr>
          <w:rFonts w:cs="Arial"/>
          <w:sz w:val="20"/>
        </w:rPr>
        <w:t xml:space="preserve"> </w:t>
      </w:r>
      <w:r>
        <w:rPr>
          <w:rFonts w:cs="Arial"/>
          <w:sz w:val="20"/>
        </w:rPr>
        <w:t>a pro českou ekonomiku měl význam nejen robustní růst německé ekonomiky, ale i to, že</w:t>
      </w:r>
      <w:r w:rsidR="00FC6778">
        <w:rPr>
          <w:rFonts w:cs="Arial"/>
          <w:sz w:val="20"/>
        </w:rPr>
        <w:t xml:space="preserve"> </w:t>
      </w:r>
      <w:r w:rsidR="00231085">
        <w:rPr>
          <w:rFonts w:cs="Arial"/>
          <w:sz w:val="20"/>
        </w:rPr>
        <w:t xml:space="preserve">v roce </w:t>
      </w:r>
      <w:r>
        <w:rPr>
          <w:rFonts w:cs="Arial"/>
          <w:sz w:val="20"/>
        </w:rPr>
        <w:t>2017 se</w:t>
      </w:r>
      <w:r w:rsidR="00FC6778">
        <w:rPr>
          <w:rFonts w:cs="Arial"/>
          <w:sz w:val="20"/>
        </w:rPr>
        <w:t xml:space="preserve"> Česko poprvé v historii umístilo v první desítce hlavních obchodních partnerů této nejvýznamnější evropské </w:t>
      </w:r>
      <w:r>
        <w:rPr>
          <w:rFonts w:cs="Arial"/>
          <w:sz w:val="20"/>
        </w:rPr>
        <w:t>e</w:t>
      </w:r>
      <w:r w:rsidR="00FC6778">
        <w:rPr>
          <w:rFonts w:cs="Arial"/>
          <w:sz w:val="20"/>
        </w:rPr>
        <w:t xml:space="preserve">konomiky. </w:t>
      </w:r>
    </w:p>
    <w:p w:rsidR="00231085" w:rsidRDefault="00231085" w:rsidP="00FC6778">
      <w:pPr>
        <w:pStyle w:val="Standard"/>
        <w:spacing w:line="276" w:lineRule="auto"/>
        <w:rPr>
          <w:rFonts w:cs="Arial"/>
          <w:sz w:val="20"/>
        </w:rPr>
      </w:pPr>
    </w:p>
    <w:p w:rsidR="00E57D3D" w:rsidRDefault="00FC6778" w:rsidP="00E57D3D">
      <w:pPr>
        <w:pStyle w:val="Standard"/>
        <w:spacing w:line="276" w:lineRule="auto"/>
      </w:pPr>
      <w:r>
        <w:rPr>
          <w:rFonts w:cs="Arial"/>
          <w:sz w:val="20"/>
        </w:rPr>
        <w:t>Růst v </w:t>
      </w:r>
      <w:r w:rsidR="00461149">
        <w:rPr>
          <w:rFonts w:cs="Arial"/>
          <w:sz w:val="20"/>
        </w:rPr>
        <w:t>Německu by</w:t>
      </w:r>
      <w:r>
        <w:rPr>
          <w:rFonts w:cs="Arial"/>
          <w:sz w:val="20"/>
        </w:rPr>
        <w:t xml:space="preserve"> měl v roce 2018 dále zrychlit na 2,5 %</w:t>
      </w:r>
      <w:r w:rsidR="00E57D3D">
        <w:rPr>
          <w:rFonts w:cs="Arial"/>
          <w:sz w:val="20"/>
        </w:rPr>
        <w:t xml:space="preserve">, </w:t>
      </w:r>
      <w:r w:rsidR="00EA5530">
        <w:rPr>
          <w:rFonts w:cs="Arial"/>
          <w:sz w:val="20"/>
        </w:rPr>
        <w:t xml:space="preserve">ačkoli </w:t>
      </w:r>
      <w:r>
        <w:rPr>
          <w:rFonts w:cs="Arial"/>
          <w:sz w:val="20"/>
        </w:rPr>
        <w:t xml:space="preserve">se podobně jako v české ekonomice projevuje nedostatek pracovní síly, který tlačí na růst mezd. Německo tento tlak vyrovnává vyšším využíváním technologií, automatizací a robotizací, přitom nezaměstnanost vykazuje nejnižší hodnoty od znovusjednocení země. To dává dobrý příklad </w:t>
      </w:r>
      <w:r w:rsidR="00D332B2">
        <w:rPr>
          <w:rFonts w:cs="Arial"/>
          <w:sz w:val="20"/>
        </w:rPr>
        <w:t>české</w:t>
      </w:r>
      <w:r>
        <w:rPr>
          <w:rFonts w:cs="Arial"/>
          <w:sz w:val="20"/>
        </w:rPr>
        <w:t xml:space="preserve"> ekonomice, </w:t>
      </w:r>
      <w:r w:rsidR="00E57D3D">
        <w:rPr>
          <w:rFonts w:cs="Arial"/>
          <w:sz w:val="20"/>
        </w:rPr>
        <w:t xml:space="preserve">v níž se </w:t>
      </w:r>
      <w:r w:rsidR="00A839F5">
        <w:rPr>
          <w:rFonts w:cs="Arial"/>
          <w:sz w:val="20"/>
        </w:rPr>
        <w:t>e</w:t>
      </w:r>
      <w:r w:rsidR="00E57D3D">
        <w:rPr>
          <w:rFonts w:cs="Arial"/>
          <w:sz w:val="20"/>
        </w:rPr>
        <w:t xml:space="preserve">xtenzivní model růstu, založený na nízké přidané hodnotě a relativně nízkých mzdách </w:t>
      </w:r>
      <w:r w:rsidR="00A839F5">
        <w:rPr>
          <w:rFonts w:cs="Arial"/>
          <w:sz w:val="20"/>
        </w:rPr>
        <w:t xml:space="preserve">vyčerpal a </w:t>
      </w:r>
      <w:r w:rsidR="00E57D3D">
        <w:rPr>
          <w:rFonts w:cs="Arial"/>
          <w:sz w:val="20"/>
        </w:rPr>
        <w:t>narazil na bariéru nabídky pracovní síly</w:t>
      </w:r>
      <w:r w:rsidR="00A839F5">
        <w:rPr>
          <w:rFonts w:cs="Arial"/>
          <w:sz w:val="20"/>
        </w:rPr>
        <w:t>. M</w:t>
      </w:r>
      <w:r w:rsidR="00E57D3D">
        <w:rPr>
          <w:rFonts w:cs="Arial"/>
          <w:sz w:val="20"/>
        </w:rPr>
        <w:t xml:space="preserve">íra zaměstnanosti je na nejvyšší úrovni v dějinách samostatné ČR, a prakticky ji nelze zvyšovat. </w:t>
      </w:r>
      <w:r w:rsidR="00507B55">
        <w:rPr>
          <w:rFonts w:cs="Arial"/>
          <w:sz w:val="20"/>
        </w:rPr>
        <w:t>Růst HDP se v roce 2017 pravděpodobně přiblížil 4,5 %. V dalších letech bude e</w:t>
      </w:r>
      <w:r w:rsidR="00E57D3D">
        <w:rPr>
          <w:rFonts w:cs="Arial"/>
          <w:sz w:val="20"/>
        </w:rPr>
        <w:t xml:space="preserve">konomický růst záviset na zvyšování produktivity, což je současně velká šance pro modernizaci ekonomiky a přechod na nový model růstu založený na posunu k vyšší přidané hodnotě. </w:t>
      </w:r>
    </w:p>
    <w:p w:rsidR="00E57D3D" w:rsidRDefault="00E57D3D" w:rsidP="00FC6778">
      <w:pPr>
        <w:pStyle w:val="Standard"/>
        <w:spacing w:line="276" w:lineRule="auto"/>
        <w:rPr>
          <w:rFonts w:cs="Arial"/>
          <w:sz w:val="20"/>
        </w:rPr>
      </w:pPr>
    </w:p>
    <w:p w:rsidR="00310C76" w:rsidRPr="003E6FBA" w:rsidRDefault="00310C76" w:rsidP="00D3261C">
      <w:pPr>
        <w:pStyle w:val="Standard"/>
        <w:spacing w:line="276" w:lineRule="auto"/>
        <w:rPr>
          <w:rFonts w:cs="Arial"/>
          <w:sz w:val="20"/>
        </w:rPr>
      </w:pPr>
    </w:p>
    <w:p w:rsidR="009B3FC9" w:rsidRPr="009B3FC9" w:rsidRDefault="009B3FC9" w:rsidP="009B3FC9">
      <w:pPr>
        <w:pStyle w:val="Standard"/>
        <w:overflowPunct w:val="0"/>
        <w:spacing w:after="240" w:line="276" w:lineRule="auto"/>
        <w:ind w:left="28" w:hanging="28"/>
        <w:rPr>
          <w:rFonts w:cs="Arial"/>
          <w:i/>
          <w:color w:val="57B167"/>
          <w:sz w:val="20"/>
        </w:rPr>
      </w:pPr>
      <w:bookmarkStart w:id="0" w:name="_Hlk488733884"/>
      <w:r w:rsidRPr="009B3FC9">
        <w:rPr>
          <w:rFonts w:cs="Arial"/>
          <w:i/>
          <w:color w:val="57B167"/>
          <w:sz w:val="20"/>
        </w:rPr>
        <w:t>Rok 201</w:t>
      </w:r>
      <w:r w:rsidR="00FC6778">
        <w:rPr>
          <w:rFonts w:cs="Arial"/>
          <w:i/>
          <w:color w:val="57B167"/>
          <w:sz w:val="20"/>
        </w:rPr>
        <w:t>8</w:t>
      </w:r>
      <w:r w:rsidRPr="009B3FC9">
        <w:rPr>
          <w:rFonts w:cs="Arial"/>
          <w:i/>
          <w:color w:val="57B167"/>
          <w:sz w:val="20"/>
        </w:rPr>
        <w:t xml:space="preserve">: </w:t>
      </w:r>
      <w:r w:rsidR="004256CD">
        <w:rPr>
          <w:rFonts w:cs="Arial"/>
          <w:i/>
          <w:color w:val="57B167"/>
          <w:sz w:val="20"/>
        </w:rPr>
        <w:t>Další zpřísňování měnové politiky</w:t>
      </w:r>
    </w:p>
    <w:p w:rsidR="00231085" w:rsidRDefault="00231085" w:rsidP="00231085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Rok 2018 bude pro českou ekonomiku velmi pravděpodobně dalším dobrým rokem a bude již pátým rokem v řadě přinášejícím hospodářský vzestup. Ekonomika sice neudrží tempo růstu </w:t>
      </w:r>
      <w:r w:rsidR="00874A19">
        <w:rPr>
          <w:rFonts w:cs="Arial"/>
          <w:sz w:val="20"/>
        </w:rPr>
        <w:t xml:space="preserve">roku </w:t>
      </w:r>
      <w:r>
        <w:rPr>
          <w:rFonts w:cs="Arial"/>
          <w:sz w:val="20"/>
        </w:rPr>
        <w:t>2017,</w:t>
      </w:r>
      <w:r w:rsidR="00507B5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ale i růst mezi 3 a 3,5 % bude při vysokém základu z minulého roku dobrým výsledkem. Hlavním tahounem bude opět domácí poptávka, vcelku rovnoměrně rozložená mezi spotřebu a investice. S oživením investic bude postupně slábnout i příspěvek čistého vývozu pro růst, nicméně exportní výkonnost bude i nadále páteří ekonomiky, o níž se mohou opírat domácí investice a růst mezd. </w:t>
      </w:r>
    </w:p>
    <w:p w:rsidR="00231085" w:rsidRDefault="00231085" w:rsidP="00231085">
      <w:pPr>
        <w:pStyle w:val="Standard"/>
        <w:spacing w:line="276" w:lineRule="auto"/>
        <w:rPr>
          <w:rFonts w:cs="Arial"/>
          <w:sz w:val="20"/>
        </w:rPr>
      </w:pPr>
    </w:p>
    <w:p w:rsidR="00461149" w:rsidRDefault="00231085" w:rsidP="00461149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Přetlak na trhu práce dále zesílí, podíl nezaměstnaných osob dále mír</w:t>
      </w:r>
      <w:bookmarkStart w:id="1" w:name="_GoBack"/>
      <w:bookmarkEnd w:id="1"/>
      <w:r>
        <w:rPr>
          <w:rFonts w:cs="Arial"/>
          <w:sz w:val="20"/>
        </w:rPr>
        <w:t xml:space="preserve">ně klesne a můžeme se dočkat paradoxní situace, že počet volných pracovních míst bude stejně vysoký jako počet registrovaných uchazečů o zaměstnání. </w:t>
      </w:r>
      <w:r w:rsidR="00461149">
        <w:rPr>
          <w:rFonts w:cs="Arial"/>
          <w:sz w:val="20"/>
        </w:rPr>
        <w:t xml:space="preserve">Jedním z hlavních domácích témat roku 2018 bude vývoj na ose trh práce, inflace, měnový kurz a měnová politika. </w:t>
      </w:r>
      <w:r w:rsidR="002F2796">
        <w:rPr>
          <w:rFonts w:cs="Arial"/>
          <w:sz w:val="20"/>
        </w:rPr>
        <w:t xml:space="preserve">Tlak na </w:t>
      </w:r>
      <w:r w:rsidR="00285B9F">
        <w:rPr>
          <w:rFonts w:cs="Arial"/>
          <w:sz w:val="20"/>
        </w:rPr>
        <w:t xml:space="preserve">trhu práce </w:t>
      </w:r>
      <w:r w:rsidR="002F2796">
        <w:rPr>
          <w:rFonts w:cs="Arial"/>
          <w:sz w:val="20"/>
        </w:rPr>
        <w:t xml:space="preserve">přinese růst mezd nad 7 %, což bude opět zvyšovat riziko přelivu mzdového růstu do inflace. </w:t>
      </w:r>
      <w:r w:rsidR="00F9438E">
        <w:rPr>
          <w:rFonts w:cs="Arial"/>
          <w:sz w:val="20"/>
        </w:rPr>
        <w:t xml:space="preserve">V situaci stabilních sazeb ECB zřejmě povede modelová prognóza ČNB k tomu, že ukáže ve své predikci pro rok 2018 pouze dvě zvýšení </w:t>
      </w:r>
      <w:proofErr w:type="spellStart"/>
      <w:r w:rsidR="00F9438E">
        <w:rPr>
          <w:rFonts w:cs="Arial"/>
          <w:sz w:val="20"/>
        </w:rPr>
        <w:t>reposazby</w:t>
      </w:r>
      <w:proofErr w:type="spellEnd"/>
      <w:r w:rsidR="00F9438E">
        <w:rPr>
          <w:rFonts w:cs="Arial"/>
          <w:sz w:val="20"/>
        </w:rPr>
        <w:t xml:space="preserve">. Může se ale opakovat situace, že se bankovní rada vymezí v proinflačním směru, proto očekáváme, že ČNB zvýší </w:t>
      </w:r>
      <w:proofErr w:type="spellStart"/>
      <w:r w:rsidR="00F9438E">
        <w:rPr>
          <w:rFonts w:cs="Arial"/>
          <w:sz w:val="20"/>
        </w:rPr>
        <w:t>repo</w:t>
      </w:r>
      <w:proofErr w:type="spellEnd"/>
      <w:r w:rsidR="00F9438E">
        <w:rPr>
          <w:rFonts w:cs="Arial"/>
          <w:sz w:val="20"/>
        </w:rPr>
        <w:t xml:space="preserve"> sazbu celkem třikrát, na hladinu 1,25 %. </w:t>
      </w:r>
      <w:r w:rsidR="00461149">
        <w:rPr>
          <w:rFonts w:cs="Arial"/>
          <w:sz w:val="20"/>
        </w:rPr>
        <w:t>P</w:t>
      </w:r>
      <w:r w:rsidR="0013470E">
        <w:rPr>
          <w:rFonts w:cs="Arial"/>
          <w:sz w:val="20"/>
        </w:rPr>
        <w:t xml:space="preserve">řesto se ale </w:t>
      </w:r>
      <w:r w:rsidR="00461149">
        <w:rPr>
          <w:rFonts w:cs="Arial"/>
          <w:sz w:val="20"/>
        </w:rPr>
        <w:t>inflace bude po většinu roku již druhý rok pohybovat nad dvouprocentním cílem</w:t>
      </w:r>
      <w:r w:rsidR="003A1D75">
        <w:rPr>
          <w:rFonts w:cs="Arial"/>
          <w:sz w:val="20"/>
        </w:rPr>
        <w:t xml:space="preserve">, změní se ale struktura cenového vývoje. Růst cen potravin </w:t>
      </w:r>
      <w:r w:rsidR="00F9438E">
        <w:rPr>
          <w:rFonts w:cs="Arial"/>
          <w:sz w:val="20"/>
        </w:rPr>
        <w:t xml:space="preserve">a stravování </w:t>
      </w:r>
      <w:r w:rsidR="003A1D75">
        <w:rPr>
          <w:rFonts w:cs="Arial"/>
          <w:sz w:val="20"/>
        </w:rPr>
        <w:t>v roce 2018 zvolní a hlavním tahounem inflace se stanou ceny energií</w:t>
      </w:r>
      <w:r w:rsidR="00203997">
        <w:rPr>
          <w:rFonts w:cs="Arial"/>
          <w:sz w:val="20"/>
        </w:rPr>
        <w:t xml:space="preserve">, do nichž se aktuálně promítá i vyšší cena ropy. </w:t>
      </w:r>
      <w:r w:rsidR="003A1D75">
        <w:rPr>
          <w:rFonts w:cs="Arial"/>
          <w:sz w:val="20"/>
        </w:rPr>
        <w:t xml:space="preserve"> </w:t>
      </w:r>
      <w:r w:rsidR="00F9438E">
        <w:rPr>
          <w:rFonts w:cs="Arial"/>
          <w:sz w:val="20"/>
        </w:rPr>
        <w:t>Vyšší příspěvek k růstu cen zřejmě dodají v reakci na vysokou poptávku domácností také služby.</w:t>
      </w:r>
    </w:p>
    <w:p w:rsidR="001104DC" w:rsidRPr="00FE29E5" w:rsidRDefault="001104DC" w:rsidP="00FE29E5">
      <w:pPr>
        <w:pStyle w:val="Standard"/>
        <w:spacing w:line="276" w:lineRule="auto"/>
        <w:rPr>
          <w:rFonts w:cs="Arial"/>
          <w:sz w:val="20"/>
        </w:rPr>
      </w:pPr>
    </w:p>
    <w:p w:rsidR="00ED73E0" w:rsidRPr="00FE29E5" w:rsidRDefault="000901FA" w:rsidP="00FE29E5">
      <w:pPr>
        <w:pStyle w:val="Standard"/>
        <w:overflowPunct w:val="0"/>
        <w:spacing w:after="240" w:line="276" w:lineRule="auto"/>
        <w:ind w:left="28" w:hanging="28"/>
        <w:rPr>
          <w:rFonts w:cs="Arial"/>
          <w:sz w:val="20"/>
        </w:rPr>
      </w:pPr>
      <w:bookmarkStart w:id="2" w:name="_Hlk488733977"/>
      <w:r w:rsidRPr="001104DC">
        <w:rPr>
          <w:rFonts w:cs="Arial"/>
          <w:i/>
          <w:color w:val="57B167"/>
          <w:sz w:val="20"/>
        </w:rPr>
        <w:t>Rok 201</w:t>
      </w:r>
      <w:r w:rsidR="00231085">
        <w:rPr>
          <w:rFonts w:cs="Arial"/>
          <w:i/>
          <w:color w:val="57B167"/>
          <w:sz w:val="20"/>
        </w:rPr>
        <w:t>9</w:t>
      </w:r>
      <w:r w:rsidRPr="001104DC">
        <w:rPr>
          <w:rFonts w:cs="Arial"/>
          <w:i/>
          <w:color w:val="57B167"/>
          <w:sz w:val="20"/>
        </w:rPr>
        <w:t xml:space="preserve">: </w:t>
      </w:r>
      <w:r w:rsidR="003A1D75">
        <w:rPr>
          <w:rFonts w:cs="Arial"/>
          <w:i/>
          <w:color w:val="57B167"/>
          <w:sz w:val="20"/>
        </w:rPr>
        <w:t>Stabilizace nerovnováh?</w:t>
      </w:r>
    </w:p>
    <w:p w:rsidR="00972891" w:rsidRDefault="00231085" w:rsidP="00972891">
      <w:pPr>
        <w:pStyle w:val="Standard"/>
        <w:spacing w:line="276" w:lineRule="auto"/>
        <w:rPr>
          <w:rFonts w:cs="Arial"/>
          <w:sz w:val="20"/>
        </w:rPr>
      </w:pPr>
      <w:bookmarkStart w:id="3" w:name="_Hlk488733193"/>
      <w:r>
        <w:rPr>
          <w:rFonts w:cs="Arial"/>
          <w:sz w:val="20"/>
        </w:rPr>
        <w:t xml:space="preserve">V roce 2019 čeká ekonomiku další mírné zpomalení, nicméně </w:t>
      </w:r>
      <w:r w:rsidR="003A1D75">
        <w:rPr>
          <w:rFonts w:cs="Arial"/>
          <w:sz w:val="20"/>
        </w:rPr>
        <w:t>růst těsně</w:t>
      </w:r>
      <w:r w:rsidR="002F2796">
        <w:rPr>
          <w:rFonts w:cs="Arial"/>
          <w:sz w:val="20"/>
        </w:rPr>
        <w:t xml:space="preserve"> pod 3 % </w:t>
      </w:r>
      <w:r>
        <w:rPr>
          <w:rFonts w:cs="Arial"/>
          <w:sz w:val="20"/>
        </w:rPr>
        <w:t>bude stále nad dynamikou nejvyspělejších evropských zemí</w:t>
      </w:r>
      <w:r w:rsidRPr="00D35DB0">
        <w:rPr>
          <w:rFonts w:cs="Arial"/>
          <w:sz w:val="20"/>
        </w:rPr>
        <w:t>.</w:t>
      </w:r>
      <w:r w:rsidR="003A1D75" w:rsidRPr="00D35DB0">
        <w:rPr>
          <w:rFonts w:cs="Arial"/>
          <w:sz w:val="20"/>
        </w:rPr>
        <w:t xml:space="preserve"> Spotřeba domácností zpomalí ke 3% růstu v návaznosti na zpomalení růstu mezd</w:t>
      </w:r>
      <w:r w:rsidR="00976C32">
        <w:rPr>
          <w:rFonts w:cs="Arial"/>
          <w:sz w:val="20"/>
        </w:rPr>
        <w:t xml:space="preserve"> na přibližně 5 %.</w:t>
      </w:r>
      <w:r w:rsidR="004A281E">
        <w:rPr>
          <w:rFonts w:cs="Arial"/>
          <w:sz w:val="20"/>
        </w:rPr>
        <w:t xml:space="preserve"> </w:t>
      </w:r>
      <w:r w:rsidR="003A1D75" w:rsidRPr="00D35DB0">
        <w:rPr>
          <w:rFonts w:cs="Arial"/>
          <w:sz w:val="20"/>
        </w:rPr>
        <w:t>Napětí na trhu práce by se dále nemělo prohlubovat a i</w:t>
      </w:r>
      <w:r w:rsidR="00DA18AA" w:rsidRPr="00D35DB0">
        <w:rPr>
          <w:rFonts w:cs="Arial"/>
          <w:sz w:val="20"/>
        </w:rPr>
        <w:t xml:space="preserve">nflace </w:t>
      </w:r>
      <w:r w:rsidR="003A1D75" w:rsidRPr="00D35DB0">
        <w:rPr>
          <w:rFonts w:cs="Arial"/>
          <w:sz w:val="20"/>
        </w:rPr>
        <w:t xml:space="preserve">se shora </w:t>
      </w:r>
      <w:r w:rsidR="00D35DB0" w:rsidRPr="00D35DB0">
        <w:rPr>
          <w:rFonts w:cs="Arial"/>
          <w:sz w:val="20"/>
        </w:rPr>
        <w:t>přiblíží 2 %</w:t>
      </w:r>
      <w:r w:rsidR="00DA18AA" w:rsidRPr="00D35DB0">
        <w:rPr>
          <w:rFonts w:cs="Arial"/>
          <w:sz w:val="20"/>
        </w:rPr>
        <w:t xml:space="preserve"> cíl</w:t>
      </w:r>
      <w:r w:rsidR="003A1D75" w:rsidRPr="00D35DB0">
        <w:rPr>
          <w:rFonts w:cs="Arial"/>
          <w:sz w:val="20"/>
        </w:rPr>
        <w:t>i</w:t>
      </w:r>
      <w:r w:rsidR="00DA18AA" w:rsidRPr="00D35DB0">
        <w:rPr>
          <w:rFonts w:cs="Arial"/>
          <w:sz w:val="20"/>
        </w:rPr>
        <w:t xml:space="preserve"> centrální banky</w:t>
      </w:r>
      <w:r w:rsidR="003A1D75" w:rsidRPr="00D35DB0">
        <w:rPr>
          <w:rFonts w:cs="Arial"/>
          <w:sz w:val="20"/>
        </w:rPr>
        <w:t xml:space="preserve">. </w:t>
      </w:r>
      <w:r w:rsidR="00203997">
        <w:rPr>
          <w:rFonts w:cs="Arial"/>
          <w:sz w:val="20"/>
        </w:rPr>
        <w:t>U cen ropy lze očekávat v delším horizontu návrat na hladinu pod 60 USD za barel</w:t>
      </w:r>
      <w:r w:rsidR="00507B55">
        <w:rPr>
          <w:rFonts w:cs="Arial"/>
          <w:sz w:val="20"/>
        </w:rPr>
        <w:t xml:space="preserve">. </w:t>
      </w:r>
      <w:r w:rsidR="00D35DB0" w:rsidRPr="00D35DB0">
        <w:rPr>
          <w:rFonts w:cs="Arial"/>
          <w:sz w:val="20"/>
        </w:rPr>
        <w:t xml:space="preserve">Stabilizaci lze očekávat i na trhu nemovitostí, kde ceny sice </w:t>
      </w:r>
      <w:r w:rsidR="00D35DB0">
        <w:rPr>
          <w:rFonts w:cs="Arial"/>
          <w:sz w:val="20"/>
        </w:rPr>
        <w:t xml:space="preserve">selektivně </w:t>
      </w:r>
      <w:r w:rsidR="00D35DB0" w:rsidRPr="00D35DB0">
        <w:rPr>
          <w:rFonts w:cs="Arial"/>
          <w:sz w:val="20"/>
        </w:rPr>
        <w:t xml:space="preserve">porostou, </w:t>
      </w:r>
      <w:r w:rsidR="00D35DB0" w:rsidRPr="00D35DB0">
        <w:rPr>
          <w:rFonts w:cs="Arial"/>
          <w:sz w:val="20"/>
        </w:rPr>
        <w:lastRenderedPageBreak/>
        <w:t xml:space="preserve">nicméně jejich růst </w:t>
      </w:r>
      <w:r w:rsidR="00D35DB0">
        <w:rPr>
          <w:rFonts w:cs="Arial"/>
          <w:sz w:val="20"/>
        </w:rPr>
        <w:t xml:space="preserve">celkově </w:t>
      </w:r>
      <w:r w:rsidR="00D35DB0" w:rsidRPr="00D35DB0">
        <w:rPr>
          <w:rFonts w:cs="Arial"/>
          <w:sz w:val="20"/>
        </w:rPr>
        <w:t xml:space="preserve">zpomalí. </w:t>
      </w:r>
      <w:r w:rsidR="00D35DB0">
        <w:rPr>
          <w:rFonts w:cs="Arial"/>
          <w:sz w:val="20"/>
        </w:rPr>
        <w:t>Zpřísňování měnové politiky bude pokračovat a v závěru roku hlavní úroková sazba centrální banky dosáhne hladiny 1,75 až 2 % a přiblíží se tak neutrálnímu nastavení. Rok 2019 bude s nejvyšší pravděpodobn</w:t>
      </w:r>
      <w:r w:rsidR="006E5E1D">
        <w:rPr>
          <w:rFonts w:cs="Arial"/>
          <w:sz w:val="20"/>
        </w:rPr>
        <w:t xml:space="preserve">ostí </w:t>
      </w:r>
      <w:r w:rsidR="00D35DB0">
        <w:rPr>
          <w:rFonts w:cs="Arial"/>
          <w:sz w:val="20"/>
        </w:rPr>
        <w:t xml:space="preserve">prvním rokem, kdy </w:t>
      </w:r>
      <w:r w:rsidR="00D0238E">
        <w:rPr>
          <w:rFonts w:cs="Arial"/>
          <w:sz w:val="20"/>
        </w:rPr>
        <w:t xml:space="preserve">rovněž </w:t>
      </w:r>
      <w:r w:rsidR="00D35DB0">
        <w:rPr>
          <w:rFonts w:cs="Arial"/>
          <w:sz w:val="20"/>
        </w:rPr>
        <w:t xml:space="preserve">ECB sáhne k prvnímu zvýšení úrokových sazeb. </w:t>
      </w:r>
    </w:p>
    <w:p w:rsidR="00D35DB0" w:rsidRDefault="00D35DB0" w:rsidP="00972891">
      <w:pPr>
        <w:pStyle w:val="Standard"/>
        <w:spacing w:line="276" w:lineRule="auto"/>
        <w:rPr>
          <w:rFonts w:cs="Arial"/>
          <w:sz w:val="20"/>
        </w:rPr>
      </w:pPr>
    </w:p>
    <w:bookmarkEnd w:id="0"/>
    <w:bookmarkEnd w:id="3"/>
    <w:bookmarkEnd w:id="2"/>
    <w:p w:rsidR="00331099" w:rsidRDefault="000901FA" w:rsidP="00250847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i/>
          <w:color w:val="57B167"/>
          <w:kern w:val="3"/>
          <w:sz w:val="20"/>
          <w:lang w:eastAsia="zh-CN" w:bidi="hi-IN"/>
        </w:rPr>
      </w:pPr>
      <w:r w:rsidRPr="000D7434">
        <w:rPr>
          <w:rFonts w:cs="Arial"/>
          <w:i/>
          <w:color w:val="57B167"/>
          <w:kern w:val="3"/>
          <w:sz w:val="20"/>
          <w:lang w:eastAsia="zh-CN" w:bidi="hi-IN"/>
        </w:rPr>
        <w:t>Rizika a nejistoty prognózy</w:t>
      </w:r>
    </w:p>
    <w:p w:rsidR="00F9438E" w:rsidRDefault="00A839F5" w:rsidP="00A839F5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Výhled vnějšího prostředí vypadá optimisticky, nicméně </w:t>
      </w:r>
      <w:r w:rsidR="00F9438E">
        <w:rPr>
          <w:rFonts w:cs="Arial"/>
          <w:sz w:val="20"/>
        </w:rPr>
        <w:t xml:space="preserve">rizika oslabení zahraniční poptávky nelze pominout. Hlavní nejistotou pro další růst českého exportu se jeví nasycení poptávky po automobilech, protože registrace aut na evropském trhu roste nepřetržitě již pátý rok v řadě. Rovněž americká </w:t>
      </w:r>
      <w:r>
        <w:rPr>
          <w:rFonts w:cs="Arial"/>
          <w:sz w:val="20"/>
        </w:rPr>
        <w:t>ekonomika se po mimořádně dlouhém období růstu může blížit k bodu obratu</w:t>
      </w:r>
      <w:r w:rsidR="00F9438E">
        <w:rPr>
          <w:rFonts w:cs="Arial"/>
          <w:sz w:val="20"/>
        </w:rPr>
        <w:t xml:space="preserve">. </w:t>
      </w:r>
    </w:p>
    <w:p w:rsidR="00F9438E" w:rsidRDefault="00F9438E" w:rsidP="00A839F5">
      <w:pPr>
        <w:pStyle w:val="Standard"/>
        <w:spacing w:line="276" w:lineRule="auto"/>
        <w:rPr>
          <w:rFonts w:cs="Arial"/>
          <w:sz w:val="20"/>
        </w:rPr>
      </w:pPr>
    </w:p>
    <w:p w:rsidR="00A839F5" w:rsidRDefault="00203997" w:rsidP="00A839F5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Na straně nabídky může konkurenceschopnost českého vývozu ohrozit růst mezd i nákladové položky </w:t>
      </w:r>
      <w:r w:rsidR="00B44AC8">
        <w:rPr>
          <w:rFonts w:cs="Arial"/>
          <w:sz w:val="20"/>
        </w:rPr>
        <w:t xml:space="preserve">energií. </w:t>
      </w:r>
      <w:r w:rsidR="00976C32" w:rsidRPr="00976C32">
        <w:rPr>
          <w:rFonts w:cs="Arial"/>
          <w:sz w:val="20"/>
        </w:rPr>
        <w:t>Pokud by se ceny ropy nevyvíjely v soulad</w:t>
      </w:r>
      <w:r w:rsidR="00D332B2">
        <w:rPr>
          <w:rFonts w:cs="Arial"/>
          <w:sz w:val="20"/>
        </w:rPr>
        <w:t>u</w:t>
      </w:r>
      <w:r w:rsidR="00976C32" w:rsidRPr="00976C32">
        <w:rPr>
          <w:rFonts w:cs="Arial"/>
          <w:sz w:val="20"/>
        </w:rPr>
        <w:t xml:space="preserve"> s předpokladem </w:t>
      </w:r>
      <w:r w:rsidR="006E5E1D">
        <w:rPr>
          <w:rFonts w:cs="Arial"/>
          <w:sz w:val="20"/>
        </w:rPr>
        <w:t xml:space="preserve">jejich </w:t>
      </w:r>
      <w:r w:rsidR="00976C32" w:rsidRPr="00976C32">
        <w:rPr>
          <w:rFonts w:cs="Arial"/>
          <w:sz w:val="20"/>
        </w:rPr>
        <w:t>postupného návratu pod 60 USD za barel, negativní vliv na náklady výrobců</w:t>
      </w:r>
      <w:r w:rsidR="00976C32">
        <w:rPr>
          <w:rFonts w:cs="Arial"/>
          <w:sz w:val="20"/>
        </w:rPr>
        <w:t xml:space="preserve"> by oslabil růst. </w:t>
      </w:r>
      <w:proofErr w:type="gramStart"/>
      <w:r w:rsidR="00B44AC8">
        <w:rPr>
          <w:rFonts w:cs="Arial"/>
          <w:sz w:val="20"/>
        </w:rPr>
        <w:t>Vyšší</w:t>
      </w:r>
      <w:proofErr w:type="gramEnd"/>
      <w:r w:rsidR="00B44AC8">
        <w:rPr>
          <w:rFonts w:cs="Arial"/>
          <w:sz w:val="20"/>
        </w:rPr>
        <w:t xml:space="preserve"> než očekávaná cena ropy by se rovněž promítla do vyšší inflace a mohla by na napjatém trhu práce podnítit vyšší požadavky na růst mezd. </w:t>
      </w:r>
    </w:p>
    <w:p w:rsidR="00203997" w:rsidRDefault="00203997" w:rsidP="00A839F5">
      <w:pPr>
        <w:pStyle w:val="Standard"/>
        <w:spacing w:line="276" w:lineRule="auto"/>
        <w:rPr>
          <w:rFonts w:cs="Arial"/>
          <w:sz w:val="20"/>
        </w:rPr>
      </w:pPr>
    </w:p>
    <w:p w:rsidR="006C5513" w:rsidRDefault="0013470E" w:rsidP="00B44AC8">
      <w:pPr>
        <w:pStyle w:val="Standard"/>
        <w:spacing w:line="276" w:lineRule="auto"/>
        <w:rPr>
          <w:rFonts w:cs="Arial"/>
          <w:sz w:val="20"/>
        </w:rPr>
      </w:pPr>
      <w:r w:rsidRPr="00B44AC8">
        <w:rPr>
          <w:rFonts w:cs="Arial"/>
          <w:sz w:val="20"/>
        </w:rPr>
        <w:t xml:space="preserve">Nejistotou prognózy je </w:t>
      </w:r>
      <w:r w:rsidR="00507B55">
        <w:rPr>
          <w:rFonts w:cs="Arial"/>
          <w:sz w:val="20"/>
        </w:rPr>
        <w:t xml:space="preserve">jak </w:t>
      </w:r>
      <w:r w:rsidR="00BD255D" w:rsidRPr="00B44AC8">
        <w:rPr>
          <w:rFonts w:cs="Arial"/>
          <w:sz w:val="20"/>
        </w:rPr>
        <w:t>č</w:t>
      </w:r>
      <w:r w:rsidR="006C5513" w:rsidRPr="00B44AC8">
        <w:rPr>
          <w:rFonts w:cs="Arial"/>
          <w:sz w:val="20"/>
        </w:rPr>
        <w:t xml:space="preserve">asování a intenzita </w:t>
      </w:r>
      <w:r w:rsidR="00BD255D" w:rsidRPr="00B44AC8">
        <w:rPr>
          <w:rFonts w:cs="Arial"/>
          <w:sz w:val="20"/>
        </w:rPr>
        <w:t>zpřísňování měnové politiky</w:t>
      </w:r>
      <w:r w:rsidR="00507B55">
        <w:rPr>
          <w:rFonts w:cs="Arial"/>
          <w:sz w:val="20"/>
        </w:rPr>
        <w:t xml:space="preserve"> v roce </w:t>
      </w:r>
      <w:r w:rsidR="00B44AC8">
        <w:rPr>
          <w:rFonts w:cs="Arial"/>
          <w:sz w:val="20"/>
        </w:rPr>
        <w:t>2018 i</w:t>
      </w:r>
      <w:r w:rsidR="00507B55">
        <w:rPr>
          <w:rFonts w:cs="Arial"/>
          <w:sz w:val="20"/>
        </w:rPr>
        <w:t xml:space="preserve"> v roce 2019, tak i vývoj měnového kurzu.  </w:t>
      </w:r>
    </w:p>
    <w:p w:rsidR="00B44AC8" w:rsidRPr="00B44AC8" w:rsidRDefault="00B44AC8" w:rsidP="00B44AC8">
      <w:pPr>
        <w:pStyle w:val="Standard"/>
        <w:spacing w:line="276" w:lineRule="auto"/>
        <w:rPr>
          <w:rFonts w:cs="Arial"/>
          <w:sz w:val="20"/>
        </w:rPr>
      </w:pPr>
    </w:p>
    <w:tbl>
      <w:tblPr>
        <w:tblW w:w="73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851"/>
      </w:tblGrid>
      <w:tr w:rsidR="00D84322" w:rsidRPr="00D84322" w:rsidTr="003778CC">
        <w:trPr>
          <w:trHeight w:val="285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/>
                <w:bCs/>
                <w:sz w:val="20"/>
              </w:rPr>
            </w:pPr>
            <w:r w:rsidRPr="00D84322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3778CC" w:rsidP="008934F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84322">
              <w:rPr>
                <w:rFonts w:cs="Arial"/>
                <w:b/>
                <w:bCs/>
                <w:sz w:val="20"/>
              </w:rPr>
              <w:t>201</w:t>
            </w:r>
            <w:r w:rsidR="00BD255D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3778CC" w:rsidP="008934F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84322">
              <w:rPr>
                <w:rFonts w:cs="Arial"/>
                <w:b/>
                <w:bCs/>
                <w:sz w:val="20"/>
              </w:rPr>
              <w:t>201</w:t>
            </w:r>
            <w:r w:rsidR="00BD255D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3778CC" w:rsidP="008934F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84322">
              <w:rPr>
                <w:rFonts w:cs="Arial"/>
                <w:b/>
                <w:bCs/>
                <w:sz w:val="20"/>
              </w:rPr>
              <w:t>201</w:t>
            </w:r>
            <w:r w:rsidR="00BD255D">
              <w:rPr>
                <w:rFonts w:cs="Arial"/>
                <w:b/>
                <w:bCs/>
                <w:sz w:val="20"/>
              </w:rPr>
              <w:t>9</w:t>
            </w:r>
          </w:p>
        </w:tc>
      </w:tr>
      <w:tr w:rsidR="00D84322" w:rsidRPr="00D84322" w:rsidTr="003778CC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Růst reálného HDP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816A10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2,9</w:t>
            </w:r>
          </w:p>
        </w:tc>
      </w:tr>
      <w:tr w:rsidR="00D84322" w:rsidRPr="00D84322" w:rsidTr="003778CC">
        <w:trPr>
          <w:trHeight w:val="259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Podíl nezaměstnaných osob (MPSV): průměr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3,6</w:t>
            </w:r>
          </w:p>
        </w:tc>
      </w:tr>
      <w:tr w:rsidR="00D84322" w:rsidRPr="00D84322" w:rsidTr="003778CC">
        <w:trPr>
          <w:trHeight w:val="278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Průměrná nominální mzda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5,0</w:t>
            </w:r>
          </w:p>
        </w:tc>
      </w:tr>
      <w:tr w:rsidR="00D84322" w:rsidRPr="00D84322" w:rsidTr="003778CC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Míra inflace: CPI (%) průměr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2,1</w:t>
            </w:r>
          </w:p>
        </w:tc>
      </w:tr>
      <w:tr w:rsidR="00D84322" w:rsidRPr="00D84322" w:rsidTr="003778CC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Vládní deficit/přebytek (% HDP)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-0,3</w:t>
            </w:r>
          </w:p>
        </w:tc>
      </w:tr>
      <w:tr w:rsidR="00D84322" w:rsidRPr="00D84322" w:rsidTr="003778CC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Vládní dluh (% HDP)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31,9</w:t>
            </w:r>
          </w:p>
        </w:tc>
      </w:tr>
      <w:tr w:rsidR="00D84322" w:rsidRPr="00D84322" w:rsidTr="00F6490B">
        <w:trPr>
          <w:trHeight w:val="256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E202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Růst spotřeby domácností (%) reálně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3,2</w:t>
            </w:r>
          </w:p>
        </w:tc>
      </w:tr>
      <w:tr w:rsidR="00D84322" w:rsidRPr="00D84322" w:rsidTr="003778CC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Růst vládní spotřeby (%) reálně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2,0</w:t>
            </w:r>
          </w:p>
        </w:tc>
      </w:tr>
      <w:tr w:rsidR="00D84322" w:rsidRPr="00D84322" w:rsidTr="003778CC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Růst investic (%) reálně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4,0</w:t>
            </w:r>
          </w:p>
        </w:tc>
      </w:tr>
      <w:tr w:rsidR="00D84322" w:rsidRPr="00D84322" w:rsidTr="003778CC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Růst reálného HDP v eurozóně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1,9</w:t>
            </w:r>
          </w:p>
        </w:tc>
      </w:tr>
      <w:tr w:rsidR="00D84322" w:rsidRPr="00D84322" w:rsidTr="003778CC">
        <w:trPr>
          <w:trHeight w:val="181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Směnný kurz CZK/EUR: průměr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24,7</w:t>
            </w:r>
          </w:p>
        </w:tc>
      </w:tr>
      <w:tr w:rsidR="00D84322" w:rsidRPr="00D84322" w:rsidTr="003778CC">
        <w:trPr>
          <w:trHeight w:val="213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Cena ropy (USD za barel): BRENT průměr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59</w:t>
            </w:r>
          </w:p>
        </w:tc>
      </w:tr>
      <w:tr w:rsidR="00D84322" w:rsidRPr="00D84322" w:rsidTr="003778CC">
        <w:trPr>
          <w:trHeight w:val="28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 xml:space="preserve">Základní sazba ČNB </w:t>
            </w:r>
            <w:proofErr w:type="gramStart"/>
            <w:r w:rsidRPr="00D84322">
              <w:rPr>
                <w:rFonts w:cs="Arial"/>
                <w:bCs/>
                <w:sz w:val="20"/>
              </w:rPr>
              <w:t>2T</w:t>
            </w:r>
            <w:proofErr w:type="gramEnd"/>
            <w:r w:rsidRPr="00D84322">
              <w:rPr>
                <w:rFonts w:cs="Arial"/>
                <w:bCs/>
                <w:sz w:val="20"/>
              </w:rPr>
              <w:t xml:space="preserve"> REPO (%): průměr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1,26</w:t>
            </w:r>
          </w:p>
        </w:tc>
      </w:tr>
      <w:tr w:rsidR="00D84322" w:rsidRPr="00D84322" w:rsidTr="003778CC">
        <w:trPr>
          <w:trHeight w:val="28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Základní sazba ECB (%): průměr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0,2</w:t>
            </w:r>
          </w:p>
        </w:tc>
      </w:tr>
      <w:tr w:rsidR="00D84322" w:rsidRPr="00D84322" w:rsidTr="003778CC">
        <w:trPr>
          <w:trHeight w:val="28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3M-PRIBOR (%): průměr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D84322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1,8</w:t>
            </w:r>
          </w:p>
        </w:tc>
      </w:tr>
      <w:tr w:rsidR="00D84322" w:rsidRPr="00D84322" w:rsidTr="003778CC">
        <w:trPr>
          <w:trHeight w:val="217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Růst bankovních úvěrů klientských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B01253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171790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171790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4,8</w:t>
            </w:r>
          </w:p>
        </w:tc>
      </w:tr>
      <w:tr w:rsidR="00D84322" w:rsidRPr="00D84322" w:rsidTr="003778CC">
        <w:trPr>
          <w:trHeight w:val="255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Růst bankovních úvěrů domácnostem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B01253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171790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171790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5,5</w:t>
            </w:r>
          </w:p>
        </w:tc>
      </w:tr>
      <w:tr w:rsidR="00D84322" w:rsidRPr="00D84322" w:rsidTr="003778CC">
        <w:trPr>
          <w:trHeight w:val="252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D3261C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Růst bankovních úvěrů (nefinančním) podnikům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B01253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171790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171790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5,3</w:t>
            </w:r>
          </w:p>
        </w:tc>
      </w:tr>
      <w:tr w:rsidR="00D84322" w:rsidRPr="00D84322" w:rsidTr="003778CC">
        <w:trPr>
          <w:trHeight w:val="257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78CC" w:rsidRPr="00D84322" w:rsidRDefault="003778CC" w:rsidP="00E36BEA">
            <w:pPr>
              <w:jc w:val="left"/>
              <w:rPr>
                <w:rFonts w:cs="Arial"/>
                <w:bCs/>
                <w:sz w:val="20"/>
              </w:rPr>
            </w:pPr>
            <w:r w:rsidRPr="00D84322">
              <w:rPr>
                <w:rFonts w:cs="Arial"/>
                <w:bCs/>
                <w:sz w:val="20"/>
              </w:rPr>
              <w:t>Růst bankovních vkladů klientských celkem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D84322" w:rsidRDefault="005E6089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8CC" w:rsidRPr="000B7358" w:rsidRDefault="00E57D3D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78CC" w:rsidRPr="000B7358" w:rsidRDefault="00A839F5" w:rsidP="008934F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6,2</w:t>
            </w:r>
          </w:p>
        </w:tc>
      </w:tr>
    </w:tbl>
    <w:p w:rsidR="00D3261C" w:rsidRPr="00D84322" w:rsidRDefault="00D3261C" w:rsidP="003A393D">
      <w:pPr>
        <w:pStyle w:val="Standard"/>
        <w:spacing w:line="276" w:lineRule="auto"/>
        <w:rPr>
          <w:rFonts w:cs="Arial"/>
          <w:sz w:val="20"/>
        </w:rPr>
      </w:pPr>
    </w:p>
    <w:p w:rsidR="00D3261C" w:rsidRPr="00D84322" w:rsidRDefault="00D3261C" w:rsidP="003A393D">
      <w:pPr>
        <w:pStyle w:val="Standard"/>
        <w:spacing w:line="276" w:lineRule="auto"/>
        <w:rPr>
          <w:rFonts w:cs="Arial"/>
          <w:sz w:val="20"/>
        </w:rPr>
      </w:pPr>
    </w:p>
    <w:p w:rsidR="00D3261C" w:rsidRPr="00D84322" w:rsidRDefault="00D3261C" w:rsidP="003A393D">
      <w:pPr>
        <w:pStyle w:val="Standard"/>
        <w:spacing w:line="276" w:lineRule="auto"/>
        <w:rPr>
          <w:rFonts w:cs="Arial"/>
          <w:sz w:val="20"/>
        </w:rPr>
      </w:pPr>
    </w:p>
    <w:p w:rsidR="000F7484" w:rsidRPr="00D84322" w:rsidRDefault="000F7484" w:rsidP="000F7484">
      <w:pPr>
        <w:spacing w:line="276" w:lineRule="auto"/>
        <w:jc w:val="center"/>
        <w:outlineLvl w:val="0"/>
        <w:rPr>
          <w:rFonts w:cs="Arial"/>
          <w:sz w:val="20"/>
        </w:rPr>
      </w:pPr>
      <w:r w:rsidRPr="00D84322">
        <w:rPr>
          <w:rFonts w:cs="Arial"/>
          <w:sz w:val="20"/>
        </w:rPr>
        <w:t>###</w:t>
      </w:r>
    </w:p>
    <w:p w:rsidR="00AD1ECE" w:rsidRPr="008435C7" w:rsidRDefault="00AD1ECE" w:rsidP="00AD1ECE">
      <w:pPr>
        <w:spacing w:line="276" w:lineRule="auto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 xml:space="preserve">O prognóze ČBA </w:t>
      </w:r>
    </w:p>
    <w:p w:rsidR="00AD1ECE" w:rsidRDefault="00AD1ECE" w:rsidP="00AD1ECE">
      <w:pPr>
        <w:spacing w:line="276" w:lineRule="auto"/>
        <w:ind w:left="28" w:hanging="28"/>
        <w:rPr>
          <w:rFonts w:cs="Arial"/>
          <w:szCs w:val="18"/>
        </w:rPr>
      </w:pPr>
      <w:r w:rsidRPr="00D822C0">
        <w:rPr>
          <w:rFonts w:cs="Arial"/>
          <w:szCs w:val="18"/>
        </w:rPr>
        <w:t xml:space="preserve">Tato prognóza vznikla na základě příspěvků analytiků </w:t>
      </w:r>
      <w:r w:rsidR="006C5513">
        <w:rPr>
          <w:rFonts w:cs="Arial"/>
          <w:szCs w:val="18"/>
        </w:rPr>
        <w:t>9</w:t>
      </w:r>
      <w:r w:rsidRPr="005D17DD">
        <w:rPr>
          <w:rFonts w:cs="Arial"/>
          <w:szCs w:val="18"/>
        </w:rPr>
        <w:t xml:space="preserve"> členských bank ČBA: Helena Horská a </w:t>
      </w:r>
      <w:r w:rsidR="00F9438E">
        <w:rPr>
          <w:rFonts w:cs="Arial"/>
          <w:szCs w:val="18"/>
        </w:rPr>
        <w:t>Milan Frydrych</w:t>
      </w:r>
      <w:r w:rsidR="006C5513">
        <w:rPr>
          <w:rFonts w:cs="Arial"/>
          <w:szCs w:val="18"/>
        </w:rPr>
        <w:t xml:space="preserve"> </w:t>
      </w:r>
      <w:r w:rsidRPr="005D17DD">
        <w:rPr>
          <w:rFonts w:cs="Arial"/>
          <w:szCs w:val="18"/>
        </w:rPr>
        <w:t>(</w:t>
      </w:r>
      <w:proofErr w:type="spellStart"/>
      <w:r w:rsidRPr="005D17DD">
        <w:rPr>
          <w:rFonts w:cs="Arial"/>
          <w:szCs w:val="18"/>
        </w:rPr>
        <w:t>Raiffeisenbank</w:t>
      </w:r>
      <w:proofErr w:type="spellEnd"/>
      <w:r w:rsidRPr="005D17DD">
        <w:rPr>
          <w:rFonts w:cs="Arial"/>
          <w:szCs w:val="18"/>
        </w:rPr>
        <w:t xml:space="preserve">), </w:t>
      </w:r>
      <w:r>
        <w:rPr>
          <w:rFonts w:cs="Arial"/>
          <w:szCs w:val="18"/>
        </w:rPr>
        <w:t>Petr Dufek</w:t>
      </w:r>
      <w:r w:rsidRPr="005D17DD">
        <w:rPr>
          <w:rFonts w:cs="Arial"/>
          <w:szCs w:val="18"/>
        </w:rPr>
        <w:t xml:space="preserve"> (ČSOB), Petr Gapko (</w:t>
      </w:r>
      <w:r>
        <w:rPr>
          <w:rFonts w:cs="Arial"/>
          <w:szCs w:val="18"/>
        </w:rPr>
        <w:t>MONETA Money Bank</w:t>
      </w:r>
      <w:r w:rsidRPr="005D17DD">
        <w:rPr>
          <w:rFonts w:cs="Arial"/>
          <w:szCs w:val="18"/>
        </w:rPr>
        <w:t xml:space="preserve">), Pavel Sobíšek </w:t>
      </w:r>
      <w:r>
        <w:rPr>
          <w:rFonts w:cs="Arial"/>
          <w:szCs w:val="18"/>
        </w:rPr>
        <w:t xml:space="preserve">a Patrik Rožumberský </w:t>
      </w:r>
      <w:r w:rsidRPr="005D17DD">
        <w:rPr>
          <w:rFonts w:cs="Arial"/>
          <w:szCs w:val="18"/>
        </w:rPr>
        <w:t>(UniCredit</w:t>
      </w:r>
      <w:r>
        <w:rPr>
          <w:rFonts w:cs="Arial"/>
          <w:szCs w:val="18"/>
        </w:rPr>
        <w:t xml:space="preserve"> Bank</w:t>
      </w:r>
      <w:r w:rsidRPr="005D17DD">
        <w:rPr>
          <w:rFonts w:cs="Arial"/>
          <w:szCs w:val="18"/>
        </w:rPr>
        <w:t xml:space="preserve">), </w:t>
      </w:r>
      <w:r>
        <w:rPr>
          <w:rFonts w:cs="Arial"/>
          <w:szCs w:val="18"/>
        </w:rPr>
        <w:t>Michal Skořepa</w:t>
      </w:r>
      <w:r w:rsidRPr="005D17DD">
        <w:rPr>
          <w:rFonts w:cs="Arial"/>
          <w:szCs w:val="18"/>
        </w:rPr>
        <w:t xml:space="preserve"> (Česká spořitelna), Petr Sklenář (J&amp;T Banka), Jan Vejmělek a </w:t>
      </w:r>
      <w:r w:rsidR="006C5513">
        <w:rPr>
          <w:rFonts w:cs="Arial"/>
          <w:szCs w:val="18"/>
        </w:rPr>
        <w:t>Viktor Zeisel</w:t>
      </w:r>
      <w:r>
        <w:rPr>
          <w:rFonts w:cs="Arial"/>
          <w:szCs w:val="18"/>
        </w:rPr>
        <w:t xml:space="preserve"> </w:t>
      </w:r>
      <w:r>
        <w:rPr>
          <w:rFonts w:cs="Arial"/>
          <w:szCs w:val="18"/>
        </w:rPr>
        <w:lastRenderedPageBreak/>
        <w:t>(Komerční banka)</w:t>
      </w:r>
      <w:r w:rsidR="006C5513">
        <w:rPr>
          <w:rFonts w:cs="Arial"/>
          <w:szCs w:val="18"/>
        </w:rPr>
        <w:t xml:space="preserve">, </w:t>
      </w:r>
      <w:r w:rsidRPr="00D822C0">
        <w:rPr>
          <w:rFonts w:cs="Arial"/>
          <w:szCs w:val="18"/>
        </w:rPr>
        <w:t>Jakub Seidler (ING Bank)</w:t>
      </w:r>
      <w:r w:rsidR="006C5513">
        <w:rPr>
          <w:rFonts w:cs="Arial"/>
          <w:szCs w:val="18"/>
        </w:rPr>
        <w:t>, Jaromír Šindel (</w:t>
      </w:r>
      <w:proofErr w:type="spellStart"/>
      <w:r w:rsidR="006C5513">
        <w:rPr>
          <w:rFonts w:cs="Arial"/>
          <w:szCs w:val="18"/>
        </w:rPr>
        <w:t>Citibank</w:t>
      </w:r>
      <w:proofErr w:type="spellEnd"/>
      <w:r w:rsidR="006C5513">
        <w:rPr>
          <w:rFonts w:cs="Arial"/>
          <w:szCs w:val="18"/>
        </w:rPr>
        <w:t>)</w:t>
      </w:r>
      <w:r w:rsidRPr="00D822C0">
        <w:rPr>
          <w:rFonts w:cs="Arial"/>
          <w:szCs w:val="18"/>
        </w:rPr>
        <w:t>. Za ČBA se na tvorbě prognózy podílí Eva Zamrazilová.</w:t>
      </w:r>
    </w:p>
    <w:p w:rsidR="00AD1ECE" w:rsidRDefault="00AD1ECE" w:rsidP="00AD1ECE">
      <w:pPr>
        <w:spacing w:line="276" w:lineRule="auto"/>
        <w:rPr>
          <w:rFonts w:cs="Arial"/>
          <w:b/>
          <w:szCs w:val="18"/>
        </w:rPr>
      </w:pPr>
    </w:p>
    <w:p w:rsidR="00AD1ECE" w:rsidRPr="008435C7" w:rsidRDefault="00AD1ECE" w:rsidP="00AD1ECE">
      <w:pPr>
        <w:spacing w:line="276" w:lineRule="auto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O České bankovní asociaci</w:t>
      </w:r>
    </w:p>
    <w:p w:rsidR="00AD1ECE" w:rsidRPr="008435C7" w:rsidRDefault="00AD1ECE" w:rsidP="00AD1ECE">
      <w:pPr>
        <w:spacing w:line="276" w:lineRule="auto"/>
        <w:ind w:left="28" w:hanging="28"/>
        <w:rPr>
          <w:rFonts w:cs="Arial"/>
          <w:szCs w:val="18"/>
        </w:rPr>
      </w:pPr>
      <w:r w:rsidRPr="008435C7">
        <w:rPr>
          <w:rFonts w:cs="Arial"/>
          <w:szCs w:val="18"/>
        </w:rPr>
        <w:t>Česká banko</w:t>
      </w:r>
      <w:r>
        <w:rPr>
          <w:rFonts w:cs="Arial"/>
          <w:szCs w:val="18"/>
        </w:rPr>
        <w:t>vní asociace vznikla v roce 1992</w:t>
      </w:r>
      <w:r w:rsidRPr="008435C7">
        <w:rPr>
          <w:rFonts w:cs="Arial"/>
          <w:szCs w:val="18"/>
        </w:rPr>
        <w:t xml:space="preserve"> a je dobrovolným sdružením právnických osob podnikajících v</w:t>
      </w:r>
      <w:r>
        <w:rPr>
          <w:rFonts w:cs="Arial"/>
          <w:sz w:val="20"/>
        </w:rPr>
        <w:t> </w:t>
      </w:r>
      <w:r w:rsidRPr="008435C7">
        <w:rPr>
          <w:rFonts w:cs="Arial"/>
          <w:szCs w:val="18"/>
        </w:rPr>
        <w:t>oblasti peněžnictví. V současné době sdružuje 3</w:t>
      </w:r>
      <w:r w:rsidR="003E2A30">
        <w:rPr>
          <w:rFonts w:cs="Arial"/>
          <w:szCs w:val="18"/>
        </w:rPr>
        <w:t>8</w:t>
      </w:r>
      <w:r w:rsidRPr="008435C7">
        <w:rPr>
          <w:rFonts w:cs="Arial"/>
          <w:szCs w:val="18"/>
        </w:rPr>
        <w:t xml:space="preserve"> členů. Rolí asociace je především zastupovat a prosazovat společné zájmy členů, prezentovat roli a zájmy bankovnictví vůči veřejnosti, podílet se na standardizaci postupů v</w:t>
      </w:r>
      <w:r>
        <w:rPr>
          <w:rFonts w:cs="Arial"/>
          <w:sz w:val="20"/>
        </w:rPr>
        <w:t> </w:t>
      </w:r>
      <w:r w:rsidRPr="008435C7"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</w:t>
      </w:r>
      <w:r>
        <w:rPr>
          <w:rFonts w:cs="Arial"/>
          <w:szCs w:val="18"/>
        </w:rPr>
        <w:t>n</w:t>
      </w:r>
      <w:r w:rsidRPr="008435C7">
        <w:rPr>
          <w:rFonts w:cs="Arial"/>
          <w:szCs w:val="18"/>
        </w:rPr>
        <w:t>í federace a</w:t>
      </w:r>
      <w:r>
        <w:rPr>
          <w:rFonts w:cs="Arial"/>
          <w:sz w:val="20"/>
        </w:rPr>
        <w:t> </w:t>
      </w:r>
      <w:r w:rsidRPr="008435C7">
        <w:rPr>
          <w:rFonts w:cs="Arial"/>
          <w:szCs w:val="18"/>
        </w:rPr>
        <w:t>E</w:t>
      </w:r>
      <w:r>
        <w:rPr>
          <w:rFonts w:cs="Arial"/>
          <w:szCs w:val="18"/>
        </w:rPr>
        <w:t>MMI</w:t>
      </w:r>
      <w:r w:rsidRPr="008435C7">
        <w:rPr>
          <w:rFonts w:cs="Arial"/>
          <w:szCs w:val="18"/>
        </w:rPr>
        <w:t>.</w:t>
      </w:r>
    </w:p>
    <w:p w:rsidR="00AD1ECE" w:rsidRDefault="00AD1ECE" w:rsidP="00AD1ECE">
      <w:pPr>
        <w:spacing w:line="276" w:lineRule="auto"/>
        <w:ind w:left="28" w:hanging="28"/>
        <w:outlineLvl w:val="0"/>
        <w:rPr>
          <w:rFonts w:cs="Arial"/>
          <w:b/>
          <w:noProof/>
          <w:szCs w:val="18"/>
        </w:rPr>
      </w:pPr>
    </w:p>
    <w:p w:rsidR="000F7484" w:rsidRPr="00D84322" w:rsidRDefault="000F7484" w:rsidP="000F7484">
      <w:pPr>
        <w:spacing w:line="276" w:lineRule="auto"/>
        <w:jc w:val="center"/>
        <w:outlineLvl w:val="0"/>
        <w:rPr>
          <w:rFonts w:cs="Arial"/>
          <w:sz w:val="10"/>
          <w:szCs w:val="10"/>
        </w:rPr>
      </w:pPr>
    </w:p>
    <w:sectPr w:rsidR="000F7484" w:rsidRPr="00D84322" w:rsidSect="005E267D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53" w:rsidRDefault="00664E53" w:rsidP="005E267D">
      <w:r>
        <w:separator/>
      </w:r>
    </w:p>
  </w:endnote>
  <w:endnote w:type="continuationSeparator" w:id="0">
    <w:p w:rsidR="00664E53" w:rsidRDefault="00664E53" w:rsidP="005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53" w:rsidRDefault="00664E53" w:rsidP="005E267D">
      <w:r>
        <w:separator/>
      </w:r>
    </w:p>
  </w:footnote>
  <w:footnote w:type="continuationSeparator" w:id="0">
    <w:p w:rsidR="00664E53" w:rsidRDefault="00664E53" w:rsidP="005E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57" w:rsidRPr="00ED73E0" w:rsidRDefault="00ED73E0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C0AB8C3" wp14:editId="325EE8CF">
          <wp:simplePos x="0" y="0"/>
          <wp:positionH relativeFrom="column">
            <wp:posOffset>-800100</wp:posOffset>
          </wp:positionH>
          <wp:positionV relativeFrom="paragraph">
            <wp:posOffset>-314960</wp:posOffset>
          </wp:positionV>
          <wp:extent cx="7315200" cy="278130"/>
          <wp:effectExtent l="0" t="0" r="0" b="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6757">
      <w:rPr>
        <w:noProof/>
      </w:rPr>
      <w:drawing>
        <wp:anchor distT="0" distB="0" distL="114300" distR="114300" simplePos="0" relativeHeight="251656704" behindDoc="0" locked="0" layoutInCell="1" allowOverlap="1" wp14:anchorId="7E160A1D" wp14:editId="2E8EEE3A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6757">
      <w:rPr>
        <w:noProof/>
      </w:rPr>
      <w:drawing>
        <wp:anchor distT="0" distB="0" distL="114300" distR="114300" simplePos="0" relativeHeight="251657728" behindDoc="0" locked="0" layoutInCell="1" allowOverlap="1" wp14:anchorId="3C55EBEE" wp14:editId="4748E087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73E0">
      <w:rPr>
        <w:sz w:val="32"/>
        <w:szCs w:val="32"/>
      </w:rPr>
      <w:t xml:space="preserve"> </w:t>
    </w:r>
    <w:r w:rsidRPr="00ED73E0">
      <w:rPr>
        <w:b/>
        <w:sz w:val="22"/>
        <w:szCs w:val="32"/>
      </w:rPr>
      <w:t xml:space="preserve">Makroekonomická prognóza ČBA, </w:t>
    </w:r>
    <w:r w:rsidR="00FC6778">
      <w:rPr>
        <w:b/>
        <w:sz w:val="22"/>
        <w:szCs w:val="32"/>
      </w:rPr>
      <w:t>leden 2018</w:t>
    </w:r>
  </w:p>
  <w:p w:rsidR="00B96757" w:rsidRDefault="00B967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261E"/>
    <w:multiLevelType w:val="hybridMultilevel"/>
    <w:tmpl w:val="32C4ED8A"/>
    <w:lvl w:ilvl="0" w:tplc="F9365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FF0"/>
    <w:multiLevelType w:val="hybridMultilevel"/>
    <w:tmpl w:val="79E8380E"/>
    <w:lvl w:ilvl="0" w:tplc="8CD8C7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75FB6C7A"/>
    <w:multiLevelType w:val="hybridMultilevel"/>
    <w:tmpl w:val="C77A4A5A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D1"/>
    <w:rsid w:val="000002B3"/>
    <w:rsid w:val="000005C4"/>
    <w:rsid w:val="0000152C"/>
    <w:rsid w:val="000026AE"/>
    <w:rsid w:val="00002C59"/>
    <w:rsid w:val="000030C4"/>
    <w:rsid w:val="00006A0E"/>
    <w:rsid w:val="00007094"/>
    <w:rsid w:val="00012BD2"/>
    <w:rsid w:val="000161F6"/>
    <w:rsid w:val="0001630B"/>
    <w:rsid w:val="000201EA"/>
    <w:rsid w:val="00023178"/>
    <w:rsid w:val="00023DBF"/>
    <w:rsid w:val="00025DB8"/>
    <w:rsid w:val="000263D3"/>
    <w:rsid w:val="000338F5"/>
    <w:rsid w:val="00033DBE"/>
    <w:rsid w:val="0003603E"/>
    <w:rsid w:val="0003682B"/>
    <w:rsid w:val="00041AEA"/>
    <w:rsid w:val="00043AFC"/>
    <w:rsid w:val="00044D48"/>
    <w:rsid w:val="00046A37"/>
    <w:rsid w:val="00047CDC"/>
    <w:rsid w:val="0005583A"/>
    <w:rsid w:val="000606B4"/>
    <w:rsid w:val="00061C94"/>
    <w:rsid w:val="0007187E"/>
    <w:rsid w:val="00073004"/>
    <w:rsid w:val="000736C8"/>
    <w:rsid w:val="00073813"/>
    <w:rsid w:val="00073A7B"/>
    <w:rsid w:val="00076E43"/>
    <w:rsid w:val="00077283"/>
    <w:rsid w:val="0007747D"/>
    <w:rsid w:val="000805C7"/>
    <w:rsid w:val="00085155"/>
    <w:rsid w:val="0008582A"/>
    <w:rsid w:val="00086636"/>
    <w:rsid w:val="00087254"/>
    <w:rsid w:val="0009017D"/>
    <w:rsid w:val="000901FA"/>
    <w:rsid w:val="000905C5"/>
    <w:rsid w:val="00092E82"/>
    <w:rsid w:val="000950E2"/>
    <w:rsid w:val="00095500"/>
    <w:rsid w:val="000A0EB1"/>
    <w:rsid w:val="000A1F61"/>
    <w:rsid w:val="000A3838"/>
    <w:rsid w:val="000A54D5"/>
    <w:rsid w:val="000A59AE"/>
    <w:rsid w:val="000A6A68"/>
    <w:rsid w:val="000B171C"/>
    <w:rsid w:val="000B3EB3"/>
    <w:rsid w:val="000B3ECD"/>
    <w:rsid w:val="000B5EF0"/>
    <w:rsid w:val="000B6EF8"/>
    <w:rsid w:val="000B7358"/>
    <w:rsid w:val="000C0768"/>
    <w:rsid w:val="000C179F"/>
    <w:rsid w:val="000C1C26"/>
    <w:rsid w:val="000C47F6"/>
    <w:rsid w:val="000C4BF6"/>
    <w:rsid w:val="000C4D88"/>
    <w:rsid w:val="000C5755"/>
    <w:rsid w:val="000C6B9F"/>
    <w:rsid w:val="000D0677"/>
    <w:rsid w:val="000D10E2"/>
    <w:rsid w:val="000D29AB"/>
    <w:rsid w:val="000D7434"/>
    <w:rsid w:val="000D769C"/>
    <w:rsid w:val="000D7857"/>
    <w:rsid w:val="000E24F8"/>
    <w:rsid w:val="000E293E"/>
    <w:rsid w:val="000E2BB6"/>
    <w:rsid w:val="000E31B9"/>
    <w:rsid w:val="000E471C"/>
    <w:rsid w:val="000F2668"/>
    <w:rsid w:val="000F2EFA"/>
    <w:rsid w:val="000F3885"/>
    <w:rsid w:val="000F4AB6"/>
    <w:rsid w:val="000F7484"/>
    <w:rsid w:val="00102EB0"/>
    <w:rsid w:val="00102EF8"/>
    <w:rsid w:val="00104851"/>
    <w:rsid w:val="00104BE2"/>
    <w:rsid w:val="001075B6"/>
    <w:rsid w:val="001104DC"/>
    <w:rsid w:val="00111DF1"/>
    <w:rsid w:val="00115E1D"/>
    <w:rsid w:val="001172ED"/>
    <w:rsid w:val="00120551"/>
    <w:rsid w:val="001231CB"/>
    <w:rsid w:val="001261C7"/>
    <w:rsid w:val="001312EE"/>
    <w:rsid w:val="00131DE6"/>
    <w:rsid w:val="00133043"/>
    <w:rsid w:val="001331AA"/>
    <w:rsid w:val="0013447A"/>
    <w:rsid w:val="0013470E"/>
    <w:rsid w:val="0013523E"/>
    <w:rsid w:val="00135BB1"/>
    <w:rsid w:val="00135C40"/>
    <w:rsid w:val="0015015C"/>
    <w:rsid w:val="001504FD"/>
    <w:rsid w:val="00151907"/>
    <w:rsid w:val="001530D5"/>
    <w:rsid w:val="00154B02"/>
    <w:rsid w:val="00156E3F"/>
    <w:rsid w:val="00160228"/>
    <w:rsid w:val="00160340"/>
    <w:rsid w:val="001606FF"/>
    <w:rsid w:val="00160EEC"/>
    <w:rsid w:val="001611B7"/>
    <w:rsid w:val="00161965"/>
    <w:rsid w:val="001629CB"/>
    <w:rsid w:val="00164271"/>
    <w:rsid w:val="001656C7"/>
    <w:rsid w:val="00166108"/>
    <w:rsid w:val="001661B7"/>
    <w:rsid w:val="001676A9"/>
    <w:rsid w:val="00171790"/>
    <w:rsid w:val="00172773"/>
    <w:rsid w:val="00177717"/>
    <w:rsid w:val="0018079D"/>
    <w:rsid w:val="00181EEA"/>
    <w:rsid w:val="001862B2"/>
    <w:rsid w:val="00187512"/>
    <w:rsid w:val="00192FA8"/>
    <w:rsid w:val="00193661"/>
    <w:rsid w:val="00193961"/>
    <w:rsid w:val="00193EBC"/>
    <w:rsid w:val="00194799"/>
    <w:rsid w:val="00194C48"/>
    <w:rsid w:val="0019565B"/>
    <w:rsid w:val="00196428"/>
    <w:rsid w:val="001A19E9"/>
    <w:rsid w:val="001A6AF7"/>
    <w:rsid w:val="001A6D2E"/>
    <w:rsid w:val="001A7B77"/>
    <w:rsid w:val="001B1BB0"/>
    <w:rsid w:val="001B3100"/>
    <w:rsid w:val="001B349E"/>
    <w:rsid w:val="001B7985"/>
    <w:rsid w:val="001C1154"/>
    <w:rsid w:val="001C4A16"/>
    <w:rsid w:val="001C68B3"/>
    <w:rsid w:val="001C7397"/>
    <w:rsid w:val="001D47EA"/>
    <w:rsid w:val="001E1C6A"/>
    <w:rsid w:val="001E3F6F"/>
    <w:rsid w:val="001E626C"/>
    <w:rsid w:val="001E7806"/>
    <w:rsid w:val="001F2D30"/>
    <w:rsid w:val="001F3E19"/>
    <w:rsid w:val="0020192C"/>
    <w:rsid w:val="00201F61"/>
    <w:rsid w:val="00203997"/>
    <w:rsid w:val="00204328"/>
    <w:rsid w:val="00204C0A"/>
    <w:rsid w:val="002078F3"/>
    <w:rsid w:val="00211C6D"/>
    <w:rsid w:val="00213595"/>
    <w:rsid w:val="0021359B"/>
    <w:rsid w:val="002153AA"/>
    <w:rsid w:val="00215B70"/>
    <w:rsid w:val="00221399"/>
    <w:rsid w:val="0023070C"/>
    <w:rsid w:val="00231085"/>
    <w:rsid w:val="0023459E"/>
    <w:rsid w:val="00234BBB"/>
    <w:rsid w:val="00240647"/>
    <w:rsid w:val="00243CDD"/>
    <w:rsid w:val="002441DA"/>
    <w:rsid w:val="00244F3A"/>
    <w:rsid w:val="00245845"/>
    <w:rsid w:val="00250847"/>
    <w:rsid w:val="00251DBF"/>
    <w:rsid w:val="00253C9F"/>
    <w:rsid w:val="00255B38"/>
    <w:rsid w:val="00261CC2"/>
    <w:rsid w:val="002638C7"/>
    <w:rsid w:val="00271BBE"/>
    <w:rsid w:val="00274163"/>
    <w:rsid w:val="0028111E"/>
    <w:rsid w:val="002811AD"/>
    <w:rsid w:val="00282E2F"/>
    <w:rsid w:val="00283528"/>
    <w:rsid w:val="00283BE5"/>
    <w:rsid w:val="002842FD"/>
    <w:rsid w:val="00284EA9"/>
    <w:rsid w:val="00285B9F"/>
    <w:rsid w:val="00285F3A"/>
    <w:rsid w:val="00286AE0"/>
    <w:rsid w:val="002902A6"/>
    <w:rsid w:val="0029538D"/>
    <w:rsid w:val="00295BC9"/>
    <w:rsid w:val="00295BE7"/>
    <w:rsid w:val="002A0619"/>
    <w:rsid w:val="002A2729"/>
    <w:rsid w:val="002A5435"/>
    <w:rsid w:val="002A6E95"/>
    <w:rsid w:val="002B10F4"/>
    <w:rsid w:val="002B2B0A"/>
    <w:rsid w:val="002B2DB4"/>
    <w:rsid w:val="002B3822"/>
    <w:rsid w:val="002B623E"/>
    <w:rsid w:val="002B761B"/>
    <w:rsid w:val="002B7F24"/>
    <w:rsid w:val="002C3456"/>
    <w:rsid w:val="002C53B1"/>
    <w:rsid w:val="002C5CF6"/>
    <w:rsid w:val="002D307F"/>
    <w:rsid w:val="002D481A"/>
    <w:rsid w:val="002D4AD1"/>
    <w:rsid w:val="002D51E9"/>
    <w:rsid w:val="002E1F1D"/>
    <w:rsid w:val="002E26FA"/>
    <w:rsid w:val="002E3322"/>
    <w:rsid w:val="002E4A59"/>
    <w:rsid w:val="002E4DF6"/>
    <w:rsid w:val="002F1F59"/>
    <w:rsid w:val="002F2796"/>
    <w:rsid w:val="002F33BC"/>
    <w:rsid w:val="002F36E5"/>
    <w:rsid w:val="002F3F5D"/>
    <w:rsid w:val="002F4680"/>
    <w:rsid w:val="002F4F82"/>
    <w:rsid w:val="002F540F"/>
    <w:rsid w:val="002F6276"/>
    <w:rsid w:val="0030405B"/>
    <w:rsid w:val="00310C76"/>
    <w:rsid w:val="0031109C"/>
    <w:rsid w:val="00314210"/>
    <w:rsid w:val="003147DF"/>
    <w:rsid w:val="00317001"/>
    <w:rsid w:val="00320683"/>
    <w:rsid w:val="003207BC"/>
    <w:rsid w:val="003220A8"/>
    <w:rsid w:val="00325143"/>
    <w:rsid w:val="00331099"/>
    <w:rsid w:val="00332ABE"/>
    <w:rsid w:val="0033340E"/>
    <w:rsid w:val="0033448A"/>
    <w:rsid w:val="0033534D"/>
    <w:rsid w:val="00340A56"/>
    <w:rsid w:val="0034271D"/>
    <w:rsid w:val="003477D3"/>
    <w:rsid w:val="00350AA6"/>
    <w:rsid w:val="0035275A"/>
    <w:rsid w:val="00352C5B"/>
    <w:rsid w:val="003540AE"/>
    <w:rsid w:val="00355145"/>
    <w:rsid w:val="00355421"/>
    <w:rsid w:val="00361839"/>
    <w:rsid w:val="003629F3"/>
    <w:rsid w:val="00363303"/>
    <w:rsid w:val="00364C5C"/>
    <w:rsid w:val="00365017"/>
    <w:rsid w:val="0036789F"/>
    <w:rsid w:val="00367EDF"/>
    <w:rsid w:val="00373EE6"/>
    <w:rsid w:val="003771F1"/>
    <w:rsid w:val="003778CC"/>
    <w:rsid w:val="00382EC2"/>
    <w:rsid w:val="00383E95"/>
    <w:rsid w:val="0038559B"/>
    <w:rsid w:val="00385975"/>
    <w:rsid w:val="003A06EF"/>
    <w:rsid w:val="003A11BC"/>
    <w:rsid w:val="003A1D75"/>
    <w:rsid w:val="003A24D7"/>
    <w:rsid w:val="003A2719"/>
    <w:rsid w:val="003A2F5B"/>
    <w:rsid w:val="003A393D"/>
    <w:rsid w:val="003B0EAE"/>
    <w:rsid w:val="003B234E"/>
    <w:rsid w:val="003B3F5E"/>
    <w:rsid w:val="003B5EED"/>
    <w:rsid w:val="003B615B"/>
    <w:rsid w:val="003B63ED"/>
    <w:rsid w:val="003C3ACD"/>
    <w:rsid w:val="003D0710"/>
    <w:rsid w:val="003D3155"/>
    <w:rsid w:val="003D6467"/>
    <w:rsid w:val="003D66BD"/>
    <w:rsid w:val="003D6823"/>
    <w:rsid w:val="003E1BE6"/>
    <w:rsid w:val="003E2A30"/>
    <w:rsid w:val="003E552E"/>
    <w:rsid w:val="003E5E23"/>
    <w:rsid w:val="003E6A67"/>
    <w:rsid w:val="003E6FBA"/>
    <w:rsid w:val="003E7455"/>
    <w:rsid w:val="003F1F1E"/>
    <w:rsid w:val="003F2A2E"/>
    <w:rsid w:val="003F3EF6"/>
    <w:rsid w:val="003F53F5"/>
    <w:rsid w:val="003F64DF"/>
    <w:rsid w:val="003F71AB"/>
    <w:rsid w:val="00400B66"/>
    <w:rsid w:val="00400F76"/>
    <w:rsid w:val="004024A9"/>
    <w:rsid w:val="004067CE"/>
    <w:rsid w:val="004078B6"/>
    <w:rsid w:val="00407CA8"/>
    <w:rsid w:val="00410D04"/>
    <w:rsid w:val="00413875"/>
    <w:rsid w:val="00414AD9"/>
    <w:rsid w:val="00414EF7"/>
    <w:rsid w:val="00415883"/>
    <w:rsid w:val="00416EE3"/>
    <w:rsid w:val="0042053B"/>
    <w:rsid w:val="00421B4C"/>
    <w:rsid w:val="004256CD"/>
    <w:rsid w:val="00425FBA"/>
    <w:rsid w:val="0043493E"/>
    <w:rsid w:val="00435006"/>
    <w:rsid w:val="0043762D"/>
    <w:rsid w:val="00440349"/>
    <w:rsid w:val="00441FBA"/>
    <w:rsid w:val="0044226C"/>
    <w:rsid w:val="00445516"/>
    <w:rsid w:val="004459CD"/>
    <w:rsid w:val="00447C42"/>
    <w:rsid w:val="00450352"/>
    <w:rsid w:val="004523CA"/>
    <w:rsid w:val="00453076"/>
    <w:rsid w:val="004543BB"/>
    <w:rsid w:val="00455F2C"/>
    <w:rsid w:val="0045686F"/>
    <w:rsid w:val="00456C61"/>
    <w:rsid w:val="00456E15"/>
    <w:rsid w:val="00461149"/>
    <w:rsid w:val="00462F33"/>
    <w:rsid w:val="00464DEF"/>
    <w:rsid w:val="00465819"/>
    <w:rsid w:val="00465A67"/>
    <w:rsid w:val="0046691B"/>
    <w:rsid w:val="00471257"/>
    <w:rsid w:val="004759DC"/>
    <w:rsid w:val="0048363A"/>
    <w:rsid w:val="00483722"/>
    <w:rsid w:val="0048402B"/>
    <w:rsid w:val="0048595D"/>
    <w:rsid w:val="00486317"/>
    <w:rsid w:val="00486C52"/>
    <w:rsid w:val="00491728"/>
    <w:rsid w:val="00491A0D"/>
    <w:rsid w:val="00493142"/>
    <w:rsid w:val="00494B71"/>
    <w:rsid w:val="00494EEF"/>
    <w:rsid w:val="004A058C"/>
    <w:rsid w:val="004A113B"/>
    <w:rsid w:val="004A25C1"/>
    <w:rsid w:val="004A281E"/>
    <w:rsid w:val="004A2AEA"/>
    <w:rsid w:val="004A482E"/>
    <w:rsid w:val="004A54B1"/>
    <w:rsid w:val="004A5BAD"/>
    <w:rsid w:val="004B41CF"/>
    <w:rsid w:val="004C1082"/>
    <w:rsid w:val="004C51E5"/>
    <w:rsid w:val="004D044B"/>
    <w:rsid w:val="004D09CD"/>
    <w:rsid w:val="004D0AB4"/>
    <w:rsid w:val="004D2A5E"/>
    <w:rsid w:val="004D4904"/>
    <w:rsid w:val="004D61CD"/>
    <w:rsid w:val="004E56AE"/>
    <w:rsid w:val="004F3DBE"/>
    <w:rsid w:val="004F3F7A"/>
    <w:rsid w:val="004F6DDE"/>
    <w:rsid w:val="004F768E"/>
    <w:rsid w:val="005024A2"/>
    <w:rsid w:val="005036ED"/>
    <w:rsid w:val="0050389D"/>
    <w:rsid w:val="00505292"/>
    <w:rsid w:val="00505C07"/>
    <w:rsid w:val="00507B55"/>
    <w:rsid w:val="00507C06"/>
    <w:rsid w:val="0051522D"/>
    <w:rsid w:val="00524758"/>
    <w:rsid w:val="00526D82"/>
    <w:rsid w:val="005310DD"/>
    <w:rsid w:val="00531498"/>
    <w:rsid w:val="00532890"/>
    <w:rsid w:val="005360A6"/>
    <w:rsid w:val="0054004B"/>
    <w:rsid w:val="005415BD"/>
    <w:rsid w:val="00542E23"/>
    <w:rsid w:val="00544E79"/>
    <w:rsid w:val="00551784"/>
    <w:rsid w:val="00555E02"/>
    <w:rsid w:val="00555E44"/>
    <w:rsid w:val="005571BB"/>
    <w:rsid w:val="00560781"/>
    <w:rsid w:val="005624EB"/>
    <w:rsid w:val="0056641A"/>
    <w:rsid w:val="00566618"/>
    <w:rsid w:val="00567958"/>
    <w:rsid w:val="00567C49"/>
    <w:rsid w:val="00570120"/>
    <w:rsid w:val="0057177D"/>
    <w:rsid w:val="00571E3E"/>
    <w:rsid w:val="005819C9"/>
    <w:rsid w:val="005822C9"/>
    <w:rsid w:val="00583834"/>
    <w:rsid w:val="00583D32"/>
    <w:rsid w:val="005848BB"/>
    <w:rsid w:val="005867E1"/>
    <w:rsid w:val="00590D71"/>
    <w:rsid w:val="00591C8B"/>
    <w:rsid w:val="00595B65"/>
    <w:rsid w:val="0059644D"/>
    <w:rsid w:val="00596739"/>
    <w:rsid w:val="00596E81"/>
    <w:rsid w:val="005A111E"/>
    <w:rsid w:val="005A4584"/>
    <w:rsid w:val="005A56EF"/>
    <w:rsid w:val="005A571C"/>
    <w:rsid w:val="005A78E8"/>
    <w:rsid w:val="005B4B19"/>
    <w:rsid w:val="005B52EF"/>
    <w:rsid w:val="005C2E35"/>
    <w:rsid w:val="005C31C2"/>
    <w:rsid w:val="005C750A"/>
    <w:rsid w:val="005D0103"/>
    <w:rsid w:val="005D40FD"/>
    <w:rsid w:val="005D65BC"/>
    <w:rsid w:val="005E0A90"/>
    <w:rsid w:val="005E0EB8"/>
    <w:rsid w:val="005E0F2F"/>
    <w:rsid w:val="005E1091"/>
    <w:rsid w:val="005E1D26"/>
    <w:rsid w:val="005E267D"/>
    <w:rsid w:val="005E5AEE"/>
    <w:rsid w:val="005E6089"/>
    <w:rsid w:val="005E7E16"/>
    <w:rsid w:val="005F0FFD"/>
    <w:rsid w:val="005F15CF"/>
    <w:rsid w:val="00604E9A"/>
    <w:rsid w:val="006100E6"/>
    <w:rsid w:val="0061026E"/>
    <w:rsid w:val="0061528C"/>
    <w:rsid w:val="00621439"/>
    <w:rsid w:val="00621CA4"/>
    <w:rsid w:val="006225EE"/>
    <w:rsid w:val="00623226"/>
    <w:rsid w:val="006238CD"/>
    <w:rsid w:val="006315FF"/>
    <w:rsid w:val="00635E15"/>
    <w:rsid w:val="00636F7A"/>
    <w:rsid w:val="006370CA"/>
    <w:rsid w:val="00637B68"/>
    <w:rsid w:val="0064502A"/>
    <w:rsid w:val="006462CA"/>
    <w:rsid w:val="00646A38"/>
    <w:rsid w:val="00647C7C"/>
    <w:rsid w:val="00651185"/>
    <w:rsid w:val="006514B7"/>
    <w:rsid w:val="00653064"/>
    <w:rsid w:val="00653302"/>
    <w:rsid w:val="00655ACE"/>
    <w:rsid w:val="0065648E"/>
    <w:rsid w:val="006608F1"/>
    <w:rsid w:val="00660E27"/>
    <w:rsid w:val="00661D1A"/>
    <w:rsid w:val="00662BAE"/>
    <w:rsid w:val="0066393E"/>
    <w:rsid w:val="00664E53"/>
    <w:rsid w:val="0067437F"/>
    <w:rsid w:val="00675ED7"/>
    <w:rsid w:val="00683CD2"/>
    <w:rsid w:val="00684FF2"/>
    <w:rsid w:val="006868F6"/>
    <w:rsid w:val="0068764E"/>
    <w:rsid w:val="00687AF6"/>
    <w:rsid w:val="00693E75"/>
    <w:rsid w:val="006960D7"/>
    <w:rsid w:val="00696BDB"/>
    <w:rsid w:val="006A2E4E"/>
    <w:rsid w:val="006A43BE"/>
    <w:rsid w:val="006B2601"/>
    <w:rsid w:val="006B279B"/>
    <w:rsid w:val="006B5058"/>
    <w:rsid w:val="006B7FC5"/>
    <w:rsid w:val="006C16E7"/>
    <w:rsid w:val="006C29D4"/>
    <w:rsid w:val="006C5513"/>
    <w:rsid w:val="006C685A"/>
    <w:rsid w:val="006D06A8"/>
    <w:rsid w:val="006D415B"/>
    <w:rsid w:val="006D417A"/>
    <w:rsid w:val="006D5D38"/>
    <w:rsid w:val="006D7A53"/>
    <w:rsid w:val="006E1515"/>
    <w:rsid w:val="006E287C"/>
    <w:rsid w:val="006E5E1D"/>
    <w:rsid w:val="006E7BEA"/>
    <w:rsid w:val="006F1E4A"/>
    <w:rsid w:val="006F2239"/>
    <w:rsid w:val="006F46E3"/>
    <w:rsid w:val="006F5D73"/>
    <w:rsid w:val="0070170C"/>
    <w:rsid w:val="00703451"/>
    <w:rsid w:val="00704422"/>
    <w:rsid w:val="00705AAA"/>
    <w:rsid w:val="00710B2A"/>
    <w:rsid w:val="00712276"/>
    <w:rsid w:val="0071339B"/>
    <w:rsid w:val="00716EC7"/>
    <w:rsid w:val="00717DAD"/>
    <w:rsid w:val="007206F2"/>
    <w:rsid w:val="00722B1F"/>
    <w:rsid w:val="00722EE0"/>
    <w:rsid w:val="0072429D"/>
    <w:rsid w:val="007256F7"/>
    <w:rsid w:val="00736003"/>
    <w:rsid w:val="007373E4"/>
    <w:rsid w:val="007427F4"/>
    <w:rsid w:val="0074342C"/>
    <w:rsid w:val="00752721"/>
    <w:rsid w:val="007535F0"/>
    <w:rsid w:val="00754CDA"/>
    <w:rsid w:val="00754D19"/>
    <w:rsid w:val="00761B55"/>
    <w:rsid w:val="00763295"/>
    <w:rsid w:val="007652BF"/>
    <w:rsid w:val="007654B3"/>
    <w:rsid w:val="00766C9F"/>
    <w:rsid w:val="007716E0"/>
    <w:rsid w:val="007729A5"/>
    <w:rsid w:val="0077388B"/>
    <w:rsid w:val="00774DDF"/>
    <w:rsid w:val="00775289"/>
    <w:rsid w:val="00777299"/>
    <w:rsid w:val="007800EE"/>
    <w:rsid w:val="00787E03"/>
    <w:rsid w:val="007900CD"/>
    <w:rsid w:val="00790856"/>
    <w:rsid w:val="00790CA0"/>
    <w:rsid w:val="00795D80"/>
    <w:rsid w:val="007A0FE3"/>
    <w:rsid w:val="007A23E8"/>
    <w:rsid w:val="007A319B"/>
    <w:rsid w:val="007A3DAC"/>
    <w:rsid w:val="007A6405"/>
    <w:rsid w:val="007B05D0"/>
    <w:rsid w:val="007B0D0D"/>
    <w:rsid w:val="007B2AE7"/>
    <w:rsid w:val="007B48F5"/>
    <w:rsid w:val="007B5EB0"/>
    <w:rsid w:val="007B77B7"/>
    <w:rsid w:val="007C117F"/>
    <w:rsid w:val="007C27D8"/>
    <w:rsid w:val="007C3A49"/>
    <w:rsid w:val="007C5522"/>
    <w:rsid w:val="007C5C8F"/>
    <w:rsid w:val="007C7EA2"/>
    <w:rsid w:val="007E0AA7"/>
    <w:rsid w:val="007E1286"/>
    <w:rsid w:val="007E1AA6"/>
    <w:rsid w:val="007E2779"/>
    <w:rsid w:val="007E6A54"/>
    <w:rsid w:val="007E7C03"/>
    <w:rsid w:val="007F2782"/>
    <w:rsid w:val="007F3272"/>
    <w:rsid w:val="007F608D"/>
    <w:rsid w:val="007F6967"/>
    <w:rsid w:val="0080069E"/>
    <w:rsid w:val="00801129"/>
    <w:rsid w:val="00801ED1"/>
    <w:rsid w:val="008033FD"/>
    <w:rsid w:val="00816A10"/>
    <w:rsid w:val="00821062"/>
    <w:rsid w:val="00821421"/>
    <w:rsid w:val="008227FD"/>
    <w:rsid w:val="00823363"/>
    <w:rsid w:val="00823D36"/>
    <w:rsid w:val="00825388"/>
    <w:rsid w:val="008262E9"/>
    <w:rsid w:val="0083149E"/>
    <w:rsid w:val="00837D6B"/>
    <w:rsid w:val="00840938"/>
    <w:rsid w:val="008416CE"/>
    <w:rsid w:val="008435C7"/>
    <w:rsid w:val="00843F3C"/>
    <w:rsid w:val="008454C0"/>
    <w:rsid w:val="00851826"/>
    <w:rsid w:val="0085186E"/>
    <w:rsid w:val="008524FE"/>
    <w:rsid w:val="00852FDD"/>
    <w:rsid w:val="0085331E"/>
    <w:rsid w:val="00854B44"/>
    <w:rsid w:val="00857A4C"/>
    <w:rsid w:val="00861518"/>
    <w:rsid w:val="00867A72"/>
    <w:rsid w:val="00872574"/>
    <w:rsid w:val="00872B30"/>
    <w:rsid w:val="00874A19"/>
    <w:rsid w:val="00877906"/>
    <w:rsid w:val="008805C4"/>
    <w:rsid w:val="00880F5E"/>
    <w:rsid w:val="00882FBD"/>
    <w:rsid w:val="008901D6"/>
    <w:rsid w:val="00891920"/>
    <w:rsid w:val="00892D88"/>
    <w:rsid w:val="008934FC"/>
    <w:rsid w:val="00893BEE"/>
    <w:rsid w:val="00894B7F"/>
    <w:rsid w:val="00895556"/>
    <w:rsid w:val="00896638"/>
    <w:rsid w:val="008A135A"/>
    <w:rsid w:val="008A1965"/>
    <w:rsid w:val="008A37E8"/>
    <w:rsid w:val="008A383E"/>
    <w:rsid w:val="008A426E"/>
    <w:rsid w:val="008A4A7B"/>
    <w:rsid w:val="008A6742"/>
    <w:rsid w:val="008A6BAC"/>
    <w:rsid w:val="008A72A2"/>
    <w:rsid w:val="008B02D8"/>
    <w:rsid w:val="008B0917"/>
    <w:rsid w:val="008B0B17"/>
    <w:rsid w:val="008B2A08"/>
    <w:rsid w:val="008B74F7"/>
    <w:rsid w:val="008B76BF"/>
    <w:rsid w:val="008C1DED"/>
    <w:rsid w:val="008C4F73"/>
    <w:rsid w:val="008C557A"/>
    <w:rsid w:val="008C5731"/>
    <w:rsid w:val="008C5739"/>
    <w:rsid w:val="008C7749"/>
    <w:rsid w:val="008D1A00"/>
    <w:rsid w:val="008D4904"/>
    <w:rsid w:val="008D5EC0"/>
    <w:rsid w:val="008D63D9"/>
    <w:rsid w:val="008E3255"/>
    <w:rsid w:val="008E4420"/>
    <w:rsid w:val="008E44CA"/>
    <w:rsid w:val="008E53EE"/>
    <w:rsid w:val="008E61BB"/>
    <w:rsid w:val="008E6863"/>
    <w:rsid w:val="008E7C16"/>
    <w:rsid w:val="008F0BD0"/>
    <w:rsid w:val="008F1E1B"/>
    <w:rsid w:val="008F258A"/>
    <w:rsid w:val="008F3B53"/>
    <w:rsid w:val="008F4D06"/>
    <w:rsid w:val="008F5EBF"/>
    <w:rsid w:val="008F7A44"/>
    <w:rsid w:val="0090167C"/>
    <w:rsid w:val="00901929"/>
    <w:rsid w:val="00901A14"/>
    <w:rsid w:val="00901B31"/>
    <w:rsid w:val="00903BF8"/>
    <w:rsid w:val="009040E7"/>
    <w:rsid w:val="009045C6"/>
    <w:rsid w:val="0090657C"/>
    <w:rsid w:val="00907138"/>
    <w:rsid w:val="00911DCA"/>
    <w:rsid w:val="009135E9"/>
    <w:rsid w:val="00922210"/>
    <w:rsid w:val="00922574"/>
    <w:rsid w:val="00924366"/>
    <w:rsid w:val="00931954"/>
    <w:rsid w:val="00933246"/>
    <w:rsid w:val="009336DC"/>
    <w:rsid w:val="00935A2F"/>
    <w:rsid w:val="00936344"/>
    <w:rsid w:val="00942B89"/>
    <w:rsid w:val="0095063E"/>
    <w:rsid w:val="00953272"/>
    <w:rsid w:val="00955B79"/>
    <w:rsid w:val="00962D2F"/>
    <w:rsid w:val="00963A44"/>
    <w:rsid w:val="00964A29"/>
    <w:rsid w:val="00964A8E"/>
    <w:rsid w:val="00966357"/>
    <w:rsid w:val="009668EF"/>
    <w:rsid w:val="009700A5"/>
    <w:rsid w:val="00972891"/>
    <w:rsid w:val="00975874"/>
    <w:rsid w:val="00975D43"/>
    <w:rsid w:val="00976A8E"/>
    <w:rsid w:val="00976ADE"/>
    <w:rsid w:val="00976C32"/>
    <w:rsid w:val="00977CC3"/>
    <w:rsid w:val="00982378"/>
    <w:rsid w:val="00986F50"/>
    <w:rsid w:val="009878DA"/>
    <w:rsid w:val="00987900"/>
    <w:rsid w:val="0099063E"/>
    <w:rsid w:val="0099089E"/>
    <w:rsid w:val="00990CE5"/>
    <w:rsid w:val="0099436D"/>
    <w:rsid w:val="00996449"/>
    <w:rsid w:val="009A0762"/>
    <w:rsid w:val="009A4C9E"/>
    <w:rsid w:val="009A519E"/>
    <w:rsid w:val="009A51DE"/>
    <w:rsid w:val="009A55C6"/>
    <w:rsid w:val="009A6565"/>
    <w:rsid w:val="009B0B3A"/>
    <w:rsid w:val="009B11B0"/>
    <w:rsid w:val="009B12FB"/>
    <w:rsid w:val="009B2F21"/>
    <w:rsid w:val="009B3FC9"/>
    <w:rsid w:val="009B7DA4"/>
    <w:rsid w:val="009C21B6"/>
    <w:rsid w:val="009C4454"/>
    <w:rsid w:val="009C6C1F"/>
    <w:rsid w:val="009D1A54"/>
    <w:rsid w:val="009D206C"/>
    <w:rsid w:val="009D29E2"/>
    <w:rsid w:val="009D711C"/>
    <w:rsid w:val="009D76D0"/>
    <w:rsid w:val="009D77EF"/>
    <w:rsid w:val="009E0401"/>
    <w:rsid w:val="009E6EAA"/>
    <w:rsid w:val="009F3B14"/>
    <w:rsid w:val="00A0067B"/>
    <w:rsid w:val="00A026A2"/>
    <w:rsid w:val="00A03F96"/>
    <w:rsid w:val="00A05A5D"/>
    <w:rsid w:val="00A1114C"/>
    <w:rsid w:val="00A11F68"/>
    <w:rsid w:val="00A2115E"/>
    <w:rsid w:val="00A211F6"/>
    <w:rsid w:val="00A21F4C"/>
    <w:rsid w:val="00A22AD7"/>
    <w:rsid w:val="00A324AE"/>
    <w:rsid w:val="00A374E2"/>
    <w:rsid w:val="00A37CE4"/>
    <w:rsid w:val="00A4273D"/>
    <w:rsid w:val="00A44F69"/>
    <w:rsid w:val="00A45D34"/>
    <w:rsid w:val="00A51D16"/>
    <w:rsid w:val="00A523EA"/>
    <w:rsid w:val="00A53020"/>
    <w:rsid w:val="00A54813"/>
    <w:rsid w:val="00A616C9"/>
    <w:rsid w:val="00A628F7"/>
    <w:rsid w:val="00A64EB7"/>
    <w:rsid w:val="00A653A0"/>
    <w:rsid w:val="00A71054"/>
    <w:rsid w:val="00A76FD1"/>
    <w:rsid w:val="00A80445"/>
    <w:rsid w:val="00A839F5"/>
    <w:rsid w:val="00A85C8D"/>
    <w:rsid w:val="00A9233B"/>
    <w:rsid w:val="00A93B07"/>
    <w:rsid w:val="00AA0438"/>
    <w:rsid w:val="00AA297B"/>
    <w:rsid w:val="00AA59B8"/>
    <w:rsid w:val="00AB0A16"/>
    <w:rsid w:val="00AB200C"/>
    <w:rsid w:val="00AB42DD"/>
    <w:rsid w:val="00AB65BB"/>
    <w:rsid w:val="00AC0D9B"/>
    <w:rsid w:val="00AC0E55"/>
    <w:rsid w:val="00AC47E2"/>
    <w:rsid w:val="00AC65D5"/>
    <w:rsid w:val="00AC774F"/>
    <w:rsid w:val="00AD0E7A"/>
    <w:rsid w:val="00AD1ECE"/>
    <w:rsid w:val="00AD2051"/>
    <w:rsid w:val="00AD4092"/>
    <w:rsid w:val="00AE0B17"/>
    <w:rsid w:val="00AE1059"/>
    <w:rsid w:val="00AE4CE0"/>
    <w:rsid w:val="00AE4DB1"/>
    <w:rsid w:val="00AE55BB"/>
    <w:rsid w:val="00AE7C9C"/>
    <w:rsid w:val="00AF1908"/>
    <w:rsid w:val="00AF3C93"/>
    <w:rsid w:val="00AF4299"/>
    <w:rsid w:val="00AF5150"/>
    <w:rsid w:val="00AF5F53"/>
    <w:rsid w:val="00B01253"/>
    <w:rsid w:val="00B10A0B"/>
    <w:rsid w:val="00B12E5B"/>
    <w:rsid w:val="00B1540C"/>
    <w:rsid w:val="00B15D8B"/>
    <w:rsid w:val="00B2059F"/>
    <w:rsid w:val="00B244DB"/>
    <w:rsid w:val="00B24BF3"/>
    <w:rsid w:val="00B26A49"/>
    <w:rsid w:val="00B278C4"/>
    <w:rsid w:val="00B27B71"/>
    <w:rsid w:val="00B302DD"/>
    <w:rsid w:val="00B309F6"/>
    <w:rsid w:val="00B30A65"/>
    <w:rsid w:val="00B311A4"/>
    <w:rsid w:val="00B3135E"/>
    <w:rsid w:val="00B339C6"/>
    <w:rsid w:val="00B34F43"/>
    <w:rsid w:val="00B35D74"/>
    <w:rsid w:val="00B379DC"/>
    <w:rsid w:val="00B421EF"/>
    <w:rsid w:val="00B43540"/>
    <w:rsid w:val="00B43E9E"/>
    <w:rsid w:val="00B4470F"/>
    <w:rsid w:val="00B44AC8"/>
    <w:rsid w:val="00B453EA"/>
    <w:rsid w:val="00B45941"/>
    <w:rsid w:val="00B469B8"/>
    <w:rsid w:val="00B52696"/>
    <w:rsid w:val="00B53D82"/>
    <w:rsid w:val="00B55115"/>
    <w:rsid w:val="00B571FC"/>
    <w:rsid w:val="00B605F3"/>
    <w:rsid w:val="00B60822"/>
    <w:rsid w:val="00B60AD9"/>
    <w:rsid w:val="00B64872"/>
    <w:rsid w:val="00B65E4B"/>
    <w:rsid w:val="00B66B87"/>
    <w:rsid w:val="00B71C3F"/>
    <w:rsid w:val="00B71DE0"/>
    <w:rsid w:val="00B7207E"/>
    <w:rsid w:val="00B7241E"/>
    <w:rsid w:val="00B77CD4"/>
    <w:rsid w:val="00B77FF4"/>
    <w:rsid w:val="00B8167E"/>
    <w:rsid w:val="00B82FEE"/>
    <w:rsid w:val="00B8397D"/>
    <w:rsid w:val="00B86254"/>
    <w:rsid w:val="00B87CD7"/>
    <w:rsid w:val="00B9104B"/>
    <w:rsid w:val="00B91461"/>
    <w:rsid w:val="00B91F42"/>
    <w:rsid w:val="00B92A81"/>
    <w:rsid w:val="00B94335"/>
    <w:rsid w:val="00B9558C"/>
    <w:rsid w:val="00B96757"/>
    <w:rsid w:val="00B97317"/>
    <w:rsid w:val="00BA2633"/>
    <w:rsid w:val="00BA38D2"/>
    <w:rsid w:val="00BA7D53"/>
    <w:rsid w:val="00BB0937"/>
    <w:rsid w:val="00BB17DC"/>
    <w:rsid w:val="00BB43C7"/>
    <w:rsid w:val="00BB6112"/>
    <w:rsid w:val="00BC1740"/>
    <w:rsid w:val="00BD05C8"/>
    <w:rsid w:val="00BD16EA"/>
    <w:rsid w:val="00BD255D"/>
    <w:rsid w:val="00BD2FAF"/>
    <w:rsid w:val="00BD6F42"/>
    <w:rsid w:val="00BE009C"/>
    <w:rsid w:val="00BE3323"/>
    <w:rsid w:val="00BE3868"/>
    <w:rsid w:val="00BE48EC"/>
    <w:rsid w:val="00BE5F3A"/>
    <w:rsid w:val="00BE61A3"/>
    <w:rsid w:val="00BE6A55"/>
    <w:rsid w:val="00BF0D80"/>
    <w:rsid w:val="00BF1F62"/>
    <w:rsid w:val="00BF32E5"/>
    <w:rsid w:val="00BF76D8"/>
    <w:rsid w:val="00C00F19"/>
    <w:rsid w:val="00C00F45"/>
    <w:rsid w:val="00C02379"/>
    <w:rsid w:val="00C030C1"/>
    <w:rsid w:val="00C048BA"/>
    <w:rsid w:val="00C116C5"/>
    <w:rsid w:val="00C11D71"/>
    <w:rsid w:val="00C14760"/>
    <w:rsid w:val="00C14945"/>
    <w:rsid w:val="00C14F2A"/>
    <w:rsid w:val="00C174EC"/>
    <w:rsid w:val="00C21D9A"/>
    <w:rsid w:val="00C248A8"/>
    <w:rsid w:val="00C25B8E"/>
    <w:rsid w:val="00C26D3B"/>
    <w:rsid w:val="00C27873"/>
    <w:rsid w:val="00C31473"/>
    <w:rsid w:val="00C31DB9"/>
    <w:rsid w:val="00C3405B"/>
    <w:rsid w:val="00C401D9"/>
    <w:rsid w:val="00C434FB"/>
    <w:rsid w:val="00C47983"/>
    <w:rsid w:val="00C47E2D"/>
    <w:rsid w:val="00C51E92"/>
    <w:rsid w:val="00C51F20"/>
    <w:rsid w:val="00C5286D"/>
    <w:rsid w:val="00C54AD2"/>
    <w:rsid w:val="00C564E2"/>
    <w:rsid w:val="00C5669B"/>
    <w:rsid w:val="00C569B5"/>
    <w:rsid w:val="00C60089"/>
    <w:rsid w:val="00C60E7F"/>
    <w:rsid w:val="00C6259E"/>
    <w:rsid w:val="00C62E33"/>
    <w:rsid w:val="00C634A8"/>
    <w:rsid w:val="00C63803"/>
    <w:rsid w:val="00C64AED"/>
    <w:rsid w:val="00C66676"/>
    <w:rsid w:val="00C66DC0"/>
    <w:rsid w:val="00C703C4"/>
    <w:rsid w:val="00C71A81"/>
    <w:rsid w:val="00C72521"/>
    <w:rsid w:val="00C7320A"/>
    <w:rsid w:val="00C772FB"/>
    <w:rsid w:val="00C80C24"/>
    <w:rsid w:val="00C84985"/>
    <w:rsid w:val="00C86718"/>
    <w:rsid w:val="00C87BF7"/>
    <w:rsid w:val="00C916C2"/>
    <w:rsid w:val="00C9313C"/>
    <w:rsid w:val="00C93F45"/>
    <w:rsid w:val="00C962FE"/>
    <w:rsid w:val="00C9736C"/>
    <w:rsid w:val="00C9767D"/>
    <w:rsid w:val="00CA0219"/>
    <w:rsid w:val="00CA0336"/>
    <w:rsid w:val="00CA2191"/>
    <w:rsid w:val="00CA2DFD"/>
    <w:rsid w:val="00CA7501"/>
    <w:rsid w:val="00CB00B7"/>
    <w:rsid w:val="00CB2B29"/>
    <w:rsid w:val="00CB2DE9"/>
    <w:rsid w:val="00CB3974"/>
    <w:rsid w:val="00CB3B44"/>
    <w:rsid w:val="00CB5F25"/>
    <w:rsid w:val="00CB7191"/>
    <w:rsid w:val="00CB77FE"/>
    <w:rsid w:val="00CB7F78"/>
    <w:rsid w:val="00CC31FB"/>
    <w:rsid w:val="00CC3537"/>
    <w:rsid w:val="00CD1713"/>
    <w:rsid w:val="00CD2F47"/>
    <w:rsid w:val="00CD3F01"/>
    <w:rsid w:val="00CD4D0F"/>
    <w:rsid w:val="00CD5A67"/>
    <w:rsid w:val="00CE0DE5"/>
    <w:rsid w:val="00CE0FD1"/>
    <w:rsid w:val="00CE1B8B"/>
    <w:rsid w:val="00CE5C07"/>
    <w:rsid w:val="00CE7C5C"/>
    <w:rsid w:val="00CF09DC"/>
    <w:rsid w:val="00CF1997"/>
    <w:rsid w:val="00CF2DB9"/>
    <w:rsid w:val="00CF5190"/>
    <w:rsid w:val="00D00E62"/>
    <w:rsid w:val="00D0238E"/>
    <w:rsid w:val="00D023C7"/>
    <w:rsid w:val="00D03B27"/>
    <w:rsid w:val="00D07298"/>
    <w:rsid w:val="00D107E9"/>
    <w:rsid w:val="00D114FF"/>
    <w:rsid w:val="00D20A60"/>
    <w:rsid w:val="00D215E1"/>
    <w:rsid w:val="00D21C79"/>
    <w:rsid w:val="00D22579"/>
    <w:rsid w:val="00D225EB"/>
    <w:rsid w:val="00D2462D"/>
    <w:rsid w:val="00D3261C"/>
    <w:rsid w:val="00D332B2"/>
    <w:rsid w:val="00D34C62"/>
    <w:rsid w:val="00D35A3B"/>
    <w:rsid w:val="00D35DB0"/>
    <w:rsid w:val="00D35EA8"/>
    <w:rsid w:val="00D3629C"/>
    <w:rsid w:val="00D37532"/>
    <w:rsid w:val="00D37E66"/>
    <w:rsid w:val="00D402D7"/>
    <w:rsid w:val="00D41194"/>
    <w:rsid w:val="00D41C01"/>
    <w:rsid w:val="00D429C7"/>
    <w:rsid w:val="00D442AE"/>
    <w:rsid w:val="00D45C85"/>
    <w:rsid w:val="00D50A38"/>
    <w:rsid w:val="00D520F4"/>
    <w:rsid w:val="00D5393D"/>
    <w:rsid w:val="00D558D5"/>
    <w:rsid w:val="00D63A3C"/>
    <w:rsid w:val="00D63AF6"/>
    <w:rsid w:val="00D63F4C"/>
    <w:rsid w:val="00D66843"/>
    <w:rsid w:val="00D6698E"/>
    <w:rsid w:val="00D67A21"/>
    <w:rsid w:val="00D70AE0"/>
    <w:rsid w:val="00D714FE"/>
    <w:rsid w:val="00D723EE"/>
    <w:rsid w:val="00D734D0"/>
    <w:rsid w:val="00D74184"/>
    <w:rsid w:val="00D75FA0"/>
    <w:rsid w:val="00D76698"/>
    <w:rsid w:val="00D77241"/>
    <w:rsid w:val="00D77F77"/>
    <w:rsid w:val="00D80E4F"/>
    <w:rsid w:val="00D84322"/>
    <w:rsid w:val="00D91CF0"/>
    <w:rsid w:val="00D95279"/>
    <w:rsid w:val="00D956CE"/>
    <w:rsid w:val="00D97E5A"/>
    <w:rsid w:val="00DA18AA"/>
    <w:rsid w:val="00DA2077"/>
    <w:rsid w:val="00DA218A"/>
    <w:rsid w:val="00DA6537"/>
    <w:rsid w:val="00DA6735"/>
    <w:rsid w:val="00DB4D93"/>
    <w:rsid w:val="00DB5DAC"/>
    <w:rsid w:val="00DC13D5"/>
    <w:rsid w:val="00DC3010"/>
    <w:rsid w:val="00DC32BD"/>
    <w:rsid w:val="00DC59EF"/>
    <w:rsid w:val="00DD1886"/>
    <w:rsid w:val="00DD24C7"/>
    <w:rsid w:val="00DD2E6A"/>
    <w:rsid w:val="00DD4CB9"/>
    <w:rsid w:val="00DE146B"/>
    <w:rsid w:val="00DE202C"/>
    <w:rsid w:val="00DE2BC1"/>
    <w:rsid w:val="00DE4E39"/>
    <w:rsid w:val="00DF118E"/>
    <w:rsid w:val="00DF228A"/>
    <w:rsid w:val="00DF51CC"/>
    <w:rsid w:val="00DF551B"/>
    <w:rsid w:val="00E00D28"/>
    <w:rsid w:val="00E04D08"/>
    <w:rsid w:val="00E05F4D"/>
    <w:rsid w:val="00E06B31"/>
    <w:rsid w:val="00E11F2F"/>
    <w:rsid w:val="00E14D8A"/>
    <w:rsid w:val="00E15905"/>
    <w:rsid w:val="00E17516"/>
    <w:rsid w:val="00E17C80"/>
    <w:rsid w:val="00E17FBC"/>
    <w:rsid w:val="00E24363"/>
    <w:rsid w:val="00E2475E"/>
    <w:rsid w:val="00E27267"/>
    <w:rsid w:val="00E27E3C"/>
    <w:rsid w:val="00E3025C"/>
    <w:rsid w:val="00E3115B"/>
    <w:rsid w:val="00E32673"/>
    <w:rsid w:val="00E32727"/>
    <w:rsid w:val="00E32CC6"/>
    <w:rsid w:val="00E36BEA"/>
    <w:rsid w:val="00E36F14"/>
    <w:rsid w:val="00E3722E"/>
    <w:rsid w:val="00E40C26"/>
    <w:rsid w:val="00E41741"/>
    <w:rsid w:val="00E41B9D"/>
    <w:rsid w:val="00E43399"/>
    <w:rsid w:val="00E43F6D"/>
    <w:rsid w:val="00E44F15"/>
    <w:rsid w:val="00E4638D"/>
    <w:rsid w:val="00E463CD"/>
    <w:rsid w:val="00E56427"/>
    <w:rsid w:val="00E566E8"/>
    <w:rsid w:val="00E567B5"/>
    <w:rsid w:val="00E56DD3"/>
    <w:rsid w:val="00E57D3D"/>
    <w:rsid w:val="00E57F39"/>
    <w:rsid w:val="00E619F2"/>
    <w:rsid w:val="00E6241C"/>
    <w:rsid w:val="00E6277F"/>
    <w:rsid w:val="00E62A7B"/>
    <w:rsid w:val="00E6379A"/>
    <w:rsid w:val="00E658DF"/>
    <w:rsid w:val="00E65C22"/>
    <w:rsid w:val="00E661A5"/>
    <w:rsid w:val="00E67391"/>
    <w:rsid w:val="00E70E38"/>
    <w:rsid w:val="00E71BBA"/>
    <w:rsid w:val="00E72741"/>
    <w:rsid w:val="00E73B0E"/>
    <w:rsid w:val="00E742C1"/>
    <w:rsid w:val="00E76115"/>
    <w:rsid w:val="00E808DD"/>
    <w:rsid w:val="00E83799"/>
    <w:rsid w:val="00E8386F"/>
    <w:rsid w:val="00E841EF"/>
    <w:rsid w:val="00E875D2"/>
    <w:rsid w:val="00E929F8"/>
    <w:rsid w:val="00E942E7"/>
    <w:rsid w:val="00E96100"/>
    <w:rsid w:val="00E968BE"/>
    <w:rsid w:val="00E96DAF"/>
    <w:rsid w:val="00E976F8"/>
    <w:rsid w:val="00EA044D"/>
    <w:rsid w:val="00EA5530"/>
    <w:rsid w:val="00EB17AA"/>
    <w:rsid w:val="00EB3D38"/>
    <w:rsid w:val="00EB3EE9"/>
    <w:rsid w:val="00EB65A3"/>
    <w:rsid w:val="00EC07BE"/>
    <w:rsid w:val="00EC33AC"/>
    <w:rsid w:val="00EC6236"/>
    <w:rsid w:val="00EC7382"/>
    <w:rsid w:val="00ED0CFB"/>
    <w:rsid w:val="00ED1607"/>
    <w:rsid w:val="00ED4384"/>
    <w:rsid w:val="00ED50E5"/>
    <w:rsid w:val="00ED73E0"/>
    <w:rsid w:val="00EE0726"/>
    <w:rsid w:val="00EE084C"/>
    <w:rsid w:val="00EE5420"/>
    <w:rsid w:val="00EE5714"/>
    <w:rsid w:val="00EE6157"/>
    <w:rsid w:val="00EE620B"/>
    <w:rsid w:val="00EF5878"/>
    <w:rsid w:val="00EF7547"/>
    <w:rsid w:val="00F00809"/>
    <w:rsid w:val="00F00D6A"/>
    <w:rsid w:val="00F044B1"/>
    <w:rsid w:val="00F05DBF"/>
    <w:rsid w:val="00F05DE7"/>
    <w:rsid w:val="00F05E14"/>
    <w:rsid w:val="00F07177"/>
    <w:rsid w:val="00F07EDD"/>
    <w:rsid w:val="00F116E0"/>
    <w:rsid w:val="00F154FB"/>
    <w:rsid w:val="00F17E8A"/>
    <w:rsid w:val="00F32647"/>
    <w:rsid w:val="00F331EF"/>
    <w:rsid w:val="00F33A6C"/>
    <w:rsid w:val="00F35180"/>
    <w:rsid w:val="00F37D2E"/>
    <w:rsid w:val="00F41FB0"/>
    <w:rsid w:val="00F4200B"/>
    <w:rsid w:val="00F435B8"/>
    <w:rsid w:val="00F47381"/>
    <w:rsid w:val="00F47395"/>
    <w:rsid w:val="00F47561"/>
    <w:rsid w:val="00F531C4"/>
    <w:rsid w:val="00F54C3C"/>
    <w:rsid w:val="00F55C9B"/>
    <w:rsid w:val="00F570E4"/>
    <w:rsid w:val="00F5729B"/>
    <w:rsid w:val="00F60053"/>
    <w:rsid w:val="00F619F7"/>
    <w:rsid w:val="00F6354D"/>
    <w:rsid w:val="00F6475C"/>
    <w:rsid w:val="00F6482B"/>
    <w:rsid w:val="00F6490B"/>
    <w:rsid w:val="00F7138E"/>
    <w:rsid w:val="00F71821"/>
    <w:rsid w:val="00F71A8E"/>
    <w:rsid w:val="00F72970"/>
    <w:rsid w:val="00F74F11"/>
    <w:rsid w:val="00F74F86"/>
    <w:rsid w:val="00F75453"/>
    <w:rsid w:val="00F75E7D"/>
    <w:rsid w:val="00F806E7"/>
    <w:rsid w:val="00F908BE"/>
    <w:rsid w:val="00F9157C"/>
    <w:rsid w:val="00F9438E"/>
    <w:rsid w:val="00FA0B24"/>
    <w:rsid w:val="00FA0E08"/>
    <w:rsid w:val="00FA1086"/>
    <w:rsid w:val="00FA229C"/>
    <w:rsid w:val="00FA238E"/>
    <w:rsid w:val="00FB3180"/>
    <w:rsid w:val="00FB417E"/>
    <w:rsid w:val="00FB6DC5"/>
    <w:rsid w:val="00FB74E0"/>
    <w:rsid w:val="00FC1321"/>
    <w:rsid w:val="00FC1F8E"/>
    <w:rsid w:val="00FC366B"/>
    <w:rsid w:val="00FC6778"/>
    <w:rsid w:val="00FD33D6"/>
    <w:rsid w:val="00FD6403"/>
    <w:rsid w:val="00FD704B"/>
    <w:rsid w:val="00FE29E5"/>
    <w:rsid w:val="00FE36D4"/>
    <w:rsid w:val="00FE4D7B"/>
    <w:rsid w:val="00FE6E15"/>
    <w:rsid w:val="00FF27C6"/>
    <w:rsid w:val="00FF2980"/>
    <w:rsid w:val="00FF2C44"/>
    <w:rsid w:val="00FF3011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E28F24C"/>
  <w15:docId w15:val="{64B2B6E4-4616-46E4-B30F-8E849C5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E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D5E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D5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5EC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5E267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1588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58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1588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5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5883"/>
    <w:rPr>
      <w:rFonts w:ascii="Arial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CF519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C703C4"/>
    <w:rPr>
      <w:rFonts w:cs="Times New Roman"/>
      <w:color w:val="800080"/>
      <w:u w:val="single"/>
    </w:rPr>
  </w:style>
  <w:style w:type="character" w:customStyle="1" w:styleId="skypepnhprintcontainer1394878734">
    <w:name w:val="skype_pnh_print_container_1394878734"/>
    <w:basedOn w:val="Standardnpsmoodstavce"/>
    <w:uiPriority w:val="99"/>
    <w:rsid w:val="007800EE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7800EE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7800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7800EE"/>
    <w:rPr>
      <w:rFonts w:cs="Times New Roman"/>
    </w:rPr>
  </w:style>
  <w:style w:type="character" w:customStyle="1" w:styleId="skypepnhfreetextspan">
    <w:name w:val="skype_pnh_free_text_span"/>
    <w:basedOn w:val="Standardnpsmoodstavce"/>
    <w:uiPriority w:val="99"/>
    <w:rsid w:val="007800E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91C8B"/>
    <w:pPr>
      <w:ind w:left="720"/>
      <w:contextualSpacing/>
    </w:pPr>
  </w:style>
  <w:style w:type="character" w:customStyle="1" w:styleId="skypepnhprintcontainer1394897301">
    <w:name w:val="skype_pnh_print_container_1394897301"/>
    <w:basedOn w:val="Standardnpsmoodstavce"/>
    <w:uiPriority w:val="99"/>
    <w:rsid w:val="00591C8B"/>
    <w:rPr>
      <w:rFonts w:cs="Times New Roman"/>
    </w:rPr>
  </w:style>
  <w:style w:type="paragraph" w:customStyle="1" w:styleId="Default">
    <w:name w:val="Default"/>
    <w:uiPriority w:val="99"/>
    <w:rsid w:val="00591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3A393D"/>
    <w:pPr>
      <w:suppressAutoHyphens/>
      <w:autoSpaceDN w:val="0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610">
                      <w:marLeft w:val="12"/>
                      <w:marRight w:val="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4FB3-9CAD-4860-ABB5-BAB2444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5888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Makroekonomická prognóza ČBA_leden_2017</vt:lpstr>
      <vt:lpstr>Na internetu Češi preferují rychlost a jednoduchost před bezpečností, ohrožují tím své finance</vt:lpstr>
    </vt:vector>
  </TitlesOfParts>
  <Company>Hewlett-Packard Company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Makroekonomická prognóza ČBA_leden_2017</dc:title>
  <dc:creator>Martina Lasotová</dc:creator>
  <cp:lastModifiedBy>Tereza Linková</cp:lastModifiedBy>
  <cp:revision>2</cp:revision>
  <cp:lastPrinted>2018-01-23T10:59:00Z</cp:lastPrinted>
  <dcterms:created xsi:type="dcterms:W3CDTF">2018-01-24T07:29:00Z</dcterms:created>
  <dcterms:modified xsi:type="dcterms:W3CDTF">2018-01-24T07:29:00Z</dcterms:modified>
</cp:coreProperties>
</file>