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B438D9">
        <w:rPr>
          <w:rFonts w:cs="Arial"/>
          <w:b/>
          <w:color w:val="007E79"/>
          <w:sz w:val="28"/>
          <w:szCs w:val="28"/>
        </w:rPr>
        <w:t>listopad</w:t>
      </w:r>
      <w:r w:rsidRPr="00B35B21">
        <w:rPr>
          <w:rFonts w:cs="Arial"/>
          <w:b/>
          <w:color w:val="007E79"/>
          <w:sz w:val="28"/>
          <w:szCs w:val="28"/>
        </w:rPr>
        <w:t xml:space="preserve"> 201</w:t>
      </w:r>
      <w:r w:rsidR="00C3729A">
        <w:rPr>
          <w:rFonts w:cs="Arial"/>
          <w:b/>
          <w:color w:val="007E79"/>
          <w:sz w:val="28"/>
          <w:szCs w:val="28"/>
        </w:rPr>
        <w:t>8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C3729A">
        <w:rPr>
          <w:rFonts w:cs="Arial"/>
          <w:b/>
          <w:color w:val="007E79"/>
          <w:sz w:val="22"/>
          <w:szCs w:val="22"/>
        </w:rPr>
        <w:t>3</w:t>
      </w:r>
      <w:r w:rsidR="004B36FD">
        <w:rPr>
          <w:rFonts w:cs="Arial"/>
          <w:b/>
          <w:color w:val="007E79"/>
          <w:sz w:val="22"/>
          <w:szCs w:val="22"/>
        </w:rPr>
        <w:t>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B438D9">
        <w:rPr>
          <w:rFonts w:cs="Arial"/>
          <w:b/>
          <w:color w:val="007E79"/>
          <w:sz w:val="22"/>
          <w:szCs w:val="22"/>
        </w:rPr>
        <w:t>prosince</w:t>
      </w:r>
      <w:r w:rsidRPr="00877706">
        <w:rPr>
          <w:rFonts w:cs="Arial"/>
          <w:b/>
          <w:color w:val="007E79"/>
          <w:sz w:val="22"/>
          <w:szCs w:val="22"/>
        </w:rPr>
        <w:t xml:space="preserve"> 201</w:t>
      </w:r>
      <w:r w:rsidR="00B438D9">
        <w:rPr>
          <w:rFonts w:cs="Arial"/>
          <w:b/>
          <w:color w:val="007E79"/>
          <w:sz w:val="22"/>
          <w:szCs w:val="22"/>
        </w:rPr>
        <w:t>8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Pr="004C0DD2" w:rsidRDefault="00E675F5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B438D9" w:rsidRDefault="00B438D9" w:rsidP="00B438D9">
      <w:pPr>
        <w:rPr>
          <w:rFonts w:cs="Arial"/>
          <w:iCs/>
          <w:sz w:val="20"/>
        </w:rPr>
      </w:pPr>
      <w:r w:rsidRPr="00B438D9">
        <w:rPr>
          <w:rFonts w:cs="Arial"/>
          <w:b/>
          <w:bCs/>
          <w:sz w:val="20"/>
        </w:rPr>
        <w:t>Objem bankovních</w:t>
      </w:r>
      <w:r>
        <w:rPr>
          <w:rFonts w:cs="Arial"/>
          <w:sz w:val="20"/>
        </w:rPr>
        <w:t xml:space="preserve"> úvěrů rezidentům ke konci listopadu 2018 oproti předchozímu měsíci nepatrně klesl na 5,644 bilionu korun. Úvěry v Česku působícím firmám mimo finanční sektor oproti říjnu 2018 o devět miliard korun poklesly na 1,104 bilionu při mírném nárůstu podílu dlouhodobých úvěrů. Objem úvěrů českým domácnostem nadále mírně rostly. Vyplývá to ze statistik, které dnes zveřejnila Česká národní banka.</w:t>
      </w:r>
    </w:p>
    <w:p w:rsidR="00B438D9" w:rsidRDefault="00B438D9" w:rsidP="00B438D9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 </w:t>
      </w:r>
    </w:p>
    <w:p w:rsidR="00B438D9" w:rsidRDefault="00B438D9" w:rsidP="00B438D9">
      <w:pPr>
        <w:rPr>
          <w:rFonts w:cs="Arial"/>
          <w:i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1,641 bilionu korun, s meziměsíčním růstem o dvanáct miliard korun. Až na 76 % se přitom zvýšil podíl, který mají úvěry na bydlení, jež dosáhly 1,240 miliardy Kč. Jejich objem se tak meziměsíčně navýšil o 0,8 %, v absolutním vyjádření plus deset miliard korun.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Listopad 2018 byl zároveň druhým měsícem, v němž by měly banky při posuzování žadatelů o hypotéku respektovat doporučení ČNB. Ta se týkají poměru celkového dluhu (DTI) či nákladů na dlužní službu (DSTI) k čistým příjmům žadatele, a jejich očekávaným důsledkem mělo být zbrzdění celkové dynamiky hypotéčního úvěrování. </w:t>
      </w:r>
      <w:r>
        <w:rPr>
          <w:rFonts w:cs="Arial"/>
          <w:i/>
          <w:iCs/>
          <w:sz w:val="20"/>
        </w:rPr>
        <w:t>„Tato očekávání se dosud nenaplnila,"</w:t>
      </w:r>
      <w:r>
        <w:rPr>
          <w:rFonts w:cs="Arial"/>
          <w:iCs/>
          <w:sz w:val="20"/>
        </w:rPr>
        <w:t xml:space="preserve"> uvedl ekonomický analytik České bankovní asociace Miroslav Zámečník, a zároveň upozornil na skutečnost, že „</w:t>
      </w:r>
      <w:r>
        <w:rPr>
          <w:rFonts w:cs="Arial"/>
          <w:iCs/>
          <w:sz w:val="20"/>
        </w:rPr>
        <w:t>O</w:t>
      </w:r>
      <w:bookmarkStart w:id="0" w:name="_GoBack"/>
      <w:bookmarkEnd w:id="0"/>
      <w:r>
        <w:rPr>
          <w:rFonts w:cs="Arial"/>
          <w:i/>
          <w:iCs/>
          <w:sz w:val="20"/>
        </w:rPr>
        <w:t xml:space="preserve">bjem spotřebitelských půjček domácností přes předvánoční sezonu stoupl jen o 0,6 % na 244 miliard Kč, většina populace se tedy drží konzervativních zásad, a k financování spotřeby na dluh přistupuje velice zdrženlivě“. </w:t>
      </w:r>
    </w:p>
    <w:p w:rsidR="00B438D9" w:rsidRDefault="00B438D9" w:rsidP="00B438D9">
      <w:pPr>
        <w:rPr>
          <w:rFonts w:cs="Arial"/>
          <w:iCs/>
          <w:sz w:val="20"/>
        </w:rPr>
      </w:pPr>
    </w:p>
    <w:p w:rsidR="00B438D9" w:rsidRDefault="00B438D9" w:rsidP="00B438D9">
      <w:pPr>
        <w:rPr>
          <w:rFonts w:cs="Arial"/>
          <w:i/>
          <w:iCs/>
          <w:sz w:val="20"/>
        </w:rPr>
      </w:pPr>
      <w:r>
        <w:rPr>
          <w:rFonts w:cs="Arial"/>
          <w:iCs/>
          <w:sz w:val="20"/>
        </w:rPr>
        <w:t>Podle Zámečníka je v této fázi ekonomického cyklu, kdy konči konjunktura, bedlivě sledovaným indikátorem podíl podnikových úvěrů v selhání. „</w:t>
      </w:r>
      <w:r>
        <w:rPr>
          <w:rFonts w:cs="Arial"/>
          <w:i/>
          <w:iCs/>
          <w:sz w:val="20"/>
        </w:rPr>
        <w:t>Rychle rostoucí mzdy vytvářejí vysoký tlak na hospodaření málo rentabilních firem, mnohé z nich to neustojí. Otočení křivky podílu úvěrů v selhání je tak důležitým signálem blížící se recese. Zatím se jejich podíl zvýšil jen nepatrně, oproti říjnu z 3,5 na 3,6 %, stále je to podstatně méně než například 9 % koncem roku 2010,“</w:t>
      </w:r>
      <w:r>
        <w:rPr>
          <w:rFonts w:cs="Arial"/>
          <w:iCs/>
          <w:sz w:val="20"/>
        </w:rPr>
        <w:t xml:space="preserve"> zdůraznil Zámečník</w:t>
      </w:r>
      <w:r>
        <w:rPr>
          <w:rFonts w:cs="Arial"/>
          <w:i/>
          <w:iCs/>
          <w:sz w:val="20"/>
        </w:rPr>
        <w:t>.</w:t>
      </w:r>
    </w:p>
    <w:p w:rsidR="00347C91" w:rsidRDefault="00347C91" w:rsidP="00347C91">
      <w:pPr>
        <w:rPr>
          <w:rFonts w:cs="Arial"/>
          <w:i/>
          <w:iCs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B438D9" w:rsidRDefault="00B438D9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:rsidR="00B438D9" w:rsidRDefault="00B438D9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:rsidR="00B438D9" w:rsidRPr="00E27F2F" w:rsidRDefault="00B438D9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C1" w:rsidRDefault="001F0EC1" w:rsidP="00F573F1">
      <w:r>
        <w:separator/>
      </w:r>
    </w:p>
  </w:endnote>
  <w:endnote w:type="continuationSeparator" w:id="0">
    <w:p w:rsidR="001F0EC1" w:rsidRDefault="001F0EC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C1" w:rsidRDefault="001F0EC1" w:rsidP="00F573F1">
      <w:r>
        <w:separator/>
      </w:r>
    </w:p>
  </w:footnote>
  <w:footnote w:type="continuationSeparator" w:id="0">
    <w:p w:rsidR="001F0EC1" w:rsidRDefault="001F0EC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0EC1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47C91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1B48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36FD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38D9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3729A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675F5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10E6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8748-BD1D-4585-984B-EE9DD3A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2019-09-23T13:36:00Z</dcterms:created>
  <dcterms:modified xsi:type="dcterms:W3CDTF">2019-09-23T13:36:00Z</dcterms:modified>
</cp:coreProperties>
</file>