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4B" w:rsidRPr="00B35B21" w:rsidRDefault="005B644B" w:rsidP="005B644B">
      <w:pPr>
        <w:rPr>
          <w:rFonts w:cs="Arial"/>
          <w:b/>
          <w:sz w:val="20"/>
        </w:rPr>
      </w:pPr>
      <w:r w:rsidRPr="00B35B21">
        <w:rPr>
          <w:rFonts w:cs="Arial"/>
          <w:b/>
          <w:color w:val="007E79"/>
          <w:sz w:val="28"/>
          <w:szCs w:val="28"/>
        </w:rPr>
        <w:t xml:space="preserve">Komentář České bankovní asociace k bankovní statistice za </w:t>
      </w:r>
      <w:r w:rsidR="004B36FD">
        <w:rPr>
          <w:rFonts w:cs="Arial"/>
          <w:b/>
          <w:color w:val="007E79"/>
          <w:sz w:val="28"/>
          <w:szCs w:val="28"/>
        </w:rPr>
        <w:t>leden</w:t>
      </w:r>
      <w:r w:rsidRPr="00B35B21">
        <w:rPr>
          <w:rFonts w:cs="Arial"/>
          <w:b/>
          <w:color w:val="007E79"/>
          <w:sz w:val="28"/>
          <w:szCs w:val="28"/>
        </w:rPr>
        <w:t xml:space="preserve"> 2019</w:t>
      </w:r>
    </w:p>
    <w:p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:rsidR="004C0DD2" w:rsidRDefault="00877706" w:rsidP="00877706">
      <w:pPr>
        <w:spacing w:after="120" w:line="276" w:lineRule="auto"/>
        <w:contextualSpacing/>
        <w:rPr>
          <w:rFonts w:cs="Arial"/>
          <w:b/>
          <w:color w:val="007E79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Autor: </w:t>
      </w:r>
      <w:r w:rsidR="004C0DD2" w:rsidRPr="004C0DD2">
        <w:rPr>
          <w:rFonts w:cs="Arial"/>
          <w:b/>
          <w:color w:val="007E79"/>
          <w:sz w:val="22"/>
          <w:szCs w:val="24"/>
        </w:rPr>
        <w:t xml:space="preserve">Miroslav Zámečník, ekonomický analytik České bankovní asociace </w:t>
      </w:r>
    </w:p>
    <w:p w:rsidR="00877706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Praha, </w:t>
      </w:r>
      <w:r w:rsidR="004B36FD">
        <w:rPr>
          <w:rFonts w:cs="Arial"/>
          <w:b/>
          <w:color w:val="007E79"/>
          <w:sz w:val="22"/>
          <w:szCs w:val="22"/>
        </w:rPr>
        <w:t>1</w:t>
      </w:r>
      <w:r w:rsidRPr="00877706">
        <w:rPr>
          <w:rFonts w:cs="Arial"/>
          <w:b/>
          <w:color w:val="007E79"/>
          <w:sz w:val="22"/>
          <w:szCs w:val="22"/>
        </w:rPr>
        <w:t xml:space="preserve">. </w:t>
      </w:r>
      <w:r w:rsidR="00347C91">
        <w:rPr>
          <w:rFonts w:cs="Arial"/>
          <w:b/>
          <w:color w:val="007E79"/>
          <w:sz w:val="22"/>
          <w:szCs w:val="22"/>
        </w:rPr>
        <w:t>března</w:t>
      </w:r>
      <w:r w:rsidRPr="00877706">
        <w:rPr>
          <w:rFonts w:cs="Arial"/>
          <w:b/>
          <w:color w:val="007E79"/>
          <w:sz w:val="22"/>
          <w:szCs w:val="22"/>
        </w:rPr>
        <w:t xml:space="preserve"> 2019 </w:t>
      </w:r>
    </w:p>
    <w:p w:rsidR="00226F32" w:rsidRDefault="00226F32" w:rsidP="00BD483C">
      <w:pPr>
        <w:spacing w:after="120" w:line="276" w:lineRule="auto"/>
        <w:contextualSpacing/>
        <w:rPr>
          <w:rFonts w:cs="Arial"/>
          <w:sz w:val="12"/>
          <w:szCs w:val="12"/>
        </w:rPr>
      </w:pPr>
    </w:p>
    <w:p w:rsidR="00E675F5" w:rsidRPr="004C0DD2" w:rsidRDefault="00E675F5" w:rsidP="00BD483C">
      <w:pPr>
        <w:spacing w:after="120" w:line="276" w:lineRule="auto"/>
        <w:contextualSpacing/>
        <w:rPr>
          <w:rFonts w:cs="Arial"/>
          <w:sz w:val="12"/>
          <w:szCs w:val="12"/>
        </w:rPr>
      </w:pPr>
    </w:p>
    <w:p w:rsidR="004B36FD" w:rsidRDefault="004B36FD" w:rsidP="004B36FD">
      <w:pPr>
        <w:rPr>
          <w:rFonts w:cs="Arial"/>
          <w:sz w:val="20"/>
        </w:rPr>
      </w:pPr>
      <w:r w:rsidRPr="004B36FD">
        <w:rPr>
          <w:rFonts w:cs="Arial"/>
          <w:b/>
          <w:bCs/>
          <w:sz w:val="20"/>
        </w:rPr>
        <w:t>Objem bankovních</w:t>
      </w:r>
      <w:r>
        <w:rPr>
          <w:rFonts w:cs="Arial"/>
          <w:sz w:val="20"/>
        </w:rPr>
        <w:t xml:space="preserve"> úvěrů rezidentům ke konci ledna 2019 dosáhl 5,773 biliónu korun a proti předchozímu měsíci tak podle statistik České národní banky výrazně vzrostl.</w:t>
      </w:r>
    </w:p>
    <w:p w:rsidR="004B36FD" w:rsidRDefault="004B36FD" w:rsidP="004B36FD">
      <w:pPr>
        <w:rPr>
          <w:rFonts w:cs="Arial"/>
          <w:b/>
          <w:sz w:val="20"/>
        </w:rPr>
      </w:pPr>
    </w:p>
    <w:p w:rsidR="004B36FD" w:rsidRDefault="004B36FD" w:rsidP="004B36FD">
      <w:pPr>
        <w:rPr>
          <w:rFonts w:cs="Arial"/>
          <w:iCs/>
          <w:sz w:val="20"/>
        </w:rPr>
      </w:pPr>
      <w:r>
        <w:rPr>
          <w:rFonts w:cs="Arial"/>
          <w:sz w:val="20"/>
        </w:rPr>
        <w:t xml:space="preserve">Zároveň úvěry v Česku působícím nefinančním </w:t>
      </w:r>
      <w:r>
        <w:rPr>
          <w:rFonts w:cs="Arial"/>
          <w:b/>
          <w:sz w:val="20"/>
        </w:rPr>
        <w:t>podnikům</w:t>
      </w:r>
      <w:r>
        <w:rPr>
          <w:rFonts w:cs="Arial"/>
          <w:sz w:val="20"/>
        </w:rPr>
        <w:t xml:space="preserve"> oproti prosinci 2018 mírně vzrostly na 1,094 z 1,080 bilionu korun, přičemž podíl dlouhodobých úvěrů, používaných pro financování podnikových investic, se snížil z 56 % na 54 %. </w:t>
      </w:r>
      <w:r>
        <w:rPr>
          <w:rFonts w:cs="Arial"/>
          <w:iCs/>
          <w:sz w:val="20"/>
        </w:rPr>
        <w:t>Podle ekonomického analytika České bankovní asociace Miroslava Zámečníka je zejména ve vztahu k podnikům nutné pečlivě sledovat vývoj podnikových úvěrů v selhání, které signalizují kondici celé ekonomiky. „</w:t>
      </w:r>
      <w:r>
        <w:rPr>
          <w:rFonts w:cs="Arial"/>
          <w:i/>
          <w:iCs/>
          <w:sz w:val="20"/>
        </w:rPr>
        <w:t xml:space="preserve">Podíl firemních úvěrů v selhání již několik měsíců osciluje kolem 3,5 - 3,7 %, což je hodnota na úrovni desetiletého minima (koncem 2010 dosáhl 9 %). Prozatím tedy můžeme konstatovat, že se potenciální rizika do podnikových úvěrů nepromítla, a portfolio podnikových úvěrů je zdravé,“ </w:t>
      </w:r>
      <w:r>
        <w:rPr>
          <w:rFonts w:cs="Arial"/>
          <w:iCs/>
          <w:sz w:val="20"/>
        </w:rPr>
        <w:t>zdůraznil Zámečník.</w:t>
      </w:r>
    </w:p>
    <w:p w:rsidR="004B36FD" w:rsidRDefault="004B36FD" w:rsidP="004B36FD">
      <w:pPr>
        <w:rPr>
          <w:rFonts w:cs="Arial"/>
          <w:iCs/>
          <w:sz w:val="20"/>
        </w:rPr>
      </w:pPr>
    </w:p>
    <w:p w:rsidR="004B36FD" w:rsidRDefault="004B36FD" w:rsidP="004B36FD">
      <w:pPr>
        <w:rPr>
          <w:rFonts w:cs="Arial"/>
          <w:iCs/>
          <w:sz w:val="20"/>
        </w:rPr>
      </w:pPr>
      <w:r>
        <w:rPr>
          <w:rFonts w:cs="Arial"/>
          <w:b/>
          <w:iCs/>
          <w:sz w:val="20"/>
        </w:rPr>
        <w:t>Domácnosti</w:t>
      </w:r>
      <w:r>
        <w:rPr>
          <w:rFonts w:cs="Arial"/>
          <w:iCs/>
          <w:sz w:val="20"/>
        </w:rPr>
        <w:t xml:space="preserve"> dluží celkem 1,650 bilionu korun, s meziměsíčním navýšením o 4,3 miliard korun, kde stále jasně dominují s podílem 76 % úvěry na bydlení, jež dosáhly 1,251 bilionu Kč. Jejich objem se tak meziměsíčně zvýšil o 0,4 %, v absolutním vyjádření o pět miliard korun. Spotřebitelské úvěry mírně klesají, meziměsíčně o 0,6 % na 243 miliard korun.</w:t>
      </w:r>
    </w:p>
    <w:p w:rsidR="004B36FD" w:rsidRDefault="004B36FD" w:rsidP="004B36FD">
      <w:pPr>
        <w:rPr>
          <w:rFonts w:cs="Arial"/>
          <w:iCs/>
          <w:sz w:val="20"/>
        </w:rPr>
      </w:pPr>
      <w:r>
        <w:rPr>
          <w:rFonts w:cs="Arial"/>
          <w:iCs/>
          <w:sz w:val="20"/>
        </w:rPr>
        <w:t>Pozitivní skutečností je, že nadále klesá objem úvěrů domácnostem, které se při jejich splácení dostaly do potíží: v poměru k celku dosahuje pouze 2 %.</w:t>
      </w:r>
    </w:p>
    <w:p w:rsidR="004B36FD" w:rsidRDefault="004B36FD" w:rsidP="004B36FD">
      <w:pPr>
        <w:rPr>
          <w:rFonts w:cs="Arial"/>
          <w:iCs/>
          <w:sz w:val="20"/>
        </w:rPr>
      </w:pPr>
    </w:p>
    <w:p w:rsidR="004B36FD" w:rsidRDefault="004B36FD" w:rsidP="004B36FD">
      <w:pPr>
        <w:rPr>
          <w:rFonts w:cs="Arial"/>
          <w:iCs/>
          <w:sz w:val="20"/>
        </w:rPr>
      </w:pPr>
      <w:r>
        <w:rPr>
          <w:rFonts w:cs="Arial"/>
          <w:iCs/>
          <w:sz w:val="20"/>
        </w:rPr>
        <w:t xml:space="preserve">Leden 2019 byl čtvrtým měsícem, v němž by měly banky při posuzování žadatelů o hypotéku respektovat doporučení ČNB ohledně limitních hodnot celkového dluhu (DTI) či nákladů na dlužní službu (DSTI) k čistým příjmům žadatele. </w:t>
      </w:r>
    </w:p>
    <w:p w:rsidR="004B36FD" w:rsidRDefault="004B36FD" w:rsidP="004B36FD">
      <w:pPr>
        <w:rPr>
          <w:rFonts w:cs="Arial"/>
          <w:iCs/>
          <w:sz w:val="20"/>
        </w:rPr>
      </w:pPr>
    </w:p>
    <w:p w:rsidR="004B36FD" w:rsidRDefault="004B36FD" w:rsidP="004B36FD">
      <w:pPr>
        <w:rPr>
          <w:rFonts w:cs="Arial"/>
          <w:iCs/>
          <w:sz w:val="20"/>
        </w:rPr>
      </w:pPr>
      <w:r>
        <w:rPr>
          <w:rFonts w:cs="Arial"/>
          <w:i/>
          <w:iCs/>
          <w:sz w:val="20"/>
        </w:rPr>
        <w:t>„Jejich očekávaným důsledkem mělo být zbrzdění celkové dynamiky hypotéčního úvěrování, objem v případě opravdu nových hypoték klesl, jak meziměsíčně (o čtyři miliardy na 10,93 miliardy), tak meziročně (o 5,5 miliardy)“,</w:t>
      </w:r>
      <w:r>
        <w:rPr>
          <w:rFonts w:cs="Arial"/>
          <w:iCs/>
          <w:sz w:val="20"/>
        </w:rPr>
        <w:t xml:space="preserve"> konstatuje ekonomický analytik České bankovní asociace Miroslav Zámečník. </w:t>
      </w:r>
    </w:p>
    <w:p w:rsidR="00347C91" w:rsidRDefault="00347C91" w:rsidP="00347C91">
      <w:pPr>
        <w:rPr>
          <w:rFonts w:cs="Arial"/>
          <w:i/>
          <w:iCs/>
          <w:szCs w:val="18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  <w:bookmarkStart w:id="0" w:name="_GoBack"/>
      <w:bookmarkEnd w:id="0"/>
    </w:p>
    <w:p w:rsidR="00226F32" w:rsidRDefault="00226F32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BA1F8A" w:rsidRPr="00E27F2F" w:rsidRDefault="00962CB7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ab/>
      </w:r>
    </w:p>
    <w:p w:rsidR="00662C23" w:rsidRPr="00E27F2F" w:rsidRDefault="005B644B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113030</wp:posOffset>
                </wp:positionV>
                <wp:extent cx="6574790" cy="153162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53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:rsidR="005B644B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:rsidR="005B644B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Mimo svou konzultantskou praxi v současnosti působí jako ekonomický analytik České bankovní asociace a hlavní ekonomický komentátor ekonomického týdeníku Euro. </w:t>
                            </w:r>
                          </w:p>
                          <w:p w:rsidR="005B644B" w:rsidRPr="003C72D7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>Ve svém volném</w:t>
                            </w:r>
                            <w:r w:rsidRPr="003C72D7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času je nadšeným zoologem či působí jako lektor postgraduálních vzdělávacích programů.</w:t>
                            </w:r>
                          </w:p>
                          <w:p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left:0;text-align:left;margin-left:.05pt;margin-top:8.9pt;width:517.7pt;height:120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" fillcolor="#bfbfbf [2412]" stroked="f" strokeweight="1pt">
                <v:textbox inset="3mm,3mm,3mm,3mm">
                  <w:txbxContent>
                    <w:p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:rsidR="005B644B" w:rsidRDefault="005B644B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:rsidR="005B644B" w:rsidRDefault="005B644B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Mimo svou konzultantskou praxi v současnosti působí jako ekonomický analytik České bankovní asociace a hlavní ekonomický komentátor ekonomického týdeníku Euro. </w:t>
                      </w:r>
                    </w:p>
                    <w:p w:rsidR="005B644B" w:rsidRPr="003C72D7" w:rsidRDefault="005B644B" w:rsidP="005B644B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>Ve svém volném</w:t>
                      </w:r>
                      <w:r w:rsidRPr="003C72D7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času je nadšeným zoologem či působí jako lektor postgraduálních vzdělávacích programů.</w:t>
                      </w:r>
                    </w:p>
                    <w:p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petraskova@czech-ba.cz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0" o:spid="_x0000_s1027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petraskova@czech-ba.cz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9" o:spid="_x0000_s1028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" fillcolor="#bfbfbf [2412]" stroked="f" strokeweight="1pt">
                <v:textbox inset="3mm,3mm,3mm,3mm">
                  <w:txbxContent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322" w:rsidRDefault="00D16322" w:rsidP="00F573F1">
      <w:r>
        <w:separator/>
      </w:r>
    </w:p>
  </w:endnote>
  <w:endnote w:type="continuationSeparator" w:id="0">
    <w:p w:rsidR="00D16322" w:rsidRDefault="00D16322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322" w:rsidRDefault="00D16322" w:rsidP="00F573F1">
      <w:r>
        <w:separator/>
      </w:r>
    </w:p>
  </w:footnote>
  <w:footnote w:type="continuationSeparator" w:id="0">
    <w:p w:rsidR="00D16322" w:rsidRDefault="00D16322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51A5B"/>
    <w:rsid w:val="000559DE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70CA"/>
    <w:rsid w:val="0010268F"/>
    <w:rsid w:val="0010277A"/>
    <w:rsid w:val="001126B2"/>
    <w:rsid w:val="0011443F"/>
    <w:rsid w:val="00116F4B"/>
    <w:rsid w:val="00123FF9"/>
    <w:rsid w:val="00131E94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5A5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7407"/>
    <w:rsid w:val="00335341"/>
    <w:rsid w:val="00341D86"/>
    <w:rsid w:val="003472AF"/>
    <w:rsid w:val="00347C91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E14DF"/>
    <w:rsid w:val="003E1B48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5609"/>
    <w:rsid w:val="004476C2"/>
    <w:rsid w:val="00451368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36FD"/>
    <w:rsid w:val="004B7ECE"/>
    <w:rsid w:val="004C0A56"/>
    <w:rsid w:val="004C0DD2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C1507"/>
    <w:rsid w:val="008C5671"/>
    <w:rsid w:val="008E2336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58F3"/>
    <w:rsid w:val="00B05777"/>
    <w:rsid w:val="00B15438"/>
    <w:rsid w:val="00B2310C"/>
    <w:rsid w:val="00B24E54"/>
    <w:rsid w:val="00B27646"/>
    <w:rsid w:val="00B44EAC"/>
    <w:rsid w:val="00B506AC"/>
    <w:rsid w:val="00B50E2C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C04F50"/>
    <w:rsid w:val="00C05E06"/>
    <w:rsid w:val="00C12AFA"/>
    <w:rsid w:val="00C17244"/>
    <w:rsid w:val="00C2020E"/>
    <w:rsid w:val="00C21CA1"/>
    <w:rsid w:val="00C3654D"/>
    <w:rsid w:val="00C44924"/>
    <w:rsid w:val="00C461EB"/>
    <w:rsid w:val="00C51CB5"/>
    <w:rsid w:val="00C520D7"/>
    <w:rsid w:val="00C57869"/>
    <w:rsid w:val="00C627A3"/>
    <w:rsid w:val="00C64C2F"/>
    <w:rsid w:val="00C6528A"/>
    <w:rsid w:val="00C7375A"/>
    <w:rsid w:val="00C74048"/>
    <w:rsid w:val="00C74654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3EDA"/>
    <w:rsid w:val="00D16322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75D2"/>
    <w:rsid w:val="00D8118D"/>
    <w:rsid w:val="00D82454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528C6"/>
    <w:rsid w:val="00E54596"/>
    <w:rsid w:val="00E56000"/>
    <w:rsid w:val="00E56378"/>
    <w:rsid w:val="00E642DC"/>
    <w:rsid w:val="00E64F71"/>
    <w:rsid w:val="00E67590"/>
    <w:rsid w:val="00E675F5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47BC"/>
    <w:rsid w:val="00F2719D"/>
    <w:rsid w:val="00F313E8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10E6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A8C2E-3F1B-41EE-9530-10103624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2</cp:revision>
  <cp:lastPrinted>2019-08-27T11:23:00Z</cp:lastPrinted>
  <dcterms:created xsi:type="dcterms:W3CDTF">2019-09-23T13:31:00Z</dcterms:created>
  <dcterms:modified xsi:type="dcterms:W3CDTF">2019-09-23T13:31:00Z</dcterms:modified>
</cp:coreProperties>
</file>