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347C91">
        <w:rPr>
          <w:rFonts w:cs="Arial"/>
          <w:b/>
          <w:color w:val="007E79"/>
          <w:sz w:val="28"/>
          <w:szCs w:val="28"/>
        </w:rPr>
        <w:t>únor</w:t>
      </w:r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347C91">
        <w:rPr>
          <w:rFonts w:cs="Arial"/>
          <w:b/>
          <w:color w:val="007E79"/>
          <w:sz w:val="22"/>
          <w:szCs w:val="22"/>
        </w:rPr>
        <w:t>29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347C91">
        <w:rPr>
          <w:rFonts w:cs="Arial"/>
          <w:b/>
          <w:color w:val="007E79"/>
          <w:sz w:val="22"/>
          <w:szCs w:val="22"/>
        </w:rPr>
        <w:t>března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:rsidR="00226F3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E675F5" w:rsidRPr="004C0DD2" w:rsidRDefault="00E675F5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  <w:bookmarkStart w:id="0" w:name="_GoBack"/>
      <w:bookmarkEnd w:id="0"/>
    </w:p>
    <w:p w:rsidR="00347C91" w:rsidRDefault="00347C91" w:rsidP="00347C91">
      <w:pPr>
        <w:rPr>
          <w:rFonts w:cs="Arial"/>
          <w:sz w:val="20"/>
        </w:rPr>
      </w:pPr>
      <w:r w:rsidRPr="00347C91">
        <w:rPr>
          <w:rFonts w:cs="Arial"/>
          <w:b/>
          <w:bCs/>
          <w:sz w:val="20"/>
        </w:rPr>
        <w:t>Bilanční suma</w:t>
      </w:r>
      <w:r>
        <w:rPr>
          <w:rFonts w:cs="Arial"/>
          <w:sz w:val="20"/>
        </w:rPr>
        <w:t xml:space="preserve"> českého bankovního sektoru oproti předchozími měsíci vzrostla o 69 miliard korun na 7846 miliardy korun. Již tradičně přitom dominovaly bankovní úvěry rezidentům s 5817 miliardami Kč, což představovalo zvýšení oproti lednu 2019 o 44 miliard korun. Vyplývá to ze statistik České národní banky.</w:t>
      </w:r>
    </w:p>
    <w:p w:rsidR="00347C91" w:rsidRDefault="00347C91" w:rsidP="00347C91">
      <w:pPr>
        <w:rPr>
          <w:rFonts w:cs="Arial"/>
          <w:b/>
          <w:sz w:val="20"/>
        </w:rPr>
      </w:pPr>
    </w:p>
    <w:p w:rsidR="00347C91" w:rsidRDefault="00347C91" w:rsidP="00347C91">
      <w:pPr>
        <w:rPr>
          <w:rFonts w:cs="Arial"/>
          <w:iCs/>
          <w:sz w:val="20"/>
        </w:rPr>
      </w:pPr>
      <w:r>
        <w:rPr>
          <w:rFonts w:cs="Arial"/>
          <w:sz w:val="20"/>
        </w:rPr>
        <w:t xml:space="preserve">Úvěry v Česku působícím nefinančním </w:t>
      </w:r>
      <w:r>
        <w:rPr>
          <w:rFonts w:cs="Arial"/>
          <w:b/>
          <w:sz w:val="20"/>
        </w:rPr>
        <w:t>podnikům</w:t>
      </w:r>
      <w:r>
        <w:rPr>
          <w:rFonts w:cs="Arial"/>
          <w:sz w:val="20"/>
        </w:rPr>
        <w:t xml:space="preserve"> dosáhly objemu 1,089 bilionu korun a nepatrně tak meziměsíčně klesly z 1,094 bilionu korun, přičemž podíl dlouhodobých úvěrů, používaných pro financování podnikových investic, zůstal na úrovni 54 %. </w:t>
      </w:r>
      <w:r>
        <w:rPr>
          <w:rFonts w:cs="Arial"/>
          <w:iCs/>
          <w:sz w:val="20"/>
        </w:rPr>
        <w:t>Podle ekonomického analytika České bankovní asociace Miroslava Zámečníka je zejména ve vztahu k podnikům nutné pečlivě sledovat vývoj podnikových úvěrů v selhání, které signalizují kondici celé ekonomiky. „</w:t>
      </w:r>
      <w:r>
        <w:rPr>
          <w:rFonts w:cs="Arial"/>
          <w:i/>
          <w:iCs/>
          <w:sz w:val="20"/>
        </w:rPr>
        <w:t xml:space="preserve">Podíl firemních úvěrů v selhání již několik měsíců osciluje kolem 3,5 - 3,7 %, což je hodnota na úrovni desetiletého minima (koncem 2010 dosáhl 9 %, v únoru letošního roku 3,6 %). Prozatím tedy můžeme konstatovat, že portfolio podnikových úvěrů je velmi zdravé,“ </w:t>
      </w:r>
      <w:r>
        <w:rPr>
          <w:rFonts w:cs="Arial"/>
          <w:iCs/>
          <w:sz w:val="20"/>
        </w:rPr>
        <w:t>zdůraznil Zámečník.</w:t>
      </w:r>
    </w:p>
    <w:p w:rsidR="00347C91" w:rsidRDefault="00347C91" w:rsidP="00347C91">
      <w:pPr>
        <w:rPr>
          <w:rFonts w:cs="Arial"/>
          <w:iCs/>
          <w:sz w:val="20"/>
        </w:rPr>
      </w:pPr>
    </w:p>
    <w:p w:rsidR="00347C91" w:rsidRDefault="00347C91" w:rsidP="00347C91">
      <w:pPr>
        <w:rPr>
          <w:rFonts w:cs="Arial"/>
          <w:iCs/>
          <w:sz w:val="20"/>
        </w:rPr>
      </w:pPr>
      <w:r>
        <w:rPr>
          <w:rFonts w:cs="Arial"/>
          <w:b/>
          <w:iCs/>
          <w:sz w:val="20"/>
        </w:rPr>
        <w:t>Domácnosti</w:t>
      </w:r>
      <w:r>
        <w:rPr>
          <w:rFonts w:cs="Arial"/>
          <w:iCs/>
          <w:sz w:val="20"/>
        </w:rPr>
        <w:t xml:space="preserve"> dluží celkem 1,654 bilionu korun, s meziměsíčním navýšením o 4 miliardy korun, kde stále jasně dominují s podílem 76 % úvěry na bydlení, jež dosáhly 1,254 bilionu Kč. Jejich objem již několik měsíců v podstatě stagnuje. Objem nově sjednaných hypoték však v meziročním srovnání výrazně klesl, podle údajů </w:t>
      </w:r>
      <w:proofErr w:type="spellStart"/>
      <w:r>
        <w:rPr>
          <w:rFonts w:cs="Arial"/>
          <w:iCs/>
          <w:sz w:val="20"/>
        </w:rPr>
        <w:t>Hypoindexu</w:t>
      </w:r>
      <w:proofErr w:type="spellEnd"/>
      <w:r>
        <w:rPr>
          <w:rFonts w:cs="Arial"/>
          <w:iCs/>
          <w:sz w:val="20"/>
        </w:rPr>
        <w:t xml:space="preserve"> na 10,881 miliardy korun oproti téměř 16 miliardám v únoru 2018. </w:t>
      </w:r>
      <w:r>
        <w:rPr>
          <w:rFonts w:cs="Arial"/>
          <w:i/>
          <w:iCs/>
          <w:sz w:val="20"/>
        </w:rPr>
        <w:t>„To je očekávaný důsledek doporučení ČNB ohledně limitních hodnot celkového dluhu (DTI) či nákladů na dlužní službu (DSTI) k čistým příjmům žadatele, které již běží pátý měsíc,“</w:t>
      </w:r>
      <w:r>
        <w:rPr>
          <w:rFonts w:cs="Arial"/>
          <w:iCs/>
          <w:sz w:val="20"/>
        </w:rPr>
        <w:t xml:space="preserve"> konstatuje ekonomický analytik České bankovní asociace Miroslav Zámečník.</w:t>
      </w:r>
    </w:p>
    <w:p w:rsidR="00347C91" w:rsidRDefault="00347C91" w:rsidP="00347C91">
      <w:pPr>
        <w:rPr>
          <w:rFonts w:cs="Arial"/>
          <w:iCs/>
          <w:sz w:val="20"/>
        </w:rPr>
      </w:pPr>
    </w:p>
    <w:p w:rsidR="00347C91" w:rsidRDefault="00347C91" w:rsidP="00347C91">
      <w:pPr>
        <w:rPr>
          <w:rFonts w:cs="Arial"/>
          <w:iCs/>
          <w:sz w:val="20"/>
        </w:rPr>
      </w:pPr>
      <w:r w:rsidRPr="00347C91">
        <w:rPr>
          <w:rFonts w:cs="Arial"/>
          <w:b/>
          <w:bCs/>
          <w:iCs/>
          <w:sz w:val="20"/>
        </w:rPr>
        <w:t>Spotřebitelské úvěry</w:t>
      </w:r>
      <w:r>
        <w:rPr>
          <w:rFonts w:cs="Arial"/>
          <w:iCs/>
          <w:sz w:val="20"/>
        </w:rPr>
        <w:t xml:space="preserve"> nepatrně stouply na 244 miliard korun z 243 v lednu, pozitivní však je, že podíl úvěrů v selhání se drží na historicky nízkých 2 %, a u hypoték je kvalita portfolia ještě vyšší. </w:t>
      </w:r>
    </w:p>
    <w:p w:rsidR="00347C91" w:rsidRDefault="00347C91" w:rsidP="00347C91">
      <w:pPr>
        <w:rPr>
          <w:rFonts w:cs="Arial"/>
          <w:i/>
          <w:iCs/>
          <w:szCs w:val="18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28" w:rsidRDefault="00F50028" w:rsidP="00F573F1">
      <w:r>
        <w:separator/>
      </w:r>
    </w:p>
  </w:endnote>
  <w:endnote w:type="continuationSeparator" w:id="0">
    <w:p w:rsidR="00F50028" w:rsidRDefault="00F50028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28" w:rsidRDefault="00F50028" w:rsidP="00F573F1">
      <w:r>
        <w:separator/>
      </w:r>
    </w:p>
  </w:footnote>
  <w:footnote w:type="continuationSeparator" w:id="0">
    <w:p w:rsidR="00F50028" w:rsidRDefault="00F50028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47C91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1B48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675F5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0028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10E6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6894-76CF-457A-BB28-FCC17CDE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</cp:revision>
  <cp:lastPrinted>2019-08-27T11:23:00Z</cp:lastPrinted>
  <dcterms:created xsi:type="dcterms:W3CDTF">2019-09-23T13:26:00Z</dcterms:created>
  <dcterms:modified xsi:type="dcterms:W3CDTF">2019-09-23T13:26:00Z</dcterms:modified>
</cp:coreProperties>
</file>