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E675F5">
        <w:rPr>
          <w:rFonts w:cs="Arial"/>
          <w:b/>
          <w:color w:val="007E79"/>
          <w:sz w:val="28"/>
          <w:szCs w:val="28"/>
        </w:rPr>
        <w:t>květen</w:t>
      </w:r>
      <w:bookmarkStart w:id="0" w:name="_GoBack"/>
      <w:bookmarkEnd w:id="0"/>
      <w:r w:rsidRPr="00B35B21">
        <w:rPr>
          <w:rFonts w:cs="Arial"/>
          <w:b/>
          <w:color w:val="007E79"/>
          <w:sz w:val="28"/>
          <w:szCs w:val="28"/>
        </w:rPr>
        <w:t xml:space="preserve"> 2019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E675F5">
        <w:rPr>
          <w:rFonts w:cs="Arial"/>
          <w:b/>
          <w:color w:val="007E79"/>
          <w:sz w:val="22"/>
          <w:szCs w:val="22"/>
        </w:rPr>
        <w:t>28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E675F5">
        <w:rPr>
          <w:rFonts w:cs="Arial"/>
          <w:b/>
          <w:color w:val="007E79"/>
          <w:sz w:val="22"/>
          <w:szCs w:val="22"/>
        </w:rPr>
        <w:t>června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:rsidR="00226F3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:rsidR="00E675F5" w:rsidRPr="004C0DD2" w:rsidRDefault="00E675F5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:rsidR="00E675F5" w:rsidRDefault="00E675F5" w:rsidP="00E675F5">
      <w:pPr>
        <w:rPr>
          <w:rFonts w:cs="Arial"/>
          <w:sz w:val="20"/>
        </w:rPr>
      </w:pPr>
      <w:r>
        <w:rPr>
          <w:rFonts w:cs="Arial"/>
          <w:b/>
          <w:sz w:val="20"/>
        </w:rPr>
        <w:t>Celková bilanční suma bankovního sektoru přesáhla hranici 8 bilionů korun</w:t>
      </w:r>
      <w:r>
        <w:rPr>
          <w:rFonts w:cs="Arial"/>
          <w:sz w:val="20"/>
        </w:rPr>
        <w:t xml:space="preserve">, a oproti dubnu se zvýšila o 42 miliard Kč na 8008 miliard Kč. Z toho objem úvěrů rezidentům stoupl meziměsíčně o třináct miliard korun a dosáhl 5945 miliard korun, zatímco vklady vzrostly o 53 miliard na 4838 miliard korun.  </w:t>
      </w:r>
    </w:p>
    <w:p w:rsidR="00E675F5" w:rsidRDefault="00E675F5" w:rsidP="00E675F5">
      <w:pPr>
        <w:rPr>
          <w:rFonts w:cs="Arial"/>
          <w:iCs/>
          <w:sz w:val="20"/>
        </w:rPr>
      </w:pPr>
    </w:p>
    <w:p w:rsidR="00E675F5" w:rsidRDefault="00E675F5" w:rsidP="00E675F5">
      <w:pPr>
        <w:rPr>
          <w:rFonts w:cs="Arial"/>
          <w:iCs/>
          <w:sz w:val="20"/>
        </w:rPr>
      </w:pPr>
      <w:r>
        <w:rPr>
          <w:rFonts w:cs="Arial"/>
          <w:b/>
          <w:iCs/>
          <w:sz w:val="20"/>
        </w:rPr>
        <w:t>Domácnosti</w:t>
      </w:r>
      <w:r>
        <w:rPr>
          <w:rFonts w:cs="Arial"/>
          <w:iCs/>
          <w:sz w:val="20"/>
        </w:rPr>
        <w:t xml:space="preserve"> dluží celkem 1,681 bilionu korun, více než tříčtvrtinový podíl na tom mají úvěry na bydlení, které dosáhly 1,274 bilionu Kč, a jejich objem se meziměsíčně zvýšil o 0,6 %. Spotřebitelské úvěry vzrostly o tři miliardy na 250 miliard, což představuje oproti dubnu nárůst o 0,9 %.</w:t>
      </w:r>
    </w:p>
    <w:p w:rsidR="00E675F5" w:rsidRDefault="00E675F5" w:rsidP="00E675F5">
      <w:pPr>
        <w:rPr>
          <w:rFonts w:cs="Arial"/>
          <w:iCs/>
          <w:sz w:val="20"/>
        </w:rPr>
      </w:pPr>
    </w:p>
    <w:p w:rsidR="00E675F5" w:rsidRDefault="00E675F5" w:rsidP="00E675F5">
      <w:pPr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Objem </w:t>
      </w:r>
      <w:r>
        <w:rPr>
          <w:rFonts w:cs="Arial"/>
          <w:b/>
          <w:bCs/>
          <w:iCs/>
          <w:sz w:val="20"/>
        </w:rPr>
        <w:t>firemních úvěrů</w:t>
      </w:r>
      <w:r>
        <w:rPr>
          <w:rFonts w:cs="Arial"/>
          <w:iCs/>
          <w:sz w:val="20"/>
        </w:rPr>
        <w:t xml:space="preserve"> vzrostl na 1105 miliard korun oproti 1101 miliardě v dubnu, z toho 602 miliard (55 %) představují dlouhodobé úvěry, používané k financování investic. Vyplývá to z informací České národní banky.</w:t>
      </w:r>
    </w:p>
    <w:p w:rsidR="00E675F5" w:rsidRDefault="00E675F5" w:rsidP="00E675F5">
      <w:pPr>
        <w:rPr>
          <w:rFonts w:cs="Arial"/>
          <w:sz w:val="20"/>
        </w:rPr>
      </w:pPr>
    </w:p>
    <w:p w:rsidR="00E675F5" w:rsidRDefault="00E675F5" w:rsidP="00E675F5">
      <w:pPr>
        <w:rPr>
          <w:rFonts w:cs="Arial"/>
          <w:iCs/>
          <w:sz w:val="20"/>
        </w:rPr>
      </w:pPr>
      <w:r>
        <w:rPr>
          <w:rFonts w:cs="Arial"/>
          <w:i/>
          <w:iCs/>
          <w:sz w:val="20"/>
        </w:rPr>
        <w:t>„Ve srovnání s nominálním růstem mezd je úvěrová dynamika domácností výrazně nižší, přičemž nadále se zlepšuje celková kondice úvěrového portfolia, když v selhání je pouhých 1,9 % úvěrů poskytnutých domácnostem, což je vynikající číslo,"</w:t>
      </w:r>
      <w:r>
        <w:rPr>
          <w:rFonts w:cs="Arial"/>
          <w:iCs/>
          <w:sz w:val="20"/>
        </w:rPr>
        <w:t xml:space="preserve"> uvedl ekonomický analytik České bankovní asociace Miroslav Zámečník. </w:t>
      </w:r>
    </w:p>
    <w:p w:rsidR="00E675F5" w:rsidRDefault="00E675F5" w:rsidP="00E675F5">
      <w:pPr>
        <w:rPr>
          <w:rFonts w:cs="Arial"/>
          <w:iCs/>
          <w:sz w:val="20"/>
        </w:rPr>
      </w:pPr>
    </w:p>
    <w:p w:rsidR="00E675F5" w:rsidRDefault="00E675F5" w:rsidP="00E675F5">
      <w:pPr>
        <w:rPr>
          <w:rFonts w:cs="Arial"/>
          <w:iCs/>
          <w:sz w:val="20"/>
        </w:rPr>
      </w:pPr>
      <w:r>
        <w:rPr>
          <w:rFonts w:cs="Arial"/>
          <w:iCs/>
          <w:sz w:val="20"/>
        </w:rPr>
        <w:t>Přes pomalejší ekonomický růst se zatím nezvyšuje ani podíl úvěrů v selhání v podnikové sféře, již zhruba rok osciluje jejich podíl kolem 3,5 %, a je pořád nesrovnatelně nižší než například 9 % koncem roku 2010. „</w:t>
      </w:r>
      <w:r>
        <w:rPr>
          <w:rFonts w:cs="Arial"/>
          <w:i/>
          <w:sz w:val="20"/>
        </w:rPr>
        <w:t>Zlom směrem k vzestupu podílu firemních úvěrů v selhání by byl znakem blížící se recese,</w:t>
      </w:r>
      <w:r>
        <w:rPr>
          <w:rFonts w:cs="Arial"/>
          <w:iCs/>
          <w:sz w:val="20"/>
        </w:rPr>
        <w:t>“ zdůraznil Zámečník.</w:t>
      </w: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48" w:rsidRDefault="003E1B48" w:rsidP="00F573F1">
      <w:r>
        <w:separator/>
      </w:r>
    </w:p>
  </w:endnote>
  <w:endnote w:type="continuationSeparator" w:id="0">
    <w:p w:rsidR="003E1B48" w:rsidRDefault="003E1B48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48" w:rsidRDefault="003E1B48" w:rsidP="00F573F1">
      <w:r>
        <w:separator/>
      </w:r>
    </w:p>
  </w:footnote>
  <w:footnote w:type="continuationSeparator" w:id="0">
    <w:p w:rsidR="003E1B48" w:rsidRDefault="003E1B48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1B48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675F5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78322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1FA3-4476-42A0-AA63-C974EA29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2</cp:revision>
  <cp:lastPrinted>2019-08-27T11:23:00Z</cp:lastPrinted>
  <dcterms:created xsi:type="dcterms:W3CDTF">2019-09-23T13:22:00Z</dcterms:created>
  <dcterms:modified xsi:type="dcterms:W3CDTF">2019-09-23T13:22:00Z</dcterms:modified>
</cp:coreProperties>
</file>