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1B59" w14:textId="1DFAA72C" w:rsidR="009139AF" w:rsidRPr="009139AF" w:rsidRDefault="009139AF" w:rsidP="009139AF">
      <w:pPr>
        <w:rPr>
          <w:rFonts w:cs="Arial"/>
          <w:b/>
          <w:color w:val="007E79"/>
          <w:sz w:val="32"/>
          <w:szCs w:val="28"/>
        </w:rPr>
      </w:pPr>
      <w:r w:rsidRPr="00517111">
        <w:rPr>
          <w:rFonts w:cs="Arial"/>
          <w:noProof/>
        </w:rPr>
        <mc:AlternateContent>
          <mc:Choice Requires="wps">
            <w:drawing>
              <wp:anchor distT="45720" distB="45720" distL="114300" distR="114300" simplePos="0" relativeHeight="251669504" behindDoc="0" locked="0" layoutInCell="1" allowOverlap="1" wp14:anchorId="68A52E74" wp14:editId="0BBDBD55">
                <wp:simplePos x="0" y="0"/>
                <wp:positionH relativeFrom="margin">
                  <wp:posOffset>5181600</wp:posOffset>
                </wp:positionH>
                <wp:positionV relativeFrom="paragraph">
                  <wp:posOffset>-944245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093A89A6" w14:textId="77777777"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14:paraId="25BF6333" w14:textId="0015B052" w:rsidR="00517111" w:rsidRPr="00517111" w:rsidRDefault="006478ED" w:rsidP="00517111">
                            <w:pPr>
                              <w:spacing w:line="276" w:lineRule="auto"/>
                              <w:jc w:val="right"/>
                              <w:rPr>
                                <w:b/>
                                <w:color w:val="13576B"/>
                              </w:rPr>
                            </w:pPr>
                            <w:r>
                              <w:rPr>
                                <w:color w:val="BFBFBF" w:themeColor="background1" w:themeShade="BF"/>
                              </w:rPr>
                              <w:t>30</w:t>
                            </w:r>
                            <w:r w:rsidR="00517111" w:rsidRPr="00517111">
                              <w:rPr>
                                <w:color w:val="BFBFBF" w:themeColor="background1" w:themeShade="BF"/>
                              </w:rPr>
                              <w:t xml:space="preserve">. </w:t>
                            </w:r>
                            <w:r w:rsidR="00267ACA">
                              <w:rPr>
                                <w:color w:val="BFBFBF" w:themeColor="background1" w:themeShade="BF"/>
                              </w:rPr>
                              <w:t>0</w:t>
                            </w:r>
                            <w:r>
                              <w:rPr>
                                <w:color w:val="BFBFBF" w:themeColor="background1" w:themeShade="BF"/>
                              </w:rPr>
                              <w:t>4</w:t>
                            </w:r>
                            <w:r w:rsidR="00517111" w:rsidRPr="00517111">
                              <w:rPr>
                                <w:color w:val="BFBFBF" w:themeColor="background1" w:themeShade="BF"/>
                              </w:rPr>
                              <w:t>. 201</w:t>
                            </w:r>
                            <w:r w:rsidR="00267ACA">
                              <w:rPr>
                                <w:color w:val="BFBFBF" w:themeColor="background1" w:themeShade="BF"/>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52E74" id="_x0000_t202" coordsize="21600,21600" o:spt="202" path="m,l,21600r21600,l21600,xe">
                <v:stroke joinstyle="miter"/>
                <v:path gradientshapeok="t" o:connecttype="rect"/>
              </v:shapetype>
              <v:shape id="Textové pole 2" o:spid="_x0000_s1026" type="#_x0000_t202" style="position:absolute;left:0;text-align:left;margin-left:408pt;margin-top:-74.35pt;width:97.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" filled="f" stroked="f">
                <v:textbox style="mso-fit-shape-to-text:t">
                  <w:txbxContent>
                    <w:p w14:paraId="093A89A6" w14:textId="77777777" w:rsidR="00517111" w:rsidRDefault="00517111" w:rsidP="00517111">
                      <w:pPr>
                        <w:spacing w:line="276" w:lineRule="auto"/>
                        <w:jc w:val="right"/>
                        <w:rPr>
                          <w:b/>
                          <w:color w:val="13576B"/>
                        </w:rPr>
                      </w:pPr>
                      <w:r w:rsidRPr="00517111">
                        <w:rPr>
                          <w:b/>
                          <w:color w:val="13576B"/>
                        </w:rPr>
                        <w:t>TISKOVÁ ZPRÁVA</w:t>
                      </w:r>
                      <w:r>
                        <w:rPr>
                          <w:b/>
                          <w:color w:val="13576B"/>
                        </w:rPr>
                        <w:t xml:space="preserve"> </w:t>
                      </w:r>
                    </w:p>
                    <w:p w14:paraId="25BF6333" w14:textId="0015B052" w:rsidR="00517111" w:rsidRPr="00517111" w:rsidRDefault="006478ED" w:rsidP="00517111">
                      <w:pPr>
                        <w:spacing w:line="276" w:lineRule="auto"/>
                        <w:jc w:val="right"/>
                        <w:rPr>
                          <w:b/>
                          <w:color w:val="13576B"/>
                        </w:rPr>
                      </w:pPr>
                      <w:r>
                        <w:rPr>
                          <w:color w:val="BFBFBF" w:themeColor="background1" w:themeShade="BF"/>
                        </w:rPr>
                        <w:t>30</w:t>
                      </w:r>
                      <w:r w:rsidR="00517111" w:rsidRPr="00517111">
                        <w:rPr>
                          <w:color w:val="BFBFBF" w:themeColor="background1" w:themeShade="BF"/>
                        </w:rPr>
                        <w:t xml:space="preserve">. </w:t>
                      </w:r>
                      <w:r w:rsidR="00267ACA">
                        <w:rPr>
                          <w:color w:val="BFBFBF" w:themeColor="background1" w:themeShade="BF"/>
                        </w:rPr>
                        <w:t>0</w:t>
                      </w:r>
                      <w:r>
                        <w:rPr>
                          <w:color w:val="BFBFBF" w:themeColor="background1" w:themeShade="BF"/>
                        </w:rPr>
                        <w:t>4</w:t>
                      </w:r>
                      <w:r w:rsidR="00517111" w:rsidRPr="00517111">
                        <w:rPr>
                          <w:color w:val="BFBFBF" w:themeColor="background1" w:themeShade="BF"/>
                        </w:rPr>
                        <w:t>. 201</w:t>
                      </w:r>
                      <w:r w:rsidR="00267ACA">
                        <w:rPr>
                          <w:color w:val="BFBFBF" w:themeColor="background1" w:themeShade="BF"/>
                        </w:rPr>
                        <w:t>9</w:t>
                      </w:r>
                    </w:p>
                  </w:txbxContent>
                </v:textbox>
                <w10:wrap anchorx="margin"/>
              </v:shape>
            </w:pict>
          </mc:Fallback>
        </mc:AlternateContent>
      </w:r>
      <w:r w:rsidRPr="00C74048">
        <w:rPr>
          <w:rFonts w:cs="Arial"/>
          <w:b/>
          <w:color w:val="007E79"/>
          <w:sz w:val="32"/>
          <w:szCs w:val="28"/>
        </w:rPr>
        <w:t>M</w:t>
      </w:r>
      <w:r w:rsidRPr="009139AF">
        <w:rPr>
          <w:rFonts w:cs="Arial"/>
          <w:b/>
          <w:color w:val="007E79"/>
          <w:sz w:val="32"/>
          <w:szCs w:val="28"/>
        </w:rPr>
        <w:t>AKROEKONOMICKÁ PROGNÓZA ČESKÉ BANKOVNÍ ASOCIACE</w:t>
      </w:r>
    </w:p>
    <w:p w14:paraId="2ECED86E" w14:textId="7574B60D" w:rsidR="006478ED" w:rsidRPr="006478ED" w:rsidRDefault="006478ED" w:rsidP="006478ED">
      <w:pPr>
        <w:rPr>
          <w:b/>
          <w:color w:val="008080"/>
          <w:sz w:val="20"/>
        </w:rPr>
      </w:pPr>
      <w:r w:rsidRPr="006E0634">
        <w:rPr>
          <w:b/>
          <w:color w:val="008080"/>
          <w:sz w:val="22"/>
        </w:rPr>
        <w:t>Hospodářský růst se snižuje k úrovni potenciálu, nerovnováhy na trhu práce tlačí inflaci vzhůru</w:t>
      </w:r>
    </w:p>
    <w:p w14:paraId="4A6E52AD" w14:textId="52FE842A" w:rsidR="009139AF" w:rsidRDefault="009139AF" w:rsidP="001D5BB9"/>
    <w:p w14:paraId="4D3BF803" w14:textId="0807F1FA" w:rsidR="006478ED" w:rsidRDefault="009139AF" w:rsidP="006478ED">
      <w:pPr>
        <w:rPr>
          <w:b/>
          <w:color w:val="008080"/>
        </w:rPr>
      </w:pPr>
      <w:r w:rsidRPr="00C74048">
        <w:rPr>
          <w:rFonts w:cs="Arial"/>
          <w:b/>
          <w:color w:val="007E79"/>
          <w:szCs w:val="22"/>
        </w:rPr>
        <w:t xml:space="preserve">Praha, </w:t>
      </w:r>
      <w:r w:rsidR="006478ED">
        <w:rPr>
          <w:rFonts w:cs="Arial"/>
          <w:b/>
          <w:color w:val="007E79"/>
          <w:szCs w:val="22"/>
        </w:rPr>
        <w:t>30</w:t>
      </w:r>
      <w:r w:rsidRPr="00C74048">
        <w:rPr>
          <w:rFonts w:cs="Arial"/>
          <w:b/>
          <w:color w:val="007E79"/>
          <w:szCs w:val="22"/>
        </w:rPr>
        <w:t xml:space="preserve">. </w:t>
      </w:r>
      <w:r w:rsidR="006478ED">
        <w:rPr>
          <w:rFonts w:cs="Arial"/>
          <w:b/>
          <w:color w:val="007E79"/>
          <w:szCs w:val="22"/>
        </w:rPr>
        <w:t>dubna</w:t>
      </w:r>
      <w:r w:rsidRPr="00C74048">
        <w:rPr>
          <w:rFonts w:cs="Arial"/>
          <w:b/>
          <w:color w:val="007E79"/>
          <w:szCs w:val="22"/>
        </w:rPr>
        <w:t xml:space="preserve"> 201</w:t>
      </w:r>
      <w:r>
        <w:rPr>
          <w:rFonts w:cs="Arial"/>
          <w:b/>
          <w:color w:val="007E79"/>
          <w:szCs w:val="22"/>
        </w:rPr>
        <w:t xml:space="preserve">9 – </w:t>
      </w:r>
      <w:r w:rsidR="00B27646">
        <w:rPr>
          <w:rFonts w:cs="Arial"/>
          <w:b/>
          <w:color w:val="007E79"/>
          <w:szCs w:val="22"/>
        </w:rPr>
        <w:t xml:space="preserve">Česká bankovní asociace ve své </w:t>
      </w:r>
      <w:r w:rsidR="00B27646" w:rsidRPr="000D5D2B">
        <w:rPr>
          <w:rFonts w:cs="Arial"/>
          <w:b/>
          <w:color w:val="007E79"/>
          <w:szCs w:val="22"/>
        </w:rPr>
        <w:t xml:space="preserve">aktuální prognóze </w:t>
      </w:r>
      <w:r w:rsidR="00CB79A1">
        <w:rPr>
          <w:rFonts w:cs="Arial"/>
          <w:b/>
          <w:color w:val="007E79"/>
          <w:szCs w:val="22"/>
        </w:rPr>
        <w:t xml:space="preserve">snižuje </w:t>
      </w:r>
      <w:r w:rsidR="006478ED">
        <w:rPr>
          <w:rFonts w:cs="Arial"/>
          <w:b/>
          <w:color w:val="007E79"/>
          <w:szCs w:val="22"/>
        </w:rPr>
        <w:t xml:space="preserve">podruhé v řadě predikci </w:t>
      </w:r>
      <w:r w:rsidR="00C93158">
        <w:rPr>
          <w:rFonts w:cs="Arial"/>
          <w:b/>
          <w:color w:val="007E79"/>
          <w:szCs w:val="22"/>
        </w:rPr>
        <w:t xml:space="preserve">HDP </w:t>
      </w:r>
      <w:r w:rsidR="006478ED">
        <w:rPr>
          <w:rFonts w:cs="Arial"/>
          <w:b/>
          <w:color w:val="007E79"/>
          <w:szCs w:val="22"/>
        </w:rPr>
        <w:t xml:space="preserve">a na rok </w:t>
      </w:r>
      <w:r w:rsidR="007F40D6">
        <w:rPr>
          <w:rFonts w:cs="Arial"/>
          <w:b/>
          <w:color w:val="007E79"/>
          <w:szCs w:val="22"/>
        </w:rPr>
        <w:t xml:space="preserve">2019 </w:t>
      </w:r>
      <w:r w:rsidR="006478ED">
        <w:rPr>
          <w:rFonts w:cs="Arial"/>
          <w:b/>
          <w:color w:val="007E79"/>
          <w:szCs w:val="22"/>
        </w:rPr>
        <w:t xml:space="preserve">předpovídá </w:t>
      </w:r>
      <w:r w:rsidR="00B27646" w:rsidRPr="000D5D2B">
        <w:rPr>
          <w:rFonts w:cs="Arial"/>
          <w:b/>
          <w:color w:val="007E79"/>
          <w:szCs w:val="22"/>
        </w:rPr>
        <w:t xml:space="preserve">další zpomalování </w:t>
      </w:r>
      <w:r w:rsidR="00803E55" w:rsidRPr="000D5D2B">
        <w:rPr>
          <w:rFonts w:cs="Arial"/>
          <w:b/>
          <w:color w:val="007E79"/>
          <w:szCs w:val="22"/>
        </w:rPr>
        <w:t xml:space="preserve">růstu české </w:t>
      </w:r>
      <w:r w:rsidR="00B27646" w:rsidRPr="000D5D2B">
        <w:rPr>
          <w:rFonts w:cs="Arial"/>
          <w:b/>
          <w:color w:val="007E79"/>
          <w:szCs w:val="22"/>
        </w:rPr>
        <w:t xml:space="preserve">ekonomiky </w:t>
      </w:r>
      <w:r w:rsidR="000D5D2B" w:rsidRPr="000D5D2B">
        <w:rPr>
          <w:rFonts w:cs="Arial"/>
          <w:b/>
          <w:color w:val="007E79"/>
          <w:szCs w:val="22"/>
        </w:rPr>
        <w:t>na hodnotu 2,</w:t>
      </w:r>
      <w:r w:rsidR="006478ED">
        <w:rPr>
          <w:rFonts w:cs="Arial"/>
          <w:b/>
          <w:color w:val="007E79"/>
          <w:szCs w:val="22"/>
        </w:rPr>
        <w:t>4</w:t>
      </w:r>
      <w:r w:rsidR="000D5D2B" w:rsidRPr="000D5D2B">
        <w:rPr>
          <w:rFonts w:cs="Arial"/>
          <w:b/>
          <w:color w:val="007E79"/>
          <w:szCs w:val="22"/>
        </w:rPr>
        <w:t xml:space="preserve"> %</w:t>
      </w:r>
      <w:r w:rsidR="006478ED">
        <w:rPr>
          <w:rFonts w:cs="Arial"/>
          <w:b/>
          <w:color w:val="007E79"/>
          <w:szCs w:val="22"/>
        </w:rPr>
        <w:t xml:space="preserve"> a 2,3 % napřesrok</w:t>
      </w:r>
      <w:r w:rsidR="000D5D2B" w:rsidRPr="000D5D2B">
        <w:rPr>
          <w:rFonts w:cs="Arial"/>
          <w:b/>
          <w:color w:val="007E79"/>
          <w:szCs w:val="22"/>
        </w:rPr>
        <w:t xml:space="preserve">. </w:t>
      </w:r>
      <w:r w:rsidR="006478ED" w:rsidRPr="006478ED">
        <w:rPr>
          <w:b/>
          <w:color w:val="008080"/>
        </w:rPr>
        <w:t>Odhad ekonomického</w:t>
      </w:r>
      <w:r w:rsidR="006478ED">
        <w:rPr>
          <w:b/>
          <w:color w:val="008080"/>
        </w:rPr>
        <w:t xml:space="preserve"> </w:t>
      </w:r>
      <w:r w:rsidR="006478ED" w:rsidRPr="006478ED">
        <w:rPr>
          <w:b/>
          <w:color w:val="008080"/>
        </w:rPr>
        <w:t>růstu prognostikům</w:t>
      </w:r>
      <w:r w:rsidR="006478ED">
        <w:rPr>
          <w:b/>
          <w:color w:val="008080"/>
        </w:rPr>
        <w:t xml:space="preserve"> </w:t>
      </w:r>
      <w:r w:rsidR="006478ED" w:rsidRPr="006478ED">
        <w:rPr>
          <w:b/>
          <w:color w:val="008080"/>
        </w:rPr>
        <w:t>komplikují pře</w:t>
      </w:r>
      <w:r w:rsidR="006478ED">
        <w:rPr>
          <w:b/>
          <w:color w:val="008080"/>
        </w:rPr>
        <w:t>trvávající a prohlubující se nejistoty vnějšího prostředí</w:t>
      </w:r>
      <w:r w:rsidR="00C93158">
        <w:rPr>
          <w:b/>
          <w:color w:val="008080"/>
        </w:rPr>
        <w:t>, zejména hrozba dalšího zpomalování německé ekonomiky.</w:t>
      </w:r>
    </w:p>
    <w:p w14:paraId="571BBDCA" w14:textId="77777777" w:rsidR="006478ED" w:rsidRPr="006478ED" w:rsidRDefault="006478ED" w:rsidP="006478ED">
      <w:pPr>
        <w:rPr>
          <w:b/>
          <w:color w:val="008080"/>
        </w:rPr>
      </w:pPr>
    </w:p>
    <w:p w14:paraId="03B0BE0E" w14:textId="76BE3AFD" w:rsidR="006478ED" w:rsidRDefault="006478ED" w:rsidP="006478ED">
      <w:pPr>
        <w:rPr>
          <w:rFonts w:ascii="Times New Roman" w:hAnsi="Times New Roman"/>
          <w:sz w:val="24"/>
          <w:szCs w:val="24"/>
        </w:rPr>
      </w:pPr>
      <w:r>
        <w:t>V minulém roce český HDP – přes pokles tempa růstu ze 4,5 % v roce 2017 – rostl o stále solidních 2,9 %. Ačkoli základním scénářem předvídaným ČBA pro roky 2019 a 2020 zůstává hladké přistání směrem k tempům růstu kolem úrovně hospodářského potenciálu, odhad ekonomického růstu již podruhé v řadě snižujeme, a to na 2,4 % v letošním roce a 2,3 % napřesrok. Co se odhadu růstové trajektorie týká, v diskusi analytiků se objevovaly jak názory argumentující možným posílením růstu HDP v příštím roce nad 2,6 %, tak opačné pohledy předpovídající pokles míry růstu pod úroveň 2</w:t>
      </w:r>
      <w:r>
        <w:rPr>
          <w:bCs/>
        </w:rPr>
        <w:t xml:space="preserve"> %. V diskusi se současně projevily i rozdílné pohledy na možné nastavení měnové politiky ČNB a její dopad do výkonnosti hospodářství.</w:t>
      </w:r>
      <w:r>
        <w:t xml:space="preserve"> </w:t>
      </w:r>
      <w:r>
        <w:rPr>
          <w:rFonts w:ascii="Times New Roman" w:hAnsi="Times New Roman"/>
          <w:sz w:val="24"/>
          <w:szCs w:val="24"/>
        </w:rPr>
        <w:t xml:space="preserve"> </w:t>
      </w:r>
    </w:p>
    <w:p w14:paraId="7AE9F7B0" w14:textId="7CD01DD5" w:rsidR="00CB79A1" w:rsidRDefault="00CB79A1" w:rsidP="006478ED">
      <w:pPr>
        <w:rPr>
          <w:rFonts w:ascii="Times New Roman" w:hAnsi="Times New Roman"/>
          <w:sz w:val="24"/>
          <w:szCs w:val="24"/>
        </w:rPr>
      </w:pPr>
    </w:p>
    <w:p w14:paraId="6F093425" w14:textId="41092CC8" w:rsidR="00CB79A1" w:rsidRDefault="00CB79A1" w:rsidP="00CB79A1">
      <w:r>
        <w:t>O</w:t>
      </w:r>
      <w:r>
        <w:t xml:space="preserve">dhadované postupné snižování stále solidního růstu soukromé </w:t>
      </w:r>
      <w:r w:rsidRPr="00E23E0B">
        <w:t xml:space="preserve">spotřeby, </w:t>
      </w:r>
      <w:r w:rsidRPr="00CB79A1">
        <w:t>kdy pro rok 2019 odhadujeme roční tempo 2,8 % a napřesrok pak 2,5 %</w:t>
      </w:r>
      <w:r>
        <w:t xml:space="preserve">, </w:t>
      </w:r>
      <w:r>
        <w:t>odpovídá</w:t>
      </w:r>
      <w:r>
        <w:t xml:space="preserve"> p</w:t>
      </w:r>
      <w:r>
        <w:t>ředpokládanému mzdovému vývoj</w:t>
      </w:r>
      <w:r>
        <w:t>i (viz dále)</w:t>
      </w:r>
      <w:r w:rsidRPr="00E23E0B">
        <w:t>. Nadále odhadujeme, že na s</w:t>
      </w:r>
      <w:r>
        <w:t xml:space="preserve">nížení růstové dynamiky </w:t>
      </w:r>
      <w:r>
        <w:t xml:space="preserve">HDP </w:t>
      </w:r>
      <w:r>
        <w:t>se budou rovnoměrně podílet domácí faktory, ať už jde o soukromou nebo vládní spotřebu, či tempo růstu investic, které by mělo klesnout z loňských mimořádných cca 10 % na téměř třetinovou hodnotu letos, a ještě o něco níže v roce příštím. U čistých vývozů v obou prognózovaných letech očekáváme spíše mírně záporný příspěvek k růstu.</w:t>
      </w:r>
    </w:p>
    <w:p w14:paraId="43CD6764" w14:textId="689D05E3" w:rsidR="006478ED" w:rsidRDefault="006478ED" w:rsidP="006478ED">
      <w:pPr>
        <w:rPr>
          <w:b/>
        </w:rPr>
      </w:pPr>
    </w:p>
    <w:p w14:paraId="3A0451BA" w14:textId="50E59490" w:rsidR="006478ED" w:rsidRPr="006478ED" w:rsidRDefault="006478ED" w:rsidP="006478ED">
      <w:pPr>
        <w:rPr>
          <w:b/>
          <w:color w:val="007E79"/>
          <w:sz w:val="20"/>
        </w:rPr>
      </w:pPr>
      <w:r w:rsidRPr="006478ED">
        <w:rPr>
          <w:b/>
          <w:color w:val="007E79"/>
          <w:sz w:val="20"/>
        </w:rPr>
        <w:t>Zpomalování německé ekonomiky jako současná hlavní hrozba</w:t>
      </w:r>
    </w:p>
    <w:p w14:paraId="52C023B6" w14:textId="45AE4052" w:rsidR="006478ED" w:rsidRDefault="00950AD8" w:rsidP="006478ED">
      <w:r>
        <w:rPr>
          <w:noProof/>
        </w:rPr>
        <mc:AlternateContent>
          <mc:Choice Requires="wps">
            <w:drawing>
              <wp:anchor distT="45720" distB="45720" distL="114300" distR="114300" simplePos="0" relativeHeight="251691008" behindDoc="0" locked="0" layoutInCell="1" allowOverlap="1" wp14:anchorId="3D9DA06A" wp14:editId="119B27C6">
                <wp:simplePos x="0" y="0"/>
                <wp:positionH relativeFrom="margin">
                  <wp:posOffset>2540</wp:posOffset>
                </wp:positionH>
                <wp:positionV relativeFrom="paragraph">
                  <wp:posOffset>981075</wp:posOffset>
                </wp:positionV>
                <wp:extent cx="6477000" cy="1647190"/>
                <wp:effectExtent l="0" t="0" r="19050" b="24765"/>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47190"/>
                        </a:xfrm>
                        <a:prstGeom prst="rect">
                          <a:avLst/>
                        </a:prstGeom>
                        <a:solidFill>
                          <a:srgbClr val="FFFFFF"/>
                        </a:solidFill>
                        <a:ln w="9525">
                          <a:solidFill>
                            <a:srgbClr val="000000"/>
                          </a:solidFill>
                          <a:miter lim="800000"/>
                          <a:headEnd/>
                          <a:tailEnd/>
                        </a:ln>
                      </wps:spPr>
                      <wps:txbx>
                        <w:txbxContent>
                          <w:p w14:paraId="631FD693" w14:textId="025384BF" w:rsidR="006478ED" w:rsidRPr="006E0634" w:rsidRDefault="006E0634" w:rsidP="006478ED">
                            <w:pPr>
                              <w:rPr>
                                <w:color w:val="007E79"/>
                              </w:rPr>
                            </w:pPr>
                            <w:r w:rsidRPr="006E0634">
                              <w:rPr>
                                <w:color w:val="007E79"/>
                              </w:rPr>
                              <w:t>KOMENTÁŘ:</w:t>
                            </w:r>
                          </w:p>
                          <w:p w14:paraId="59184A15" w14:textId="6EE761A2" w:rsidR="006E0634" w:rsidRPr="006E0634" w:rsidRDefault="006E0634" w:rsidP="006478ED">
                            <w:pPr>
                              <w:rPr>
                                <w:b/>
                                <w:color w:val="007E79"/>
                              </w:rPr>
                            </w:pPr>
                            <w:r w:rsidRPr="006E0634">
                              <w:rPr>
                                <w:b/>
                                <w:color w:val="007E79"/>
                              </w:rPr>
                              <w:t>Jaromír Šindel, hlavní ekonom Citibank CZ</w:t>
                            </w:r>
                          </w:p>
                          <w:p w14:paraId="27BF6A2C" w14:textId="1C4E5809" w:rsidR="006478ED" w:rsidRPr="006E0634" w:rsidRDefault="006E0634" w:rsidP="006478ED">
                            <w:pPr>
                              <w:rPr>
                                <w:rFonts w:cs="Arial"/>
                                <w:i/>
                                <w:color w:val="000000"/>
                              </w:rPr>
                            </w:pPr>
                            <w:r w:rsidRPr="006E0634">
                              <w:rPr>
                                <w:rFonts w:cs="Arial"/>
                                <w:i/>
                                <w:color w:val="000000"/>
                              </w:rPr>
                              <w:t>„</w:t>
                            </w:r>
                            <w:r w:rsidR="006478ED" w:rsidRPr="006E0634">
                              <w:rPr>
                                <w:rFonts w:cs="Arial"/>
                                <w:i/>
                                <w:color w:val="000000"/>
                              </w:rPr>
                              <w:t>Rozdílné výhledy na výkon české ekonomiky v roce 2020 jsou výsledkem nejistoty ohledně načasování a síly oživení německé ekonomiky. Ta pramení ze dvou faktorů: nejasný dopad čínských stimulů na evropskou ekonomiku a vypořádání se s hrozícími dodatečnými cly na automobilový sektor ze strany USA.</w:t>
                            </w:r>
                            <w:r w:rsidRPr="006E0634">
                              <w:rPr>
                                <w:rFonts w:cs="Arial"/>
                                <w:i/>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DA06A" id="Textové pole 217" o:spid="_x0000_s1027" type="#_x0000_t202" style="position:absolute;left:0;text-align:left;margin-left:.2pt;margin-top:77.25pt;width:510pt;height:129.7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">
                <v:textbox style="mso-fit-shape-to-text:t">
                  <w:txbxContent>
                    <w:p w14:paraId="631FD693" w14:textId="025384BF" w:rsidR="006478ED" w:rsidRPr="006E0634" w:rsidRDefault="006E0634" w:rsidP="006478ED">
                      <w:pPr>
                        <w:rPr>
                          <w:color w:val="007E79"/>
                        </w:rPr>
                      </w:pPr>
                      <w:r w:rsidRPr="006E0634">
                        <w:rPr>
                          <w:color w:val="007E79"/>
                        </w:rPr>
                        <w:t>KOMENTÁŘ:</w:t>
                      </w:r>
                    </w:p>
                    <w:p w14:paraId="59184A15" w14:textId="6EE761A2" w:rsidR="006E0634" w:rsidRPr="006E0634" w:rsidRDefault="006E0634" w:rsidP="006478ED">
                      <w:pPr>
                        <w:rPr>
                          <w:b/>
                          <w:color w:val="007E79"/>
                        </w:rPr>
                      </w:pPr>
                      <w:r w:rsidRPr="006E0634">
                        <w:rPr>
                          <w:b/>
                          <w:color w:val="007E79"/>
                        </w:rPr>
                        <w:t>Jaromír Šindel, hlavní ekonom Citibank CZ</w:t>
                      </w:r>
                    </w:p>
                    <w:p w14:paraId="27BF6A2C" w14:textId="1C4E5809" w:rsidR="006478ED" w:rsidRPr="006E0634" w:rsidRDefault="006E0634" w:rsidP="006478ED">
                      <w:pPr>
                        <w:rPr>
                          <w:rFonts w:cs="Arial"/>
                          <w:i/>
                          <w:color w:val="000000"/>
                        </w:rPr>
                      </w:pPr>
                      <w:r w:rsidRPr="006E0634">
                        <w:rPr>
                          <w:rFonts w:cs="Arial"/>
                          <w:i/>
                          <w:color w:val="000000"/>
                        </w:rPr>
                        <w:t>„</w:t>
                      </w:r>
                      <w:r w:rsidR="006478ED" w:rsidRPr="006E0634">
                        <w:rPr>
                          <w:rFonts w:cs="Arial"/>
                          <w:i/>
                          <w:color w:val="000000"/>
                        </w:rPr>
                        <w:t>Rozdílné výhledy na výkon české ekonomiky v roce 2020 jsou výsledkem nejistoty ohledně načasování a síly oživení německé ekonomiky. Ta pramení ze dvou faktorů: nejasný dopad čínských stimulů na evropskou ekonomiku a vypořádání se s hrozícími dodatečnými cly na automobilový sektor ze strany USA.</w:t>
                      </w:r>
                      <w:r w:rsidRPr="006E0634">
                        <w:rPr>
                          <w:rFonts w:cs="Arial"/>
                          <w:i/>
                          <w:color w:val="000000"/>
                        </w:rPr>
                        <w:t>“</w:t>
                      </w:r>
                    </w:p>
                  </w:txbxContent>
                </v:textbox>
                <w10:wrap type="square" anchorx="margin"/>
              </v:shape>
            </w:pict>
          </mc:Fallback>
        </mc:AlternateContent>
      </w:r>
      <w:r w:rsidR="006478ED">
        <w:t>Spolehlivost předpovědí vývoje české ekonomiky je významně ovlivněna prohlubující se nejistotou ohledně možné materializace řady vnějších rizik. To se projevilo i při debatě hlavních ekonomů bank v podobě sázek na protichůdné trendy. Nejvýznamnějším vnějším rizikem je bezesporu hrozba dalšího zpomalování německé ekonomiky a zejména německých exportů, kterými je do velké míry tažen růst i u nás. Odráží se v něm i očekávané zpomalování čínské ekonomiky, která je pro německé a tím zprostředkovaně i pro české firmy jedním z nejvýznamnějších exportních trhů. Navzdory původnímu předpokladu není návrat německého HDP na růstovou trajektorii jistý, objevuje se pesimismus ohledně toho, zda jde opravdu pouze o přechodnou záležitost.</w:t>
      </w:r>
    </w:p>
    <w:p w14:paraId="3026E079" w14:textId="2AAAFE58" w:rsidR="006478ED" w:rsidRDefault="006478ED" w:rsidP="006478ED"/>
    <w:p w14:paraId="5E7E5640" w14:textId="4CC20B78" w:rsidR="006478ED" w:rsidRDefault="00A6286E" w:rsidP="006478ED">
      <w:r>
        <w:rPr>
          <w:noProof/>
        </w:rPr>
        <mc:AlternateContent>
          <mc:Choice Requires="wps">
            <w:drawing>
              <wp:anchor distT="45720" distB="45720" distL="114300" distR="114300" simplePos="0" relativeHeight="251697152" behindDoc="0" locked="0" layoutInCell="1" allowOverlap="1" wp14:anchorId="350F63AF" wp14:editId="64472ED7">
                <wp:simplePos x="0" y="0"/>
                <wp:positionH relativeFrom="margin">
                  <wp:posOffset>2540</wp:posOffset>
                </wp:positionH>
                <wp:positionV relativeFrom="paragraph">
                  <wp:posOffset>629920</wp:posOffset>
                </wp:positionV>
                <wp:extent cx="6477000" cy="1647190"/>
                <wp:effectExtent l="0" t="0" r="19050" b="1206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47190"/>
                        </a:xfrm>
                        <a:prstGeom prst="rect">
                          <a:avLst/>
                        </a:prstGeom>
                        <a:solidFill>
                          <a:srgbClr val="FFFFFF"/>
                        </a:solidFill>
                        <a:ln w="9525">
                          <a:solidFill>
                            <a:srgbClr val="000000"/>
                          </a:solidFill>
                          <a:miter lim="800000"/>
                          <a:headEnd/>
                          <a:tailEnd/>
                        </a:ln>
                      </wps:spPr>
                      <wps:txbx>
                        <w:txbxContent>
                          <w:p w14:paraId="630E3FF0" w14:textId="77777777" w:rsidR="006E0634" w:rsidRPr="006E0634" w:rsidRDefault="006E0634" w:rsidP="006E0634">
                            <w:pPr>
                              <w:rPr>
                                <w:color w:val="007E79"/>
                                <w:szCs w:val="18"/>
                              </w:rPr>
                            </w:pPr>
                            <w:r w:rsidRPr="006E0634">
                              <w:rPr>
                                <w:color w:val="007E79"/>
                                <w:szCs w:val="18"/>
                              </w:rPr>
                              <w:t>KOMENTÁŘ:</w:t>
                            </w:r>
                          </w:p>
                          <w:p w14:paraId="34B7C99B" w14:textId="6D6B599E" w:rsidR="006E0634" w:rsidRPr="006E0634" w:rsidRDefault="006E0634" w:rsidP="006E0634">
                            <w:pPr>
                              <w:rPr>
                                <w:b/>
                                <w:color w:val="007E79"/>
                                <w:szCs w:val="18"/>
                              </w:rPr>
                            </w:pPr>
                            <w:r>
                              <w:rPr>
                                <w:b/>
                                <w:color w:val="007E79"/>
                                <w:szCs w:val="18"/>
                              </w:rPr>
                              <w:t>Miroslav Zámečník</w:t>
                            </w:r>
                            <w:r w:rsidRPr="006E0634">
                              <w:rPr>
                                <w:b/>
                                <w:color w:val="007E79"/>
                                <w:szCs w:val="18"/>
                              </w:rPr>
                              <w:t xml:space="preserve">, </w:t>
                            </w:r>
                            <w:r>
                              <w:rPr>
                                <w:b/>
                                <w:color w:val="007E79"/>
                                <w:szCs w:val="18"/>
                              </w:rPr>
                              <w:t>ekonomický analytik České bankovní asociace</w:t>
                            </w:r>
                          </w:p>
                          <w:p w14:paraId="7876377D" w14:textId="14192BEC" w:rsidR="00A6286E" w:rsidRDefault="006E0634" w:rsidP="006E0634">
                            <w:pPr>
                              <w:rPr>
                                <w:i/>
                                <w:lang w:eastAsia="en-US"/>
                              </w:rPr>
                            </w:pPr>
                            <w:r w:rsidRPr="006E0634">
                              <w:rPr>
                                <w:i/>
                                <w:lang w:eastAsia="en-US"/>
                              </w:rPr>
                              <w:t>„Tentokrát jsme neobvykle mnoho pozornosti věnovali Číně</w:t>
                            </w:r>
                            <w:r w:rsidR="00E52EE1">
                              <w:rPr>
                                <w:i/>
                                <w:lang w:eastAsia="en-US"/>
                              </w:rPr>
                              <w:t>,</w:t>
                            </w:r>
                            <w:r w:rsidR="0088279B">
                              <w:rPr>
                                <w:i/>
                                <w:lang w:eastAsia="en-US"/>
                              </w:rPr>
                              <w:t xml:space="preserve"> </w:t>
                            </w:r>
                            <w:r w:rsidR="00E52EE1">
                              <w:rPr>
                                <w:i/>
                                <w:lang w:eastAsia="en-US"/>
                              </w:rPr>
                              <w:t>byť</w:t>
                            </w:r>
                            <w:r w:rsidR="0088279B">
                              <w:rPr>
                                <w:i/>
                                <w:lang w:eastAsia="en-US"/>
                              </w:rPr>
                              <w:t xml:space="preserve"> </w:t>
                            </w:r>
                            <w:r w:rsidR="00A6286E">
                              <w:rPr>
                                <w:i/>
                                <w:lang w:eastAsia="en-US"/>
                              </w:rPr>
                              <w:t>přímý vývoz z</w:t>
                            </w:r>
                            <w:r w:rsidR="00EA05BA">
                              <w:rPr>
                                <w:i/>
                                <w:lang w:eastAsia="en-US"/>
                              </w:rPr>
                              <w:t> </w:t>
                            </w:r>
                            <w:r w:rsidR="00A6286E">
                              <w:rPr>
                                <w:i/>
                                <w:lang w:eastAsia="en-US"/>
                              </w:rPr>
                              <w:t>Česka</w:t>
                            </w:r>
                            <w:r w:rsidR="00EA05BA">
                              <w:rPr>
                                <w:i/>
                                <w:lang w:eastAsia="en-US"/>
                              </w:rPr>
                              <w:t xml:space="preserve"> do Číny</w:t>
                            </w:r>
                            <w:r w:rsidR="0088279B">
                              <w:rPr>
                                <w:i/>
                                <w:lang w:eastAsia="en-US"/>
                              </w:rPr>
                              <w:t xml:space="preserve"> </w:t>
                            </w:r>
                            <w:r w:rsidR="00A6286E">
                              <w:rPr>
                                <w:i/>
                                <w:lang w:eastAsia="en-US"/>
                              </w:rPr>
                              <w:t xml:space="preserve">dosáhl </w:t>
                            </w:r>
                            <w:r w:rsidR="0088279B">
                              <w:rPr>
                                <w:i/>
                                <w:lang w:eastAsia="en-US"/>
                              </w:rPr>
                              <w:t>v loňském roce</w:t>
                            </w:r>
                            <w:r w:rsidR="00A6286E">
                              <w:rPr>
                                <w:i/>
                                <w:lang w:eastAsia="en-US"/>
                              </w:rPr>
                              <w:t xml:space="preserve"> pouze 56 miliard korun</w:t>
                            </w:r>
                            <w:r w:rsidR="0088279B">
                              <w:rPr>
                                <w:i/>
                                <w:lang w:eastAsia="en-US"/>
                              </w:rPr>
                              <w:t xml:space="preserve">. </w:t>
                            </w:r>
                            <w:r w:rsidR="00E52EE1">
                              <w:rPr>
                                <w:i/>
                                <w:lang w:eastAsia="en-US"/>
                              </w:rPr>
                              <w:t>Situace v USA a Číně j</w:t>
                            </w:r>
                            <w:r w:rsidR="00C50104">
                              <w:rPr>
                                <w:i/>
                                <w:lang w:eastAsia="en-US"/>
                              </w:rPr>
                              <w:t>sou</w:t>
                            </w:r>
                            <w:r w:rsidR="00E52EE1">
                              <w:rPr>
                                <w:i/>
                                <w:lang w:eastAsia="en-US"/>
                              </w:rPr>
                              <w:t xml:space="preserve"> pro nás důležit</w:t>
                            </w:r>
                            <w:r w:rsidR="00C50104">
                              <w:rPr>
                                <w:i/>
                                <w:lang w:eastAsia="en-US"/>
                              </w:rPr>
                              <w:t>é</w:t>
                            </w:r>
                            <w:r w:rsidR="00E52EE1">
                              <w:rPr>
                                <w:i/>
                                <w:lang w:eastAsia="en-US"/>
                              </w:rPr>
                              <w:t xml:space="preserve"> zprostředkovaně</w:t>
                            </w:r>
                            <w:r w:rsidR="00EA05BA">
                              <w:rPr>
                                <w:i/>
                                <w:lang w:eastAsia="en-US"/>
                              </w:rPr>
                              <w:t>, protože jsou zásadními trhy pro</w:t>
                            </w:r>
                            <w:r w:rsidR="00C50104">
                              <w:rPr>
                                <w:i/>
                                <w:lang w:eastAsia="en-US"/>
                              </w:rPr>
                              <w:t xml:space="preserve"> Německo</w:t>
                            </w:r>
                            <w:r w:rsidR="00E52EE1">
                              <w:rPr>
                                <w:i/>
                                <w:lang w:eastAsia="en-US"/>
                              </w:rPr>
                              <w:t>,</w:t>
                            </w:r>
                            <w:r w:rsidR="00C50104" w:rsidRPr="00C50104">
                              <w:rPr>
                                <w:i/>
                                <w:lang w:eastAsia="en-US"/>
                              </w:rPr>
                              <w:t xml:space="preserve"> </w:t>
                            </w:r>
                            <w:r w:rsidR="00C50104">
                              <w:rPr>
                                <w:i/>
                                <w:lang w:eastAsia="en-US"/>
                              </w:rPr>
                              <w:t>kam míří český vývoz v hodnotě 1,42 bilionu korun</w:t>
                            </w:r>
                            <w:r w:rsidR="00EA05BA">
                              <w:rPr>
                                <w:i/>
                                <w:lang w:eastAsia="en-US"/>
                              </w:rPr>
                              <w:t xml:space="preserve">. </w:t>
                            </w:r>
                            <w:r w:rsidR="0088279B" w:rsidRPr="006E0634">
                              <w:rPr>
                                <w:i/>
                                <w:lang w:eastAsia="en-US"/>
                              </w:rPr>
                              <w:t xml:space="preserve">I těmto nepřímým vazbám na USA a </w:t>
                            </w:r>
                            <w:r w:rsidR="0088279B">
                              <w:rPr>
                                <w:i/>
                                <w:lang w:eastAsia="en-US"/>
                              </w:rPr>
                              <w:t>Čínu</w:t>
                            </w:r>
                            <w:r w:rsidR="00A7019E">
                              <w:rPr>
                                <w:i/>
                                <w:lang w:eastAsia="en-US"/>
                              </w:rPr>
                              <w:t>, a to</w:t>
                            </w:r>
                            <w:r w:rsidR="0088279B" w:rsidRPr="006E0634">
                              <w:rPr>
                                <w:i/>
                                <w:lang w:eastAsia="en-US"/>
                              </w:rPr>
                              <w:t xml:space="preserve"> přes Německo</w:t>
                            </w:r>
                            <w:r w:rsidR="00A7019E">
                              <w:rPr>
                                <w:i/>
                                <w:lang w:eastAsia="en-US"/>
                              </w:rPr>
                              <w:t>,</w:t>
                            </w:r>
                            <w:r w:rsidR="0088279B" w:rsidRPr="006E0634">
                              <w:rPr>
                                <w:i/>
                                <w:lang w:eastAsia="en-US"/>
                              </w:rPr>
                              <w:t xml:space="preserve"> musíme věnovat pozornost</w:t>
                            </w:r>
                            <w:r w:rsidR="0088279B">
                              <w:rPr>
                                <w:i/>
                                <w:lang w:eastAsia="en-US"/>
                              </w:rPr>
                              <w:t>.</w:t>
                            </w:r>
                            <w:r w:rsidR="0088279B" w:rsidRPr="0088279B">
                              <w:rPr>
                                <w:i/>
                                <w:lang w:eastAsia="en-US"/>
                              </w:rPr>
                              <w:t xml:space="preserve"> </w:t>
                            </w:r>
                            <w:r w:rsidR="0088279B" w:rsidRPr="006E0634">
                              <w:rPr>
                                <w:i/>
                                <w:lang w:eastAsia="en-US"/>
                              </w:rPr>
                              <w:t>Kupříkladu</w:t>
                            </w:r>
                            <w:r w:rsidR="0088279B">
                              <w:rPr>
                                <w:i/>
                                <w:lang w:eastAsia="en-US"/>
                              </w:rPr>
                              <w:t>,</w:t>
                            </w:r>
                            <w:r w:rsidR="0088279B" w:rsidRPr="006E0634">
                              <w:rPr>
                                <w:i/>
                                <w:lang w:eastAsia="en-US"/>
                              </w:rPr>
                              <w:t xml:space="preserve"> auta do Číny </w:t>
                            </w:r>
                            <w:r w:rsidR="0040072F">
                              <w:rPr>
                                <w:i/>
                                <w:lang w:eastAsia="en-US"/>
                              </w:rPr>
                              <w:t xml:space="preserve">sice </w:t>
                            </w:r>
                            <w:r w:rsidR="0088279B" w:rsidRPr="006E0634">
                              <w:rPr>
                                <w:i/>
                                <w:lang w:eastAsia="en-US"/>
                              </w:rPr>
                              <w:t xml:space="preserve">nevyvážíme, ale v Německu </w:t>
                            </w:r>
                            <w:r w:rsidR="0040072F">
                              <w:rPr>
                                <w:i/>
                                <w:lang w:eastAsia="en-US"/>
                              </w:rPr>
                              <w:t>jde o</w:t>
                            </w:r>
                            <w:r w:rsidR="0088279B" w:rsidRPr="006E0634">
                              <w:rPr>
                                <w:i/>
                                <w:lang w:eastAsia="en-US"/>
                              </w:rPr>
                              <w:t xml:space="preserve"> nejdůležitější exportní položk</w:t>
                            </w:r>
                            <w:r w:rsidR="0040072F">
                              <w:rPr>
                                <w:i/>
                                <w:lang w:eastAsia="en-US"/>
                              </w:rPr>
                              <w:t>u</w:t>
                            </w:r>
                            <w:r w:rsidR="0088279B" w:rsidRPr="006E0634">
                              <w:rPr>
                                <w:i/>
                                <w:lang w:eastAsia="en-US"/>
                              </w:rPr>
                              <w:t xml:space="preserve"> (pro nás jsou to autodíly).</w:t>
                            </w:r>
                            <w:r w:rsidR="00C50104">
                              <w:rPr>
                                <w:i/>
                                <w:lang w:eastAsia="en-US"/>
                              </w:rPr>
                              <w:t xml:space="preserve"> </w:t>
                            </w:r>
                            <w:r w:rsidR="0088279B" w:rsidRPr="006E0634">
                              <w:rPr>
                                <w:i/>
                                <w:lang w:eastAsia="en-US"/>
                              </w:rPr>
                              <w:t>Čínský automobilový trh je už deset let největší na světě, ale poprvé zaznamenává klesající prodeje (již tři čtvrtletí za sebou)</w:t>
                            </w:r>
                            <w:r w:rsidR="001C0DF4">
                              <w:rPr>
                                <w:i/>
                                <w:lang w:eastAsia="en-US"/>
                              </w:rPr>
                              <w:t>.</w:t>
                            </w:r>
                            <w:r w:rsidR="00C50104">
                              <w:rPr>
                                <w:i/>
                                <w:lang w:eastAsia="en-US"/>
                              </w:rPr>
                              <w:t xml:space="preserve"> </w:t>
                            </w:r>
                            <w:r w:rsidR="001C0DF4">
                              <w:rPr>
                                <w:i/>
                                <w:lang w:eastAsia="en-US"/>
                              </w:rPr>
                              <w:t>P</w:t>
                            </w:r>
                            <w:r w:rsidR="0088279B" w:rsidRPr="006E0634">
                              <w:rPr>
                                <w:i/>
                                <w:lang w:eastAsia="en-US"/>
                              </w:rPr>
                              <w:t>řitom je pro Čínu důležit</w:t>
                            </w:r>
                            <w:r w:rsidR="0088279B">
                              <w:rPr>
                                <w:i/>
                                <w:lang w:eastAsia="en-US"/>
                              </w:rPr>
                              <w:t>ý</w:t>
                            </w:r>
                            <w:r w:rsidR="001C0DF4">
                              <w:rPr>
                                <w:i/>
                                <w:lang w:eastAsia="en-US"/>
                              </w:rPr>
                              <w:t>, v</w:t>
                            </w:r>
                            <w:r w:rsidR="0088279B" w:rsidRPr="006E0634">
                              <w:rPr>
                                <w:i/>
                                <w:lang w:eastAsia="en-US"/>
                              </w:rPr>
                              <w:t>četně sekundárních efektů se</w:t>
                            </w:r>
                            <w:r w:rsidR="006454CC">
                              <w:rPr>
                                <w:i/>
                                <w:lang w:eastAsia="en-US"/>
                              </w:rPr>
                              <w:t xml:space="preserve"> totiž</w:t>
                            </w:r>
                            <w:r w:rsidR="0088279B" w:rsidRPr="006E0634">
                              <w:rPr>
                                <w:i/>
                                <w:lang w:eastAsia="en-US"/>
                              </w:rPr>
                              <w:t xml:space="preserve"> </w:t>
                            </w:r>
                            <w:r w:rsidR="00F545AC" w:rsidRPr="006E0634">
                              <w:rPr>
                                <w:i/>
                                <w:lang w:eastAsia="en-US"/>
                              </w:rPr>
                              <w:t xml:space="preserve">šestinou </w:t>
                            </w:r>
                            <w:r w:rsidR="0088279B" w:rsidRPr="006E0634">
                              <w:rPr>
                                <w:i/>
                                <w:lang w:eastAsia="en-US"/>
                              </w:rPr>
                              <w:t>podílí na zaměstnanosti a</w:t>
                            </w:r>
                            <w:r w:rsidR="006454CC">
                              <w:rPr>
                                <w:i/>
                                <w:lang w:eastAsia="en-US"/>
                              </w:rPr>
                              <w:t xml:space="preserve"> </w:t>
                            </w:r>
                            <w:r w:rsidR="006454CC" w:rsidRPr="006E0634">
                              <w:rPr>
                                <w:i/>
                                <w:lang w:eastAsia="en-US"/>
                              </w:rPr>
                              <w:t>9,4</w:t>
                            </w:r>
                            <w:r w:rsidR="006454CC">
                              <w:rPr>
                                <w:i/>
                                <w:lang w:eastAsia="en-US"/>
                              </w:rPr>
                              <w:t xml:space="preserve"> </w:t>
                            </w:r>
                            <w:r w:rsidR="006454CC" w:rsidRPr="006E0634">
                              <w:rPr>
                                <w:i/>
                                <w:lang w:eastAsia="en-US"/>
                              </w:rPr>
                              <w:t>%</w:t>
                            </w:r>
                            <w:r w:rsidR="0088279B" w:rsidRPr="006E0634">
                              <w:rPr>
                                <w:i/>
                                <w:lang w:eastAsia="en-US"/>
                              </w:rPr>
                              <w:t xml:space="preserve"> na HDP. Zároveň trpí obrovským převisem kapacit, jež jsou využity v průměru jen na 43</w:t>
                            </w:r>
                            <w:r w:rsidR="0088279B">
                              <w:rPr>
                                <w:i/>
                                <w:lang w:eastAsia="en-US"/>
                              </w:rPr>
                              <w:t xml:space="preserve"> </w:t>
                            </w:r>
                            <w:r w:rsidR="0088279B" w:rsidRPr="006E0634">
                              <w:rPr>
                                <w:i/>
                                <w:lang w:eastAsia="en-US"/>
                              </w:rPr>
                              <w:t>%, a čeká jej tvrdá konsolidace.“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F63AF" id="Textové pole 3" o:spid="_x0000_s1028" type="#_x0000_t202" style="position:absolute;left:0;text-align:left;margin-left:.2pt;margin-top:49.6pt;width:510pt;height:129.7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">
                <v:textbox style="mso-fit-shape-to-text:t">
                  <w:txbxContent>
                    <w:p w14:paraId="630E3FF0" w14:textId="77777777" w:rsidR="006E0634" w:rsidRPr="006E0634" w:rsidRDefault="006E0634" w:rsidP="006E0634">
                      <w:pPr>
                        <w:rPr>
                          <w:color w:val="007E79"/>
                          <w:szCs w:val="18"/>
                        </w:rPr>
                      </w:pPr>
                      <w:r w:rsidRPr="006E0634">
                        <w:rPr>
                          <w:color w:val="007E79"/>
                          <w:szCs w:val="18"/>
                        </w:rPr>
                        <w:t>KOMENTÁŘ:</w:t>
                      </w:r>
                    </w:p>
                    <w:p w14:paraId="34B7C99B" w14:textId="6D6B599E" w:rsidR="006E0634" w:rsidRPr="006E0634" w:rsidRDefault="006E0634" w:rsidP="006E0634">
                      <w:pPr>
                        <w:rPr>
                          <w:b/>
                          <w:color w:val="007E79"/>
                          <w:szCs w:val="18"/>
                        </w:rPr>
                      </w:pPr>
                      <w:r>
                        <w:rPr>
                          <w:b/>
                          <w:color w:val="007E79"/>
                          <w:szCs w:val="18"/>
                        </w:rPr>
                        <w:t>Miroslav Zámečník</w:t>
                      </w:r>
                      <w:r w:rsidRPr="006E0634">
                        <w:rPr>
                          <w:b/>
                          <w:color w:val="007E79"/>
                          <w:szCs w:val="18"/>
                        </w:rPr>
                        <w:t xml:space="preserve">, </w:t>
                      </w:r>
                      <w:r>
                        <w:rPr>
                          <w:b/>
                          <w:color w:val="007E79"/>
                          <w:szCs w:val="18"/>
                        </w:rPr>
                        <w:t>ekonomický analytik České bankovní asociace</w:t>
                      </w:r>
                    </w:p>
                    <w:p w14:paraId="7876377D" w14:textId="14192BEC" w:rsidR="00A6286E" w:rsidRDefault="006E0634" w:rsidP="006E0634">
                      <w:pPr>
                        <w:rPr>
                          <w:i/>
                          <w:lang w:eastAsia="en-US"/>
                        </w:rPr>
                      </w:pPr>
                      <w:r w:rsidRPr="006E0634">
                        <w:rPr>
                          <w:i/>
                          <w:lang w:eastAsia="en-US"/>
                        </w:rPr>
                        <w:t>„Tentokrát jsme neobvykle mnoho pozornosti věnovali Číně</w:t>
                      </w:r>
                      <w:r w:rsidR="00E52EE1">
                        <w:rPr>
                          <w:i/>
                          <w:lang w:eastAsia="en-US"/>
                        </w:rPr>
                        <w:t>,</w:t>
                      </w:r>
                      <w:r w:rsidR="0088279B">
                        <w:rPr>
                          <w:i/>
                          <w:lang w:eastAsia="en-US"/>
                        </w:rPr>
                        <w:t xml:space="preserve"> </w:t>
                      </w:r>
                      <w:r w:rsidR="00E52EE1">
                        <w:rPr>
                          <w:i/>
                          <w:lang w:eastAsia="en-US"/>
                        </w:rPr>
                        <w:t>byť</w:t>
                      </w:r>
                      <w:r w:rsidR="0088279B">
                        <w:rPr>
                          <w:i/>
                          <w:lang w:eastAsia="en-US"/>
                        </w:rPr>
                        <w:t xml:space="preserve"> </w:t>
                      </w:r>
                      <w:r w:rsidR="00A6286E">
                        <w:rPr>
                          <w:i/>
                          <w:lang w:eastAsia="en-US"/>
                        </w:rPr>
                        <w:t>přímý vývoz z</w:t>
                      </w:r>
                      <w:r w:rsidR="00EA05BA">
                        <w:rPr>
                          <w:i/>
                          <w:lang w:eastAsia="en-US"/>
                        </w:rPr>
                        <w:t> </w:t>
                      </w:r>
                      <w:r w:rsidR="00A6286E">
                        <w:rPr>
                          <w:i/>
                          <w:lang w:eastAsia="en-US"/>
                        </w:rPr>
                        <w:t>Česka</w:t>
                      </w:r>
                      <w:r w:rsidR="00EA05BA">
                        <w:rPr>
                          <w:i/>
                          <w:lang w:eastAsia="en-US"/>
                        </w:rPr>
                        <w:t xml:space="preserve"> do Číny</w:t>
                      </w:r>
                      <w:r w:rsidR="0088279B">
                        <w:rPr>
                          <w:i/>
                          <w:lang w:eastAsia="en-US"/>
                        </w:rPr>
                        <w:t xml:space="preserve"> </w:t>
                      </w:r>
                      <w:r w:rsidR="00A6286E">
                        <w:rPr>
                          <w:i/>
                          <w:lang w:eastAsia="en-US"/>
                        </w:rPr>
                        <w:t xml:space="preserve">dosáhl </w:t>
                      </w:r>
                      <w:r w:rsidR="0088279B">
                        <w:rPr>
                          <w:i/>
                          <w:lang w:eastAsia="en-US"/>
                        </w:rPr>
                        <w:t>v loňském roce</w:t>
                      </w:r>
                      <w:r w:rsidR="00A6286E">
                        <w:rPr>
                          <w:i/>
                          <w:lang w:eastAsia="en-US"/>
                        </w:rPr>
                        <w:t xml:space="preserve"> pouze 56 miliard korun</w:t>
                      </w:r>
                      <w:r w:rsidR="0088279B">
                        <w:rPr>
                          <w:i/>
                          <w:lang w:eastAsia="en-US"/>
                        </w:rPr>
                        <w:t xml:space="preserve">. </w:t>
                      </w:r>
                      <w:r w:rsidR="00E52EE1">
                        <w:rPr>
                          <w:i/>
                          <w:lang w:eastAsia="en-US"/>
                        </w:rPr>
                        <w:t>Situace v USA a Číně j</w:t>
                      </w:r>
                      <w:r w:rsidR="00C50104">
                        <w:rPr>
                          <w:i/>
                          <w:lang w:eastAsia="en-US"/>
                        </w:rPr>
                        <w:t>sou</w:t>
                      </w:r>
                      <w:r w:rsidR="00E52EE1">
                        <w:rPr>
                          <w:i/>
                          <w:lang w:eastAsia="en-US"/>
                        </w:rPr>
                        <w:t xml:space="preserve"> pro nás důležit</w:t>
                      </w:r>
                      <w:r w:rsidR="00C50104">
                        <w:rPr>
                          <w:i/>
                          <w:lang w:eastAsia="en-US"/>
                        </w:rPr>
                        <w:t>é</w:t>
                      </w:r>
                      <w:r w:rsidR="00E52EE1">
                        <w:rPr>
                          <w:i/>
                          <w:lang w:eastAsia="en-US"/>
                        </w:rPr>
                        <w:t xml:space="preserve"> zprostředkovaně</w:t>
                      </w:r>
                      <w:r w:rsidR="00EA05BA">
                        <w:rPr>
                          <w:i/>
                          <w:lang w:eastAsia="en-US"/>
                        </w:rPr>
                        <w:t>, protože jsou zásadními trhy pro</w:t>
                      </w:r>
                      <w:r w:rsidR="00C50104">
                        <w:rPr>
                          <w:i/>
                          <w:lang w:eastAsia="en-US"/>
                        </w:rPr>
                        <w:t xml:space="preserve"> Německo</w:t>
                      </w:r>
                      <w:r w:rsidR="00E52EE1">
                        <w:rPr>
                          <w:i/>
                          <w:lang w:eastAsia="en-US"/>
                        </w:rPr>
                        <w:t>,</w:t>
                      </w:r>
                      <w:r w:rsidR="00C50104" w:rsidRPr="00C50104">
                        <w:rPr>
                          <w:i/>
                          <w:lang w:eastAsia="en-US"/>
                        </w:rPr>
                        <w:t xml:space="preserve"> </w:t>
                      </w:r>
                      <w:r w:rsidR="00C50104">
                        <w:rPr>
                          <w:i/>
                          <w:lang w:eastAsia="en-US"/>
                        </w:rPr>
                        <w:t>kam míří český vývoz v hodnotě 1,42 bilionu korun</w:t>
                      </w:r>
                      <w:r w:rsidR="00EA05BA">
                        <w:rPr>
                          <w:i/>
                          <w:lang w:eastAsia="en-US"/>
                        </w:rPr>
                        <w:t xml:space="preserve">. </w:t>
                      </w:r>
                      <w:r w:rsidR="0088279B" w:rsidRPr="006E0634">
                        <w:rPr>
                          <w:i/>
                          <w:lang w:eastAsia="en-US"/>
                        </w:rPr>
                        <w:t xml:space="preserve">I těmto nepřímým vazbám na USA a </w:t>
                      </w:r>
                      <w:r w:rsidR="0088279B">
                        <w:rPr>
                          <w:i/>
                          <w:lang w:eastAsia="en-US"/>
                        </w:rPr>
                        <w:t>Čínu</w:t>
                      </w:r>
                      <w:r w:rsidR="00A7019E">
                        <w:rPr>
                          <w:i/>
                          <w:lang w:eastAsia="en-US"/>
                        </w:rPr>
                        <w:t>, a to</w:t>
                      </w:r>
                      <w:r w:rsidR="0088279B" w:rsidRPr="006E0634">
                        <w:rPr>
                          <w:i/>
                          <w:lang w:eastAsia="en-US"/>
                        </w:rPr>
                        <w:t xml:space="preserve"> přes Německo</w:t>
                      </w:r>
                      <w:r w:rsidR="00A7019E">
                        <w:rPr>
                          <w:i/>
                          <w:lang w:eastAsia="en-US"/>
                        </w:rPr>
                        <w:t>,</w:t>
                      </w:r>
                      <w:r w:rsidR="0088279B" w:rsidRPr="006E0634">
                        <w:rPr>
                          <w:i/>
                          <w:lang w:eastAsia="en-US"/>
                        </w:rPr>
                        <w:t xml:space="preserve"> musíme věnovat pozornost</w:t>
                      </w:r>
                      <w:r w:rsidR="0088279B">
                        <w:rPr>
                          <w:i/>
                          <w:lang w:eastAsia="en-US"/>
                        </w:rPr>
                        <w:t>.</w:t>
                      </w:r>
                      <w:r w:rsidR="0088279B" w:rsidRPr="0088279B">
                        <w:rPr>
                          <w:i/>
                          <w:lang w:eastAsia="en-US"/>
                        </w:rPr>
                        <w:t xml:space="preserve"> </w:t>
                      </w:r>
                      <w:r w:rsidR="0088279B" w:rsidRPr="006E0634">
                        <w:rPr>
                          <w:i/>
                          <w:lang w:eastAsia="en-US"/>
                        </w:rPr>
                        <w:t>Kupříkladu</w:t>
                      </w:r>
                      <w:r w:rsidR="0088279B">
                        <w:rPr>
                          <w:i/>
                          <w:lang w:eastAsia="en-US"/>
                        </w:rPr>
                        <w:t>,</w:t>
                      </w:r>
                      <w:r w:rsidR="0088279B" w:rsidRPr="006E0634">
                        <w:rPr>
                          <w:i/>
                          <w:lang w:eastAsia="en-US"/>
                        </w:rPr>
                        <w:t xml:space="preserve"> auta do Číny </w:t>
                      </w:r>
                      <w:r w:rsidR="0040072F">
                        <w:rPr>
                          <w:i/>
                          <w:lang w:eastAsia="en-US"/>
                        </w:rPr>
                        <w:t xml:space="preserve">sice </w:t>
                      </w:r>
                      <w:r w:rsidR="0088279B" w:rsidRPr="006E0634">
                        <w:rPr>
                          <w:i/>
                          <w:lang w:eastAsia="en-US"/>
                        </w:rPr>
                        <w:t xml:space="preserve">nevyvážíme, ale v Německu </w:t>
                      </w:r>
                      <w:r w:rsidR="0040072F">
                        <w:rPr>
                          <w:i/>
                          <w:lang w:eastAsia="en-US"/>
                        </w:rPr>
                        <w:t>jde o</w:t>
                      </w:r>
                      <w:r w:rsidR="0088279B" w:rsidRPr="006E0634">
                        <w:rPr>
                          <w:i/>
                          <w:lang w:eastAsia="en-US"/>
                        </w:rPr>
                        <w:t xml:space="preserve"> nejdůležitější exportní položk</w:t>
                      </w:r>
                      <w:r w:rsidR="0040072F">
                        <w:rPr>
                          <w:i/>
                          <w:lang w:eastAsia="en-US"/>
                        </w:rPr>
                        <w:t>u</w:t>
                      </w:r>
                      <w:r w:rsidR="0088279B" w:rsidRPr="006E0634">
                        <w:rPr>
                          <w:i/>
                          <w:lang w:eastAsia="en-US"/>
                        </w:rPr>
                        <w:t xml:space="preserve"> (pro nás jsou to autodíly).</w:t>
                      </w:r>
                      <w:r w:rsidR="00C50104">
                        <w:rPr>
                          <w:i/>
                          <w:lang w:eastAsia="en-US"/>
                        </w:rPr>
                        <w:t xml:space="preserve"> </w:t>
                      </w:r>
                      <w:r w:rsidR="0088279B" w:rsidRPr="006E0634">
                        <w:rPr>
                          <w:i/>
                          <w:lang w:eastAsia="en-US"/>
                        </w:rPr>
                        <w:t>Čínský automobilový trh je už deset let největší na světě, ale poprvé zaznamenává klesající prodeje (již tři čtvrtletí za sebou)</w:t>
                      </w:r>
                      <w:r w:rsidR="001C0DF4">
                        <w:rPr>
                          <w:i/>
                          <w:lang w:eastAsia="en-US"/>
                        </w:rPr>
                        <w:t>.</w:t>
                      </w:r>
                      <w:r w:rsidR="00C50104">
                        <w:rPr>
                          <w:i/>
                          <w:lang w:eastAsia="en-US"/>
                        </w:rPr>
                        <w:t xml:space="preserve"> </w:t>
                      </w:r>
                      <w:r w:rsidR="001C0DF4">
                        <w:rPr>
                          <w:i/>
                          <w:lang w:eastAsia="en-US"/>
                        </w:rPr>
                        <w:t>P</w:t>
                      </w:r>
                      <w:r w:rsidR="0088279B" w:rsidRPr="006E0634">
                        <w:rPr>
                          <w:i/>
                          <w:lang w:eastAsia="en-US"/>
                        </w:rPr>
                        <w:t>řitom je pro Čínu důležit</w:t>
                      </w:r>
                      <w:r w:rsidR="0088279B">
                        <w:rPr>
                          <w:i/>
                          <w:lang w:eastAsia="en-US"/>
                        </w:rPr>
                        <w:t>ý</w:t>
                      </w:r>
                      <w:r w:rsidR="001C0DF4">
                        <w:rPr>
                          <w:i/>
                          <w:lang w:eastAsia="en-US"/>
                        </w:rPr>
                        <w:t>, v</w:t>
                      </w:r>
                      <w:r w:rsidR="0088279B" w:rsidRPr="006E0634">
                        <w:rPr>
                          <w:i/>
                          <w:lang w:eastAsia="en-US"/>
                        </w:rPr>
                        <w:t>četně sekundárních efektů se</w:t>
                      </w:r>
                      <w:r w:rsidR="006454CC">
                        <w:rPr>
                          <w:i/>
                          <w:lang w:eastAsia="en-US"/>
                        </w:rPr>
                        <w:t xml:space="preserve"> totiž</w:t>
                      </w:r>
                      <w:r w:rsidR="0088279B" w:rsidRPr="006E0634">
                        <w:rPr>
                          <w:i/>
                          <w:lang w:eastAsia="en-US"/>
                        </w:rPr>
                        <w:t xml:space="preserve"> </w:t>
                      </w:r>
                      <w:r w:rsidR="00F545AC" w:rsidRPr="006E0634">
                        <w:rPr>
                          <w:i/>
                          <w:lang w:eastAsia="en-US"/>
                        </w:rPr>
                        <w:t xml:space="preserve">šestinou </w:t>
                      </w:r>
                      <w:r w:rsidR="0088279B" w:rsidRPr="006E0634">
                        <w:rPr>
                          <w:i/>
                          <w:lang w:eastAsia="en-US"/>
                        </w:rPr>
                        <w:t>podílí na zaměstnanosti a</w:t>
                      </w:r>
                      <w:r w:rsidR="006454CC">
                        <w:rPr>
                          <w:i/>
                          <w:lang w:eastAsia="en-US"/>
                        </w:rPr>
                        <w:t xml:space="preserve"> </w:t>
                      </w:r>
                      <w:r w:rsidR="006454CC" w:rsidRPr="006E0634">
                        <w:rPr>
                          <w:i/>
                          <w:lang w:eastAsia="en-US"/>
                        </w:rPr>
                        <w:t>9,4</w:t>
                      </w:r>
                      <w:r w:rsidR="006454CC">
                        <w:rPr>
                          <w:i/>
                          <w:lang w:eastAsia="en-US"/>
                        </w:rPr>
                        <w:t xml:space="preserve"> </w:t>
                      </w:r>
                      <w:r w:rsidR="006454CC" w:rsidRPr="006E0634">
                        <w:rPr>
                          <w:i/>
                          <w:lang w:eastAsia="en-US"/>
                        </w:rPr>
                        <w:t>%</w:t>
                      </w:r>
                      <w:r w:rsidR="0088279B" w:rsidRPr="006E0634">
                        <w:rPr>
                          <w:i/>
                          <w:lang w:eastAsia="en-US"/>
                        </w:rPr>
                        <w:t xml:space="preserve"> na HDP. Zároveň trpí obrovským převisem kapacit, jež jsou využity v průměru jen na 43</w:t>
                      </w:r>
                      <w:r w:rsidR="0088279B">
                        <w:rPr>
                          <w:i/>
                          <w:lang w:eastAsia="en-US"/>
                        </w:rPr>
                        <w:t xml:space="preserve"> </w:t>
                      </w:r>
                      <w:r w:rsidR="0088279B" w:rsidRPr="006E0634">
                        <w:rPr>
                          <w:i/>
                          <w:lang w:eastAsia="en-US"/>
                        </w:rPr>
                        <w:t>%, a čeká jej tvrdá konsolidace.“</w:t>
                      </w:r>
                    </w:p>
                  </w:txbxContent>
                </v:textbox>
                <w10:wrap type="square" anchorx="margin"/>
              </v:shape>
            </w:pict>
          </mc:Fallback>
        </mc:AlternateContent>
      </w:r>
      <w:r w:rsidR="006478ED">
        <w:t xml:space="preserve">Ani ostatní vnější rizika, včetně hrozby obchodních sporů a následného zvýšení cel na dovozy dopravních prostředků z EU do USA, se zatím nijak významně nesnižují. S obavami očekávaný odchod Velké Británie z EU – v původně </w:t>
      </w:r>
      <w:r w:rsidR="008404DA">
        <w:t>oznámeném,</w:t>
      </w:r>
      <w:r w:rsidR="006478ED">
        <w:t xml:space="preserve"> a nakonec odloženém termínu – zatím nenastal. Otevřeny tak zůstávají všechny možnosti od tvrdého brexitu přes formu jakési celní unie až po setrvání Spojeného království v EU.</w:t>
      </w:r>
    </w:p>
    <w:p w14:paraId="1128C6C3" w14:textId="19F7A6AD" w:rsidR="006478ED" w:rsidRDefault="006478ED" w:rsidP="006478ED"/>
    <w:p w14:paraId="69A9A022" w14:textId="38E60679" w:rsidR="006478ED" w:rsidRDefault="006478ED" w:rsidP="006478ED">
      <w:pPr>
        <w:rPr>
          <w:b/>
        </w:rPr>
      </w:pPr>
      <w:r w:rsidRPr="006478ED">
        <w:rPr>
          <w:b/>
          <w:color w:val="007E79"/>
          <w:sz w:val="20"/>
        </w:rPr>
        <w:t>Domácí faktory nerovnováhy: nejnižší nezaměstnanost a růst mezd</w:t>
      </w:r>
    </w:p>
    <w:p w14:paraId="2B713795" w14:textId="1486D95D" w:rsidR="006478ED" w:rsidRDefault="006478ED" w:rsidP="006478ED">
      <w:r>
        <w:t xml:space="preserve">Příznaky </w:t>
      </w:r>
      <w:r w:rsidR="006C6CFF">
        <w:t>přehřátí českého hospodářství</w:t>
      </w:r>
      <w:r>
        <w:t xml:space="preserve">, tedy </w:t>
      </w:r>
      <w:r w:rsidR="006C6CFF">
        <w:t xml:space="preserve">nejnižší nezaměstnanost </w:t>
      </w:r>
      <w:r>
        <w:t xml:space="preserve">mezi zeměmi EU, firmami deklarovaný </w:t>
      </w:r>
      <w:r w:rsidRPr="00E23E0B">
        <w:t>nedostatek (už nejenom nekvalifikovaných či nízko kvalifikovaných) zaměstnanců</w:t>
      </w:r>
      <w:r>
        <w:t xml:space="preserve"> a s nimi spojený růst mezd, se nijak nezmírňují. Loňský nominální růst mezd ve výši 8,1 % má podle našeho odhadu (tažen mj. i dynamikou mezd ve veřejném sektoru) zvolna zpomalovat na letošních 6 % a na necelých 5 % napřesrok. Dokonce ani analytici očekávající pomalejší růst ekonomiky v příštím roce </w:t>
      </w:r>
      <w:r w:rsidR="006C6CFF">
        <w:t xml:space="preserve">neočekávají výraznější snížení </w:t>
      </w:r>
      <w:r>
        <w:t xml:space="preserve">růstu mezd, což naznačuje přetrvávání </w:t>
      </w:r>
      <w:r w:rsidR="006C6CFF">
        <w:t xml:space="preserve">napětí na </w:t>
      </w:r>
      <w:r>
        <w:t xml:space="preserve">trhu práce i v roce 2020. </w:t>
      </w:r>
    </w:p>
    <w:p w14:paraId="316E12F1" w14:textId="2EF6B038" w:rsidR="006478ED" w:rsidRDefault="006478ED" w:rsidP="006478ED"/>
    <w:p w14:paraId="66D969C9" w14:textId="61EB52BB" w:rsidR="006478ED" w:rsidRDefault="006C6CFF" w:rsidP="006478ED">
      <w:r>
        <w:lastRenderedPageBreak/>
        <w:t>E</w:t>
      </w:r>
      <w:r w:rsidR="006478ED">
        <w:t>xtrémně nízk</w:t>
      </w:r>
      <w:r w:rsidR="001262D3">
        <w:t>á</w:t>
      </w:r>
      <w:r w:rsidR="006478ED">
        <w:t xml:space="preserve"> nezaměstnanost </w:t>
      </w:r>
      <w:r>
        <w:t xml:space="preserve">má i svá pozitiva, a to tlak </w:t>
      </w:r>
      <w:r w:rsidR="006478ED">
        <w:t xml:space="preserve">na firemní investice do automatizace procesů a robotizace, které by v případě inovativních řešení a včasného zachycení nastupujících technologických a společenských trendů mohly podpořit posun české ekonomiky ze společnosti zemí se středním příjmem mezi ty vyspělejší. </w:t>
      </w:r>
    </w:p>
    <w:p w14:paraId="3DBC33BD" w14:textId="64DA2226" w:rsidR="006478ED" w:rsidRDefault="006478ED" w:rsidP="006478ED"/>
    <w:p w14:paraId="52208C17" w14:textId="36CEE1D6" w:rsidR="006478ED" w:rsidRDefault="006478ED" w:rsidP="006478ED">
      <w:pPr>
        <w:rPr>
          <w:b/>
        </w:rPr>
      </w:pPr>
      <w:r w:rsidRPr="006478ED">
        <w:rPr>
          <w:b/>
          <w:color w:val="007E79"/>
          <w:sz w:val="20"/>
        </w:rPr>
        <w:t>Inflac</w:t>
      </w:r>
      <w:r w:rsidR="0088279B">
        <w:rPr>
          <w:b/>
          <w:color w:val="007E79"/>
          <w:sz w:val="20"/>
        </w:rPr>
        <w:t>i na hraně tolerančního pásma vystřídá postupné zvolnění</w:t>
      </w:r>
    </w:p>
    <w:p w14:paraId="45AB21E7" w14:textId="314CB33D" w:rsidR="006478ED" w:rsidRDefault="006E0634" w:rsidP="006478ED">
      <w:r>
        <w:rPr>
          <w:noProof/>
        </w:rPr>
        <mc:AlternateContent>
          <mc:Choice Requires="wps">
            <w:drawing>
              <wp:anchor distT="45720" distB="45720" distL="114300" distR="114300" simplePos="0" relativeHeight="251695104" behindDoc="0" locked="0" layoutInCell="1" allowOverlap="1" wp14:anchorId="3BDA004F" wp14:editId="08C5A35B">
                <wp:simplePos x="0" y="0"/>
                <wp:positionH relativeFrom="margin">
                  <wp:posOffset>-26035</wp:posOffset>
                </wp:positionH>
                <wp:positionV relativeFrom="paragraph">
                  <wp:posOffset>1036320</wp:posOffset>
                </wp:positionV>
                <wp:extent cx="6438900" cy="1647190"/>
                <wp:effectExtent l="0" t="0" r="19050" b="2032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47190"/>
                        </a:xfrm>
                        <a:prstGeom prst="rect">
                          <a:avLst/>
                        </a:prstGeom>
                        <a:solidFill>
                          <a:srgbClr val="FFFFFF"/>
                        </a:solidFill>
                        <a:ln w="9525">
                          <a:solidFill>
                            <a:srgbClr val="000000"/>
                          </a:solidFill>
                          <a:miter lim="800000"/>
                          <a:headEnd/>
                          <a:tailEnd/>
                        </a:ln>
                      </wps:spPr>
                      <wps:txbx>
                        <w:txbxContent>
                          <w:p w14:paraId="08F42A75" w14:textId="77777777" w:rsidR="006E0634" w:rsidRPr="006E0634" w:rsidRDefault="006E0634" w:rsidP="006E0634">
                            <w:pPr>
                              <w:rPr>
                                <w:color w:val="007E79"/>
                                <w:szCs w:val="18"/>
                              </w:rPr>
                            </w:pPr>
                            <w:r w:rsidRPr="006E0634">
                              <w:rPr>
                                <w:color w:val="007E79"/>
                                <w:szCs w:val="18"/>
                              </w:rPr>
                              <w:t>KOMENTÁŘ:</w:t>
                            </w:r>
                          </w:p>
                          <w:p w14:paraId="1A0D6E79" w14:textId="16E8BDB4" w:rsidR="006E0634" w:rsidRPr="006E0634" w:rsidRDefault="006E0634" w:rsidP="006E0634">
                            <w:pPr>
                              <w:rPr>
                                <w:b/>
                                <w:color w:val="007E79"/>
                                <w:szCs w:val="18"/>
                              </w:rPr>
                            </w:pPr>
                            <w:r>
                              <w:rPr>
                                <w:b/>
                                <w:color w:val="007E79"/>
                                <w:szCs w:val="18"/>
                              </w:rPr>
                              <w:t>Petr Sklenář</w:t>
                            </w:r>
                            <w:r w:rsidRPr="006E0634">
                              <w:rPr>
                                <w:b/>
                                <w:color w:val="007E79"/>
                                <w:szCs w:val="18"/>
                              </w:rPr>
                              <w:t xml:space="preserve">, </w:t>
                            </w:r>
                            <w:r>
                              <w:rPr>
                                <w:b/>
                                <w:color w:val="007E79"/>
                                <w:szCs w:val="18"/>
                              </w:rPr>
                              <w:t>hlavní ekonom J&amp;T Banky</w:t>
                            </w:r>
                          </w:p>
                          <w:p w14:paraId="1053D2A1" w14:textId="43BB5C81" w:rsidR="006E0634" w:rsidRPr="006E0634" w:rsidRDefault="006E0634" w:rsidP="006E0634">
                            <w:pPr>
                              <w:rPr>
                                <w:rFonts w:cs="Arial"/>
                                <w:i/>
                                <w:iCs/>
                                <w:szCs w:val="18"/>
                              </w:rPr>
                            </w:pPr>
                            <w:r w:rsidRPr="006E0634">
                              <w:rPr>
                                <w:rFonts w:cs="Arial"/>
                                <w:i/>
                                <w:szCs w:val="18"/>
                              </w:rPr>
                              <w:t>„</w:t>
                            </w:r>
                            <w:r w:rsidRPr="006E0634">
                              <w:rPr>
                                <w:rFonts w:cs="Arial"/>
                                <w:i/>
                                <w:iCs/>
                                <w:szCs w:val="18"/>
                              </w:rPr>
                              <w:t>Inflace se letos bude držet výrazněji nad 2procentním cílem ČNB, nelze vyloučit ani krátkodobé přestřelení přes 3 %. Domácí poptávka vytváří silné tlaky na růst cen, ale inflační vývoj může výrazně utlumit riziko ochlazení aktivity v zahraničí. Tyto faktory představují i klíčové dilema při současném rozhodování ČNB.“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A004F" id="_x0000_s1029" type="#_x0000_t202" style="position:absolute;left:0;text-align:left;margin-left:-2.05pt;margin-top:81.6pt;width:507pt;height:129.7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">
                <v:textbox style="mso-fit-shape-to-text:t">
                  <w:txbxContent>
                    <w:p w14:paraId="08F42A75" w14:textId="77777777" w:rsidR="006E0634" w:rsidRPr="006E0634" w:rsidRDefault="006E0634" w:rsidP="006E0634">
                      <w:pPr>
                        <w:rPr>
                          <w:color w:val="007E79"/>
                          <w:szCs w:val="18"/>
                        </w:rPr>
                      </w:pPr>
                      <w:r w:rsidRPr="006E0634">
                        <w:rPr>
                          <w:color w:val="007E79"/>
                          <w:szCs w:val="18"/>
                        </w:rPr>
                        <w:t>KOMENTÁŘ:</w:t>
                      </w:r>
                    </w:p>
                    <w:p w14:paraId="1A0D6E79" w14:textId="16E8BDB4" w:rsidR="006E0634" w:rsidRPr="006E0634" w:rsidRDefault="006E0634" w:rsidP="006E0634">
                      <w:pPr>
                        <w:rPr>
                          <w:b/>
                          <w:color w:val="007E79"/>
                          <w:szCs w:val="18"/>
                        </w:rPr>
                      </w:pPr>
                      <w:r>
                        <w:rPr>
                          <w:b/>
                          <w:color w:val="007E79"/>
                          <w:szCs w:val="18"/>
                        </w:rPr>
                        <w:t>Petr Sklenář</w:t>
                      </w:r>
                      <w:r w:rsidRPr="006E0634">
                        <w:rPr>
                          <w:b/>
                          <w:color w:val="007E79"/>
                          <w:szCs w:val="18"/>
                        </w:rPr>
                        <w:t xml:space="preserve">, </w:t>
                      </w:r>
                      <w:r>
                        <w:rPr>
                          <w:b/>
                          <w:color w:val="007E79"/>
                          <w:szCs w:val="18"/>
                        </w:rPr>
                        <w:t>hlavní ekonom J&amp;T Banky</w:t>
                      </w:r>
                    </w:p>
                    <w:p w14:paraId="1053D2A1" w14:textId="43BB5C81" w:rsidR="006E0634" w:rsidRPr="006E0634" w:rsidRDefault="006E0634" w:rsidP="006E0634">
                      <w:pPr>
                        <w:rPr>
                          <w:rFonts w:cs="Arial"/>
                          <w:i/>
                          <w:iCs/>
                          <w:szCs w:val="18"/>
                        </w:rPr>
                      </w:pPr>
                      <w:r w:rsidRPr="006E0634">
                        <w:rPr>
                          <w:rFonts w:cs="Arial"/>
                          <w:i/>
                          <w:szCs w:val="18"/>
                        </w:rPr>
                        <w:t>„</w:t>
                      </w:r>
                      <w:r w:rsidRPr="006E0634">
                        <w:rPr>
                          <w:rFonts w:cs="Arial"/>
                          <w:i/>
                          <w:iCs/>
                          <w:szCs w:val="18"/>
                        </w:rPr>
                        <w:t>Inflace se letos bude držet výrazněji nad 2procentním cílem ČNB, nelze vyloučit ani krátkodobé přestřelení přes 3 %. Domácí poptávka vytváří silné tlaky na růst cen, ale inflační vývoj může výrazně utlumit riziko ochlazení aktivity v zahraničí. Tyto faktory představují i klíčové dilema při současném rozhodování ČNB.“</w:t>
                      </w:r>
                    </w:p>
                  </w:txbxContent>
                </v:textbox>
                <w10:wrap type="square" anchorx="margin"/>
              </v:shape>
            </w:pict>
          </mc:Fallback>
        </mc:AlternateContent>
      </w:r>
      <w:r w:rsidR="006478ED">
        <w:t xml:space="preserve">Spotřebitelská inflace už poněkolikáté centrální banku překvapila výší svého růstu a v březnu se dotkla horní hrany tolerančního pásma inflačního cíle. Nahoru ji táhne zejména silná domácí poptávka podporovaná růstem mezd, z hlediska spotřebního koše jsou to hlavně ceny v položce bydlení (energie a nájmy). Navíc proti očekáváním ČNB inflační vývoj nebrzdí kurz koruny, ale naopak mírně podporuje, protože koruna je meziročně slabší k euru i k dolaru. Protisměrně působící růst produktivity zatím výše uvedené vlivy nepřevažuje. Nicméně letos v druhé polovině roku očekáváme postupné zvolnění inflace. Průměrná inflace </w:t>
      </w:r>
      <w:r w:rsidR="0088279B">
        <w:t xml:space="preserve">by </w:t>
      </w:r>
      <w:r w:rsidR="006478ED">
        <w:t>letos měla dosáhnout 2,5 %, v příštím roce zpomalit mírně pod úroveň inflačního cíle. Ceny bydlení po oba roky však pravděpodobně udrží významný vliv, rovněž tak nepříznivé počasí na jaře letošního roku představuje riziko déle trvajícího růstu cen potravin.</w:t>
      </w:r>
    </w:p>
    <w:p w14:paraId="392D864E" w14:textId="77777777" w:rsidR="006C6CFF" w:rsidRDefault="006C6CFF" w:rsidP="006C6CFF">
      <w:pPr>
        <w:rPr>
          <w:b/>
          <w:color w:val="007E79"/>
          <w:sz w:val="20"/>
        </w:rPr>
      </w:pPr>
    </w:p>
    <w:p w14:paraId="17B9ABDD" w14:textId="72861590" w:rsidR="006C6CFF" w:rsidRDefault="00E23E0B" w:rsidP="006C6CFF">
      <w:pPr>
        <w:rPr>
          <w:b/>
        </w:rPr>
      </w:pPr>
      <w:r>
        <w:rPr>
          <w:b/>
          <w:color w:val="007E79"/>
          <w:sz w:val="20"/>
        </w:rPr>
        <w:t>Růst úvěrů bude zpomalovat</w:t>
      </w:r>
    </w:p>
    <w:p w14:paraId="490302F8" w14:textId="1CF61A2C" w:rsidR="006C6CFF" w:rsidRDefault="006C6CFF" w:rsidP="006C6CFF">
      <w:r>
        <w:t>Pokud jde o celkový vývoj</w:t>
      </w:r>
      <w:r w:rsidR="00E23E0B">
        <w:t xml:space="preserve"> objemu</w:t>
      </w:r>
      <w:r>
        <w:t xml:space="preserve"> bankovních úvěrů, s prognózou je kompatibilní predikce mírného zpomalení jejich</w:t>
      </w:r>
      <w:r w:rsidR="00E23E0B">
        <w:t xml:space="preserve"> </w:t>
      </w:r>
      <w:r>
        <w:t>růstu jak v roce 2019, tak 2020, a to o cca dva procentní body oproti roku 2018. Překvapením není odhad obdobného zpomalení růstu úvěrů domácnostem zapříčiněný především kombinací (vzhledem k přitvrzující regulaci) nižší dostupnosti hypoték a vhodných nemovitostí. Úvěrová emise vůči nefinančním podnikům podle našeho odhadu zpomalí vzhledem k pomalejšímu růstu investiční aktivity, nicméně ne o tolik, jako u domácností.</w:t>
      </w:r>
    </w:p>
    <w:p w14:paraId="11C39862" w14:textId="77777777" w:rsidR="006C6CFF" w:rsidRDefault="006C6CFF" w:rsidP="006C6CFF">
      <w:pPr>
        <w:rPr>
          <w:b/>
          <w:color w:val="007E79"/>
          <w:sz w:val="20"/>
        </w:rPr>
      </w:pPr>
    </w:p>
    <w:p w14:paraId="55C3D391" w14:textId="2856C0E9" w:rsidR="006C6CFF" w:rsidRPr="006478ED" w:rsidRDefault="006C6CFF" w:rsidP="006C6CFF">
      <w:pPr>
        <w:rPr>
          <w:b/>
          <w:color w:val="007E79"/>
          <w:sz w:val="20"/>
        </w:rPr>
      </w:pPr>
      <w:r>
        <w:rPr>
          <w:b/>
          <w:color w:val="007E79"/>
          <w:sz w:val="20"/>
        </w:rPr>
        <w:t>Příznivý vývoj veřejných financí ohrožen demografickým vývojem</w:t>
      </w:r>
    </w:p>
    <w:p w14:paraId="7FEEFB5D" w14:textId="2BDB883C" w:rsidR="00E23E0B" w:rsidRDefault="00E23E0B" w:rsidP="00E23E0B">
      <w:r w:rsidRPr="00CB79A1">
        <w:t>Ačkoli v oblasti veřejných financí mezi lety 2019 a 2020 očekáváme překlopení do mírného schodku, veřejný dluh by měl podle našeho odhadu v závěru roku 2020 klesnout na úroveň kolem 31 %. Přes tento krátko – až střednědobě příznivý vývoj veřejných financí však nadále vzrůstají rizika pro jejich dlouhodobou udržitelnost, a to zejména v důsledku demografického vývoje, který zvyšuje potřebu penzijní reformy.</w:t>
      </w:r>
    </w:p>
    <w:p w14:paraId="4BC466A8" w14:textId="77777777" w:rsidR="00E23E0B" w:rsidRDefault="00E23E0B" w:rsidP="00E23E0B"/>
    <w:p w14:paraId="0C8BAFCF" w14:textId="77777777" w:rsidR="006C6CFF" w:rsidRDefault="006C6CFF" w:rsidP="006C6CFF">
      <w:r>
        <w:t xml:space="preserve">Pokud by MPSV prosadilo návrhy na navyšování sociálních dávek, důchodů a zejména razantního zvýšení minimální mzdy, je možné, že by toto vedlo k dalšímu kolu „mzdových závodů“ mezi veřejným a soukromým sektorem. Vyšší růst mezd ve veřejném i soukromém sektoru pak může mít dopady jak do nákladů firem, a tím i do budoucí nezaměstnanosti, tak do dalšího navyšování už tak vysokého podílu mandatorních výdajů na veřejných výdajích celkem. </w:t>
      </w:r>
    </w:p>
    <w:p w14:paraId="65E4600E" w14:textId="77777777" w:rsidR="006C6CFF" w:rsidRDefault="006C6CFF" w:rsidP="006C6CFF"/>
    <w:p w14:paraId="0545DA59" w14:textId="77777777" w:rsidR="006C6CFF" w:rsidRDefault="006C6CFF" w:rsidP="006C6CFF">
      <w:r>
        <w:t>Přechod z anticyklického do neutrálního módu sice odpovídá fázi cyklu, zužující se prostor na výdajové straně státního rozpočtu však dále omezuje manévrovací schopnost fiskální politiky. Většinu zátěže anticyklické hospodářské politiky by v případě, že by vláda nepřipustila větší fiskální deficity během výraznějšího zpomalení české ekonomiky, musela nést měnová politika.</w:t>
      </w:r>
    </w:p>
    <w:p w14:paraId="63D632F7" w14:textId="77777777" w:rsidR="006C6CFF" w:rsidRDefault="006C6CFF" w:rsidP="006C6CFF"/>
    <w:p w14:paraId="2E174751" w14:textId="08623F5C" w:rsidR="006478ED" w:rsidRPr="006478ED" w:rsidRDefault="006478ED" w:rsidP="006478ED">
      <w:pPr>
        <w:rPr>
          <w:b/>
          <w:color w:val="007E79"/>
          <w:sz w:val="20"/>
        </w:rPr>
      </w:pPr>
      <w:r w:rsidRPr="006478ED">
        <w:rPr>
          <w:b/>
          <w:color w:val="007E79"/>
          <w:sz w:val="20"/>
        </w:rPr>
        <w:t>Měnová politika – růst sazeb a mírné zpevňování kurzu</w:t>
      </w:r>
    </w:p>
    <w:p w14:paraId="4E17C38B" w14:textId="20062903" w:rsidR="006478ED" w:rsidRDefault="006478ED" w:rsidP="006478ED">
      <w:r>
        <w:t>Názory analytiků na budoucí vývoj externí poptávky a jeho vliv na českou ekonomiku jsou rozdílné, stejně tak jejich odhad tempa zvyšování úrokových sazeb. Proto jsou také předpovědi kurzového vývoje pro příští rok dost variabilní: odhadují úroveň kurzu mezi 24,55 – 26,44 Kč/</w:t>
      </w:r>
      <w:r w:rsidR="006E0634">
        <w:t>EUR,</w:t>
      </w:r>
      <w:r>
        <w:t xml:space="preserve"> a dokonce ani na trendu (další posílení, či oslabení) se neshodují. </w:t>
      </w:r>
      <w:r w:rsidR="006C6CFF">
        <w:t xml:space="preserve">Finální </w:t>
      </w:r>
      <w:r>
        <w:t>centrální scénář</w:t>
      </w:r>
      <w:r w:rsidR="006C6CFF">
        <w:t xml:space="preserve"> implementující předpovědi všech bank</w:t>
      </w:r>
      <w:r>
        <w:t xml:space="preserve"> však předpokládá po celý horizont prognózy do roku 2020 mírné zpevňování průměrného měnového kurzu, kdy v roce 2020 oproti roku 2019 posílí kurz Koruny vůči Euru o necelých 50 haléřů.</w:t>
      </w:r>
    </w:p>
    <w:p w14:paraId="00B59287" w14:textId="7CBF230B" w:rsidR="006478ED" w:rsidRDefault="006478ED" w:rsidP="006478ED"/>
    <w:p w14:paraId="50C2EF27" w14:textId="714C89C0" w:rsidR="006478ED" w:rsidRDefault="006E0634" w:rsidP="006478ED">
      <w:r>
        <w:rPr>
          <w:noProof/>
        </w:rPr>
        <mc:AlternateContent>
          <mc:Choice Requires="wps">
            <w:drawing>
              <wp:anchor distT="45720" distB="45720" distL="114300" distR="114300" simplePos="0" relativeHeight="251693056" behindDoc="0" locked="0" layoutInCell="1" allowOverlap="1" wp14:anchorId="4140BFCA" wp14:editId="7BADFACC">
                <wp:simplePos x="0" y="0"/>
                <wp:positionH relativeFrom="margin">
                  <wp:posOffset>-26035</wp:posOffset>
                </wp:positionH>
                <wp:positionV relativeFrom="paragraph">
                  <wp:posOffset>940435</wp:posOffset>
                </wp:positionV>
                <wp:extent cx="6438900" cy="1647190"/>
                <wp:effectExtent l="0" t="0" r="19050" b="1968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47190"/>
                        </a:xfrm>
                        <a:prstGeom prst="rect">
                          <a:avLst/>
                        </a:prstGeom>
                        <a:solidFill>
                          <a:srgbClr val="FFFFFF"/>
                        </a:solidFill>
                        <a:ln w="9525">
                          <a:solidFill>
                            <a:srgbClr val="000000"/>
                          </a:solidFill>
                          <a:miter lim="800000"/>
                          <a:headEnd/>
                          <a:tailEnd/>
                        </a:ln>
                      </wps:spPr>
                      <wps:txbx>
                        <w:txbxContent>
                          <w:p w14:paraId="357F20A0" w14:textId="77777777" w:rsidR="006E0634" w:rsidRPr="006E0634" w:rsidRDefault="006E0634" w:rsidP="006E0634">
                            <w:pPr>
                              <w:rPr>
                                <w:color w:val="007E79"/>
                              </w:rPr>
                            </w:pPr>
                            <w:r w:rsidRPr="006E0634">
                              <w:rPr>
                                <w:color w:val="007E79"/>
                              </w:rPr>
                              <w:t>KOMENTÁŘ:</w:t>
                            </w:r>
                          </w:p>
                          <w:p w14:paraId="69136C2B" w14:textId="77777777" w:rsidR="006E0634" w:rsidRPr="006E0634" w:rsidRDefault="006E0634" w:rsidP="006E0634">
                            <w:pPr>
                              <w:rPr>
                                <w:b/>
                                <w:color w:val="007E79"/>
                              </w:rPr>
                            </w:pPr>
                            <w:r w:rsidRPr="006E0634">
                              <w:rPr>
                                <w:b/>
                                <w:color w:val="007E79"/>
                              </w:rPr>
                              <w:t>Jaromír Šindel, hlavní ekonom Citibank CZ</w:t>
                            </w:r>
                          </w:p>
                          <w:p w14:paraId="0CDE8668" w14:textId="36E45DA5" w:rsidR="006E0634" w:rsidRPr="006E0634" w:rsidRDefault="006E0634" w:rsidP="006E0634">
                            <w:pPr>
                              <w:rPr>
                                <w:rFonts w:ascii="Calibri" w:hAnsi="Calibri" w:cs="Calibri"/>
                                <w:i/>
                              </w:rPr>
                            </w:pPr>
                            <w:r w:rsidRPr="006E0634">
                              <w:rPr>
                                <w:rFonts w:cs="Arial"/>
                                <w:i/>
                                <w:color w:val="000000"/>
                              </w:rPr>
                              <w:t>„Obrat v měnové politice ČNB by pravděpodobně vedl ke změně výhledu na postupné posilování české koruny v roce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0BFCA" id="Textové pole 1" o:spid="_x0000_s1030" type="#_x0000_t202" style="position:absolute;left:0;text-align:left;margin-left:-2.05pt;margin-top:74.05pt;width:507pt;height:129.7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">
                <v:textbox style="mso-fit-shape-to-text:t">
                  <w:txbxContent>
                    <w:p w14:paraId="357F20A0" w14:textId="77777777" w:rsidR="006E0634" w:rsidRPr="006E0634" w:rsidRDefault="006E0634" w:rsidP="006E0634">
                      <w:pPr>
                        <w:rPr>
                          <w:color w:val="007E79"/>
                        </w:rPr>
                      </w:pPr>
                      <w:r w:rsidRPr="006E0634">
                        <w:rPr>
                          <w:color w:val="007E79"/>
                        </w:rPr>
                        <w:t>KOMENTÁŘ:</w:t>
                      </w:r>
                    </w:p>
                    <w:p w14:paraId="69136C2B" w14:textId="77777777" w:rsidR="006E0634" w:rsidRPr="006E0634" w:rsidRDefault="006E0634" w:rsidP="006E0634">
                      <w:pPr>
                        <w:rPr>
                          <w:b/>
                          <w:color w:val="007E79"/>
                        </w:rPr>
                      </w:pPr>
                      <w:r w:rsidRPr="006E0634">
                        <w:rPr>
                          <w:b/>
                          <w:color w:val="007E79"/>
                        </w:rPr>
                        <w:t>Jaromír Šindel, hlavní ekonom Citibank CZ</w:t>
                      </w:r>
                    </w:p>
                    <w:p w14:paraId="0CDE8668" w14:textId="36E45DA5" w:rsidR="006E0634" w:rsidRPr="006E0634" w:rsidRDefault="006E0634" w:rsidP="006E0634">
                      <w:pPr>
                        <w:rPr>
                          <w:rFonts w:ascii="Calibri" w:hAnsi="Calibri" w:cs="Calibri"/>
                          <w:i/>
                        </w:rPr>
                      </w:pPr>
                      <w:r w:rsidRPr="006E0634">
                        <w:rPr>
                          <w:rFonts w:cs="Arial"/>
                          <w:i/>
                          <w:color w:val="000000"/>
                        </w:rPr>
                        <w:t>„Obrat v měnové politice ČNB by pravděpodobně vedl ke změně výhledu na postupné posilování české koruny v roce 2020.“</w:t>
                      </w:r>
                    </w:p>
                  </w:txbxContent>
                </v:textbox>
                <w10:wrap type="square" anchorx="margin"/>
              </v:shape>
            </w:pict>
          </mc:Fallback>
        </mc:AlternateContent>
      </w:r>
      <w:r w:rsidR="006478ED">
        <w:t>I přes prozatím neklesající inflační tlaky vzhledem ke stále nejasné bilanci vnějších rizik vidíme rostoucí pravděpodobnost dalšího mírného zvýšení měnově-politických sazeb. Konsensus sice signalizuje očekávání zvýšení sazeb ČNB o 0,25 % už v květnu, nicméně zazněly i hlasy o vyšší pravděpodobnosti tohoto kroku až na podzim. Vzhledem k odkladu termínu ukončení období nízkých úrokových sazeb ECB za horizont letošního roku bude hlavní brzdou dalšího zvyšování sazeb ČNB rozšiřující se úrokový diferenciál vůči měnově-politickým sazbám ECB. Pokud by se ale situace ve světové ekonomice uklidnila a kurz koruny přesto zůstal slabý, může letos ČNB zvýšit sazby celkově dvakrát.</w:t>
      </w:r>
    </w:p>
    <w:p w14:paraId="5B66FEF5" w14:textId="2919AB73" w:rsidR="00C93158" w:rsidRDefault="00C93158" w:rsidP="00C93158">
      <w:pPr>
        <w:rPr>
          <w:b/>
          <w:color w:val="007E79"/>
          <w:sz w:val="20"/>
        </w:rPr>
      </w:pPr>
      <w:bookmarkStart w:id="0" w:name="_GoBack"/>
      <w:bookmarkEnd w:id="0"/>
      <w:r w:rsidRPr="00302451">
        <w:rPr>
          <w:b/>
          <w:color w:val="007E79"/>
          <w:sz w:val="20"/>
        </w:rPr>
        <w:lastRenderedPageBreak/>
        <w:t>Prognózy růstu reálného HDP:</w:t>
      </w:r>
    </w:p>
    <w:p w14:paraId="58D31F43" w14:textId="77777777" w:rsidR="00302451" w:rsidRPr="00302451" w:rsidRDefault="00302451" w:rsidP="00C93158">
      <w:pPr>
        <w:rPr>
          <w:b/>
          <w:color w:val="007E79"/>
          <w:sz w:val="20"/>
        </w:rPr>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970"/>
        <w:gridCol w:w="1964"/>
      </w:tblGrid>
      <w:tr w:rsidR="00C93158" w:rsidRPr="00791240" w14:paraId="3241496F" w14:textId="77777777" w:rsidTr="006B60A6">
        <w:trPr>
          <w:trHeight w:val="257"/>
        </w:trPr>
        <w:tc>
          <w:tcPr>
            <w:tcW w:w="6274" w:type="dxa"/>
            <w:shd w:val="clear" w:color="auto" w:fill="30905F"/>
          </w:tcPr>
          <w:p w14:paraId="194FECE0" w14:textId="77777777" w:rsidR="00C93158" w:rsidRPr="00791240" w:rsidRDefault="00C93158" w:rsidP="006133D9">
            <w:pPr>
              <w:rPr>
                <w:rFonts w:cs="Arial"/>
                <w:b/>
                <w:color w:val="FFFFFF"/>
                <w:sz w:val="20"/>
                <w:szCs w:val="18"/>
              </w:rPr>
            </w:pPr>
            <w:r w:rsidRPr="00791240">
              <w:rPr>
                <w:rFonts w:cs="Arial"/>
                <w:b/>
                <w:color w:val="FFFFFF"/>
                <w:sz w:val="20"/>
                <w:szCs w:val="18"/>
              </w:rPr>
              <w:t xml:space="preserve">Instituce </w:t>
            </w:r>
            <w:r w:rsidRPr="00791240">
              <w:rPr>
                <w:rFonts w:cs="Arial"/>
                <w:color w:val="FFFFFF"/>
                <w:sz w:val="20"/>
                <w:szCs w:val="18"/>
              </w:rPr>
              <w:t xml:space="preserve">(+ </w:t>
            </w:r>
            <w:r>
              <w:rPr>
                <w:rFonts w:cs="Arial"/>
                <w:color w:val="FFFFFF"/>
                <w:sz w:val="20"/>
                <w:szCs w:val="18"/>
              </w:rPr>
              <w:t>nejaktuálnější</w:t>
            </w:r>
            <w:r w:rsidRPr="00791240">
              <w:rPr>
                <w:rFonts w:cs="Arial"/>
                <w:color w:val="FFFFFF"/>
                <w:sz w:val="20"/>
                <w:szCs w:val="18"/>
              </w:rPr>
              <w:t xml:space="preserve"> prognóza)</w:t>
            </w:r>
          </w:p>
        </w:tc>
        <w:tc>
          <w:tcPr>
            <w:tcW w:w="1970" w:type="dxa"/>
            <w:shd w:val="clear" w:color="auto" w:fill="30905F"/>
          </w:tcPr>
          <w:p w14:paraId="2A3F081F" w14:textId="77777777" w:rsidR="00C93158" w:rsidRPr="00791240" w:rsidRDefault="00C93158" w:rsidP="006133D9">
            <w:pPr>
              <w:rPr>
                <w:rFonts w:cs="Arial"/>
                <w:b/>
                <w:color w:val="FFFFFF"/>
                <w:sz w:val="20"/>
                <w:szCs w:val="18"/>
              </w:rPr>
            </w:pPr>
            <w:r w:rsidRPr="00791240">
              <w:rPr>
                <w:rFonts w:cs="Arial"/>
                <w:b/>
                <w:color w:val="FFFFFF"/>
                <w:sz w:val="20"/>
                <w:szCs w:val="18"/>
              </w:rPr>
              <w:t>2019</w:t>
            </w:r>
          </w:p>
        </w:tc>
        <w:tc>
          <w:tcPr>
            <w:tcW w:w="1964" w:type="dxa"/>
            <w:shd w:val="clear" w:color="auto" w:fill="30905F"/>
          </w:tcPr>
          <w:p w14:paraId="4F275052" w14:textId="77777777" w:rsidR="00C93158" w:rsidRPr="00791240" w:rsidRDefault="00C93158" w:rsidP="006133D9">
            <w:pPr>
              <w:rPr>
                <w:rFonts w:cs="Arial"/>
                <w:b/>
                <w:color w:val="FFFFFF"/>
                <w:sz w:val="20"/>
                <w:szCs w:val="18"/>
              </w:rPr>
            </w:pPr>
            <w:r>
              <w:rPr>
                <w:rFonts w:cs="Arial"/>
                <w:b/>
                <w:color w:val="FFFFFF"/>
                <w:sz w:val="20"/>
                <w:szCs w:val="18"/>
              </w:rPr>
              <w:t>2020</w:t>
            </w:r>
          </w:p>
        </w:tc>
      </w:tr>
      <w:tr w:rsidR="00C93158" w:rsidRPr="00791240" w14:paraId="48CA0C97" w14:textId="77777777" w:rsidTr="00302451">
        <w:trPr>
          <w:trHeight w:val="257"/>
        </w:trPr>
        <w:tc>
          <w:tcPr>
            <w:tcW w:w="6274" w:type="dxa"/>
            <w:shd w:val="clear" w:color="auto" w:fill="auto"/>
          </w:tcPr>
          <w:p w14:paraId="0DAAF388" w14:textId="77777777" w:rsidR="00C93158" w:rsidRPr="00791240" w:rsidRDefault="00C93158" w:rsidP="006133D9">
            <w:pPr>
              <w:rPr>
                <w:rFonts w:cs="Arial"/>
                <w:sz w:val="20"/>
                <w:szCs w:val="18"/>
              </w:rPr>
            </w:pPr>
            <w:r w:rsidRPr="00791240">
              <w:rPr>
                <w:rFonts w:cs="Arial"/>
                <w:sz w:val="20"/>
                <w:szCs w:val="18"/>
              </w:rPr>
              <w:t xml:space="preserve">ČNB (prognóza </w:t>
            </w:r>
            <w:r>
              <w:rPr>
                <w:rFonts w:cs="Arial"/>
                <w:sz w:val="20"/>
                <w:szCs w:val="18"/>
              </w:rPr>
              <w:t>únor</w:t>
            </w:r>
            <w:r w:rsidRPr="00791240">
              <w:rPr>
                <w:rFonts w:cs="Arial"/>
                <w:sz w:val="20"/>
                <w:szCs w:val="18"/>
              </w:rPr>
              <w:t xml:space="preserve"> 201</w:t>
            </w:r>
            <w:r>
              <w:rPr>
                <w:rFonts w:cs="Arial"/>
                <w:sz w:val="20"/>
                <w:szCs w:val="18"/>
              </w:rPr>
              <w:t>9</w:t>
            </w:r>
            <w:r w:rsidRPr="00791240">
              <w:rPr>
                <w:rFonts w:cs="Arial"/>
                <w:sz w:val="20"/>
                <w:szCs w:val="18"/>
              </w:rPr>
              <w:t xml:space="preserve">)           </w:t>
            </w:r>
          </w:p>
        </w:tc>
        <w:tc>
          <w:tcPr>
            <w:tcW w:w="1970" w:type="dxa"/>
            <w:shd w:val="clear" w:color="auto" w:fill="auto"/>
          </w:tcPr>
          <w:p w14:paraId="724D5177" w14:textId="77777777" w:rsidR="00C93158" w:rsidRPr="00791240" w:rsidRDefault="00C93158" w:rsidP="006133D9">
            <w:pPr>
              <w:jc w:val="right"/>
              <w:rPr>
                <w:rFonts w:cs="Arial"/>
                <w:sz w:val="20"/>
                <w:szCs w:val="18"/>
              </w:rPr>
            </w:pPr>
            <w:r>
              <w:rPr>
                <w:rFonts w:cs="Arial"/>
                <w:sz w:val="20"/>
                <w:szCs w:val="18"/>
              </w:rPr>
              <w:t>2,9</w:t>
            </w:r>
            <w:r w:rsidRPr="00791240">
              <w:rPr>
                <w:rFonts w:cs="Arial"/>
                <w:sz w:val="20"/>
                <w:szCs w:val="18"/>
              </w:rPr>
              <w:t xml:space="preserve"> %</w:t>
            </w:r>
          </w:p>
        </w:tc>
        <w:tc>
          <w:tcPr>
            <w:tcW w:w="1964" w:type="dxa"/>
          </w:tcPr>
          <w:p w14:paraId="1B3B30C1" w14:textId="77777777" w:rsidR="00C93158" w:rsidRPr="00791240" w:rsidRDefault="00C93158" w:rsidP="006133D9">
            <w:pPr>
              <w:jc w:val="right"/>
              <w:rPr>
                <w:rFonts w:cs="Arial"/>
                <w:sz w:val="20"/>
                <w:szCs w:val="18"/>
              </w:rPr>
            </w:pPr>
            <w:r>
              <w:rPr>
                <w:rFonts w:cs="Arial"/>
                <w:sz w:val="20"/>
                <w:szCs w:val="18"/>
              </w:rPr>
              <w:t>3,0 %</w:t>
            </w:r>
          </w:p>
        </w:tc>
      </w:tr>
      <w:tr w:rsidR="00C93158" w:rsidRPr="00791240" w14:paraId="36CF2337" w14:textId="77777777" w:rsidTr="00302451">
        <w:trPr>
          <w:trHeight w:val="257"/>
        </w:trPr>
        <w:tc>
          <w:tcPr>
            <w:tcW w:w="6274" w:type="dxa"/>
            <w:shd w:val="clear" w:color="auto" w:fill="auto"/>
          </w:tcPr>
          <w:p w14:paraId="0A51EAB4" w14:textId="77777777" w:rsidR="00C93158" w:rsidRPr="00791240" w:rsidRDefault="00C93158" w:rsidP="006133D9">
            <w:pPr>
              <w:rPr>
                <w:rFonts w:cs="Arial"/>
                <w:sz w:val="20"/>
                <w:szCs w:val="18"/>
              </w:rPr>
            </w:pPr>
            <w:r w:rsidRPr="00791240">
              <w:rPr>
                <w:rFonts w:cs="Arial"/>
                <w:sz w:val="20"/>
                <w:szCs w:val="18"/>
              </w:rPr>
              <w:t xml:space="preserve">Ministerstvo financí ČR (prognóza </w:t>
            </w:r>
            <w:r>
              <w:rPr>
                <w:rFonts w:cs="Arial"/>
                <w:sz w:val="20"/>
                <w:szCs w:val="18"/>
              </w:rPr>
              <w:t>duben</w:t>
            </w:r>
            <w:r w:rsidRPr="00791240">
              <w:rPr>
                <w:rFonts w:cs="Arial"/>
                <w:sz w:val="20"/>
                <w:szCs w:val="18"/>
              </w:rPr>
              <w:t xml:space="preserve"> 201</w:t>
            </w:r>
            <w:r>
              <w:rPr>
                <w:rFonts w:cs="Arial"/>
                <w:sz w:val="20"/>
                <w:szCs w:val="18"/>
              </w:rPr>
              <w:t>9</w:t>
            </w:r>
            <w:r w:rsidRPr="00791240">
              <w:rPr>
                <w:rFonts w:cs="Arial"/>
                <w:sz w:val="20"/>
                <w:szCs w:val="18"/>
              </w:rPr>
              <w:t xml:space="preserve">)             </w:t>
            </w:r>
          </w:p>
        </w:tc>
        <w:tc>
          <w:tcPr>
            <w:tcW w:w="1970" w:type="dxa"/>
            <w:shd w:val="clear" w:color="auto" w:fill="auto"/>
          </w:tcPr>
          <w:p w14:paraId="03A5B9CF" w14:textId="77777777" w:rsidR="00C93158" w:rsidRPr="00791240" w:rsidRDefault="00C93158" w:rsidP="006133D9">
            <w:pPr>
              <w:jc w:val="right"/>
              <w:rPr>
                <w:rFonts w:cs="Arial"/>
                <w:sz w:val="20"/>
                <w:szCs w:val="18"/>
              </w:rPr>
            </w:pPr>
            <w:r>
              <w:rPr>
                <w:rFonts w:cs="Arial"/>
                <w:sz w:val="20"/>
                <w:szCs w:val="18"/>
              </w:rPr>
              <w:t>2,4 %</w:t>
            </w:r>
          </w:p>
        </w:tc>
        <w:tc>
          <w:tcPr>
            <w:tcW w:w="1964" w:type="dxa"/>
          </w:tcPr>
          <w:p w14:paraId="07D5F971" w14:textId="77777777" w:rsidR="00C93158" w:rsidRPr="00791240" w:rsidRDefault="00C93158" w:rsidP="006133D9">
            <w:pPr>
              <w:jc w:val="right"/>
              <w:rPr>
                <w:rFonts w:cs="Arial"/>
                <w:sz w:val="20"/>
                <w:szCs w:val="18"/>
              </w:rPr>
            </w:pPr>
            <w:r>
              <w:rPr>
                <w:rFonts w:cs="Arial"/>
                <w:sz w:val="20"/>
                <w:szCs w:val="18"/>
              </w:rPr>
              <w:t>2,4 %</w:t>
            </w:r>
          </w:p>
        </w:tc>
      </w:tr>
      <w:tr w:rsidR="00C93158" w:rsidRPr="00791240" w14:paraId="1841127B" w14:textId="77777777" w:rsidTr="00302451">
        <w:trPr>
          <w:trHeight w:val="257"/>
        </w:trPr>
        <w:tc>
          <w:tcPr>
            <w:tcW w:w="6274" w:type="dxa"/>
            <w:shd w:val="clear" w:color="auto" w:fill="auto"/>
          </w:tcPr>
          <w:p w14:paraId="4386D38A" w14:textId="77777777" w:rsidR="00C93158" w:rsidRPr="00791240" w:rsidRDefault="00C93158" w:rsidP="006133D9">
            <w:pPr>
              <w:rPr>
                <w:rFonts w:cs="Arial"/>
                <w:sz w:val="20"/>
                <w:szCs w:val="18"/>
              </w:rPr>
            </w:pPr>
            <w:r w:rsidRPr="00D34C04">
              <w:rPr>
                <w:rFonts w:cs="Arial"/>
                <w:sz w:val="20"/>
                <w:szCs w:val="18"/>
              </w:rPr>
              <w:t>MMF (WEO duben 2019)</w:t>
            </w:r>
            <w:r w:rsidRPr="00791240">
              <w:rPr>
                <w:rFonts w:cs="Arial"/>
                <w:sz w:val="20"/>
                <w:szCs w:val="18"/>
              </w:rPr>
              <w:t xml:space="preserve">    </w:t>
            </w:r>
          </w:p>
        </w:tc>
        <w:tc>
          <w:tcPr>
            <w:tcW w:w="1970" w:type="dxa"/>
            <w:shd w:val="clear" w:color="auto" w:fill="auto"/>
          </w:tcPr>
          <w:p w14:paraId="266E37D1" w14:textId="77777777" w:rsidR="00C93158" w:rsidRPr="00791240" w:rsidRDefault="00C93158" w:rsidP="006133D9">
            <w:pPr>
              <w:jc w:val="right"/>
              <w:rPr>
                <w:rFonts w:cs="Arial"/>
                <w:sz w:val="20"/>
                <w:szCs w:val="18"/>
              </w:rPr>
            </w:pPr>
            <w:r>
              <w:rPr>
                <w:rFonts w:cs="Arial"/>
                <w:sz w:val="20"/>
                <w:szCs w:val="18"/>
              </w:rPr>
              <w:t>2,9</w:t>
            </w:r>
            <w:r w:rsidRPr="00791240">
              <w:rPr>
                <w:rFonts w:cs="Arial"/>
                <w:sz w:val="20"/>
                <w:szCs w:val="18"/>
              </w:rPr>
              <w:t xml:space="preserve"> %</w:t>
            </w:r>
          </w:p>
        </w:tc>
        <w:tc>
          <w:tcPr>
            <w:tcW w:w="1964" w:type="dxa"/>
          </w:tcPr>
          <w:p w14:paraId="6D6008DE" w14:textId="77777777" w:rsidR="00C93158" w:rsidRPr="00791240" w:rsidRDefault="00C93158" w:rsidP="006133D9">
            <w:pPr>
              <w:jc w:val="right"/>
              <w:rPr>
                <w:rFonts w:cs="Arial"/>
                <w:sz w:val="20"/>
                <w:szCs w:val="18"/>
              </w:rPr>
            </w:pPr>
            <w:r>
              <w:rPr>
                <w:rFonts w:cs="Arial"/>
                <w:sz w:val="20"/>
                <w:szCs w:val="18"/>
              </w:rPr>
              <w:t>2,7 %</w:t>
            </w:r>
          </w:p>
        </w:tc>
      </w:tr>
      <w:tr w:rsidR="00C93158" w:rsidRPr="00D06DE3" w14:paraId="04F9D0FF" w14:textId="77777777" w:rsidTr="00302451">
        <w:trPr>
          <w:trHeight w:val="242"/>
        </w:trPr>
        <w:tc>
          <w:tcPr>
            <w:tcW w:w="6274" w:type="dxa"/>
            <w:shd w:val="clear" w:color="auto" w:fill="auto"/>
          </w:tcPr>
          <w:p w14:paraId="136EA678" w14:textId="77777777" w:rsidR="00C93158" w:rsidRPr="00791240" w:rsidRDefault="00C93158" w:rsidP="006133D9">
            <w:pPr>
              <w:rPr>
                <w:rFonts w:cs="Arial"/>
                <w:sz w:val="20"/>
                <w:szCs w:val="18"/>
              </w:rPr>
            </w:pPr>
            <w:r w:rsidRPr="00791240">
              <w:rPr>
                <w:rFonts w:cs="Arial"/>
                <w:color w:val="FF0000"/>
                <w:sz w:val="20"/>
                <w:szCs w:val="18"/>
              </w:rPr>
              <w:t xml:space="preserve">ČBA (prognóza </w:t>
            </w:r>
            <w:r>
              <w:rPr>
                <w:rFonts w:cs="Arial"/>
                <w:color w:val="FF0000"/>
                <w:sz w:val="20"/>
                <w:szCs w:val="18"/>
              </w:rPr>
              <w:t>duben</w:t>
            </w:r>
            <w:r w:rsidRPr="00791240">
              <w:rPr>
                <w:rFonts w:cs="Arial"/>
                <w:color w:val="FF0000"/>
                <w:sz w:val="20"/>
                <w:szCs w:val="18"/>
              </w:rPr>
              <w:t xml:space="preserve"> 201</w:t>
            </w:r>
            <w:r>
              <w:rPr>
                <w:rFonts w:cs="Arial"/>
                <w:color w:val="FF0000"/>
                <w:sz w:val="20"/>
                <w:szCs w:val="18"/>
              </w:rPr>
              <w:t>9</w:t>
            </w:r>
            <w:r w:rsidRPr="00791240">
              <w:rPr>
                <w:rFonts w:cs="Arial"/>
                <w:color w:val="FF0000"/>
                <w:sz w:val="20"/>
                <w:szCs w:val="18"/>
              </w:rPr>
              <w:t xml:space="preserve">)       </w:t>
            </w:r>
          </w:p>
        </w:tc>
        <w:tc>
          <w:tcPr>
            <w:tcW w:w="1970" w:type="dxa"/>
            <w:shd w:val="clear" w:color="auto" w:fill="auto"/>
            <w:vAlign w:val="bottom"/>
          </w:tcPr>
          <w:p w14:paraId="16F4FC66" w14:textId="77777777" w:rsidR="00C93158" w:rsidRPr="00635950" w:rsidRDefault="00C93158" w:rsidP="006133D9">
            <w:pPr>
              <w:pStyle w:val="Normlnweb"/>
              <w:spacing w:before="0" w:beforeAutospacing="0" w:after="0" w:afterAutospacing="0"/>
              <w:jc w:val="right"/>
              <w:textAlignment w:val="bottom"/>
              <w:rPr>
                <w:rFonts w:ascii="Arial" w:hAnsi="Arial" w:cs="Arial"/>
                <w:color w:val="FF0000"/>
                <w:sz w:val="20"/>
                <w:szCs w:val="20"/>
              </w:rPr>
            </w:pPr>
            <w:r>
              <w:rPr>
                <w:rFonts w:ascii="Arial" w:hAnsi="Arial" w:cs="Arial"/>
                <w:color w:val="FF0000"/>
                <w:sz w:val="20"/>
                <w:szCs w:val="20"/>
              </w:rPr>
              <w:t>2,4 %</w:t>
            </w:r>
          </w:p>
        </w:tc>
        <w:tc>
          <w:tcPr>
            <w:tcW w:w="1964" w:type="dxa"/>
            <w:vAlign w:val="bottom"/>
          </w:tcPr>
          <w:p w14:paraId="4F838E60" w14:textId="77777777" w:rsidR="00C93158" w:rsidRPr="00635950" w:rsidRDefault="00C93158" w:rsidP="006133D9">
            <w:pPr>
              <w:pStyle w:val="Normlnweb"/>
              <w:spacing w:before="0" w:beforeAutospacing="0" w:after="0" w:afterAutospacing="0"/>
              <w:jc w:val="right"/>
              <w:textAlignment w:val="bottom"/>
              <w:rPr>
                <w:rFonts w:ascii="Arial" w:hAnsi="Arial" w:cs="Arial"/>
                <w:color w:val="FF0000"/>
                <w:sz w:val="20"/>
                <w:szCs w:val="20"/>
              </w:rPr>
            </w:pPr>
            <w:r>
              <w:rPr>
                <w:rFonts w:ascii="Arial" w:hAnsi="Arial" w:cs="Arial"/>
                <w:color w:val="FF0000"/>
                <w:sz w:val="20"/>
                <w:szCs w:val="20"/>
              </w:rPr>
              <w:t>2,3 %</w:t>
            </w:r>
          </w:p>
        </w:tc>
      </w:tr>
    </w:tbl>
    <w:p w14:paraId="4693D087" w14:textId="77777777" w:rsidR="00FA3413" w:rsidRDefault="00FA3413" w:rsidP="00C93158">
      <w:pPr>
        <w:rPr>
          <w:b/>
          <w:color w:val="007E79"/>
          <w:sz w:val="20"/>
        </w:rPr>
      </w:pPr>
    </w:p>
    <w:p w14:paraId="0FC19613" w14:textId="0D42611A" w:rsidR="00C93158" w:rsidRPr="00302451" w:rsidRDefault="00C93158" w:rsidP="00C93158">
      <w:pPr>
        <w:rPr>
          <w:b/>
          <w:color w:val="007E79"/>
          <w:sz w:val="20"/>
        </w:rPr>
      </w:pPr>
      <w:r w:rsidRPr="00302451">
        <w:rPr>
          <w:b/>
          <w:color w:val="007E79"/>
          <w:sz w:val="20"/>
        </w:rPr>
        <w:t>Makroekonomická prognóza ČBA v číslech:</w:t>
      </w:r>
    </w:p>
    <w:p w14:paraId="10A71CAA" w14:textId="77777777" w:rsidR="00C93158" w:rsidRPr="00791240" w:rsidRDefault="00C93158" w:rsidP="00C93158">
      <w:pPr>
        <w:rPr>
          <w:rFonts w:cs="Arial"/>
          <w:sz w:val="20"/>
          <w:szCs w:val="18"/>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651"/>
        <w:gridCol w:w="1651"/>
        <w:gridCol w:w="1646"/>
      </w:tblGrid>
      <w:tr w:rsidR="00C93158" w:rsidRPr="00791240" w14:paraId="124EDBBE" w14:textId="77777777" w:rsidTr="006B60A6">
        <w:trPr>
          <w:trHeight w:val="228"/>
        </w:trPr>
        <w:tc>
          <w:tcPr>
            <w:tcW w:w="5257" w:type="dxa"/>
            <w:shd w:val="clear" w:color="auto" w:fill="30905F"/>
          </w:tcPr>
          <w:p w14:paraId="76035D5A" w14:textId="77777777" w:rsidR="00C93158" w:rsidRPr="00791240" w:rsidRDefault="00C93158" w:rsidP="006133D9">
            <w:pPr>
              <w:rPr>
                <w:rFonts w:cs="Arial"/>
                <w:b/>
                <w:color w:val="FFFFFF"/>
                <w:sz w:val="20"/>
                <w:szCs w:val="18"/>
              </w:rPr>
            </w:pPr>
            <w:r w:rsidRPr="00791240">
              <w:rPr>
                <w:rFonts w:cs="Arial"/>
                <w:b/>
                <w:color w:val="FFFFFF"/>
                <w:sz w:val="20"/>
                <w:szCs w:val="18"/>
              </w:rPr>
              <w:t>Ukazatel</w:t>
            </w:r>
          </w:p>
        </w:tc>
        <w:tc>
          <w:tcPr>
            <w:tcW w:w="1651" w:type="dxa"/>
            <w:shd w:val="clear" w:color="auto" w:fill="30905F"/>
          </w:tcPr>
          <w:p w14:paraId="7A213D5A" w14:textId="77777777" w:rsidR="00C93158" w:rsidRPr="00791240" w:rsidRDefault="00C93158" w:rsidP="006133D9">
            <w:pPr>
              <w:rPr>
                <w:rFonts w:cs="Arial"/>
                <w:b/>
                <w:color w:val="FFFFFF"/>
                <w:sz w:val="20"/>
                <w:szCs w:val="18"/>
              </w:rPr>
            </w:pPr>
            <w:r w:rsidRPr="00791240">
              <w:rPr>
                <w:rFonts w:cs="Arial"/>
                <w:b/>
                <w:color w:val="FFFFFF"/>
                <w:sz w:val="20"/>
                <w:szCs w:val="18"/>
              </w:rPr>
              <w:t>201</w:t>
            </w:r>
            <w:r>
              <w:rPr>
                <w:rFonts w:cs="Arial"/>
                <w:b/>
                <w:color w:val="FFFFFF"/>
                <w:sz w:val="20"/>
                <w:szCs w:val="18"/>
              </w:rPr>
              <w:t>8 (skut.)</w:t>
            </w:r>
          </w:p>
        </w:tc>
        <w:tc>
          <w:tcPr>
            <w:tcW w:w="1651" w:type="dxa"/>
            <w:shd w:val="clear" w:color="auto" w:fill="30905F"/>
          </w:tcPr>
          <w:p w14:paraId="683BA90B" w14:textId="77777777" w:rsidR="00C93158" w:rsidRPr="00791240" w:rsidRDefault="00C93158" w:rsidP="006133D9">
            <w:pPr>
              <w:rPr>
                <w:rFonts w:cs="Arial"/>
                <w:b/>
                <w:color w:val="FFFFFF"/>
                <w:sz w:val="20"/>
                <w:szCs w:val="18"/>
              </w:rPr>
            </w:pPr>
            <w:r w:rsidRPr="00791240">
              <w:rPr>
                <w:rFonts w:cs="Arial"/>
                <w:b/>
                <w:color w:val="FFFFFF"/>
                <w:sz w:val="20"/>
                <w:szCs w:val="18"/>
              </w:rPr>
              <w:t>201</w:t>
            </w:r>
            <w:r>
              <w:rPr>
                <w:rFonts w:cs="Arial"/>
                <w:b/>
                <w:color w:val="FFFFFF"/>
                <w:sz w:val="20"/>
                <w:szCs w:val="18"/>
              </w:rPr>
              <w:t>9</w:t>
            </w:r>
          </w:p>
        </w:tc>
        <w:tc>
          <w:tcPr>
            <w:tcW w:w="1646" w:type="dxa"/>
            <w:shd w:val="clear" w:color="auto" w:fill="30905F"/>
          </w:tcPr>
          <w:p w14:paraId="53D0F4DE" w14:textId="77777777" w:rsidR="00C93158" w:rsidRPr="00791240" w:rsidRDefault="00C93158" w:rsidP="006133D9">
            <w:pPr>
              <w:rPr>
                <w:rFonts w:cs="Arial"/>
                <w:b/>
                <w:color w:val="FFFFFF"/>
                <w:sz w:val="20"/>
                <w:szCs w:val="18"/>
              </w:rPr>
            </w:pPr>
            <w:r w:rsidRPr="00791240">
              <w:rPr>
                <w:rFonts w:cs="Arial"/>
                <w:b/>
                <w:color w:val="FFFFFF"/>
                <w:sz w:val="20"/>
                <w:szCs w:val="18"/>
              </w:rPr>
              <w:t>20</w:t>
            </w:r>
            <w:r>
              <w:rPr>
                <w:rFonts w:cs="Arial"/>
                <w:b/>
                <w:color w:val="FFFFFF"/>
                <w:sz w:val="20"/>
                <w:szCs w:val="18"/>
              </w:rPr>
              <w:t>20</w:t>
            </w:r>
          </w:p>
        </w:tc>
      </w:tr>
      <w:tr w:rsidR="00C93158" w:rsidRPr="00791240" w14:paraId="403AB5FB" w14:textId="77777777" w:rsidTr="00302451">
        <w:trPr>
          <w:trHeight w:val="264"/>
        </w:trPr>
        <w:tc>
          <w:tcPr>
            <w:tcW w:w="5257" w:type="dxa"/>
            <w:shd w:val="clear" w:color="auto" w:fill="auto"/>
          </w:tcPr>
          <w:p w14:paraId="7650BB7F" w14:textId="77777777" w:rsidR="00C93158" w:rsidRPr="00791240" w:rsidRDefault="00C93158" w:rsidP="006133D9">
            <w:pPr>
              <w:rPr>
                <w:rFonts w:cs="Arial"/>
                <w:sz w:val="20"/>
                <w:szCs w:val="18"/>
              </w:rPr>
            </w:pPr>
            <w:r w:rsidRPr="00791240">
              <w:rPr>
                <w:rFonts w:cs="Arial"/>
                <w:sz w:val="20"/>
                <w:szCs w:val="18"/>
              </w:rPr>
              <w:t>Růst reálného HDP (%)</w:t>
            </w:r>
          </w:p>
        </w:tc>
        <w:tc>
          <w:tcPr>
            <w:tcW w:w="1651" w:type="dxa"/>
            <w:shd w:val="clear" w:color="auto" w:fill="auto"/>
            <w:vAlign w:val="bottom"/>
          </w:tcPr>
          <w:p w14:paraId="1235EF2D"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2,9</w:t>
            </w:r>
          </w:p>
        </w:tc>
        <w:tc>
          <w:tcPr>
            <w:tcW w:w="1651" w:type="dxa"/>
            <w:shd w:val="clear" w:color="auto" w:fill="auto"/>
            <w:vAlign w:val="bottom"/>
          </w:tcPr>
          <w:p w14:paraId="3A254486"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2,4</w:t>
            </w:r>
          </w:p>
        </w:tc>
        <w:tc>
          <w:tcPr>
            <w:tcW w:w="1646" w:type="dxa"/>
            <w:shd w:val="clear" w:color="auto" w:fill="auto"/>
            <w:vAlign w:val="bottom"/>
          </w:tcPr>
          <w:p w14:paraId="42C2A4D7"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2,3</w:t>
            </w:r>
          </w:p>
        </w:tc>
      </w:tr>
      <w:tr w:rsidR="00C93158" w:rsidRPr="00791240" w14:paraId="277D3C06" w14:textId="77777777" w:rsidTr="00302451">
        <w:trPr>
          <w:trHeight w:val="264"/>
        </w:trPr>
        <w:tc>
          <w:tcPr>
            <w:tcW w:w="5257" w:type="dxa"/>
            <w:shd w:val="clear" w:color="auto" w:fill="auto"/>
          </w:tcPr>
          <w:p w14:paraId="27642AE9" w14:textId="77777777" w:rsidR="00C93158" w:rsidRPr="00791240" w:rsidRDefault="00C93158" w:rsidP="006133D9">
            <w:pPr>
              <w:rPr>
                <w:rFonts w:cs="Arial"/>
                <w:sz w:val="20"/>
                <w:szCs w:val="18"/>
              </w:rPr>
            </w:pPr>
            <w:r w:rsidRPr="00791240">
              <w:rPr>
                <w:rFonts w:cs="Arial"/>
                <w:sz w:val="20"/>
                <w:szCs w:val="18"/>
              </w:rPr>
              <w:t>Podíl nezaměstnaných osob (MPSV): průměr (%)</w:t>
            </w:r>
          </w:p>
        </w:tc>
        <w:tc>
          <w:tcPr>
            <w:tcW w:w="1651" w:type="dxa"/>
            <w:shd w:val="clear" w:color="auto" w:fill="auto"/>
            <w:vAlign w:val="bottom"/>
          </w:tcPr>
          <w:p w14:paraId="48CF067C"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3,1</w:t>
            </w:r>
          </w:p>
        </w:tc>
        <w:tc>
          <w:tcPr>
            <w:tcW w:w="1651" w:type="dxa"/>
            <w:shd w:val="clear" w:color="auto" w:fill="auto"/>
            <w:vAlign w:val="bottom"/>
          </w:tcPr>
          <w:p w14:paraId="493894B8"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3,0</w:t>
            </w:r>
          </w:p>
        </w:tc>
        <w:tc>
          <w:tcPr>
            <w:tcW w:w="1646" w:type="dxa"/>
            <w:shd w:val="clear" w:color="auto" w:fill="auto"/>
            <w:vAlign w:val="bottom"/>
          </w:tcPr>
          <w:p w14:paraId="1AAE303C"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3,2</w:t>
            </w:r>
          </w:p>
        </w:tc>
      </w:tr>
      <w:tr w:rsidR="00C93158" w:rsidRPr="00791240" w14:paraId="2AD27869" w14:textId="77777777" w:rsidTr="00302451">
        <w:trPr>
          <w:trHeight w:val="276"/>
        </w:trPr>
        <w:tc>
          <w:tcPr>
            <w:tcW w:w="5257" w:type="dxa"/>
            <w:shd w:val="clear" w:color="auto" w:fill="auto"/>
          </w:tcPr>
          <w:p w14:paraId="0A747DF0" w14:textId="77777777" w:rsidR="00C93158" w:rsidRPr="00791240" w:rsidRDefault="00C93158" w:rsidP="006133D9">
            <w:pPr>
              <w:rPr>
                <w:rFonts w:cs="Arial"/>
                <w:sz w:val="20"/>
                <w:szCs w:val="18"/>
              </w:rPr>
            </w:pPr>
            <w:r w:rsidRPr="00791240">
              <w:rPr>
                <w:rFonts w:cs="Arial"/>
                <w:sz w:val="20"/>
                <w:szCs w:val="18"/>
              </w:rPr>
              <w:t>Průměrná nominální mzda</w:t>
            </w:r>
            <w:r>
              <w:rPr>
                <w:rFonts w:cs="Arial"/>
                <w:sz w:val="20"/>
                <w:szCs w:val="18"/>
              </w:rPr>
              <w:t xml:space="preserve"> (růst v %)</w:t>
            </w:r>
          </w:p>
        </w:tc>
        <w:tc>
          <w:tcPr>
            <w:tcW w:w="1651" w:type="dxa"/>
            <w:shd w:val="clear" w:color="auto" w:fill="auto"/>
            <w:vAlign w:val="bottom"/>
          </w:tcPr>
          <w:p w14:paraId="321005CD"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8,1</w:t>
            </w:r>
          </w:p>
        </w:tc>
        <w:tc>
          <w:tcPr>
            <w:tcW w:w="1651" w:type="dxa"/>
            <w:shd w:val="clear" w:color="auto" w:fill="auto"/>
            <w:vAlign w:val="bottom"/>
          </w:tcPr>
          <w:p w14:paraId="2BBB6A5B"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6,0</w:t>
            </w:r>
          </w:p>
        </w:tc>
        <w:tc>
          <w:tcPr>
            <w:tcW w:w="1646" w:type="dxa"/>
            <w:shd w:val="clear" w:color="auto" w:fill="auto"/>
            <w:vAlign w:val="bottom"/>
          </w:tcPr>
          <w:p w14:paraId="4FEBF994"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4,9</w:t>
            </w:r>
          </w:p>
        </w:tc>
      </w:tr>
      <w:tr w:rsidR="00C93158" w:rsidRPr="00791240" w14:paraId="4BB681BD" w14:textId="77777777" w:rsidTr="00302451">
        <w:trPr>
          <w:trHeight w:val="264"/>
        </w:trPr>
        <w:tc>
          <w:tcPr>
            <w:tcW w:w="5257" w:type="dxa"/>
            <w:shd w:val="clear" w:color="auto" w:fill="auto"/>
          </w:tcPr>
          <w:p w14:paraId="67621F38" w14:textId="77777777" w:rsidR="00C93158" w:rsidRPr="00791240" w:rsidRDefault="00C93158" w:rsidP="006133D9">
            <w:pPr>
              <w:rPr>
                <w:rFonts w:cs="Arial"/>
                <w:sz w:val="20"/>
                <w:szCs w:val="18"/>
              </w:rPr>
            </w:pPr>
            <w:r w:rsidRPr="00791240">
              <w:rPr>
                <w:rFonts w:cs="Arial"/>
                <w:sz w:val="20"/>
                <w:szCs w:val="18"/>
              </w:rPr>
              <w:t>Míra inflace: CPI (%) průměr</w:t>
            </w:r>
          </w:p>
        </w:tc>
        <w:tc>
          <w:tcPr>
            <w:tcW w:w="1651" w:type="dxa"/>
            <w:shd w:val="clear" w:color="auto" w:fill="auto"/>
            <w:vAlign w:val="bottom"/>
          </w:tcPr>
          <w:p w14:paraId="3A54A7B2"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2,1</w:t>
            </w:r>
          </w:p>
        </w:tc>
        <w:tc>
          <w:tcPr>
            <w:tcW w:w="1651" w:type="dxa"/>
            <w:shd w:val="clear" w:color="auto" w:fill="auto"/>
            <w:vAlign w:val="bottom"/>
          </w:tcPr>
          <w:p w14:paraId="5CB23745"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2,5</w:t>
            </w:r>
          </w:p>
        </w:tc>
        <w:tc>
          <w:tcPr>
            <w:tcW w:w="1646" w:type="dxa"/>
            <w:shd w:val="clear" w:color="auto" w:fill="auto"/>
            <w:vAlign w:val="bottom"/>
          </w:tcPr>
          <w:p w14:paraId="3BFF4994"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1,9</w:t>
            </w:r>
          </w:p>
        </w:tc>
      </w:tr>
      <w:tr w:rsidR="00C93158" w:rsidRPr="00791240" w14:paraId="6F0C0F10" w14:textId="77777777" w:rsidTr="00302451">
        <w:trPr>
          <w:trHeight w:val="264"/>
        </w:trPr>
        <w:tc>
          <w:tcPr>
            <w:tcW w:w="5257" w:type="dxa"/>
            <w:shd w:val="clear" w:color="auto" w:fill="auto"/>
          </w:tcPr>
          <w:p w14:paraId="339C1ABC" w14:textId="77777777" w:rsidR="00C93158" w:rsidRPr="00791240" w:rsidRDefault="00C93158" w:rsidP="006133D9">
            <w:pPr>
              <w:rPr>
                <w:rFonts w:cs="Arial"/>
                <w:sz w:val="20"/>
                <w:szCs w:val="18"/>
              </w:rPr>
            </w:pPr>
            <w:r w:rsidRPr="00791240">
              <w:rPr>
                <w:rFonts w:cs="Arial"/>
                <w:sz w:val="20"/>
                <w:szCs w:val="18"/>
              </w:rPr>
              <w:t>Vládní deficit/přebytek (% HDP)</w:t>
            </w:r>
          </w:p>
        </w:tc>
        <w:tc>
          <w:tcPr>
            <w:tcW w:w="1651" w:type="dxa"/>
            <w:shd w:val="clear" w:color="auto" w:fill="auto"/>
            <w:vAlign w:val="bottom"/>
          </w:tcPr>
          <w:p w14:paraId="06BA676E"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0,9</w:t>
            </w:r>
          </w:p>
        </w:tc>
        <w:tc>
          <w:tcPr>
            <w:tcW w:w="1651" w:type="dxa"/>
            <w:shd w:val="clear" w:color="auto" w:fill="auto"/>
            <w:vAlign w:val="bottom"/>
          </w:tcPr>
          <w:p w14:paraId="381EA53A"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0,2</w:t>
            </w:r>
          </w:p>
        </w:tc>
        <w:tc>
          <w:tcPr>
            <w:tcW w:w="1646" w:type="dxa"/>
            <w:shd w:val="clear" w:color="auto" w:fill="auto"/>
            <w:vAlign w:val="bottom"/>
          </w:tcPr>
          <w:p w14:paraId="0AB579BD" w14:textId="77777777" w:rsidR="00C93158" w:rsidRPr="00036419" w:rsidRDefault="00C93158" w:rsidP="00C93158">
            <w:pPr>
              <w:pStyle w:val="Normlnweb"/>
              <w:numPr>
                <w:ilvl w:val="0"/>
                <w:numId w:val="5"/>
              </w:numPr>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0,2</w:t>
            </w:r>
          </w:p>
        </w:tc>
      </w:tr>
      <w:tr w:rsidR="00C93158" w:rsidRPr="00791240" w14:paraId="46ECC486" w14:textId="77777777" w:rsidTr="00302451">
        <w:trPr>
          <w:trHeight w:val="264"/>
        </w:trPr>
        <w:tc>
          <w:tcPr>
            <w:tcW w:w="5257" w:type="dxa"/>
            <w:shd w:val="clear" w:color="auto" w:fill="auto"/>
          </w:tcPr>
          <w:p w14:paraId="3CAADCFD" w14:textId="77777777" w:rsidR="00C93158" w:rsidRPr="00791240" w:rsidRDefault="00C93158" w:rsidP="006133D9">
            <w:pPr>
              <w:rPr>
                <w:rFonts w:cs="Arial"/>
                <w:sz w:val="20"/>
                <w:szCs w:val="18"/>
              </w:rPr>
            </w:pPr>
            <w:r w:rsidRPr="00791240">
              <w:rPr>
                <w:rFonts w:cs="Arial"/>
                <w:sz w:val="20"/>
                <w:szCs w:val="18"/>
              </w:rPr>
              <w:t xml:space="preserve">Vládní dluh (% HDP) </w:t>
            </w:r>
          </w:p>
        </w:tc>
        <w:tc>
          <w:tcPr>
            <w:tcW w:w="1651" w:type="dxa"/>
            <w:shd w:val="clear" w:color="auto" w:fill="auto"/>
            <w:vAlign w:val="bottom"/>
          </w:tcPr>
          <w:p w14:paraId="01EC9946"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32,7</w:t>
            </w:r>
          </w:p>
        </w:tc>
        <w:tc>
          <w:tcPr>
            <w:tcW w:w="1651" w:type="dxa"/>
            <w:shd w:val="clear" w:color="auto" w:fill="auto"/>
            <w:vAlign w:val="bottom"/>
          </w:tcPr>
          <w:p w14:paraId="6CC0D138"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31,6</w:t>
            </w:r>
          </w:p>
        </w:tc>
        <w:tc>
          <w:tcPr>
            <w:tcW w:w="1646" w:type="dxa"/>
            <w:shd w:val="clear" w:color="auto" w:fill="auto"/>
            <w:vAlign w:val="bottom"/>
          </w:tcPr>
          <w:p w14:paraId="3C27336E"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31,1</w:t>
            </w:r>
          </w:p>
        </w:tc>
      </w:tr>
      <w:tr w:rsidR="00C93158" w:rsidRPr="00791240" w14:paraId="77B43D1A" w14:textId="77777777" w:rsidTr="00302451">
        <w:trPr>
          <w:trHeight w:val="264"/>
        </w:trPr>
        <w:tc>
          <w:tcPr>
            <w:tcW w:w="5257" w:type="dxa"/>
            <w:shd w:val="clear" w:color="auto" w:fill="auto"/>
          </w:tcPr>
          <w:p w14:paraId="043C200D" w14:textId="77777777" w:rsidR="00C93158" w:rsidRPr="00791240" w:rsidRDefault="00C93158" w:rsidP="006133D9">
            <w:pPr>
              <w:rPr>
                <w:rFonts w:cs="Arial"/>
                <w:sz w:val="20"/>
                <w:szCs w:val="18"/>
              </w:rPr>
            </w:pPr>
            <w:r w:rsidRPr="00791240">
              <w:rPr>
                <w:rFonts w:cs="Arial"/>
                <w:sz w:val="20"/>
                <w:szCs w:val="18"/>
              </w:rPr>
              <w:t>Růst spotřeby domácností (%) reálně</w:t>
            </w:r>
          </w:p>
        </w:tc>
        <w:tc>
          <w:tcPr>
            <w:tcW w:w="1651" w:type="dxa"/>
            <w:shd w:val="clear" w:color="auto" w:fill="auto"/>
            <w:vAlign w:val="bottom"/>
          </w:tcPr>
          <w:p w14:paraId="11A63E42"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E73D9C">
              <w:rPr>
                <w:rFonts w:ascii="Calibri" w:eastAsiaTheme="minorEastAsia" w:hAnsi="Calibri" w:cstheme="minorBidi"/>
                <w:b/>
                <w:bCs/>
                <w:color w:val="000000" w:themeColor="text1"/>
                <w:kern w:val="24"/>
                <w:sz w:val="22"/>
                <w:szCs w:val="22"/>
              </w:rPr>
              <w:t>3,1</w:t>
            </w:r>
          </w:p>
        </w:tc>
        <w:tc>
          <w:tcPr>
            <w:tcW w:w="1651" w:type="dxa"/>
            <w:shd w:val="clear" w:color="auto" w:fill="auto"/>
            <w:vAlign w:val="bottom"/>
          </w:tcPr>
          <w:p w14:paraId="31AF31E9"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2,8</w:t>
            </w:r>
          </w:p>
        </w:tc>
        <w:tc>
          <w:tcPr>
            <w:tcW w:w="1646" w:type="dxa"/>
            <w:shd w:val="clear" w:color="auto" w:fill="auto"/>
            <w:vAlign w:val="bottom"/>
          </w:tcPr>
          <w:p w14:paraId="291A7982"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2,5</w:t>
            </w:r>
          </w:p>
        </w:tc>
      </w:tr>
      <w:tr w:rsidR="00C93158" w:rsidRPr="00791240" w14:paraId="54681C21" w14:textId="77777777" w:rsidTr="00302451">
        <w:trPr>
          <w:trHeight w:val="276"/>
        </w:trPr>
        <w:tc>
          <w:tcPr>
            <w:tcW w:w="5257" w:type="dxa"/>
            <w:shd w:val="clear" w:color="auto" w:fill="auto"/>
          </w:tcPr>
          <w:p w14:paraId="5898F638" w14:textId="77777777" w:rsidR="00C93158" w:rsidRPr="00791240" w:rsidRDefault="00C93158" w:rsidP="006133D9">
            <w:pPr>
              <w:rPr>
                <w:rFonts w:cs="Arial"/>
                <w:sz w:val="20"/>
                <w:szCs w:val="18"/>
              </w:rPr>
            </w:pPr>
            <w:r w:rsidRPr="00791240">
              <w:rPr>
                <w:rFonts w:cs="Arial"/>
                <w:sz w:val="20"/>
                <w:szCs w:val="18"/>
              </w:rPr>
              <w:t>Růst vládní spotřeby (%) reálně</w:t>
            </w:r>
          </w:p>
        </w:tc>
        <w:tc>
          <w:tcPr>
            <w:tcW w:w="1651" w:type="dxa"/>
            <w:shd w:val="clear" w:color="auto" w:fill="auto"/>
            <w:vAlign w:val="bottom"/>
          </w:tcPr>
          <w:p w14:paraId="7F2AB235"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E73D9C">
              <w:rPr>
                <w:rFonts w:ascii="Calibri" w:eastAsiaTheme="minorEastAsia" w:hAnsi="Calibri" w:cstheme="minorBidi"/>
                <w:b/>
                <w:bCs/>
                <w:color w:val="000000" w:themeColor="text1"/>
                <w:kern w:val="24"/>
                <w:sz w:val="22"/>
                <w:szCs w:val="22"/>
              </w:rPr>
              <w:t>3,9</w:t>
            </w:r>
          </w:p>
        </w:tc>
        <w:tc>
          <w:tcPr>
            <w:tcW w:w="1651" w:type="dxa"/>
            <w:shd w:val="clear" w:color="auto" w:fill="auto"/>
            <w:vAlign w:val="bottom"/>
          </w:tcPr>
          <w:p w14:paraId="2403A2BA"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2,5</w:t>
            </w:r>
          </w:p>
        </w:tc>
        <w:tc>
          <w:tcPr>
            <w:tcW w:w="1646" w:type="dxa"/>
            <w:shd w:val="clear" w:color="auto" w:fill="auto"/>
            <w:vAlign w:val="bottom"/>
          </w:tcPr>
          <w:p w14:paraId="3A867CA2"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1,9</w:t>
            </w:r>
          </w:p>
        </w:tc>
      </w:tr>
      <w:tr w:rsidR="00C93158" w:rsidRPr="00791240" w14:paraId="53A58E8B" w14:textId="77777777" w:rsidTr="00302451">
        <w:trPr>
          <w:trHeight w:val="264"/>
        </w:trPr>
        <w:tc>
          <w:tcPr>
            <w:tcW w:w="5257" w:type="dxa"/>
            <w:shd w:val="clear" w:color="auto" w:fill="auto"/>
          </w:tcPr>
          <w:p w14:paraId="390C108E" w14:textId="77777777" w:rsidR="00C93158" w:rsidRPr="00791240" w:rsidRDefault="00C93158" w:rsidP="006133D9">
            <w:pPr>
              <w:rPr>
                <w:rFonts w:cs="Arial"/>
                <w:sz w:val="20"/>
                <w:szCs w:val="18"/>
              </w:rPr>
            </w:pPr>
            <w:r w:rsidRPr="00791240">
              <w:rPr>
                <w:rFonts w:cs="Arial"/>
                <w:sz w:val="20"/>
                <w:szCs w:val="18"/>
              </w:rPr>
              <w:t>Růst investic (%) reálně</w:t>
            </w:r>
          </w:p>
        </w:tc>
        <w:tc>
          <w:tcPr>
            <w:tcW w:w="1651" w:type="dxa"/>
            <w:shd w:val="clear" w:color="auto" w:fill="auto"/>
            <w:vAlign w:val="bottom"/>
          </w:tcPr>
          <w:p w14:paraId="1EE3E703"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Pr>
                <w:rFonts w:ascii="Calibri" w:eastAsiaTheme="minorEastAsia" w:hAnsi="Calibri" w:cstheme="minorBidi"/>
                <w:b/>
                <w:bCs/>
                <w:color w:val="000000" w:themeColor="text1"/>
                <w:kern w:val="24"/>
                <w:sz w:val="22"/>
                <w:szCs w:val="22"/>
              </w:rPr>
              <w:t>10</w:t>
            </w:r>
            <w:r w:rsidRPr="00E73D9C">
              <w:rPr>
                <w:rFonts w:ascii="Calibri" w:eastAsiaTheme="minorEastAsia" w:hAnsi="Calibri" w:cstheme="minorBidi"/>
                <w:b/>
                <w:bCs/>
                <w:color w:val="000000" w:themeColor="text1"/>
                <w:kern w:val="24"/>
                <w:sz w:val="22"/>
                <w:szCs w:val="22"/>
              </w:rPr>
              <w:t>,1</w:t>
            </w:r>
          </w:p>
        </w:tc>
        <w:tc>
          <w:tcPr>
            <w:tcW w:w="1651" w:type="dxa"/>
            <w:shd w:val="clear" w:color="auto" w:fill="auto"/>
            <w:vAlign w:val="bottom"/>
          </w:tcPr>
          <w:p w14:paraId="2822263F"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3,6</w:t>
            </w:r>
          </w:p>
        </w:tc>
        <w:tc>
          <w:tcPr>
            <w:tcW w:w="1646" w:type="dxa"/>
            <w:shd w:val="clear" w:color="auto" w:fill="auto"/>
            <w:vAlign w:val="bottom"/>
          </w:tcPr>
          <w:p w14:paraId="412215A7"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3,0</w:t>
            </w:r>
          </w:p>
        </w:tc>
      </w:tr>
      <w:tr w:rsidR="00C93158" w:rsidRPr="00791240" w14:paraId="168DCC14" w14:textId="77777777" w:rsidTr="00302451">
        <w:trPr>
          <w:trHeight w:val="264"/>
        </w:trPr>
        <w:tc>
          <w:tcPr>
            <w:tcW w:w="5257" w:type="dxa"/>
            <w:shd w:val="clear" w:color="auto" w:fill="auto"/>
          </w:tcPr>
          <w:p w14:paraId="115A5366" w14:textId="77777777" w:rsidR="00C93158" w:rsidRPr="00791240" w:rsidRDefault="00C93158" w:rsidP="006133D9">
            <w:pPr>
              <w:rPr>
                <w:rFonts w:cs="Arial"/>
                <w:sz w:val="20"/>
                <w:szCs w:val="18"/>
              </w:rPr>
            </w:pPr>
            <w:r w:rsidRPr="00791240">
              <w:rPr>
                <w:rFonts w:cs="Arial"/>
                <w:sz w:val="20"/>
                <w:szCs w:val="18"/>
              </w:rPr>
              <w:t>Růst reálného HDP v eurozóně (%)</w:t>
            </w:r>
          </w:p>
        </w:tc>
        <w:tc>
          <w:tcPr>
            <w:tcW w:w="1651" w:type="dxa"/>
            <w:shd w:val="clear" w:color="auto" w:fill="auto"/>
            <w:vAlign w:val="bottom"/>
          </w:tcPr>
          <w:p w14:paraId="513E2EEB"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1,9</w:t>
            </w:r>
          </w:p>
        </w:tc>
        <w:tc>
          <w:tcPr>
            <w:tcW w:w="1651" w:type="dxa"/>
            <w:shd w:val="clear" w:color="auto" w:fill="auto"/>
            <w:vAlign w:val="bottom"/>
          </w:tcPr>
          <w:p w14:paraId="599AD66B"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1,2</w:t>
            </w:r>
          </w:p>
        </w:tc>
        <w:tc>
          <w:tcPr>
            <w:tcW w:w="1646" w:type="dxa"/>
            <w:shd w:val="clear" w:color="auto" w:fill="auto"/>
            <w:vAlign w:val="bottom"/>
          </w:tcPr>
          <w:p w14:paraId="2420BA0A"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1,3</w:t>
            </w:r>
          </w:p>
        </w:tc>
      </w:tr>
      <w:tr w:rsidR="00C93158" w:rsidRPr="00791240" w14:paraId="3D8A4E3A" w14:textId="77777777" w:rsidTr="00302451">
        <w:trPr>
          <w:trHeight w:val="264"/>
        </w:trPr>
        <w:tc>
          <w:tcPr>
            <w:tcW w:w="5257" w:type="dxa"/>
            <w:shd w:val="clear" w:color="auto" w:fill="auto"/>
          </w:tcPr>
          <w:p w14:paraId="58DAE8D1" w14:textId="77777777" w:rsidR="00C93158" w:rsidRPr="00791240" w:rsidRDefault="00C93158" w:rsidP="006133D9">
            <w:pPr>
              <w:rPr>
                <w:rFonts w:cs="Arial"/>
                <w:sz w:val="20"/>
                <w:szCs w:val="18"/>
              </w:rPr>
            </w:pPr>
            <w:r w:rsidRPr="00791240">
              <w:rPr>
                <w:rFonts w:cs="Arial"/>
                <w:sz w:val="20"/>
                <w:szCs w:val="18"/>
              </w:rPr>
              <w:t>Směnný kurz CZEK/EUR: průměr</w:t>
            </w:r>
          </w:p>
        </w:tc>
        <w:tc>
          <w:tcPr>
            <w:tcW w:w="1651" w:type="dxa"/>
            <w:shd w:val="clear" w:color="auto" w:fill="auto"/>
            <w:vAlign w:val="bottom"/>
          </w:tcPr>
          <w:p w14:paraId="612273B0" w14:textId="77777777" w:rsidR="00C93158" w:rsidRDefault="00C93158" w:rsidP="006133D9">
            <w:pPr>
              <w:pStyle w:val="Normlnweb"/>
              <w:spacing w:before="0" w:beforeAutospacing="0" w:after="0" w:afterAutospacing="0"/>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25,64</w:t>
            </w:r>
          </w:p>
        </w:tc>
        <w:tc>
          <w:tcPr>
            <w:tcW w:w="1651" w:type="dxa"/>
            <w:shd w:val="clear" w:color="auto" w:fill="auto"/>
            <w:vAlign w:val="bottom"/>
          </w:tcPr>
          <w:p w14:paraId="01BD1802"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25,53</w:t>
            </w:r>
          </w:p>
        </w:tc>
        <w:tc>
          <w:tcPr>
            <w:tcW w:w="1646" w:type="dxa"/>
            <w:shd w:val="clear" w:color="auto" w:fill="auto"/>
            <w:vAlign w:val="bottom"/>
          </w:tcPr>
          <w:p w14:paraId="4E4EBBE0"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25,08</w:t>
            </w:r>
          </w:p>
        </w:tc>
      </w:tr>
      <w:tr w:rsidR="00C93158" w:rsidRPr="00791240" w14:paraId="6C0C532C" w14:textId="77777777" w:rsidTr="00302451">
        <w:trPr>
          <w:trHeight w:val="288"/>
        </w:trPr>
        <w:tc>
          <w:tcPr>
            <w:tcW w:w="5257" w:type="dxa"/>
            <w:shd w:val="clear" w:color="auto" w:fill="auto"/>
          </w:tcPr>
          <w:p w14:paraId="7DE7ED58" w14:textId="77777777" w:rsidR="00C93158" w:rsidRPr="00791240" w:rsidRDefault="00C93158" w:rsidP="006133D9">
            <w:pPr>
              <w:rPr>
                <w:rFonts w:cs="Arial"/>
                <w:sz w:val="20"/>
                <w:szCs w:val="18"/>
              </w:rPr>
            </w:pPr>
            <w:r w:rsidRPr="00791240">
              <w:rPr>
                <w:rFonts w:cs="Arial"/>
                <w:sz w:val="20"/>
                <w:szCs w:val="18"/>
              </w:rPr>
              <w:t>Ceny ropy (USD za barel): brent průměr</w:t>
            </w:r>
          </w:p>
        </w:tc>
        <w:tc>
          <w:tcPr>
            <w:tcW w:w="1651" w:type="dxa"/>
            <w:shd w:val="clear" w:color="auto" w:fill="auto"/>
            <w:vAlign w:val="bottom"/>
          </w:tcPr>
          <w:p w14:paraId="458946D9" w14:textId="77777777" w:rsidR="00C93158" w:rsidRDefault="00C93158" w:rsidP="006133D9">
            <w:pPr>
              <w:pStyle w:val="Normlnweb"/>
              <w:spacing w:before="0" w:beforeAutospacing="0" w:after="0" w:afterAutospacing="0" w:line="256" w:lineRule="auto"/>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 xml:space="preserve">      71,70</w:t>
            </w:r>
          </w:p>
        </w:tc>
        <w:tc>
          <w:tcPr>
            <w:tcW w:w="1651" w:type="dxa"/>
            <w:shd w:val="clear" w:color="auto" w:fill="auto"/>
            <w:vAlign w:val="bottom"/>
          </w:tcPr>
          <w:p w14:paraId="3E6FD2AA"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68,24</w:t>
            </w:r>
          </w:p>
        </w:tc>
        <w:tc>
          <w:tcPr>
            <w:tcW w:w="1646" w:type="dxa"/>
            <w:shd w:val="clear" w:color="auto" w:fill="auto"/>
            <w:vAlign w:val="bottom"/>
          </w:tcPr>
          <w:p w14:paraId="62F1A9CF"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68,99</w:t>
            </w:r>
          </w:p>
        </w:tc>
      </w:tr>
      <w:tr w:rsidR="00C93158" w:rsidRPr="00791240" w14:paraId="502B155D" w14:textId="77777777" w:rsidTr="00302451">
        <w:trPr>
          <w:trHeight w:val="288"/>
        </w:trPr>
        <w:tc>
          <w:tcPr>
            <w:tcW w:w="5257" w:type="dxa"/>
            <w:shd w:val="clear" w:color="auto" w:fill="auto"/>
          </w:tcPr>
          <w:p w14:paraId="2FDFAB2F" w14:textId="77777777" w:rsidR="00C93158" w:rsidRPr="00791240" w:rsidRDefault="00C93158" w:rsidP="006133D9">
            <w:pPr>
              <w:rPr>
                <w:rFonts w:cs="Arial"/>
                <w:sz w:val="20"/>
                <w:szCs w:val="18"/>
              </w:rPr>
            </w:pPr>
            <w:r w:rsidRPr="00791240">
              <w:rPr>
                <w:rFonts w:cs="Arial"/>
                <w:sz w:val="20"/>
                <w:szCs w:val="18"/>
              </w:rPr>
              <w:t xml:space="preserve">Základní sazba ČNB </w:t>
            </w:r>
            <w:proofErr w:type="gramStart"/>
            <w:r w:rsidRPr="00791240">
              <w:rPr>
                <w:rFonts w:cs="Arial"/>
                <w:sz w:val="20"/>
                <w:szCs w:val="18"/>
              </w:rPr>
              <w:t>2T</w:t>
            </w:r>
            <w:proofErr w:type="gramEnd"/>
            <w:r w:rsidRPr="00791240">
              <w:rPr>
                <w:rFonts w:cs="Arial"/>
                <w:sz w:val="20"/>
                <w:szCs w:val="18"/>
              </w:rPr>
              <w:t xml:space="preserve"> REPO (%): </w:t>
            </w:r>
            <w:r>
              <w:rPr>
                <w:rFonts w:cs="Arial"/>
                <w:sz w:val="20"/>
                <w:szCs w:val="18"/>
              </w:rPr>
              <w:t>konec období</w:t>
            </w:r>
          </w:p>
        </w:tc>
        <w:tc>
          <w:tcPr>
            <w:tcW w:w="1651" w:type="dxa"/>
            <w:shd w:val="clear" w:color="auto" w:fill="auto"/>
            <w:vAlign w:val="bottom"/>
          </w:tcPr>
          <w:p w14:paraId="32B6E8A4" w14:textId="77777777" w:rsidR="00C93158" w:rsidRDefault="00C93158" w:rsidP="006133D9">
            <w:pPr>
              <w:pStyle w:val="Normlnweb"/>
              <w:spacing w:before="0" w:beforeAutospacing="0" w:after="0" w:afterAutospacing="0" w:line="256" w:lineRule="auto"/>
              <w:jc w:val="right"/>
              <w:textAlignment w:val="bottom"/>
              <w:rPr>
                <w:rFonts w:ascii="Arial" w:hAnsi="Arial" w:cs="Arial"/>
                <w:sz w:val="36"/>
                <w:szCs w:val="36"/>
              </w:rPr>
            </w:pPr>
            <w:r>
              <w:rPr>
                <w:rFonts w:ascii="Calibri" w:eastAsiaTheme="minorEastAsia" w:hAnsi="Calibri" w:cstheme="minorBidi"/>
                <w:b/>
                <w:bCs/>
                <w:color w:val="000000" w:themeColor="text1"/>
                <w:kern w:val="24"/>
                <w:sz w:val="22"/>
                <w:szCs w:val="22"/>
              </w:rPr>
              <w:t>1,75</w:t>
            </w:r>
          </w:p>
        </w:tc>
        <w:tc>
          <w:tcPr>
            <w:tcW w:w="1651" w:type="dxa"/>
            <w:shd w:val="clear" w:color="auto" w:fill="auto"/>
            <w:vAlign w:val="bottom"/>
          </w:tcPr>
          <w:p w14:paraId="2E07A8C1"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w:t>
            </w:r>
            <w:r>
              <w:rPr>
                <w:rFonts w:ascii="Calibri" w:eastAsiaTheme="minorEastAsia" w:hAnsi="Calibri" w:cstheme="minorBidi"/>
                <w:b/>
                <w:bCs/>
                <w:color w:val="000000" w:themeColor="text1"/>
                <w:kern w:val="24"/>
                <w:sz w:val="22"/>
                <w:szCs w:val="22"/>
              </w:rPr>
              <w:t>,00</w:t>
            </w:r>
          </w:p>
        </w:tc>
        <w:tc>
          <w:tcPr>
            <w:tcW w:w="1646" w:type="dxa"/>
            <w:shd w:val="clear" w:color="auto" w:fill="auto"/>
            <w:vAlign w:val="bottom"/>
          </w:tcPr>
          <w:p w14:paraId="76E1D165"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2,25</w:t>
            </w:r>
          </w:p>
        </w:tc>
      </w:tr>
      <w:tr w:rsidR="00C93158" w:rsidRPr="00791240" w14:paraId="4CB4EC2E" w14:textId="77777777" w:rsidTr="00302451">
        <w:trPr>
          <w:trHeight w:val="264"/>
        </w:trPr>
        <w:tc>
          <w:tcPr>
            <w:tcW w:w="5257" w:type="dxa"/>
            <w:shd w:val="clear" w:color="auto" w:fill="auto"/>
          </w:tcPr>
          <w:p w14:paraId="1FDF6C6D" w14:textId="77777777" w:rsidR="00C93158" w:rsidRPr="00791240" w:rsidRDefault="00C93158" w:rsidP="006133D9">
            <w:pPr>
              <w:rPr>
                <w:rFonts w:cs="Arial"/>
                <w:sz w:val="20"/>
                <w:szCs w:val="18"/>
              </w:rPr>
            </w:pPr>
            <w:r w:rsidRPr="00791240">
              <w:rPr>
                <w:rFonts w:cs="Arial"/>
                <w:sz w:val="20"/>
                <w:szCs w:val="18"/>
              </w:rPr>
              <w:t xml:space="preserve">Základní sazba ECB (%): </w:t>
            </w:r>
            <w:r>
              <w:rPr>
                <w:rFonts w:cs="Arial"/>
                <w:sz w:val="20"/>
                <w:szCs w:val="18"/>
              </w:rPr>
              <w:t>konec období</w:t>
            </w:r>
          </w:p>
        </w:tc>
        <w:tc>
          <w:tcPr>
            <w:tcW w:w="1651" w:type="dxa"/>
            <w:shd w:val="clear" w:color="auto" w:fill="auto"/>
            <w:vAlign w:val="bottom"/>
          </w:tcPr>
          <w:p w14:paraId="594F4AB1"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Pr>
                <w:rFonts w:ascii="Calibri" w:eastAsiaTheme="minorEastAsia" w:hAnsi="Calibri" w:cstheme="minorBidi"/>
                <w:b/>
                <w:bCs/>
                <w:color w:val="000000" w:themeColor="text1"/>
                <w:kern w:val="24"/>
                <w:sz w:val="22"/>
                <w:szCs w:val="22"/>
              </w:rPr>
              <w:t>0,0</w:t>
            </w:r>
          </w:p>
        </w:tc>
        <w:tc>
          <w:tcPr>
            <w:tcW w:w="1651" w:type="dxa"/>
            <w:shd w:val="clear" w:color="auto" w:fill="auto"/>
            <w:vAlign w:val="bottom"/>
          </w:tcPr>
          <w:p w14:paraId="51F151E0"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0,0</w:t>
            </w:r>
          </w:p>
        </w:tc>
        <w:tc>
          <w:tcPr>
            <w:tcW w:w="1646" w:type="dxa"/>
            <w:shd w:val="clear" w:color="auto" w:fill="auto"/>
            <w:vAlign w:val="bottom"/>
          </w:tcPr>
          <w:p w14:paraId="31DED598"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0,13</w:t>
            </w:r>
          </w:p>
        </w:tc>
      </w:tr>
      <w:tr w:rsidR="00C93158" w:rsidRPr="00791240" w14:paraId="6EFF9035" w14:textId="77777777" w:rsidTr="00302451">
        <w:trPr>
          <w:trHeight w:val="264"/>
        </w:trPr>
        <w:tc>
          <w:tcPr>
            <w:tcW w:w="5257" w:type="dxa"/>
            <w:shd w:val="clear" w:color="auto" w:fill="auto"/>
          </w:tcPr>
          <w:p w14:paraId="53D570E2" w14:textId="77777777" w:rsidR="00C93158" w:rsidRPr="00791240" w:rsidRDefault="00C93158" w:rsidP="006133D9">
            <w:pPr>
              <w:rPr>
                <w:rFonts w:cs="Arial"/>
                <w:sz w:val="20"/>
                <w:szCs w:val="18"/>
              </w:rPr>
            </w:pPr>
            <w:r w:rsidRPr="00791240">
              <w:rPr>
                <w:rFonts w:cs="Arial"/>
                <w:sz w:val="20"/>
                <w:szCs w:val="18"/>
              </w:rPr>
              <w:t>3M-PRIBOR (%): průměr</w:t>
            </w:r>
          </w:p>
        </w:tc>
        <w:tc>
          <w:tcPr>
            <w:tcW w:w="1651" w:type="dxa"/>
            <w:shd w:val="clear" w:color="auto" w:fill="auto"/>
            <w:vAlign w:val="bottom"/>
          </w:tcPr>
          <w:p w14:paraId="3E587594"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Pr>
                <w:rFonts w:ascii="Calibri" w:eastAsiaTheme="minorEastAsia" w:hAnsi="Calibri" w:cstheme="minorBidi"/>
                <w:b/>
                <w:bCs/>
                <w:color w:val="000000" w:themeColor="text1"/>
                <w:kern w:val="24"/>
                <w:sz w:val="22"/>
                <w:szCs w:val="22"/>
              </w:rPr>
              <w:t>1,27</w:t>
            </w:r>
          </w:p>
        </w:tc>
        <w:tc>
          <w:tcPr>
            <w:tcW w:w="1651" w:type="dxa"/>
            <w:shd w:val="clear" w:color="auto" w:fill="auto"/>
            <w:vAlign w:val="bottom"/>
          </w:tcPr>
          <w:p w14:paraId="62A382AF"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2,19</w:t>
            </w:r>
          </w:p>
        </w:tc>
        <w:tc>
          <w:tcPr>
            <w:tcW w:w="1646" w:type="dxa"/>
            <w:shd w:val="clear" w:color="auto" w:fill="auto"/>
            <w:vAlign w:val="bottom"/>
          </w:tcPr>
          <w:p w14:paraId="35D95E33"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2,50</w:t>
            </w:r>
          </w:p>
        </w:tc>
      </w:tr>
      <w:tr w:rsidR="00C93158" w:rsidRPr="00791240" w14:paraId="62782A66" w14:textId="77777777" w:rsidTr="00302451">
        <w:trPr>
          <w:trHeight w:val="264"/>
        </w:trPr>
        <w:tc>
          <w:tcPr>
            <w:tcW w:w="5257" w:type="dxa"/>
            <w:shd w:val="clear" w:color="auto" w:fill="auto"/>
          </w:tcPr>
          <w:p w14:paraId="5D4C3E9C" w14:textId="77777777" w:rsidR="00C93158" w:rsidRPr="00791240" w:rsidRDefault="00C93158" w:rsidP="006133D9">
            <w:pPr>
              <w:rPr>
                <w:rFonts w:cs="Arial"/>
                <w:sz w:val="20"/>
                <w:szCs w:val="18"/>
              </w:rPr>
            </w:pPr>
            <w:r w:rsidRPr="00791240">
              <w:rPr>
                <w:rFonts w:cs="Arial"/>
                <w:sz w:val="20"/>
                <w:szCs w:val="18"/>
              </w:rPr>
              <w:t>Růst bankovních úvěrů klientských (%)</w:t>
            </w:r>
          </w:p>
        </w:tc>
        <w:tc>
          <w:tcPr>
            <w:tcW w:w="1651" w:type="dxa"/>
            <w:shd w:val="clear" w:color="auto" w:fill="auto"/>
            <w:vAlign w:val="bottom"/>
          </w:tcPr>
          <w:p w14:paraId="510ABC2A"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E73D9C">
              <w:rPr>
                <w:rFonts w:ascii="Calibri" w:eastAsiaTheme="minorEastAsia" w:hAnsi="Calibri" w:cstheme="minorBidi"/>
                <w:b/>
                <w:bCs/>
                <w:color w:val="000000" w:themeColor="text1"/>
                <w:kern w:val="24"/>
                <w:sz w:val="22"/>
                <w:szCs w:val="22"/>
              </w:rPr>
              <w:t>7,2</w:t>
            </w:r>
          </w:p>
        </w:tc>
        <w:tc>
          <w:tcPr>
            <w:tcW w:w="1651" w:type="dxa"/>
            <w:shd w:val="clear" w:color="auto" w:fill="auto"/>
            <w:vAlign w:val="bottom"/>
          </w:tcPr>
          <w:p w14:paraId="23E17AC4"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5,0</w:t>
            </w:r>
          </w:p>
        </w:tc>
        <w:tc>
          <w:tcPr>
            <w:tcW w:w="1646" w:type="dxa"/>
            <w:shd w:val="clear" w:color="auto" w:fill="auto"/>
            <w:vAlign w:val="bottom"/>
          </w:tcPr>
          <w:p w14:paraId="1C2F6D13"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4,7</w:t>
            </w:r>
          </w:p>
        </w:tc>
      </w:tr>
      <w:tr w:rsidR="00C93158" w:rsidRPr="00791240" w14:paraId="3DBE2E68" w14:textId="77777777" w:rsidTr="00302451">
        <w:trPr>
          <w:trHeight w:val="276"/>
        </w:trPr>
        <w:tc>
          <w:tcPr>
            <w:tcW w:w="5257" w:type="dxa"/>
            <w:shd w:val="clear" w:color="auto" w:fill="auto"/>
          </w:tcPr>
          <w:p w14:paraId="36FF633F" w14:textId="77777777" w:rsidR="00C93158" w:rsidRPr="00791240" w:rsidRDefault="00C93158" w:rsidP="006133D9">
            <w:pPr>
              <w:rPr>
                <w:rFonts w:cs="Arial"/>
                <w:sz w:val="20"/>
                <w:szCs w:val="18"/>
              </w:rPr>
            </w:pPr>
            <w:r w:rsidRPr="00791240">
              <w:rPr>
                <w:rFonts w:cs="Arial"/>
                <w:sz w:val="20"/>
                <w:szCs w:val="18"/>
              </w:rPr>
              <w:t>Růst bankovních úvěrů domácnostem (%)</w:t>
            </w:r>
          </w:p>
        </w:tc>
        <w:tc>
          <w:tcPr>
            <w:tcW w:w="1651" w:type="dxa"/>
            <w:shd w:val="clear" w:color="auto" w:fill="auto"/>
            <w:vAlign w:val="bottom"/>
          </w:tcPr>
          <w:p w14:paraId="7E8F39B4"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Pr>
                <w:rFonts w:ascii="Calibri" w:eastAsiaTheme="minorEastAsia" w:hAnsi="Calibri" w:cstheme="minorBidi"/>
                <w:b/>
                <w:bCs/>
                <w:color w:val="000000" w:themeColor="text1"/>
                <w:kern w:val="24"/>
                <w:sz w:val="22"/>
                <w:szCs w:val="22"/>
              </w:rPr>
              <w:t>7,9</w:t>
            </w:r>
          </w:p>
        </w:tc>
        <w:tc>
          <w:tcPr>
            <w:tcW w:w="1651" w:type="dxa"/>
            <w:shd w:val="clear" w:color="auto" w:fill="auto"/>
            <w:vAlign w:val="bottom"/>
          </w:tcPr>
          <w:p w14:paraId="57A5BC14"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5,8</w:t>
            </w:r>
          </w:p>
        </w:tc>
        <w:tc>
          <w:tcPr>
            <w:tcW w:w="1646" w:type="dxa"/>
            <w:shd w:val="clear" w:color="auto" w:fill="auto"/>
            <w:vAlign w:val="bottom"/>
          </w:tcPr>
          <w:p w14:paraId="0C2D37B1"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5,0</w:t>
            </w:r>
          </w:p>
        </w:tc>
      </w:tr>
      <w:tr w:rsidR="00C93158" w:rsidRPr="00791240" w14:paraId="1182BE31" w14:textId="77777777" w:rsidTr="00302451">
        <w:trPr>
          <w:trHeight w:val="264"/>
        </w:trPr>
        <w:tc>
          <w:tcPr>
            <w:tcW w:w="5257" w:type="dxa"/>
            <w:shd w:val="clear" w:color="auto" w:fill="auto"/>
          </w:tcPr>
          <w:p w14:paraId="440732F5" w14:textId="77777777" w:rsidR="00C93158" w:rsidRPr="00791240" w:rsidRDefault="00C93158" w:rsidP="006133D9">
            <w:pPr>
              <w:rPr>
                <w:rFonts w:cs="Arial"/>
                <w:sz w:val="20"/>
                <w:szCs w:val="18"/>
              </w:rPr>
            </w:pPr>
            <w:r w:rsidRPr="00791240">
              <w:rPr>
                <w:rFonts w:cs="Arial"/>
                <w:sz w:val="20"/>
                <w:szCs w:val="18"/>
              </w:rPr>
              <w:t>Růst bankovních úvěrů (nefinanční</w:t>
            </w:r>
            <w:r>
              <w:rPr>
                <w:rFonts w:cs="Arial"/>
                <w:sz w:val="20"/>
                <w:szCs w:val="18"/>
              </w:rPr>
              <w:t>m</w:t>
            </w:r>
            <w:r w:rsidRPr="00791240">
              <w:rPr>
                <w:rFonts w:cs="Arial"/>
                <w:sz w:val="20"/>
                <w:szCs w:val="18"/>
              </w:rPr>
              <w:t>) podnikům (%)</w:t>
            </w:r>
          </w:p>
        </w:tc>
        <w:tc>
          <w:tcPr>
            <w:tcW w:w="1651" w:type="dxa"/>
            <w:shd w:val="clear" w:color="auto" w:fill="auto"/>
            <w:vAlign w:val="bottom"/>
          </w:tcPr>
          <w:p w14:paraId="633ABF69"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E73D9C">
              <w:rPr>
                <w:rFonts w:ascii="Calibri" w:eastAsiaTheme="minorEastAsia" w:hAnsi="Calibri" w:cstheme="minorBidi"/>
                <w:b/>
                <w:bCs/>
                <w:color w:val="000000" w:themeColor="text1"/>
                <w:kern w:val="24"/>
                <w:sz w:val="22"/>
                <w:szCs w:val="22"/>
              </w:rPr>
              <w:t>5,7</w:t>
            </w:r>
          </w:p>
        </w:tc>
        <w:tc>
          <w:tcPr>
            <w:tcW w:w="1651" w:type="dxa"/>
            <w:shd w:val="clear" w:color="auto" w:fill="auto"/>
            <w:vAlign w:val="bottom"/>
          </w:tcPr>
          <w:p w14:paraId="5FCE1A40"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4,4</w:t>
            </w:r>
          </w:p>
        </w:tc>
        <w:tc>
          <w:tcPr>
            <w:tcW w:w="1646" w:type="dxa"/>
            <w:shd w:val="clear" w:color="auto" w:fill="auto"/>
            <w:vAlign w:val="bottom"/>
          </w:tcPr>
          <w:p w14:paraId="00D1F3CD"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4,0</w:t>
            </w:r>
          </w:p>
        </w:tc>
      </w:tr>
      <w:tr w:rsidR="00C93158" w:rsidRPr="00791240" w14:paraId="404653BF" w14:textId="77777777" w:rsidTr="00302451">
        <w:trPr>
          <w:trHeight w:val="264"/>
        </w:trPr>
        <w:tc>
          <w:tcPr>
            <w:tcW w:w="5257" w:type="dxa"/>
            <w:shd w:val="clear" w:color="auto" w:fill="auto"/>
          </w:tcPr>
          <w:p w14:paraId="5FC7128D" w14:textId="77777777" w:rsidR="00C93158" w:rsidRPr="00791240" w:rsidRDefault="00C93158" w:rsidP="006133D9">
            <w:pPr>
              <w:rPr>
                <w:rFonts w:cs="Arial"/>
                <w:sz w:val="20"/>
                <w:szCs w:val="18"/>
              </w:rPr>
            </w:pPr>
            <w:r w:rsidRPr="00791240">
              <w:rPr>
                <w:rFonts w:cs="Arial"/>
                <w:sz w:val="20"/>
                <w:szCs w:val="18"/>
              </w:rPr>
              <w:t>Růst bankovních vkladů klientských celkem (%)</w:t>
            </w:r>
          </w:p>
        </w:tc>
        <w:tc>
          <w:tcPr>
            <w:tcW w:w="1651" w:type="dxa"/>
            <w:shd w:val="clear" w:color="auto" w:fill="auto"/>
            <w:vAlign w:val="bottom"/>
          </w:tcPr>
          <w:p w14:paraId="731F8BC4" w14:textId="77777777" w:rsidR="00C93158" w:rsidRPr="00E73D9C"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Pr>
                <w:rFonts w:ascii="Calibri" w:eastAsiaTheme="minorEastAsia" w:hAnsi="Calibri" w:cstheme="minorBidi"/>
                <w:b/>
                <w:bCs/>
                <w:color w:val="000000" w:themeColor="text1"/>
                <w:kern w:val="24"/>
                <w:sz w:val="22"/>
                <w:szCs w:val="22"/>
              </w:rPr>
              <w:t>6,6</w:t>
            </w:r>
          </w:p>
        </w:tc>
        <w:tc>
          <w:tcPr>
            <w:tcW w:w="1651" w:type="dxa"/>
            <w:shd w:val="clear" w:color="auto" w:fill="auto"/>
            <w:vAlign w:val="bottom"/>
          </w:tcPr>
          <w:p w14:paraId="1C41CCF3"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6,5</w:t>
            </w:r>
          </w:p>
        </w:tc>
        <w:tc>
          <w:tcPr>
            <w:tcW w:w="1646" w:type="dxa"/>
            <w:shd w:val="clear" w:color="auto" w:fill="auto"/>
            <w:vAlign w:val="bottom"/>
          </w:tcPr>
          <w:p w14:paraId="23604BBD" w14:textId="77777777" w:rsidR="00C93158" w:rsidRPr="00036419" w:rsidRDefault="00C93158" w:rsidP="006133D9">
            <w:pPr>
              <w:pStyle w:val="Normlnweb"/>
              <w:spacing w:before="0" w:beforeAutospacing="0" w:after="0" w:afterAutospacing="0"/>
              <w:jc w:val="right"/>
              <w:textAlignment w:val="bottom"/>
              <w:rPr>
                <w:rFonts w:ascii="Calibri" w:eastAsiaTheme="minorEastAsia" w:hAnsi="Calibri" w:cstheme="minorBidi"/>
                <w:b/>
                <w:bCs/>
                <w:color w:val="000000" w:themeColor="text1"/>
                <w:kern w:val="24"/>
                <w:sz w:val="22"/>
                <w:szCs w:val="22"/>
              </w:rPr>
            </w:pPr>
            <w:r w:rsidRPr="00036419">
              <w:rPr>
                <w:rFonts w:ascii="Calibri" w:eastAsiaTheme="minorEastAsia" w:hAnsi="Calibri" w:cstheme="minorBidi"/>
                <w:b/>
                <w:bCs/>
                <w:color w:val="000000" w:themeColor="text1"/>
                <w:kern w:val="24"/>
                <w:sz w:val="22"/>
                <w:szCs w:val="22"/>
              </w:rPr>
              <w:t>4,7</w:t>
            </w:r>
          </w:p>
        </w:tc>
      </w:tr>
    </w:tbl>
    <w:p w14:paraId="6507A82B" w14:textId="77777777" w:rsidR="00C93158" w:rsidRPr="00791240" w:rsidRDefault="00C93158" w:rsidP="00C93158">
      <w:pPr>
        <w:rPr>
          <w:rFonts w:cs="Arial"/>
          <w:sz w:val="20"/>
          <w:szCs w:val="18"/>
        </w:rPr>
      </w:pPr>
    </w:p>
    <w:p w14:paraId="1AE6FC8E" w14:textId="503647E4" w:rsidR="005C1943" w:rsidRPr="00517111" w:rsidRDefault="00FA3413" w:rsidP="00F67E6A">
      <w:pPr>
        <w:rPr>
          <w:rFonts w:eastAsiaTheme="minorEastAsia" w:cs="Arial"/>
        </w:rPr>
      </w:pPr>
      <w:r w:rsidRPr="005A44FF">
        <w:rPr>
          <w:rFonts w:eastAsiaTheme="minorEastAsia" w:cs="Arial"/>
          <w:noProof/>
        </w:rPr>
        <mc:AlternateContent>
          <mc:Choice Requires="wps">
            <w:drawing>
              <wp:anchor distT="0" distB="0" distL="114300" distR="114300" simplePos="0" relativeHeight="251688960" behindDoc="0" locked="0" layoutInCell="1" allowOverlap="1" wp14:anchorId="351A5361" wp14:editId="45C23BE4">
                <wp:simplePos x="0" y="0"/>
                <wp:positionH relativeFrom="margin">
                  <wp:posOffset>4296410</wp:posOffset>
                </wp:positionH>
                <wp:positionV relativeFrom="paragraph">
                  <wp:posOffset>225425</wp:posOffset>
                </wp:positionV>
                <wp:extent cx="2235200" cy="1637665"/>
                <wp:effectExtent l="0" t="0" r="0" b="635"/>
                <wp:wrapSquare wrapText="bothSides"/>
                <wp:docPr id="200" name="Obdélník 200"/>
                <wp:cNvGraphicFramePr/>
                <a:graphic xmlns:a="http://schemas.openxmlformats.org/drawingml/2006/main">
                  <a:graphicData uri="http://schemas.microsoft.com/office/word/2010/wordprocessingShape">
                    <wps:wsp>
                      <wps:cNvSpPr/>
                      <wps:spPr>
                        <a:xfrm>
                          <a:off x="0" y="0"/>
                          <a:ext cx="2235200" cy="1637665"/>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5292"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044002" w:rsidRPr="003D3951" w:rsidRDefault="00044002" w:rsidP="00044002">
                            <w:pPr>
                              <w:spacing w:line="276" w:lineRule="auto"/>
                              <w:jc w:val="left"/>
                              <w:rPr>
                                <w:rFonts w:cs="Arial"/>
                                <w:b/>
                                <w:szCs w:val="18"/>
                              </w:rPr>
                            </w:pPr>
                          </w:p>
                          <w:p w14:paraId="1F85193F" w14:textId="77777777" w:rsidR="00044002" w:rsidRPr="005A44FF" w:rsidRDefault="00044002"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044002" w:rsidRPr="005A44FF" w:rsidRDefault="00044002"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044002" w:rsidRPr="005A44FF" w:rsidRDefault="00044002" w:rsidP="00044002">
                            <w:pPr>
                              <w:spacing w:line="276" w:lineRule="auto"/>
                              <w:jc w:val="left"/>
                              <w:rPr>
                                <w:rFonts w:cs="Arial"/>
                                <w:szCs w:val="18"/>
                              </w:rPr>
                            </w:pPr>
                            <w:r w:rsidRPr="005A44FF">
                              <w:rPr>
                                <w:rFonts w:cs="Arial"/>
                                <w:szCs w:val="18"/>
                              </w:rPr>
                              <w:t>petraskova@czech-ba.cz</w:t>
                            </w:r>
                          </w:p>
                          <w:p w14:paraId="0B0CE061" w14:textId="77777777" w:rsidR="00044002" w:rsidRPr="005A44FF" w:rsidRDefault="00044002" w:rsidP="00044002">
                            <w:pPr>
                              <w:spacing w:line="276" w:lineRule="auto"/>
                              <w:jc w:val="left"/>
                              <w:rPr>
                                <w:rFonts w:cs="Arial"/>
                                <w:szCs w:val="18"/>
                              </w:rPr>
                            </w:pPr>
                            <w:r w:rsidRPr="005A44FF">
                              <w:rPr>
                                <w:rFonts w:cs="Arial"/>
                                <w:szCs w:val="18"/>
                              </w:rPr>
                              <w:t>tel: + 420 733 130 282</w:t>
                            </w:r>
                          </w:p>
                          <w:p w14:paraId="0808B31F" w14:textId="77777777" w:rsidR="00044002" w:rsidRDefault="00044002"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1" style="position:absolute;left:0;text-align:left;margin-left:338.3pt;margin-top:17.75pt;width:176pt;height:128.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" fillcolor="#007e79" stroked="f" strokeweight="1pt">
                <v:fill opacity="32639f"/>
                <v:textbox inset="3mm,3mm,3mm,3mm">
                  <w:txbxContent>
                    <w:p w14:paraId="7AC95292"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 xml:space="preserve">Další informace </w:t>
                      </w:r>
                    </w:p>
                    <w:p w14:paraId="187194D7" w14:textId="77777777" w:rsidR="00044002" w:rsidRPr="005A44FF" w:rsidRDefault="00044002" w:rsidP="00044002">
                      <w:pPr>
                        <w:spacing w:line="276" w:lineRule="auto"/>
                        <w:ind w:left="28" w:hanging="28"/>
                        <w:jc w:val="left"/>
                        <w:outlineLvl w:val="0"/>
                        <w:rPr>
                          <w:rFonts w:cs="Arial"/>
                          <w:b/>
                          <w:sz w:val="20"/>
                          <w:szCs w:val="18"/>
                        </w:rPr>
                      </w:pPr>
                      <w:r w:rsidRPr="005A44FF">
                        <w:rPr>
                          <w:rFonts w:cs="Arial"/>
                          <w:b/>
                          <w:sz w:val="20"/>
                          <w:szCs w:val="18"/>
                        </w:rPr>
                        <w:t>obdržíte na adrese:</w:t>
                      </w:r>
                    </w:p>
                    <w:p w14:paraId="5867C1DD" w14:textId="77777777" w:rsidR="00044002" w:rsidRPr="003D3951" w:rsidRDefault="00044002" w:rsidP="00044002">
                      <w:pPr>
                        <w:spacing w:line="276" w:lineRule="auto"/>
                        <w:jc w:val="left"/>
                        <w:rPr>
                          <w:rFonts w:cs="Arial"/>
                          <w:b/>
                          <w:szCs w:val="18"/>
                        </w:rPr>
                      </w:pPr>
                    </w:p>
                    <w:p w14:paraId="1F85193F" w14:textId="77777777" w:rsidR="00044002" w:rsidRPr="005A44FF" w:rsidRDefault="00044002" w:rsidP="00044002">
                      <w:pPr>
                        <w:spacing w:line="276" w:lineRule="auto"/>
                        <w:jc w:val="left"/>
                        <w:rPr>
                          <w:rFonts w:cs="Arial"/>
                          <w:noProof/>
                          <w:szCs w:val="18"/>
                        </w:rPr>
                      </w:pPr>
                      <w:r w:rsidRPr="005A44FF">
                        <w:rPr>
                          <w:rFonts w:cs="Arial"/>
                          <w:noProof/>
                          <w:szCs w:val="18"/>
                        </w:rPr>
                        <w:t xml:space="preserve">Monika Petrásková, </w:t>
                      </w:r>
                    </w:p>
                    <w:p w14:paraId="5026572F" w14:textId="77777777" w:rsidR="00044002" w:rsidRPr="005A44FF" w:rsidRDefault="00044002" w:rsidP="00044002">
                      <w:pPr>
                        <w:spacing w:line="276" w:lineRule="auto"/>
                        <w:jc w:val="left"/>
                        <w:rPr>
                          <w:rFonts w:cs="Arial"/>
                          <w:szCs w:val="18"/>
                        </w:rPr>
                      </w:pPr>
                      <w:r w:rsidRPr="005A44FF">
                        <w:rPr>
                          <w:rFonts w:cs="Arial"/>
                          <w:noProof/>
                          <w:szCs w:val="18"/>
                        </w:rPr>
                        <w:t>m</w:t>
                      </w:r>
                      <w:proofErr w:type="spellStart"/>
                      <w:r w:rsidRPr="005A44FF">
                        <w:rPr>
                          <w:rFonts w:cs="Arial"/>
                          <w:szCs w:val="18"/>
                        </w:rPr>
                        <w:t>anažerka</w:t>
                      </w:r>
                      <w:proofErr w:type="spellEnd"/>
                      <w:r w:rsidRPr="005A44FF">
                        <w:rPr>
                          <w:rFonts w:cs="Arial"/>
                          <w:szCs w:val="18"/>
                        </w:rPr>
                        <w:t xml:space="preserve"> PR a komunikace ČBA</w:t>
                      </w:r>
                    </w:p>
                    <w:p w14:paraId="69EB82FC" w14:textId="77777777" w:rsidR="00044002" w:rsidRPr="005A44FF" w:rsidRDefault="00044002" w:rsidP="00044002">
                      <w:pPr>
                        <w:spacing w:line="276" w:lineRule="auto"/>
                        <w:jc w:val="left"/>
                        <w:rPr>
                          <w:rFonts w:cs="Arial"/>
                          <w:szCs w:val="18"/>
                        </w:rPr>
                      </w:pPr>
                      <w:r w:rsidRPr="005A44FF">
                        <w:rPr>
                          <w:rFonts w:cs="Arial"/>
                          <w:szCs w:val="18"/>
                        </w:rPr>
                        <w:t>petraskova@czech-ba.cz</w:t>
                      </w:r>
                    </w:p>
                    <w:p w14:paraId="0B0CE061" w14:textId="77777777" w:rsidR="00044002" w:rsidRPr="005A44FF" w:rsidRDefault="00044002" w:rsidP="00044002">
                      <w:pPr>
                        <w:spacing w:line="276" w:lineRule="auto"/>
                        <w:jc w:val="left"/>
                        <w:rPr>
                          <w:rFonts w:cs="Arial"/>
                          <w:szCs w:val="18"/>
                        </w:rPr>
                      </w:pPr>
                      <w:r w:rsidRPr="005A44FF">
                        <w:rPr>
                          <w:rFonts w:cs="Arial"/>
                          <w:szCs w:val="18"/>
                        </w:rPr>
                        <w:t>tel: + 420 733 130 282</w:t>
                      </w:r>
                    </w:p>
                    <w:p w14:paraId="0808B31F" w14:textId="77777777" w:rsidR="00044002" w:rsidRDefault="00044002" w:rsidP="00044002">
                      <w:pPr>
                        <w:jc w:val="left"/>
                      </w:pPr>
                    </w:p>
                  </w:txbxContent>
                </v:textbox>
                <w10:wrap type="square" anchorx="margin"/>
              </v:rect>
            </w:pict>
          </mc:Fallback>
        </mc:AlternateContent>
      </w:r>
      <w:r w:rsidRPr="005A44FF">
        <w:rPr>
          <w:rFonts w:eastAsiaTheme="minorEastAsia" w:cs="Arial"/>
          <w:noProof/>
        </w:rPr>
        <mc:AlternateContent>
          <mc:Choice Requires="wps">
            <w:drawing>
              <wp:anchor distT="0" distB="0" distL="114300" distR="114300" simplePos="0" relativeHeight="251686912" behindDoc="0" locked="0" layoutInCell="1" allowOverlap="1" wp14:anchorId="12989396" wp14:editId="40E3748D">
                <wp:simplePos x="0" y="0"/>
                <wp:positionH relativeFrom="margin">
                  <wp:posOffset>-100330</wp:posOffset>
                </wp:positionH>
                <wp:positionV relativeFrom="paragraph">
                  <wp:posOffset>225425</wp:posOffset>
                </wp:positionV>
                <wp:extent cx="4216400" cy="1637665"/>
                <wp:effectExtent l="0" t="0" r="0" b="635"/>
                <wp:wrapSquare wrapText="bothSides"/>
                <wp:docPr id="199" name="Obdélník 199"/>
                <wp:cNvGraphicFramePr/>
                <a:graphic xmlns:a="http://schemas.openxmlformats.org/drawingml/2006/main">
                  <a:graphicData uri="http://schemas.microsoft.com/office/word/2010/wordprocessingShape">
                    <wps:wsp>
                      <wps:cNvSpPr/>
                      <wps:spPr>
                        <a:xfrm>
                          <a:off x="0" y="0"/>
                          <a:ext cx="4216400"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60DE" w14:textId="77777777" w:rsidR="00044002" w:rsidRPr="005A44FF" w:rsidRDefault="00044002"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044002" w:rsidRPr="00F67E6A" w:rsidRDefault="00044002"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2" style="position:absolute;left:0;text-align:left;margin-left:-7.9pt;margin-top:17.75pt;width:332pt;height:128.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" fillcolor="#bfbfbf [2412]" stroked="f" strokeweight="1pt">
                <v:textbox inset="3mm,3mm,3mm,3mm">
                  <w:txbxContent>
                    <w:p w14:paraId="4C1160DE" w14:textId="77777777" w:rsidR="00044002" w:rsidRPr="005A44FF" w:rsidRDefault="00044002" w:rsidP="00044002">
                      <w:pPr>
                        <w:pStyle w:val="Standard"/>
                        <w:spacing w:line="276" w:lineRule="auto"/>
                        <w:jc w:val="left"/>
                        <w:rPr>
                          <w:rFonts w:cs="Arial"/>
                          <w:b/>
                          <w:sz w:val="20"/>
                          <w:szCs w:val="18"/>
                        </w:rPr>
                      </w:pPr>
                      <w:r w:rsidRPr="005A44FF">
                        <w:rPr>
                          <w:rFonts w:cs="Arial"/>
                          <w:b/>
                          <w:sz w:val="20"/>
                          <w:szCs w:val="18"/>
                        </w:rPr>
                        <w:t>O České bankovní asociaci</w:t>
                      </w:r>
                    </w:p>
                    <w:p w14:paraId="51BDEFCD" w14:textId="77777777" w:rsidR="00044002" w:rsidRPr="00F67E6A" w:rsidRDefault="00044002" w:rsidP="00044002">
                      <w:pPr>
                        <w:pStyle w:val="Standard"/>
                        <w:spacing w:line="276" w:lineRule="auto"/>
                        <w:ind w:left="28" w:hanging="28"/>
                        <w:jc w:val="left"/>
                        <w:rPr>
                          <w:rFonts w:cs="Arial"/>
                          <w:szCs w:val="18"/>
                        </w:rPr>
                      </w:pPr>
                      <w:r w:rsidRPr="003D3951">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3D3951">
                        <w:rPr>
                          <w:rFonts w:cs="Arial"/>
                          <w:i/>
                          <w:sz w:val="20"/>
                        </w:rPr>
                        <w:t> </w:t>
                      </w:r>
                      <w:r w:rsidRPr="003D3951">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3D3951">
                        <w:rPr>
                          <w:rFonts w:cs="Arial"/>
                          <w:i/>
                          <w:sz w:val="20"/>
                        </w:rPr>
                        <w:t> </w:t>
                      </w:r>
                      <w:r w:rsidRPr="003D3951">
                        <w:rPr>
                          <w:rFonts w:cs="Arial"/>
                          <w:szCs w:val="18"/>
                        </w:rPr>
                        <w:t>EMMI.</w:t>
                      </w:r>
                    </w:p>
                  </w:txbxContent>
                </v:textbox>
                <w10:wrap type="square" anchorx="margin"/>
              </v:rect>
            </w:pict>
          </mc:Fallback>
        </mc:AlternateContent>
      </w:r>
    </w:p>
    <w:sectPr w:rsidR="005C1943" w:rsidRPr="00517111" w:rsidSect="00D36FE1">
      <w:headerReference w:type="default" r:id="rId8"/>
      <w:footerReference w:type="default" r:id="rId9"/>
      <w:pgSz w:w="11906" w:h="16838"/>
      <w:pgMar w:top="2552" w:right="851"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FCCD" w14:textId="77777777" w:rsidR="00F20F0C" w:rsidRDefault="00F20F0C" w:rsidP="00F573F1">
      <w:r>
        <w:separator/>
      </w:r>
    </w:p>
  </w:endnote>
  <w:endnote w:type="continuationSeparator" w:id="0">
    <w:p w14:paraId="0C7EA827" w14:textId="77777777" w:rsidR="00F20F0C" w:rsidRDefault="00F20F0C"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915778797"/>
      <w:docPartObj>
        <w:docPartGallery w:val="Page Numbers (Bottom of Page)"/>
        <w:docPartUnique/>
      </w:docPartObj>
    </w:sdtPr>
    <w:sdtEndPr/>
    <w:sdtContent>
      <w:p w14:paraId="13CE44BD" w14:textId="77777777" w:rsidR="00FB4A1C" w:rsidRPr="00FB4A1C" w:rsidRDefault="00FB4A1C">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Pr="00FB4A1C">
          <w:rPr>
            <w:color w:val="A6A6A6" w:themeColor="background1" w:themeShade="A6"/>
            <w:sz w:val="14"/>
          </w:rPr>
          <w:t>2</w:t>
        </w:r>
        <w:r w:rsidRPr="00FB4A1C">
          <w:rPr>
            <w:color w:val="A6A6A6" w:themeColor="background1" w:themeShade="A6"/>
            <w:sz w:val="14"/>
          </w:rPr>
          <w:fldChar w:fldCharType="end"/>
        </w:r>
      </w:p>
    </w:sdtContent>
  </w:sdt>
  <w:p w14:paraId="6B2FBE8E" w14:textId="77777777" w:rsidR="00FB4A1C" w:rsidRPr="00FB4A1C" w:rsidRDefault="00FB4A1C"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5042" w14:textId="77777777" w:rsidR="00F20F0C" w:rsidRDefault="00F20F0C" w:rsidP="00F573F1">
      <w:r>
        <w:separator/>
      </w:r>
    </w:p>
  </w:footnote>
  <w:footnote w:type="continuationSeparator" w:id="0">
    <w:p w14:paraId="7F12BCD6" w14:textId="77777777" w:rsidR="00F20F0C" w:rsidRDefault="00F20F0C"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06E3" w14:textId="52D82906" w:rsidR="00F573F1" w:rsidRDefault="00F573F1">
    <w:pPr>
      <w:pStyle w:val="Zhlav"/>
    </w:pPr>
    <w:r>
      <w:rPr>
        <w:noProof/>
      </w:rPr>
      <w:drawing>
        <wp:anchor distT="0" distB="0" distL="114300" distR="114300" simplePos="0" relativeHeight="251659264" behindDoc="1" locked="0" layoutInCell="1" allowOverlap="1" wp14:anchorId="08F9921F" wp14:editId="696766EE">
          <wp:simplePos x="0" y="0"/>
          <wp:positionH relativeFrom="page">
            <wp:posOffset>112395</wp:posOffset>
          </wp:positionH>
          <wp:positionV relativeFrom="paragraph">
            <wp:posOffset>-413385</wp:posOffset>
          </wp:positionV>
          <wp:extent cx="3196206" cy="1612900"/>
          <wp:effectExtent l="0" t="0" r="4445" b="635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44002"/>
    <w:rsid w:val="000D5D2B"/>
    <w:rsid w:val="0011443F"/>
    <w:rsid w:val="001262D3"/>
    <w:rsid w:val="00186E9F"/>
    <w:rsid w:val="00195C6D"/>
    <w:rsid w:val="001C0DF4"/>
    <w:rsid w:val="001D5BB9"/>
    <w:rsid w:val="00267ACA"/>
    <w:rsid w:val="002D1376"/>
    <w:rsid w:val="002F477C"/>
    <w:rsid w:val="00302451"/>
    <w:rsid w:val="00327407"/>
    <w:rsid w:val="00370F35"/>
    <w:rsid w:val="00391FA6"/>
    <w:rsid w:val="003952ED"/>
    <w:rsid w:val="003C3D7F"/>
    <w:rsid w:val="003E3DCB"/>
    <w:rsid w:val="003F1CB9"/>
    <w:rsid w:val="003F7F31"/>
    <w:rsid w:val="0040072F"/>
    <w:rsid w:val="00437589"/>
    <w:rsid w:val="004A1724"/>
    <w:rsid w:val="004E1AC6"/>
    <w:rsid w:val="00517111"/>
    <w:rsid w:val="00527C61"/>
    <w:rsid w:val="005354AE"/>
    <w:rsid w:val="005642DD"/>
    <w:rsid w:val="005A2501"/>
    <w:rsid w:val="005A44FF"/>
    <w:rsid w:val="005C1943"/>
    <w:rsid w:val="005C6D52"/>
    <w:rsid w:val="005D0910"/>
    <w:rsid w:val="005E58E1"/>
    <w:rsid w:val="0060552B"/>
    <w:rsid w:val="00611C5C"/>
    <w:rsid w:val="006454CC"/>
    <w:rsid w:val="006478ED"/>
    <w:rsid w:val="006642E5"/>
    <w:rsid w:val="006963D2"/>
    <w:rsid w:val="006B19D1"/>
    <w:rsid w:val="006B2F86"/>
    <w:rsid w:val="006B60A6"/>
    <w:rsid w:val="006C6CFF"/>
    <w:rsid w:val="006D23EF"/>
    <w:rsid w:val="006E0634"/>
    <w:rsid w:val="00744504"/>
    <w:rsid w:val="007B02A8"/>
    <w:rsid w:val="007C2F0D"/>
    <w:rsid w:val="007C4C83"/>
    <w:rsid w:val="007D4025"/>
    <w:rsid w:val="007F40D6"/>
    <w:rsid w:val="00803E55"/>
    <w:rsid w:val="00807F85"/>
    <w:rsid w:val="00811FE2"/>
    <w:rsid w:val="008404DA"/>
    <w:rsid w:val="00854190"/>
    <w:rsid w:val="00870102"/>
    <w:rsid w:val="00872847"/>
    <w:rsid w:val="0088279B"/>
    <w:rsid w:val="008857AA"/>
    <w:rsid w:val="00897332"/>
    <w:rsid w:val="009139AF"/>
    <w:rsid w:val="00944D10"/>
    <w:rsid w:val="00950AD8"/>
    <w:rsid w:val="00977317"/>
    <w:rsid w:val="00A6286E"/>
    <w:rsid w:val="00A7019E"/>
    <w:rsid w:val="00A7149F"/>
    <w:rsid w:val="00A8750A"/>
    <w:rsid w:val="00A90878"/>
    <w:rsid w:val="00B03E8F"/>
    <w:rsid w:val="00B27646"/>
    <w:rsid w:val="00B506AC"/>
    <w:rsid w:val="00B95673"/>
    <w:rsid w:val="00BC15D2"/>
    <w:rsid w:val="00C17244"/>
    <w:rsid w:val="00C50104"/>
    <w:rsid w:val="00C74048"/>
    <w:rsid w:val="00C93158"/>
    <w:rsid w:val="00CA7866"/>
    <w:rsid w:val="00CB6EC2"/>
    <w:rsid w:val="00CB79A1"/>
    <w:rsid w:val="00D10717"/>
    <w:rsid w:val="00D2261D"/>
    <w:rsid w:val="00D36FE1"/>
    <w:rsid w:val="00D77C73"/>
    <w:rsid w:val="00D97E49"/>
    <w:rsid w:val="00DC328A"/>
    <w:rsid w:val="00E10053"/>
    <w:rsid w:val="00E23E0B"/>
    <w:rsid w:val="00E3317B"/>
    <w:rsid w:val="00E3386F"/>
    <w:rsid w:val="00E52EE1"/>
    <w:rsid w:val="00E77101"/>
    <w:rsid w:val="00E8787F"/>
    <w:rsid w:val="00E92D8C"/>
    <w:rsid w:val="00EA05BA"/>
    <w:rsid w:val="00ED452D"/>
    <w:rsid w:val="00F20F0C"/>
    <w:rsid w:val="00F52FD1"/>
    <w:rsid w:val="00F545AC"/>
    <w:rsid w:val="00F573F1"/>
    <w:rsid w:val="00F6767A"/>
    <w:rsid w:val="00F67E6A"/>
    <w:rsid w:val="00FA3413"/>
    <w:rsid w:val="00FB4A1C"/>
    <w:rsid w:val="00FD12DB"/>
    <w:rsid w:val="00FD5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3594D"/>
  <w15:chartTrackingRefBased/>
  <w15:docId w15:val="{2593DE48-8079-4E48-8F14-09991C4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semiHidden/>
    <w:unhideWhenUsed/>
    <w:rsid w:val="00744504"/>
    <w:rPr>
      <w:sz w:val="20"/>
    </w:rPr>
  </w:style>
  <w:style w:type="character" w:customStyle="1" w:styleId="TextkomenteChar">
    <w:name w:val="Text komentáře Char"/>
    <w:basedOn w:val="Standardnpsmoodstavce"/>
    <w:link w:val="Textkomente"/>
    <w:uiPriority w:val="99"/>
    <w:semiHidden/>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DD02-7C73-4B80-8F17-78AFBDAA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1364</Words>
  <Characters>8054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vlachova</dc:creator>
  <cp:keywords/>
  <dc:description/>
  <cp:lastModifiedBy>Monika Petrásková</cp:lastModifiedBy>
  <cp:revision>33</cp:revision>
  <cp:lastPrinted>2019-04-29T10:21:00Z</cp:lastPrinted>
  <dcterms:created xsi:type="dcterms:W3CDTF">2019-04-29T07:09:00Z</dcterms:created>
  <dcterms:modified xsi:type="dcterms:W3CDTF">2019-04-29T10:55:00Z</dcterms:modified>
</cp:coreProperties>
</file>