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11B59" w14:textId="1DFAA72C" w:rsidR="009139AF" w:rsidRPr="009139AF" w:rsidRDefault="009139AF" w:rsidP="009139AF">
      <w:pPr>
        <w:rPr>
          <w:rFonts w:cs="Arial"/>
          <w:b/>
          <w:color w:val="007E79"/>
          <w:sz w:val="32"/>
          <w:szCs w:val="28"/>
        </w:rPr>
      </w:pPr>
      <w:r w:rsidRPr="00517111">
        <w:rPr>
          <w:rFonts w:cs="Arial"/>
          <w:noProof/>
        </w:rPr>
        <mc:AlternateContent>
          <mc:Choice Requires="wps">
            <w:drawing>
              <wp:anchor distT="45720" distB="45720" distL="114300" distR="114300" simplePos="0" relativeHeight="251669504" behindDoc="0" locked="0" layoutInCell="1" allowOverlap="1" wp14:anchorId="68A52E74" wp14:editId="0BBDBD55">
                <wp:simplePos x="0" y="0"/>
                <wp:positionH relativeFrom="margin">
                  <wp:posOffset>5181600</wp:posOffset>
                </wp:positionH>
                <wp:positionV relativeFrom="paragraph">
                  <wp:posOffset>-944245</wp:posOffset>
                </wp:positionV>
                <wp:extent cx="1239520" cy="1404620"/>
                <wp:effectExtent l="0" t="0" r="0" b="0"/>
                <wp:wrapNone/>
                <wp:docPr id="2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093A89A6" w14:textId="77777777" w:rsidR="00517111" w:rsidRDefault="00517111" w:rsidP="00517111">
                            <w:pPr>
                              <w:spacing w:line="276" w:lineRule="auto"/>
                              <w:jc w:val="right"/>
                              <w:rPr>
                                <w:b/>
                                <w:color w:val="13576B"/>
                              </w:rPr>
                            </w:pPr>
                            <w:r w:rsidRPr="00517111">
                              <w:rPr>
                                <w:b/>
                                <w:color w:val="13576B"/>
                              </w:rPr>
                              <w:t>TISKOVÁ ZPRÁVA</w:t>
                            </w:r>
                            <w:r>
                              <w:rPr>
                                <w:b/>
                                <w:color w:val="13576B"/>
                              </w:rPr>
                              <w:t xml:space="preserve"> </w:t>
                            </w:r>
                          </w:p>
                          <w:p w14:paraId="25BF6333" w14:textId="3CDC8863" w:rsidR="00517111" w:rsidRPr="00517111" w:rsidRDefault="001C297A" w:rsidP="00517111">
                            <w:pPr>
                              <w:spacing w:line="276" w:lineRule="auto"/>
                              <w:jc w:val="right"/>
                              <w:rPr>
                                <w:b/>
                                <w:color w:val="13576B"/>
                              </w:rPr>
                            </w:pPr>
                            <w:r>
                              <w:rPr>
                                <w:color w:val="BFBFBF" w:themeColor="background1" w:themeShade="BF"/>
                              </w:rPr>
                              <w:t>25</w:t>
                            </w:r>
                            <w:r w:rsidR="00517111" w:rsidRPr="00517111">
                              <w:rPr>
                                <w:color w:val="BFBFBF" w:themeColor="background1" w:themeShade="BF"/>
                              </w:rPr>
                              <w:t xml:space="preserve">. </w:t>
                            </w:r>
                            <w:r w:rsidR="00267ACA">
                              <w:rPr>
                                <w:color w:val="BFBFBF" w:themeColor="background1" w:themeShade="BF"/>
                              </w:rPr>
                              <w:t>0</w:t>
                            </w:r>
                            <w:r>
                              <w:rPr>
                                <w:color w:val="BFBFBF" w:themeColor="background1" w:themeShade="BF"/>
                              </w:rPr>
                              <w:t>7</w:t>
                            </w:r>
                            <w:r w:rsidR="00517111" w:rsidRPr="00517111">
                              <w:rPr>
                                <w:color w:val="BFBFBF" w:themeColor="background1" w:themeShade="BF"/>
                              </w:rPr>
                              <w:t>. 201</w:t>
                            </w:r>
                            <w:r w:rsidR="00267ACA">
                              <w:rPr>
                                <w:color w:val="BFBFBF" w:themeColor="background1" w:themeShade="BF"/>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A52E74" id="_x0000_t202" coordsize="21600,21600" o:spt="202" path="m,l,21600r21600,l21600,xe">
                <v:stroke joinstyle="miter"/>
                <v:path gradientshapeok="t" o:connecttype="rect"/>
              </v:shapetype>
              <v:shape id="Textové pole 2" o:spid="_x0000_s1026" type="#_x0000_t202" style="position:absolute;left:0;text-align:left;margin-left:408pt;margin-top:-74.35pt;width:97.6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" filled="f" stroked="f">
                <v:textbox style="mso-fit-shape-to-text:t">
                  <w:txbxContent>
                    <w:p w14:paraId="093A89A6" w14:textId="77777777" w:rsidR="00517111" w:rsidRDefault="00517111" w:rsidP="00517111">
                      <w:pPr>
                        <w:spacing w:line="276" w:lineRule="auto"/>
                        <w:jc w:val="right"/>
                        <w:rPr>
                          <w:b/>
                          <w:color w:val="13576B"/>
                        </w:rPr>
                      </w:pPr>
                      <w:r w:rsidRPr="00517111">
                        <w:rPr>
                          <w:b/>
                          <w:color w:val="13576B"/>
                        </w:rPr>
                        <w:t>TISKOVÁ ZPRÁVA</w:t>
                      </w:r>
                      <w:r>
                        <w:rPr>
                          <w:b/>
                          <w:color w:val="13576B"/>
                        </w:rPr>
                        <w:t xml:space="preserve"> </w:t>
                      </w:r>
                    </w:p>
                    <w:p w14:paraId="25BF6333" w14:textId="3CDC8863" w:rsidR="00517111" w:rsidRPr="00517111" w:rsidRDefault="001C297A" w:rsidP="00517111">
                      <w:pPr>
                        <w:spacing w:line="276" w:lineRule="auto"/>
                        <w:jc w:val="right"/>
                        <w:rPr>
                          <w:b/>
                          <w:color w:val="13576B"/>
                        </w:rPr>
                      </w:pPr>
                      <w:r>
                        <w:rPr>
                          <w:color w:val="BFBFBF" w:themeColor="background1" w:themeShade="BF"/>
                        </w:rPr>
                        <w:t>25</w:t>
                      </w:r>
                      <w:r w:rsidR="00517111" w:rsidRPr="00517111">
                        <w:rPr>
                          <w:color w:val="BFBFBF" w:themeColor="background1" w:themeShade="BF"/>
                        </w:rPr>
                        <w:t xml:space="preserve">. </w:t>
                      </w:r>
                      <w:r w:rsidR="00267ACA">
                        <w:rPr>
                          <w:color w:val="BFBFBF" w:themeColor="background1" w:themeShade="BF"/>
                        </w:rPr>
                        <w:t>0</w:t>
                      </w:r>
                      <w:r>
                        <w:rPr>
                          <w:color w:val="BFBFBF" w:themeColor="background1" w:themeShade="BF"/>
                        </w:rPr>
                        <w:t>7</w:t>
                      </w:r>
                      <w:r w:rsidR="00517111" w:rsidRPr="00517111">
                        <w:rPr>
                          <w:color w:val="BFBFBF" w:themeColor="background1" w:themeShade="BF"/>
                        </w:rPr>
                        <w:t>. 201</w:t>
                      </w:r>
                      <w:r w:rsidR="00267ACA">
                        <w:rPr>
                          <w:color w:val="BFBFBF" w:themeColor="background1" w:themeShade="BF"/>
                        </w:rPr>
                        <w:t>9</w:t>
                      </w:r>
                    </w:p>
                  </w:txbxContent>
                </v:textbox>
                <w10:wrap anchorx="margin"/>
              </v:shape>
            </w:pict>
          </mc:Fallback>
        </mc:AlternateContent>
      </w:r>
      <w:r w:rsidRPr="00C74048">
        <w:rPr>
          <w:rFonts w:cs="Arial"/>
          <w:b/>
          <w:color w:val="007E79"/>
          <w:sz w:val="32"/>
          <w:szCs w:val="28"/>
        </w:rPr>
        <w:t>M</w:t>
      </w:r>
      <w:r w:rsidRPr="009139AF">
        <w:rPr>
          <w:rFonts w:cs="Arial"/>
          <w:b/>
          <w:color w:val="007E79"/>
          <w:sz w:val="32"/>
          <w:szCs w:val="28"/>
        </w:rPr>
        <w:t>AKROEKONOMICKÁ PROGNÓZA ČESKÉ BANKOVNÍ ASOCIACE</w:t>
      </w:r>
    </w:p>
    <w:p w14:paraId="486B6FB7" w14:textId="77777777" w:rsidR="00F32F3A" w:rsidRDefault="00F32F3A" w:rsidP="001D5BB9">
      <w:pPr>
        <w:rPr>
          <w:b/>
          <w:color w:val="008080"/>
          <w:sz w:val="22"/>
        </w:rPr>
      </w:pPr>
    </w:p>
    <w:p w14:paraId="4A6E52AD" w14:textId="738ECD6B" w:rsidR="009139AF" w:rsidRDefault="00F32F3A" w:rsidP="001D5BB9">
      <w:r w:rsidRPr="00F32F3A">
        <w:rPr>
          <w:b/>
          <w:color w:val="008080"/>
          <w:sz w:val="22"/>
        </w:rPr>
        <w:t>Odhad ekonomického vývoje ČR pro léta 2019-2020 i nadále komplikují přetrvávající vnější rizika</w:t>
      </w:r>
    </w:p>
    <w:p w14:paraId="6C97E5AB" w14:textId="77777777" w:rsidR="00F32F3A" w:rsidRDefault="00F32F3A" w:rsidP="006478ED">
      <w:pPr>
        <w:rPr>
          <w:rFonts w:cs="Arial"/>
          <w:b/>
          <w:color w:val="007E79"/>
          <w:szCs w:val="22"/>
        </w:rPr>
      </w:pPr>
    </w:p>
    <w:p w14:paraId="4D3BF803" w14:textId="19D2332B" w:rsidR="006478ED" w:rsidRDefault="009139AF" w:rsidP="006478ED">
      <w:pPr>
        <w:rPr>
          <w:b/>
          <w:color w:val="008080"/>
        </w:rPr>
      </w:pPr>
      <w:r w:rsidRPr="00C74048">
        <w:rPr>
          <w:rFonts w:cs="Arial"/>
          <w:b/>
          <w:color w:val="007E79"/>
          <w:szCs w:val="22"/>
        </w:rPr>
        <w:t xml:space="preserve">Praha, </w:t>
      </w:r>
      <w:r w:rsidR="00F32F3A">
        <w:rPr>
          <w:rFonts w:cs="Arial"/>
          <w:b/>
          <w:color w:val="007E79"/>
          <w:szCs w:val="22"/>
        </w:rPr>
        <w:t>25</w:t>
      </w:r>
      <w:r w:rsidRPr="00C74048">
        <w:rPr>
          <w:rFonts w:cs="Arial"/>
          <w:b/>
          <w:color w:val="007E79"/>
          <w:szCs w:val="22"/>
        </w:rPr>
        <w:t xml:space="preserve">. </w:t>
      </w:r>
      <w:r w:rsidR="00F32F3A">
        <w:rPr>
          <w:rFonts w:cs="Arial"/>
          <w:b/>
          <w:color w:val="007E79"/>
          <w:szCs w:val="22"/>
        </w:rPr>
        <w:t>července</w:t>
      </w:r>
      <w:r w:rsidRPr="00C74048">
        <w:rPr>
          <w:rFonts w:cs="Arial"/>
          <w:b/>
          <w:color w:val="007E79"/>
          <w:szCs w:val="22"/>
        </w:rPr>
        <w:t xml:space="preserve"> 201</w:t>
      </w:r>
      <w:r>
        <w:rPr>
          <w:rFonts w:cs="Arial"/>
          <w:b/>
          <w:color w:val="007E79"/>
          <w:szCs w:val="22"/>
        </w:rPr>
        <w:t xml:space="preserve">9 – </w:t>
      </w:r>
      <w:r w:rsidR="00F32F3A" w:rsidRPr="00F32F3A">
        <w:rPr>
          <w:rFonts w:cs="Arial"/>
          <w:b/>
          <w:color w:val="007E79"/>
          <w:szCs w:val="22"/>
        </w:rPr>
        <w:t>Hlavní ekonomové bank zastoupen</w:t>
      </w:r>
      <w:r w:rsidR="00316A23">
        <w:rPr>
          <w:rFonts w:cs="Arial"/>
          <w:b/>
          <w:color w:val="007E79"/>
          <w:szCs w:val="22"/>
        </w:rPr>
        <w:t>í</w:t>
      </w:r>
      <w:r w:rsidR="00F32F3A" w:rsidRPr="00F32F3A">
        <w:rPr>
          <w:rFonts w:cs="Arial"/>
          <w:b/>
          <w:color w:val="007E79"/>
          <w:szCs w:val="22"/>
        </w:rPr>
        <w:t xml:space="preserve"> v prognostickém panelu </w:t>
      </w:r>
      <w:r w:rsidR="00F32F3A">
        <w:rPr>
          <w:rFonts w:cs="Arial"/>
          <w:b/>
          <w:color w:val="007E79"/>
          <w:szCs w:val="22"/>
        </w:rPr>
        <w:t>České bankovní asociace (</w:t>
      </w:r>
      <w:r w:rsidR="00F32F3A" w:rsidRPr="00F32F3A">
        <w:rPr>
          <w:rFonts w:cs="Arial"/>
          <w:b/>
          <w:color w:val="007E79"/>
          <w:szCs w:val="22"/>
        </w:rPr>
        <w:t>ČBA</w:t>
      </w:r>
      <w:r w:rsidR="00F32F3A">
        <w:rPr>
          <w:rFonts w:cs="Arial"/>
          <w:b/>
          <w:color w:val="007E79"/>
          <w:szCs w:val="22"/>
        </w:rPr>
        <w:t>)</w:t>
      </w:r>
      <w:r w:rsidR="00F32F3A" w:rsidRPr="00F32F3A">
        <w:rPr>
          <w:rFonts w:cs="Arial"/>
          <w:b/>
          <w:color w:val="007E79"/>
          <w:szCs w:val="22"/>
        </w:rPr>
        <w:t xml:space="preserve"> ponechávají odhad růstu českého HDP, na kterém se shodli už v předchozím čtvrtletí, tedy na 2,4 % v letošním roce a 2,3 % pro rok 2020. Shodou na růstovém tempu však jednotnost pohledů na další vývoj domácího hospodářství končí. Signály přicházející ze světové ekonomiky během prvního pololetí letošního roku nevnesly do bilance vnější rizik pro výhled otevřené české ekonomiky příliš jasno.</w:t>
      </w:r>
    </w:p>
    <w:p w14:paraId="571BBDCA" w14:textId="77777777" w:rsidR="006478ED" w:rsidRPr="006478ED" w:rsidRDefault="006478ED" w:rsidP="006478ED">
      <w:pPr>
        <w:rPr>
          <w:b/>
          <w:color w:val="008080"/>
        </w:rPr>
      </w:pPr>
    </w:p>
    <w:p w14:paraId="43CD6764" w14:textId="7524005A" w:rsidR="006478ED" w:rsidRDefault="00F32F3A" w:rsidP="006478ED">
      <w:r w:rsidRPr="00F32F3A">
        <w:t xml:space="preserve">V prvním čtvrtletí letošního roku český HDP meziročně vzrostl o stále solidních 2,8 %, tedy obdobným tempem jako loni. Základním scénářem ČBA pro léta 2019 a 2020, stejně jako v minulé prognóze, zůstává hladké přistání s tempy růstu kolem úrovně hospodářského potenciálu, jejichž odhad </w:t>
      </w:r>
      <w:r w:rsidR="00316A23">
        <w:t xml:space="preserve">ČBA </w:t>
      </w:r>
      <w:r w:rsidRPr="00F32F3A">
        <w:t xml:space="preserve">ponechává na 2,4 % letos a 2,3 % napřesrok. Tentokrát se však názory hlavních ekonomů na možnou růstovou trajektorii rozdělily do tří skupin. První názorový proud po mírném snížení letošního růstového tempa odhaduje jeho urychlení v příštím roce, druhý sází pro obě léta na stejné hodnoty, zatímco třetí předpokládá pro tento i příští rok jeho postupný pokles. Za výše uvedenými odhady stojí zejména rozdílné pohledy na vnější rizika a na vývoj investic. Výsledná prognóza </w:t>
      </w:r>
      <w:r>
        <w:t>představuje</w:t>
      </w:r>
      <w:r w:rsidRPr="00F32F3A">
        <w:t xml:space="preserve"> kompromis mezi těmito názory.</w:t>
      </w:r>
    </w:p>
    <w:p w14:paraId="0FD5D873" w14:textId="6C94CD99" w:rsidR="00F32F3A" w:rsidRDefault="00F32F3A" w:rsidP="006478ED">
      <w:pPr>
        <w:rPr>
          <w:b/>
        </w:rPr>
      </w:pPr>
    </w:p>
    <w:p w14:paraId="3D5DA6B2" w14:textId="77777777" w:rsidR="00F32F3A" w:rsidRDefault="00F32F3A" w:rsidP="006478ED">
      <w:pPr>
        <w:rPr>
          <w:b/>
          <w:color w:val="007E79"/>
          <w:sz w:val="20"/>
        </w:rPr>
      </w:pPr>
      <w:r w:rsidRPr="00F32F3A">
        <w:rPr>
          <w:b/>
          <w:color w:val="007E79"/>
          <w:sz w:val="20"/>
        </w:rPr>
        <w:t>Světová ekonomika zásadně ovlivňuje naše hospodářství</w:t>
      </w:r>
    </w:p>
    <w:p w14:paraId="5E7E5640" w14:textId="64707EAA" w:rsidR="006478ED" w:rsidRDefault="00F32F3A" w:rsidP="006478ED">
      <w:r>
        <w:rPr>
          <w:noProof/>
        </w:rPr>
        <mc:AlternateContent>
          <mc:Choice Requires="wps">
            <w:drawing>
              <wp:anchor distT="45720" distB="45720" distL="114300" distR="114300" simplePos="0" relativeHeight="251697152" behindDoc="0" locked="0" layoutInCell="1" allowOverlap="1" wp14:anchorId="350F63AF" wp14:editId="167B1492">
                <wp:simplePos x="0" y="0"/>
                <wp:positionH relativeFrom="margin">
                  <wp:align>right</wp:align>
                </wp:positionH>
                <wp:positionV relativeFrom="paragraph">
                  <wp:posOffset>908685</wp:posOffset>
                </wp:positionV>
                <wp:extent cx="6477000" cy="1047750"/>
                <wp:effectExtent l="0" t="0" r="19050" b="1905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47750"/>
                        </a:xfrm>
                        <a:prstGeom prst="rect">
                          <a:avLst/>
                        </a:prstGeom>
                        <a:solidFill>
                          <a:srgbClr val="FFFFFF"/>
                        </a:solidFill>
                        <a:ln w="9525">
                          <a:solidFill>
                            <a:srgbClr val="000000"/>
                          </a:solidFill>
                          <a:miter lim="800000"/>
                          <a:headEnd/>
                          <a:tailEnd/>
                        </a:ln>
                      </wps:spPr>
                      <wps:txbx>
                        <w:txbxContent>
                          <w:p w14:paraId="630E3FF0" w14:textId="5A581AB2" w:rsidR="006E0634" w:rsidRPr="006E0634" w:rsidRDefault="006E0634" w:rsidP="006E0634">
                            <w:pPr>
                              <w:rPr>
                                <w:color w:val="007E79"/>
                                <w:szCs w:val="18"/>
                              </w:rPr>
                            </w:pPr>
                            <w:r w:rsidRPr="006E0634">
                              <w:rPr>
                                <w:color w:val="007E79"/>
                                <w:szCs w:val="18"/>
                              </w:rPr>
                              <w:t>KOMENTÁŘ</w:t>
                            </w:r>
                            <w:r w:rsidR="00F32F3A">
                              <w:rPr>
                                <w:color w:val="007E79"/>
                                <w:szCs w:val="18"/>
                              </w:rPr>
                              <w:t>/CITACE k přímému použití</w:t>
                            </w:r>
                            <w:r w:rsidRPr="006E0634">
                              <w:rPr>
                                <w:color w:val="007E79"/>
                                <w:szCs w:val="18"/>
                              </w:rPr>
                              <w:t>:</w:t>
                            </w:r>
                          </w:p>
                          <w:p w14:paraId="34B7C99B" w14:textId="6D6B599E" w:rsidR="006E0634" w:rsidRPr="006E0634" w:rsidRDefault="006E0634" w:rsidP="006E0634">
                            <w:pPr>
                              <w:rPr>
                                <w:b/>
                                <w:color w:val="007E79"/>
                                <w:szCs w:val="18"/>
                              </w:rPr>
                            </w:pPr>
                            <w:r>
                              <w:rPr>
                                <w:b/>
                                <w:color w:val="007E79"/>
                                <w:szCs w:val="18"/>
                              </w:rPr>
                              <w:t>Miroslav Zámečník</w:t>
                            </w:r>
                            <w:r w:rsidRPr="006E0634">
                              <w:rPr>
                                <w:b/>
                                <w:color w:val="007E79"/>
                                <w:szCs w:val="18"/>
                              </w:rPr>
                              <w:t xml:space="preserve">, </w:t>
                            </w:r>
                            <w:r>
                              <w:rPr>
                                <w:b/>
                                <w:color w:val="007E79"/>
                                <w:szCs w:val="18"/>
                              </w:rPr>
                              <w:t>ekonomický analytik České bankovní asociace</w:t>
                            </w:r>
                          </w:p>
                          <w:p w14:paraId="7876377D" w14:textId="70813BE2" w:rsidR="00A6286E" w:rsidRDefault="00F32F3A" w:rsidP="006E0634">
                            <w:pPr>
                              <w:rPr>
                                <w:i/>
                                <w:lang w:eastAsia="en-US"/>
                              </w:rPr>
                            </w:pPr>
                            <w:r w:rsidRPr="00F32F3A">
                              <w:rPr>
                                <w:i/>
                                <w:lang w:eastAsia="en-US"/>
                              </w:rPr>
                              <w:t xml:space="preserve">„Míra, s jakou se projeví zpomalení v Německu v české ekonomice, bude závislá na tom, které složky budou nejvíce </w:t>
                            </w:r>
                            <w:r w:rsidR="006B7DE5">
                              <w:rPr>
                                <w:i/>
                                <w:lang w:eastAsia="en-US"/>
                              </w:rPr>
                              <w:t>„</w:t>
                            </w:r>
                            <w:r w:rsidRPr="00F32F3A">
                              <w:rPr>
                                <w:i/>
                                <w:lang w:eastAsia="en-US"/>
                              </w:rPr>
                              <w:t>brzdit“. Česko například vyváží část zboží, které uspokojuje konečnou spotřebu německých domácností (namátkou osobní vozy) a část, která představuje z Česka dovozené komponenty, jež následně v podobě německého vývozu směřují dále do světa. A do třetice, část našeho vývozu končí v německých investicích. Výsledné saldo těchto složek se pak promítá do Česka, přičemž vzhledem k vysoké zaměstnanosti je na tom relativně nejlépe domácí spotřebitelská poptávka</w:t>
                            </w:r>
                            <w:r>
                              <w:rPr>
                                <w:i/>
                                <w:lang w:eastAsia="en-US"/>
                              </w:rPr>
                              <w:t>.</w:t>
                            </w:r>
                            <w:r w:rsidRPr="00F32F3A">
                              <w:rPr>
                                <w:i/>
                                <w:lang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F63AF" id="Textové pole 3" o:spid="_x0000_s1027" type="#_x0000_t202" style="position:absolute;left:0;text-align:left;margin-left:458.8pt;margin-top:71.55pt;width:510pt;height:82.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">
                <v:textbox>
                  <w:txbxContent>
                    <w:p w14:paraId="630E3FF0" w14:textId="5A581AB2" w:rsidR="006E0634" w:rsidRPr="006E0634" w:rsidRDefault="006E0634" w:rsidP="006E0634">
                      <w:pPr>
                        <w:rPr>
                          <w:color w:val="007E79"/>
                          <w:szCs w:val="18"/>
                        </w:rPr>
                      </w:pPr>
                      <w:r w:rsidRPr="006E0634">
                        <w:rPr>
                          <w:color w:val="007E79"/>
                          <w:szCs w:val="18"/>
                        </w:rPr>
                        <w:t>KOMENTÁŘ</w:t>
                      </w:r>
                      <w:r w:rsidR="00F32F3A">
                        <w:rPr>
                          <w:color w:val="007E79"/>
                          <w:szCs w:val="18"/>
                        </w:rPr>
                        <w:t>/CITACE k přímému použití</w:t>
                      </w:r>
                      <w:r w:rsidRPr="006E0634">
                        <w:rPr>
                          <w:color w:val="007E79"/>
                          <w:szCs w:val="18"/>
                        </w:rPr>
                        <w:t>:</w:t>
                      </w:r>
                    </w:p>
                    <w:p w14:paraId="34B7C99B" w14:textId="6D6B599E" w:rsidR="006E0634" w:rsidRPr="006E0634" w:rsidRDefault="006E0634" w:rsidP="006E0634">
                      <w:pPr>
                        <w:rPr>
                          <w:b/>
                          <w:color w:val="007E79"/>
                          <w:szCs w:val="18"/>
                        </w:rPr>
                      </w:pPr>
                      <w:r>
                        <w:rPr>
                          <w:b/>
                          <w:color w:val="007E79"/>
                          <w:szCs w:val="18"/>
                        </w:rPr>
                        <w:t>Miroslav Zámečník</w:t>
                      </w:r>
                      <w:r w:rsidRPr="006E0634">
                        <w:rPr>
                          <w:b/>
                          <w:color w:val="007E79"/>
                          <w:szCs w:val="18"/>
                        </w:rPr>
                        <w:t xml:space="preserve">, </w:t>
                      </w:r>
                      <w:r>
                        <w:rPr>
                          <w:b/>
                          <w:color w:val="007E79"/>
                          <w:szCs w:val="18"/>
                        </w:rPr>
                        <w:t>ekonomický analytik České bankovní asociace</w:t>
                      </w:r>
                    </w:p>
                    <w:p w14:paraId="7876377D" w14:textId="70813BE2" w:rsidR="00A6286E" w:rsidRDefault="00F32F3A" w:rsidP="006E0634">
                      <w:pPr>
                        <w:rPr>
                          <w:i/>
                          <w:lang w:eastAsia="en-US"/>
                        </w:rPr>
                      </w:pPr>
                      <w:r w:rsidRPr="00F32F3A">
                        <w:rPr>
                          <w:i/>
                          <w:lang w:eastAsia="en-US"/>
                        </w:rPr>
                        <w:t xml:space="preserve">„Míra, s jakou se projeví zpomalení v Německu v české ekonomice, bude závislá na tom, které složky budou nejvíce </w:t>
                      </w:r>
                      <w:r w:rsidR="006B7DE5">
                        <w:rPr>
                          <w:i/>
                          <w:lang w:eastAsia="en-US"/>
                        </w:rPr>
                        <w:t>„</w:t>
                      </w:r>
                      <w:r w:rsidRPr="00F32F3A">
                        <w:rPr>
                          <w:i/>
                          <w:lang w:eastAsia="en-US"/>
                        </w:rPr>
                        <w:t>brzdit“. Česko například vyváží část zboží, které uspokojuje konečnou spotřebu německých domácností (namátkou osobní vozy) a část, která představuje z Česka dovozené komponenty, jež následně v podobě německého vývozu směřují dále do světa. A do třetice, část našeho vývozu končí v německých investicích. Výsledné saldo těchto složek se pak promítá do Česka, přičemž vzhledem k vysoké zaměstnanosti je na tom relativně nejlépe domácí spotřebitelská poptávka</w:t>
                      </w:r>
                      <w:r>
                        <w:rPr>
                          <w:i/>
                          <w:lang w:eastAsia="en-US"/>
                        </w:rPr>
                        <w:t>.</w:t>
                      </w:r>
                      <w:r w:rsidRPr="00F32F3A">
                        <w:rPr>
                          <w:i/>
                          <w:lang w:eastAsia="en-US"/>
                        </w:rPr>
                        <w:t>“</w:t>
                      </w:r>
                    </w:p>
                  </w:txbxContent>
                </v:textbox>
                <w10:wrap type="square" anchorx="margin"/>
              </v:shape>
            </w:pict>
          </mc:Fallback>
        </mc:AlternateContent>
      </w:r>
      <w:r>
        <w:t>Pro otevřenou českou ekonomiku je zásadní vývoj vnějšího ekonomického prostředí a rizik zde vznikajících, zejména pak vývoj německého hospodářství. V současnosti jsou exportní objednávky německých firem na minimu (ve strojírenství meziročně poklesly o cca 10 %) a ani jejich výhled se nelepší. Německé firmy také čekají na uvolnění napětí mezi USA a Čínou a neinvestují. Domácí s</w:t>
      </w:r>
      <w:r w:rsidRPr="00646B4D">
        <w:t xml:space="preserve">potřeba je </w:t>
      </w:r>
      <w:r>
        <w:t xml:space="preserve">však </w:t>
      </w:r>
      <w:r w:rsidRPr="00646B4D">
        <w:t>robustní, mzdy rostou</w:t>
      </w:r>
      <w:r>
        <w:t xml:space="preserve"> a</w:t>
      </w:r>
      <w:r w:rsidRPr="00646B4D">
        <w:t xml:space="preserve"> fiskální </w:t>
      </w:r>
      <w:r>
        <w:t>stimul v podobě vyšší míry podpory rodin s dětmi</w:t>
      </w:r>
      <w:r w:rsidRPr="00646B4D">
        <w:t xml:space="preserve"> drží soukromou spotřebu stále na solidním základě.</w:t>
      </w:r>
      <w:r>
        <w:t xml:space="preserve"> Odhady letošního růstu </w:t>
      </w:r>
      <w:r w:rsidRPr="005F6E76">
        <w:t>německé</w:t>
      </w:r>
      <w:r>
        <w:t xml:space="preserve"> ekonomiky z dílny MMF i </w:t>
      </w:r>
      <w:r w:rsidRPr="005C6727">
        <w:t>EK se pohybují pod úrovní jednoho procenta, přičemž pro rok 2020 očekávají obě instituce návrat na trajektorii kolem 1,5 %.</w:t>
      </w:r>
      <w:r>
        <w:t xml:space="preserve"> </w:t>
      </w:r>
    </w:p>
    <w:p w14:paraId="26BD6BB5" w14:textId="0FF2BE08" w:rsidR="00F32F3A" w:rsidRDefault="00F32F3A" w:rsidP="006478ED"/>
    <w:p w14:paraId="4BD9BA8C" w14:textId="4B555C9B" w:rsidR="00F32F3A" w:rsidRDefault="00F32F3A" w:rsidP="00F32F3A">
      <w:r>
        <w:t>Pokud jde o odhad růstu HDP v eurozóně, snižujeme jej na 1,1 % v letošním roce a ani pro rok 2020 nevidíme signály toho, že by se toto tempo mělo měnit směrem vzhůru. Ani z většiny ostatních zemí eurozóny totiž zatím výrazně dobré zprávy nepřicházejí. Ekonomický sentiment sestoupil na nejslabší úroveň za tři roky</w:t>
      </w:r>
      <w:r w:rsidR="006B7DE5">
        <w:t xml:space="preserve"> –</w:t>
      </w:r>
      <w:r>
        <w:t xml:space="preserve"> vedle Německa hlavně kvůli Itálii. Obdobně jako Německo je na tom co do tempa růstu i Francie</w:t>
      </w:r>
      <w:r w:rsidRPr="005C6727">
        <w:t xml:space="preserve">, ačkoli u ní jsou očekávání MMF i EK pro letošek o něco optimističtější. Zhoršení výhledu postihlo i některé menší ekonomiky, např. Rakousko. Existují ale i vítané výchylky na opačnou stranu, např. Španělsko s tempem </w:t>
      </w:r>
      <w:r>
        <w:t xml:space="preserve">růstu poblíž 3 %. </w:t>
      </w:r>
    </w:p>
    <w:p w14:paraId="7AD664BF" w14:textId="2E7DF548" w:rsidR="00F32F3A" w:rsidRDefault="00F32F3A" w:rsidP="00F32F3A"/>
    <w:p w14:paraId="7061EFD2" w14:textId="74A36D71" w:rsidR="00F32F3A" w:rsidRDefault="00F32F3A" w:rsidP="00F32F3A">
      <w:r>
        <w:t>Obchodní válka USA – Čína se stala realitou a je to konflikt, který může rozkolísat celou globální ekonomiku. Tempo růstu HDP ve Spojených státech v prvním čtvrtletí sice zrychlilo, ale nejistota ohledně dalšího vývoje přetrvává a nadále platí predikce (možná výrazného) zpomalení. Otázka je, zda by případná stimulace ekonomiky ze strany centrální banky v této situaci pomohla. Čína má dvojí problém.</w:t>
      </w:r>
      <w:r w:rsidR="006B7DE5">
        <w:t xml:space="preserve"> </w:t>
      </w:r>
      <w:r>
        <w:t xml:space="preserve">Za prvé jsou zde citelné dopady celní války s USA. A za druhé je tu skutečnost, že čínský hospodářský růst </w:t>
      </w:r>
      <w:r w:rsidR="00604274">
        <w:t xml:space="preserve">byl </w:t>
      </w:r>
      <w:r>
        <w:t xml:space="preserve">doposud </w:t>
      </w:r>
      <w:r w:rsidR="003D104A">
        <w:t xml:space="preserve">hodně </w:t>
      </w:r>
      <w:r>
        <w:t>tažen investicemi financovanými dluhy a byl tak dlouhodobě rizikový. Nyní dynamika investic padá, což je z pohledu finanční stability země správný trend, ale zase oslabuje ekonomický růst (ve 2. čtvrtletí 2019 rostlo čínské HDP nejpomalejším tempem za posledních 30 let). Kdyby nyní čínská hospodářská politika přišla se strategií kompenzovat zpomalení růstu oživením investic, zejména do infrastruktury, dluhové riziko opětovně posílí. Celkově jde o těžké dilema s nejistým dalším vývojem.</w:t>
      </w:r>
    </w:p>
    <w:p w14:paraId="783A4C63" w14:textId="78E41E1E" w:rsidR="00F32F3A" w:rsidRDefault="00F32F3A" w:rsidP="00F32F3A"/>
    <w:p w14:paraId="1128C6C3" w14:textId="1B396833" w:rsidR="006478ED" w:rsidRDefault="00F32F3A" w:rsidP="00F32F3A">
      <w:r>
        <w:rPr>
          <w:noProof/>
        </w:rPr>
        <mc:AlternateContent>
          <mc:Choice Requires="wps">
            <w:drawing>
              <wp:anchor distT="45720" distB="45720" distL="114300" distR="114300" simplePos="0" relativeHeight="251699200" behindDoc="0" locked="0" layoutInCell="1" allowOverlap="1" wp14:anchorId="4F82FEF0" wp14:editId="045F2BEC">
                <wp:simplePos x="0" y="0"/>
                <wp:positionH relativeFrom="margin">
                  <wp:align>left</wp:align>
                </wp:positionH>
                <wp:positionV relativeFrom="paragraph">
                  <wp:posOffset>372745</wp:posOffset>
                </wp:positionV>
                <wp:extent cx="6477000" cy="495300"/>
                <wp:effectExtent l="0" t="0" r="19050" b="19050"/>
                <wp:wrapSquare wrapText="bothSides"/>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95300"/>
                        </a:xfrm>
                        <a:prstGeom prst="rect">
                          <a:avLst/>
                        </a:prstGeom>
                        <a:solidFill>
                          <a:srgbClr val="FFFFFF"/>
                        </a:solidFill>
                        <a:ln w="9525">
                          <a:solidFill>
                            <a:srgbClr val="000000"/>
                          </a:solidFill>
                          <a:miter lim="800000"/>
                          <a:headEnd/>
                          <a:tailEnd/>
                        </a:ln>
                      </wps:spPr>
                      <wps:txbx>
                        <w:txbxContent>
                          <w:p w14:paraId="5F0FBCB0" w14:textId="77777777" w:rsidR="00F32F3A" w:rsidRPr="006E0634" w:rsidRDefault="00F32F3A" w:rsidP="00F32F3A">
                            <w:pPr>
                              <w:rPr>
                                <w:color w:val="007E79"/>
                                <w:szCs w:val="18"/>
                              </w:rPr>
                            </w:pPr>
                            <w:r w:rsidRPr="006E0634">
                              <w:rPr>
                                <w:color w:val="007E79"/>
                                <w:szCs w:val="18"/>
                              </w:rPr>
                              <w:t>KOMENTÁŘ</w:t>
                            </w:r>
                            <w:r>
                              <w:rPr>
                                <w:color w:val="007E79"/>
                                <w:szCs w:val="18"/>
                              </w:rPr>
                              <w:t>/CITACE k přímému použití</w:t>
                            </w:r>
                            <w:r w:rsidRPr="006E0634">
                              <w:rPr>
                                <w:color w:val="007E79"/>
                                <w:szCs w:val="18"/>
                              </w:rPr>
                              <w:t>:</w:t>
                            </w:r>
                          </w:p>
                          <w:p w14:paraId="79C68540" w14:textId="0CEA2299" w:rsidR="00F32F3A" w:rsidRDefault="001C297A" w:rsidP="00F32F3A">
                            <w:pPr>
                              <w:rPr>
                                <w:b/>
                                <w:color w:val="007E79"/>
                                <w:szCs w:val="18"/>
                              </w:rPr>
                            </w:pPr>
                            <w:r>
                              <w:rPr>
                                <w:b/>
                                <w:color w:val="007E79"/>
                                <w:szCs w:val="18"/>
                              </w:rPr>
                              <w:t>Petr Dufek, ekonom ČSOB</w:t>
                            </w:r>
                          </w:p>
                          <w:p w14:paraId="627C15FD" w14:textId="4A30B3EF" w:rsidR="00F32F3A" w:rsidRPr="00F32F3A" w:rsidRDefault="00F32F3A" w:rsidP="00F32F3A">
                            <w:pPr>
                              <w:rPr>
                                <w:i/>
                                <w:lang w:eastAsia="en-US"/>
                              </w:rPr>
                            </w:pPr>
                            <w:r w:rsidRPr="00F32F3A">
                              <w:rPr>
                                <w:i/>
                                <w:lang w:eastAsia="en-US"/>
                              </w:rPr>
                              <w:t>„ČR je stále jednou z nejprůmyslovějších zemí Evropy, a proto i její úspěch stojí a padá s vývojem v tomto odvětví.“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2FEF0" id="_x0000_t202" coordsize="21600,21600" o:spt="202" path="m,l,21600r21600,l21600,xe">
                <v:stroke joinstyle="miter"/>
                <v:path gradientshapeok="t" o:connecttype="rect"/>
              </v:shapetype>
              <v:shape id="Textové pole 4" o:spid="_x0000_s1028" type="#_x0000_t202" style="position:absolute;left:0;text-align:left;margin-left:0;margin-top:29.35pt;width:510pt;height:39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">
                <v:textbox>
                  <w:txbxContent>
                    <w:p w14:paraId="5F0FBCB0" w14:textId="77777777" w:rsidR="00F32F3A" w:rsidRPr="006E0634" w:rsidRDefault="00F32F3A" w:rsidP="00F32F3A">
                      <w:pPr>
                        <w:rPr>
                          <w:color w:val="007E79"/>
                          <w:szCs w:val="18"/>
                        </w:rPr>
                      </w:pPr>
                      <w:r w:rsidRPr="006E0634">
                        <w:rPr>
                          <w:color w:val="007E79"/>
                          <w:szCs w:val="18"/>
                        </w:rPr>
                        <w:t>KOMENTÁŘ</w:t>
                      </w:r>
                      <w:r>
                        <w:rPr>
                          <w:color w:val="007E79"/>
                          <w:szCs w:val="18"/>
                        </w:rPr>
                        <w:t>/CITACE k přímému použití</w:t>
                      </w:r>
                      <w:r w:rsidRPr="006E0634">
                        <w:rPr>
                          <w:color w:val="007E79"/>
                          <w:szCs w:val="18"/>
                        </w:rPr>
                        <w:t>:</w:t>
                      </w:r>
                    </w:p>
                    <w:p w14:paraId="79C68540" w14:textId="0CEA2299" w:rsidR="00F32F3A" w:rsidRDefault="001C297A" w:rsidP="00F32F3A">
                      <w:pPr>
                        <w:rPr>
                          <w:b/>
                          <w:color w:val="007E79"/>
                          <w:szCs w:val="18"/>
                        </w:rPr>
                      </w:pPr>
                      <w:r>
                        <w:rPr>
                          <w:b/>
                          <w:color w:val="007E79"/>
                          <w:szCs w:val="18"/>
                        </w:rPr>
                        <w:t>Petr Dufek, ekonom ČSOB</w:t>
                      </w:r>
                    </w:p>
                    <w:p w14:paraId="627C15FD" w14:textId="4A30B3EF" w:rsidR="00F32F3A" w:rsidRPr="00F32F3A" w:rsidRDefault="00F32F3A" w:rsidP="00F32F3A">
                      <w:pPr>
                        <w:rPr>
                          <w:i/>
                          <w:lang w:eastAsia="en-US"/>
                        </w:rPr>
                      </w:pPr>
                      <w:r w:rsidRPr="00F32F3A">
                        <w:rPr>
                          <w:i/>
                          <w:lang w:eastAsia="en-US"/>
                        </w:rPr>
                        <w:t>„ČR je stále jednou z nejprůmyslovějších zemí Evropy, a proto i její úspěch stojí a padá s vývojem v tomto odvětví.“</w:t>
                      </w:r>
                    </w:p>
                  </w:txbxContent>
                </v:textbox>
                <w10:wrap type="square" anchorx="margin"/>
              </v:shape>
            </w:pict>
          </mc:Fallback>
        </mc:AlternateContent>
      </w:r>
      <w:r>
        <w:t>Shora uvedené vytváří pro českou ekonomiku nejistotu na druhou: jednak přímo ohrožením českých exportů, ale ještě silněji nepřímo, to jest ohrožením objednávkové knihy českých subdodavatelů německých exportérů.</w:t>
      </w:r>
    </w:p>
    <w:p w14:paraId="48E4C921" w14:textId="00F15943" w:rsidR="00F32F3A" w:rsidRPr="00F32F3A" w:rsidRDefault="00F32F3A" w:rsidP="006478ED">
      <w:r w:rsidRPr="00F32F3A">
        <w:lastRenderedPageBreak/>
        <w:t>Z vnějších faktorů nelze opominout ani odchod Velké Británie z EU, který zatím nenastal</w:t>
      </w:r>
      <w:r w:rsidR="003D104A">
        <w:t>,</w:t>
      </w:r>
      <w:r w:rsidRPr="00F32F3A">
        <w:t xml:space="preserve"> a ani naposledy ohlášený 31. říjen se nejeví jako sázka na jistotu. Otevřeny přitom zůstávají všechny možn</w:t>
      </w:r>
      <w:r w:rsidR="00604274">
        <w:t>osti</w:t>
      </w:r>
      <w:r w:rsidR="003D104A">
        <w:t xml:space="preserve"> </w:t>
      </w:r>
      <w:r w:rsidRPr="00F32F3A">
        <w:t>od tvrdého brexitu přes celní unii až po zachování členství v EU.</w:t>
      </w:r>
    </w:p>
    <w:p w14:paraId="3075BF0F" w14:textId="25B950A2" w:rsidR="00F32F3A" w:rsidRDefault="00F32F3A" w:rsidP="006478ED">
      <w:pPr>
        <w:rPr>
          <w:b/>
          <w:color w:val="007E79"/>
          <w:sz w:val="20"/>
        </w:rPr>
      </w:pPr>
    </w:p>
    <w:p w14:paraId="7306EF6D" w14:textId="77777777" w:rsidR="00F32F3A" w:rsidRDefault="00F32F3A" w:rsidP="006478ED">
      <w:pPr>
        <w:rPr>
          <w:b/>
          <w:color w:val="007E79"/>
          <w:sz w:val="20"/>
        </w:rPr>
      </w:pPr>
      <w:r w:rsidRPr="00F32F3A">
        <w:rPr>
          <w:b/>
          <w:color w:val="007E79"/>
          <w:sz w:val="20"/>
        </w:rPr>
        <w:t>Hospodářský růst Česka a jeho výhled</w:t>
      </w:r>
    </w:p>
    <w:p w14:paraId="20B152A7" w14:textId="77777777" w:rsidR="00F32F3A" w:rsidRDefault="00F32F3A" w:rsidP="00F32F3A">
      <w:r>
        <w:t>Pokud jde o tuzemské faktory růstu, nadále odhadujeme, že na předpokládané růstové dynamice se budou rovnoměrně podílet jak soukromá, tak vládní spotřeba a také tempo růstu investic. Růst investic by měl klesnout z loňských mimořádných 7,2 % na 2,8 % letos a dosáhnout 3 % v roce příštím. Určitou roli tady hraje i průběh čerpání strukturálních a investičních fondů EU, který nijak nesouvisí s průběhem hospodářského cyklu, nicméně jej ovlivňuje.</w:t>
      </w:r>
    </w:p>
    <w:p w14:paraId="4DBC929B" w14:textId="18A16D32" w:rsidR="00F32F3A" w:rsidRDefault="00F32F3A" w:rsidP="00F32F3A"/>
    <w:p w14:paraId="66D969C9" w14:textId="1A6B7E5E" w:rsidR="006478ED" w:rsidRDefault="00F32F3A" w:rsidP="00F32F3A">
      <w:r>
        <w:rPr>
          <w:noProof/>
        </w:rPr>
        <mc:AlternateContent>
          <mc:Choice Requires="wps">
            <w:drawing>
              <wp:anchor distT="45720" distB="45720" distL="114300" distR="114300" simplePos="0" relativeHeight="251701248" behindDoc="0" locked="0" layoutInCell="1" allowOverlap="1" wp14:anchorId="37250B3B" wp14:editId="28DB9F83">
                <wp:simplePos x="0" y="0"/>
                <wp:positionH relativeFrom="margin">
                  <wp:align>right</wp:align>
                </wp:positionH>
                <wp:positionV relativeFrom="paragraph">
                  <wp:posOffset>598170</wp:posOffset>
                </wp:positionV>
                <wp:extent cx="6438900" cy="1647190"/>
                <wp:effectExtent l="0" t="0" r="19050" b="23495"/>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647190"/>
                        </a:xfrm>
                        <a:prstGeom prst="rect">
                          <a:avLst/>
                        </a:prstGeom>
                        <a:solidFill>
                          <a:srgbClr val="FFFFFF"/>
                        </a:solidFill>
                        <a:ln w="9525">
                          <a:solidFill>
                            <a:srgbClr val="000000"/>
                          </a:solidFill>
                          <a:miter lim="800000"/>
                          <a:headEnd/>
                          <a:tailEnd/>
                        </a:ln>
                      </wps:spPr>
                      <wps:txbx>
                        <w:txbxContent>
                          <w:p w14:paraId="3A6259FF" w14:textId="77777777" w:rsidR="002D12BD" w:rsidRPr="006E0634" w:rsidRDefault="002D12BD" w:rsidP="002D12BD">
                            <w:pPr>
                              <w:rPr>
                                <w:color w:val="007E79"/>
                                <w:szCs w:val="18"/>
                              </w:rPr>
                            </w:pPr>
                            <w:r w:rsidRPr="006E0634">
                              <w:rPr>
                                <w:color w:val="007E79"/>
                                <w:szCs w:val="18"/>
                              </w:rPr>
                              <w:t>KOMENTÁŘ</w:t>
                            </w:r>
                            <w:r>
                              <w:rPr>
                                <w:color w:val="007E79"/>
                                <w:szCs w:val="18"/>
                              </w:rPr>
                              <w:t>/CITACE k přímému použití</w:t>
                            </w:r>
                            <w:r w:rsidRPr="006E0634">
                              <w:rPr>
                                <w:color w:val="007E79"/>
                                <w:szCs w:val="18"/>
                              </w:rPr>
                              <w:t>:</w:t>
                            </w:r>
                          </w:p>
                          <w:p w14:paraId="77FB7121" w14:textId="0D3DF18C" w:rsidR="001C297A" w:rsidRDefault="001C297A" w:rsidP="001C297A">
                            <w:pPr>
                              <w:rPr>
                                <w:b/>
                                <w:color w:val="007E79"/>
                                <w:szCs w:val="18"/>
                              </w:rPr>
                            </w:pPr>
                            <w:r>
                              <w:rPr>
                                <w:b/>
                                <w:color w:val="007E79"/>
                                <w:szCs w:val="18"/>
                              </w:rPr>
                              <w:t xml:space="preserve">Petr Dufek, </w:t>
                            </w:r>
                            <w:bookmarkStart w:id="0" w:name="_GoBack"/>
                            <w:bookmarkEnd w:id="0"/>
                            <w:r>
                              <w:rPr>
                                <w:b/>
                                <w:color w:val="007E79"/>
                                <w:szCs w:val="18"/>
                              </w:rPr>
                              <w:t>ekonom ČSOB</w:t>
                            </w:r>
                          </w:p>
                          <w:p w14:paraId="76B934BB" w14:textId="391ED91B" w:rsidR="00F32F3A" w:rsidRPr="006E0634" w:rsidRDefault="001C297A" w:rsidP="001C297A">
                            <w:pPr>
                              <w:rPr>
                                <w:rFonts w:cs="Arial"/>
                                <w:i/>
                                <w:iCs/>
                                <w:szCs w:val="18"/>
                              </w:rPr>
                            </w:pPr>
                            <w:r w:rsidRPr="00F32F3A">
                              <w:rPr>
                                <w:rFonts w:cs="Arial"/>
                                <w:i/>
                                <w:szCs w:val="18"/>
                              </w:rPr>
                              <w:t xml:space="preserve"> </w:t>
                            </w:r>
                            <w:r w:rsidR="00F32F3A" w:rsidRPr="00F32F3A">
                              <w:rPr>
                                <w:rFonts w:cs="Arial"/>
                                <w:i/>
                                <w:szCs w:val="18"/>
                              </w:rPr>
                              <w:t xml:space="preserve">„Strach a nejistota jsou největšími nepřáteli současné konjunktury </w:t>
                            </w:r>
                            <w:r w:rsidR="003D104A" w:rsidRPr="00F32F3A">
                              <w:rPr>
                                <w:rFonts w:cs="Arial"/>
                                <w:i/>
                                <w:szCs w:val="18"/>
                              </w:rPr>
                              <w:t>evropské,</w:t>
                            </w:r>
                            <w:r w:rsidR="00F32F3A" w:rsidRPr="00F32F3A">
                              <w:rPr>
                                <w:rFonts w:cs="Arial"/>
                                <w:i/>
                                <w:szCs w:val="18"/>
                              </w:rPr>
                              <w:t xml:space="preserve"> a tedy i české ekonomiky. Ať už jde o potenciální brexit, zpomalování růstu nejvýznamnějších světových ekonomik nebo třeba vynucený nástup nových technologií do automobilového průmyslu. Taková situace často nahrává odkladům firemních investic, větší obezřetnosti spotřebitelů a v konečném důsledku i ztrátě hospodářského tempa.“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250B3B" id="Textové pole 5" o:spid="_x0000_s1029" type="#_x0000_t202" style="position:absolute;left:0;text-align:left;margin-left:455.8pt;margin-top:47.1pt;width:507pt;height:129.7pt;z-index:251701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">
                <v:textbox style="mso-fit-shape-to-text:t">
                  <w:txbxContent>
                    <w:p w14:paraId="3A6259FF" w14:textId="77777777" w:rsidR="002D12BD" w:rsidRPr="006E0634" w:rsidRDefault="002D12BD" w:rsidP="002D12BD">
                      <w:pPr>
                        <w:rPr>
                          <w:color w:val="007E79"/>
                          <w:szCs w:val="18"/>
                        </w:rPr>
                      </w:pPr>
                      <w:r w:rsidRPr="006E0634">
                        <w:rPr>
                          <w:color w:val="007E79"/>
                          <w:szCs w:val="18"/>
                        </w:rPr>
                        <w:t>KOMENTÁŘ</w:t>
                      </w:r>
                      <w:r>
                        <w:rPr>
                          <w:color w:val="007E79"/>
                          <w:szCs w:val="18"/>
                        </w:rPr>
                        <w:t>/CITACE k přímému použití</w:t>
                      </w:r>
                      <w:r w:rsidRPr="006E0634">
                        <w:rPr>
                          <w:color w:val="007E79"/>
                          <w:szCs w:val="18"/>
                        </w:rPr>
                        <w:t>:</w:t>
                      </w:r>
                    </w:p>
                    <w:p w14:paraId="77FB7121" w14:textId="0D3DF18C" w:rsidR="001C297A" w:rsidRDefault="001C297A" w:rsidP="001C297A">
                      <w:pPr>
                        <w:rPr>
                          <w:b/>
                          <w:color w:val="007E79"/>
                          <w:szCs w:val="18"/>
                        </w:rPr>
                      </w:pPr>
                      <w:r>
                        <w:rPr>
                          <w:b/>
                          <w:color w:val="007E79"/>
                          <w:szCs w:val="18"/>
                        </w:rPr>
                        <w:t xml:space="preserve">Petr Dufek, </w:t>
                      </w:r>
                      <w:bookmarkStart w:id="1" w:name="_GoBack"/>
                      <w:bookmarkEnd w:id="1"/>
                      <w:r>
                        <w:rPr>
                          <w:b/>
                          <w:color w:val="007E79"/>
                          <w:szCs w:val="18"/>
                        </w:rPr>
                        <w:t>ekonom ČSOB</w:t>
                      </w:r>
                    </w:p>
                    <w:p w14:paraId="76B934BB" w14:textId="391ED91B" w:rsidR="00F32F3A" w:rsidRPr="006E0634" w:rsidRDefault="001C297A" w:rsidP="001C297A">
                      <w:pPr>
                        <w:rPr>
                          <w:rFonts w:cs="Arial"/>
                          <w:i/>
                          <w:iCs/>
                          <w:szCs w:val="18"/>
                        </w:rPr>
                      </w:pPr>
                      <w:r w:rsidRPr="00F32F3A">
                        <w:rPr>
                          <w:rFonts w:cs="Arial"/>
                          <w:i/>
                          <w:szCs w:val="18"/>
                        </w:rPr>
                        <w:t xml:space="preserve"> </w:t>
                      </w:r>
                      <w:r w:rsidR="00F32F3A" w:rsidRPr="00F32F3A">
                        <w:rPr>
                          <w:rFonts w:cs="Arial"/>
                          <w:i/>
                          <w:szCs w:val="18"/>
                        </w:rPr>
                        <w:t xml:space="preserve">„Strach a nejistota jsou největšími nepřáteli současné konjunktury </w:t>
                      </w:r>
                      <w:r w:rsidR="003D104A" w:rsidRPr="00F32F3A">
                        <w:rPr>
                          <w:rFonts w:cs="Arial"/>
                          <w:i/>
                          <w:szCs w:val="18"/>
                        </w:rPr>
                        <w:t>evropské,</w:t>
                      </w:r>
                      <w:r w:rsidR="00F32F3A" w:rsidRPr="00F32F3A">
                        <w:rPr>
                          <w:rFonts w:cs="Arial"/>
                          <w:i/>
                          <w:szCs w:val="18"/>
                        </w:rPr>
                        <w:t xml:space="preserve"> a tedy i české ekonomiky. Ať už jde o potenciální brexit, zpomalování růstu nejvýznamnějších světových ekonomik nebo třeba vynucený nástup nových technologií do automobilového průmyslu. Taková situace často nahrává odkladům firemních investic, větší obezřetnosti spotřebitelů a v konečném důsledku i ztrátě hospodářského tempa.“</w:t>
                      </w:r>
                    </w:p>
                  </w:txbxContent>
                </v:textbox>
                <w10:wrap type="square" anchorx="margin"/>
              </v:shape>
            </w:pict>
          </mc:Fallback>
        </mc:AlternateContent>
      </w:r>
      <w:r>
        <w:t>Statisticky lze zatím nadále pozorovat přetrvávající příznaky hospodářského přehřátí české ekonomiky, ať už je to mezi zeměmi EU nejnižší nezaměstnanost, či dynamický růst nominálních mezd o 6,7 % letos a 5,5 % v roce 2020. Růst mezd se však vzhledem k vyšší inflaci zejména v letošním roce promítne do kupní síly domácností méně, než tomu bylo v předcházejícím období. Tomu odpovídá i očekávané snižování tempa růstu soukromé spotřeby na 2,8 % letos a 2,6 % v příštím roce.</w:t>
      </w:r>
    </w:p>
    <w:p w14:paraId="3DBC33BD" w14:textId="041952E1" w:rsidR="006478ED" w:rsidRDefault="006478ED" w:rsidP="006478ED"/>
    <w:p w14:paraId="6861CF79" w14:textId="77777777" w:rsidR="002D12BD" w:rsidRDefault="002D12BD" w:rsidP="006478ED">
      <w:pPr>
        <w:rPr>
          <w:b/>
          <w:color w:val="007E79"/>
          <w:sz w:val="20"/>
        </w:rPr>
      </w:pPr>
      <w:r w:rsidRPr="002D12BD">
        <w:rPr>
          <w:b/>
          <w:color w:val="007E79"/>
          <w:sz w:val="20"/>
        </w:rPr>
        <w:t>Změny na trhu práce?</w:t>
      </w:r>
    </w:p>
    <w:p w14:paraId="45AB21E7" w14:textId="6FC89D0E" w:rsidR="006478ED" w:rsidRDefault="002D12BD" w:rsidP="006478ED">
      <w:r>
        <w:rPr>
          <w:noProof/>
        </w:rPr>
        <mc:AlternateContent>
          <mc:Choice Requires="wps">
            <w:drawing>
              <wp:anchor distT="45720" distB="45720" distL="114300" distR="114300" simplePos="0" relativeHeight="251695104" behindDoc="0" locked="0" layoutInCell="1" allowOverlap="1" wp14:anchorId="3BDA004F" wp14:editId="16A785F1">
                <wp:simplePos x="0" y="0"/>
                <wp:positionH relativeFrom="margin">
                  <wp:posOffset>-16510</wp:posOffset>
                </wp:positionH>
                <wp:positionV relativeFrom="paragraph">
                  <wp:posOffset>645795</wp:posOffset>
                </wp:positionV>
                <wp:extent cx="6438900" cy="1647190"/>
                <wp:effectExtent l="0" t="0" r="19050" b="2032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647190"/>
                        </a:xfrm>
                        <a:prstGeom prst="rect">
                          <a:avLst/>
                        </a:prstGeom>
                        <a:solidFill>
                          <a:srgbClr val="FFFFFF"/>
                        </a:solidFill>
                        <a:ln w="9525">
                          <a:solidFill>
                            <a:srgbClr val="000000"/>
                          </a:solidFill>
                          <a:miter lim="800000"/>
                          <a:headEnd/>
                          <a:tailEnd/>
                        </a:ln>
                      </wps:spPr>
                      <wps:txbx>
                        <w:txbxContent>
                          <w:p w14:paraId="6A23543D" w14:textId="77777777" w:rsidR="002D12BD" w:rsidRPr="006E0634" w:rsidRDefault="002D12BD" w:rsidP="002D12BD">
                            <w:pPr>
                              <w:rPr>
                                <w:color w:val="007E79"/>
                                <w:szCs w:val="18"/>
                              </w:rPr>
                            </w:pPr>
                            <w:r w:rsidRPr="006E0634">
                              <w:rPr>
                                <w:color w:val="007E79"/>
                                <w:szCs w:val="18"/>
                              </w:rPr>
                              <w:t>KOMENTÁŘ</w:t>
                            </w:r>
                            <w:r>
                              <w:rPr>
                                <w:color w:val="007E79"/>
                                <w:szCs w:val="18"/>
                              </w:rPr>
                              <w:t>/CITACE k přímému použití</w:t>
                            </w:r>
                            <w:r w:rsidRPr="006E0634">
                              <w:rPr>
                                <w:color w:val="007E79"/>
                                <w:szCs w:val="18"/>
                              </w:rPr>
                              <w:t>:</w:t>
                            </w:r>
                          </w:p>
                          <w:p w14:paraId="1A0D6E79" w14:textId="58763B46" w:rsidR="006E0634" w:rsidRPr="006E0634" w:rsidRDefault="001C297A" w:rsidP="006E0634">
                            <w:pPr>
                              <w:rPr>
                                <w:b/>
                                <w:color w:val="007E79"/>
                                <w:szCs w:val="18"/>
                              </w:rPr>
                            </w:pPr>
                            <w:r w:rsidRPr="001C297A">
                              <w:rPr>
                                <w:b/>
                                <w:color w:val="007E79"/>
                                <w:szCs w:val="18"/>
                              </w:rPr>
                              <w:t xml:space="preserve">Jan </w:t>
                            </w:r>
                            <w:proofErr w:type="spellStart"/>
                            <w:r w:rsidRPr="001C297A">
                              <w:rPr>
                                <w:b/>
                                <w:color w:val="007E79"/>
                                <w:szCs w:val="18"/>
                              </w:rPr>
                              <w:t>Vejmělek</w:t>
                            </w:r>
                            <w:proofErr w:type="spellEnd"/>
                            <w:r w:rsidR="006E0634" w:rsidRPr="001C297A">
                              <w:rPr>
                                <w:b/>
                                <w:color w:val="007E79"/>
                                <w:szCs w:val="18"/>
                              </w:rPr>
                              <w:t xml:space="preserve">, hlavní ekonom </w:t>
                            </w:r>
                            <w:r w:rsidRPr="001C297A">
                              <w:rPr>
                                <w:b/>
                                <w:color w:val="007E79"/>
                                <w:szCs w:val="18"/>
                              </w:rPr>
                              <w:t>Komerční banka</w:t>
                            </w:r>
                          </w:p>
                          <w:p w14:paraId="1053D2A1" w14:textId="7E0E63DD" w:rsidR="006E0634" w:rsidRPr="006E0634" w:rsidRDefault="002D12BD" w:rsidP="002D12BD">
                            <w:pPr>
                              <w:rPr>
                                <w:rFonts w:cs="Arial"/>
                                <w:i/>
                                <w:iCs/>
                                <w:szCs w:val="18"/>
                              </w:rPr>
                            </w:pPr>
                            <w:r>
                              <w:rPr>
                                <w:rFonts w:cs="Arial"/>
                                <w:i/>
                                <w:szCs w:val="18"/>
                              </w:rPr>
                              <w:t>„</w:t>
                            </w:r>
                            <w:r w:rsidRPr="002D12BD">
                              <w:rPr>
                                <w:rFonts w:cs="Arial"/>
                                <w:i/>
                                <w:szCs w:val="18"/>
                              </w:rPr>
                              <w:t>Česká ekonomika vykazovala v posledních letech známky přehřátí patrné především na trhu práce. Tomuto obrázku začíná hlavně kvůli poklesu průmyslových zakázek zvonit hrana. Uvolněná pracovní síla ale nachází bez větších problémů místo ve službách.</w:t>
                            </w:r>
                            <w:r>
                              <w:rPr>
                                <w:rFonts w:cs="Arial"/>
                                <w:i/>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DA004F" id="_x0000_s1030" type="#_x0000_t202" style="position:absolute;left:0;text-align:left;margin-left:-1.3pt;margin-top:50.85pt;width:507pt;height:129.7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">
                <v:textbox style="mso-fit-shape-to-text:t">
                  <w:txbxContent>
                    <w:p w14:paraId="6A23543D" w14:textId="77777777" w:rsidR="002D12BD" w:rsidRPr="006E0634" w:rsidRDefault="002D12BD" w:rsidP="002D12BD">
                      <w:pPr>
                        <w:rPr>
                          <w:color w:val="007E79"/>
                          <w:szCs w:val="18"/>
                        </w:rPr>
                      </w:pPr>
                      <w:r w:rsidRPr="006E0634">
                        <w:rPr>
                          <w:color w:val="007E79"/>
                          <w:szCs w:val="18"/>
                        </w:rPr>
                        <w:t>KOMENTÁŘ</w:t>
                      </w:r>
                      <w:r>
                        <w:rPr>
                          <w:color w:val="007E79"/>
                          <w:szCs w:val="18"/>
                        </w:rPr>
                        <w:t>/CITACE k přímému použití</w:t>
                      </w:r>
                      <w:r w:rsidRPr="006E0634">
                        <w:rPr>
                          <w:color w:val="007E79"/>
                          <w:szCs w:val="18"/>
                        </w:rPr>
                        <w:t>:</w:t>
                      </w:r>
                    </w:p>
                    <w:p w14:paraId="1A0D6E79" w14:textId="58763B46" w:rsidR="006E0634" w:rsidRPr="006E0634" w:rsidRDefault="001C297A" w:rsidP="006E0634">
                      <w:pPr>
                        <w:rPr>
                          <w:b/>
                          <w:color w:val="007E79"/>
                          <w:szCs w:val="18"/>
                        </w:rPr>
                      </w:pPr>
                      <w:r w:rsidRPr="001C297A">
                        <w:rPr>
                          <w:b/>
                          <w:color w:val="007E79"/>
                          <w:szCs w:val="18"/>
                        </w:rPr>
                        <w:t xml:space="preserve">Jan </w:t>
                      </w:r>
                      <w:proofErr w:type="spellStart"/>
                      <w:r w:rsidRPr="001C297A">
                        <w:rPr>
                          <w:b/>
                          <w:color w:val="007E79"/>
                          <w:szCs w:val="18"/>
                        </w:rPr>
                        <w:t>Vejmělek</w:t>
                      </w:r>
                      <w:proofErr w:type="spellEnd"/>
                      <w:r w:rsidR="006E0634" w:rsidRPr="001C297A">
                        <w:rPr>
                          <w:b/>
                          <w:color w:val="007E79"/>
                          <w:szCs w:val="18"/>
                        </w:rPr>
                        <w:t xml:space="preserve">, hlavní ekonom </w:t>
                      </w:r>
                      <w:r w:rsidRPr="001C297A">
                        <w:rPr>
                          <w:b/>
                          <w:color w:val="007E79"/>
                          <w:szCs w:val="18"/>
                        </w:rPr>
                        <w:t>Komerční banka</w:t>
                      </w:r>
                    </w:p>
                    <w:p w14:paraId="1053D2A1" w14:textId="7E0E63DD" w:rsidR="006E0634" w:rsidRPr="006E0634" w:rsidRDefault="002D12BD" w:rsidP="002D12BD">
                      <w:pPr>
                        <w:rPr>
                          <w:rFonts w:cs="Arial"/>
                          <w:i/>
                          <w:iCs/>
                          <w:szCs w:val="18"/>
                        </w:rPr>
                      </w:pPr>
                      <w:r>
                        <w:rPr>
                          <w:rFonts w:cs="Arial"/>
                          <w:i/>
                          <w:szCs w:val="18"/>
                        </w:rPr>
                        <w:t>„</w:t>
                      </w:r>
                      <w:r w:rsidRPr="002D12BD">
                        <w:rPr>
                          <w:rFonts w:cs="Arial"/>
                          <w:i/>
                          <w:szCs w:val="18"/>
                        </w:rPr>
                        <w:t>Česká ekonomika vykazovala v posledních letech známky přehřátí patrné především na trhu práce. Tomuto obrázku začíná hlavně kvůli poklesu průmyslových zakázek zvonit hrana. Uvolněná pracovní síla ale nachází bez větších problémů místo ve službách.</w:t>
                      </w:r>
                      <w:r>
                        <w:rPr>
                          <w:rFonts w:cs="Arial"/>
                          <w:i/>
                          <w:szCs w:val="18"/>
                        </w:rPr>
                        <w:t>“</w:t>
                      </w:r>
                    </w:p>
                  </w:txbxContent>
                </v:textbox>
                <w10:wrap type="square" anchorx="margin"/>
              </v:shape>
            </w:pict>
          </mc:Fallback>
        </mc:AlternateContent>
      </w:r>
      <w:r w:rsidRPr="002D12BD">
        <w:rPr>
          <w:noProof/>
        </w:rPr>
        <w:t xml:space="preserve">Z firemního sektoru navíc přicházejí první signály svědčící o snižující se fluktuaci a zvyšující se ochotě zaměstnanců akceptovat zaměstnavateli navržená mzdová ujednání. Pokud k tomu navíc přičteme neradostný výhled v exportním sektoru německého hospodářství, jenž pro české exportéry věstí konec extrémně dobrých časů, začíná výše uvedená charakteristika české ekonomiky jako převážně přehřáté </w:t>
      </w:r>
      <w:r w:rsidR="003D104A">
        <w:rPr>
          <w:noProof/>
        </w:rPr>
        <w:t>získávat</w:t>
      </w:r>
      <w:r w:rsidRPr="002D12BD">
        <w:rPr>
          <w:noProof/>
        </w:rPr>
        <w:t xml:space="preserve"> nepřehlédnutelné trhliny.</w:t>
      </w:r>
    </w:p>
    <w:p w14:paraId="392D864E" w14:textId="524D28CF" w:rsidR="006C6CFF" w:rsidRDefault="006C6CFF" w:rsidP="006C6CFF">
      <w:pPr>
        <w:rPr>
          <w:b/>
          <w:color w:val="007E79"/>
          <w:sz w:val="20"/>
        </w:rPr>
      </w:pPr>
    </w:p>
    <w:p w14:paraId="6CCCBE6E" w14:textId="77777777" w:rsidR="002D12BD" w:rsidRDefault="002D12BD" w:rsidP="002D12BD">
      <w:r>
        <w:t xml:space="preserve">Bilance počtu nezaměstnaných a volných pracovních míst je sice stále záporná, ale vzhledem k jejímu strukturálnímu nesouladu, kdy firmy poptávají zejména nízko kvalifikovanou práci, lze očekávat pokračování pozitivního trendu k investicím do automatizace procesů a robotizace. </w:t>
      </w:r>
    </w:p>
    <w:p w14:paraId="75237858" w14:textId="77777777" w:rsidR="002D12BD" w:rsidRDefault="002D12BD" w:rsidP="006C6CFF">
      <w:pPr>
        <w:rPr>
          <w:b/>
          <w:color w:val="007E79"/>
          <w:sz w:val="20"/>
        </w:rPr>
      </w:pPr>
    </w:p>
    <w:p w14:paraId="17B9ABDD" w14:textId="3D793280" w:rsidR="006C6CFF" w:rsidRDefault="002D12BD" w:rsidP="006C6CFF">
      <w:pPr>
        <w:rPr>
          <w:b/>
        </w:rPr>
      </w:pPr>
      <w:r w:rsidRPr="00251963">
        <w:rPr>
          <w:b/>
          <w:color w:val="007E79"/>
          <w:sz w:val="20"/>
        </w:rPr>
        <w:t>Veřejné finance</w:t>
      </w:r>
      <w:r w:rsidR="00125474" w:rsidRPr="00251963">
        <w:rPr>
          <w:b/>
          <w:color w:val="007E79"/>
          <w:sz w:val="20"/>
        </w:rPr>
        <w:t xml:space="preserve"> s otazníky</w:t>
      </w:r>
      <w:r w:rsidR="00125474">
        <w:rPr>
          <w:b/>
          <w:color w:val="007E79"/>
          <w:sz w:val="20"/>
        </w:rPr>
        <w:t xml:space="preserve"> </w:t>
      </w:r>
    </w:p>
    <w:p w14:paraId="4B0B2574" w14:textId="5653FAF7" w:rsidR="002D12BD" w:rsidRDefault="002D12BD" w:rsidP="002D12BD">
      <w:r>
        <w:t xml:space="preserve">Poměrně výrazným rysem, který dále vynikne při srovnání prognóz ČBA za posledních 5 čtvrtletí, je očekávané zhoršení salda českých veřejných rozpočtů </w:t>
      </w:r>
      <w:proofErr w:type="gramStart"/>
      <w:r>
        <w:t>ze</w:t>
      </w:r>
      <w:proofErr w:type="gramEnd"/>
      <w:r>
        <w:t xml:space="preserve"> stále ještě vyrovnaného hospodaření v roce 2019 na schodek ve výši 0,5 % HDP v roce 2020. Tento výsledek je, stejně jako v minulosti, vylepšován kladným saldem místních rozpočtů. Překlopení veřejných financí do minusu by šlo plně na účet hospodaření vlády. Přitom se tak děje v prostředí stále ještě poměrně solidního ekonomického růstu, díky kterému – navzdory očekávanému schodku hospodaření státu – dochází k relativnímu snižování veřejného dluhu.</w:t>
      </w:r>
    </w:p>
    <w:p w14:paraId="05A89DB3" w14:textId="77777777" w:rsidR="002D12BD" w:rsidRDefault="002D12BD" w:rsidP="002D12BD"/>
    <w:p w14:paraId="30B6853D" w14:textId="6ECFBCC1" w:rsidR="002D12BD" w:rsidRDefault="002D12BD" w:rsidP="002D12BD">
      <w:r>
        <w:t>Při přechodu do recese, doprovázené kombinací snížení daňového výnosu a vysokým podílem mandatorních výdajů, by se pozice českých veřejných rozpočtů zhoršila s negativním dopadem i na veřejný dluh. S ohledem na nejasnou bilanci externích rizik to považujeme krátkodobě i střednědobě za varovný signál, byť by větší veřejné investice mohly podpořit ekonomický růst.</w:t>
      </w:r>
    </w:p>
    <w:p w14:paraId="11C39862" w14:textId="77777777" w:rsidR="006C6CFF" w:rsidRDefault="006C6CFF" w:rsidP="006C6CFF">
      <w:pPr>
        <w:rPr>
          <w:b/>
          <w:color w:val="007E79"/>
          <w:sz w:val="20"/>
        </w:rPr>
      </w:pPr>
    </w:p>
    <w:p w14:paraId="55C3D391" w14:textId="7CBC44B3" w:rsidR="006C6CFF" w:rsidRPr="006478ED" w:rsidRDefault="002D12BD" w:rsidP="006C6CFF">
      <w:pPr>
        <w:rPr>
          <w:b/>
          <w:color w:val="007E79"/>
          <w:sz w:val="20"/>
        </w:rPr>
      </w:pPr>
      <w:r w:rsidRPr="00251963">
        <w:rPr>
          <w:b/>
          <w:color w:val="007E79"/>
          <w:sz w:val="20"/>
        </w:rPr>
        <w:t>Měnová politika, inflace a měnový kurz</w:t>
      </w:r>
      <w:r w:rsidR="00125474">
        <w:rPr>
          <w:b/>
          <w:color w:val="007E79"/>
          <w:sz w:val="20"/>
        </w:rPr>
        <w:t xml:space="preserve"> ve vleku externího vývoje</w:t>
      </w:r>
    </w:p>
    <w:p w14:paraId="008918D7" w14:textId="77777777" w:rsidR="002D12BD" w:rsidRDefault="002D12BD" w:rsidP="002D12BD">
      <w:r>
        <w:t>V závislosti na odhadech růstu se zároveň lišila i očekávání členů prognostického týmu ohledně dalšího vývoje úrokových sazeb, resp. nastavení měnové politiky.</w:t>
      </w:r>
    </w:p>
    <w:p w14:paraId="268AABD4" w14:textId="77777777" w:rsidR="002D12BD" w:rsidRDefault="002D12BD" w:rsidP="002D12BD"/>
    <w:p w14:paraId="30EEA593" w14:textId="77777777" w:rsidR="002D12BD" w:rsidRDefault="002D12BD" w:rsidP="002D12BD">
      <w:r>
        <w:t xml:space="preserve">Spotřebitelská inflace i ve druhém letošním čtvrtletí nepřestala překvapovat směrem vzhůru a z tohoto hlediska bylo i červnových 2,7 % mírně nad očekáváním ČNB. Ani faktory tohoto vývoje se oproti minulému čtvrtletí příliš nezměnily – stále mezi ně patří silná domácí poptávka, podporovaná růstem mezd, ceny potravin (částečně ovlivněné sezónními faktory) a stále velmi mírně posilující koruna.  V letošním roce i přes výše uvedené očekáváme postupné zklidňování cenového vývoje a návrat k průměrným 2,6 %, v příštím roce pak pokles růstu cen na úroveň inflačního cíle. Ceny bydlení si po oba roky udrží významný vliv na vývoj </w:t>
      </w:r>
      <w:r>
        <w:lastRenderedPageBreak/>
        <w:t>inflace (v současnosti je jimi vysvětlitelná téměř polovina nárůstu indexu spotřebitelských cen), rovněž tak ceny potravin budou představovat riziko směrem vzhůru.</w:t>
      </w:r>
    </w:p>
    <w:p w14:paraId="4E52BCA0" w14:textId="77777777" w:rsidR="002D12BD" w:rsidRDefault="002D12BD" w:rsidP="002D12BD"/>
    <w:p w14:paraId="571B1B81" w14:textId="77777777" w:rsidR="002D12BD" w:rsidRDefault="002D12BD" w:rsidP="002D12BD">
      <w:r>
        <w:t xml:space="preserve">Náš základní scénář předpokládá po celý horizont prognózy do roku 2020 pouze velice pozvolné zpevňování průměrného měnového kurzu, v roce 2020 oproti roku 2019 posílí o necelých 30 haléřů na 25,24 Kč. Rozdíly v předpovědích kurzového vývoje pro příští rok i jednotlivých členů prognostického týmu jsou však jak co do úrovně (mezi 24,92 – 26,21 Kč/EUR), tak co do trendu (od dalšího posílení po oslabení) relativně vysoké. To, stejně jako v minulé prognóze, odráží rozdílné názory analytiků na budoucí vývoj externí poptávky a její vliv na českou ekonomiku. A v důsledku toho i na pokračování růstu měnově politických sazeb, zastavení jejich růstu nebo dokonce na obrat ke zmírňování měnové politiky. </w:t>
      </w:r>
    </w:p>
    <w:p w14:paraId="45FB100F" w14:textId="77777777" w:rsidR="002D12BD" w:rsidRDefault="002D12BD" w:rsidP="002D12BD"/>
    <w:p w14:paraId="0545DA59" w14:textId="1F2936D2" w:rsidR="006C6CFF" w:rsidRDefault="002D12BD" w:rsidP="002D12BD">
      <w:r>
        <w:rPr>
          <w:noProof/>
        </w:rPr>
        <mc:AlternateContent>
          <mc:Choice Requires="wps">
            <w:drawing>
              <wp:anchor distT="45720" distB="45720" distL="114300" distR="114300" simplePos="0" relativeHeight="251693056" behindDoc="0" locked="0" layoutInCell="1" allowOverlap="1" wp14:anchorId="4140BFCA" wp14:editId="0B28DB9A">
                <wp:simplePos x="0" y="0"/>
                <wp:positionH relativeFrom="margin">
                  <wp:align>right</wp:align>
                </wp:positionH>
                <wp:positionV relativeFrom="paragraph">
                  <wp:posOffset>661670</wp:posOffset>
                </wp:positionV>
                <wp:extent cx="6438900" cy="1647190"/>
                <wp:effectExtent l="0" t="0" r="19050" b="19685"/>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647190"/>
                        </a:xfrm>
                        <a:prstGeom prst="rect">
                          <a:avLst/>
                        </a:prstGeom>
                        <a:solidFill>
                          <a:srgbClr val="FFFFFF"/>
                        </a:solidFill>
                        <a:ln w="9525">
                          <a:solidFill>
                            <a:srgbClr val="000000"/>
                          </a:solidFill>
                          <a:miter lim="800000"/>
                          <a:headEnd/>
                          <a:tailEnd/>
                        </a:ln>
                      </wps:spPr>
                      <wps:txbx>
                        <w:txbxContent>
                          <w:p w14:paraId="3F9D7979" w14:textId="77777777" w:rsidR="002D12BD" w:rsidRPr="006E0634" w:rsidRDefault="002D12BD" w:rsidP="002D12BD">
                            <w:pPr>
                              <w:rPr>
                                <w:color w:val="007E79"/>
                                <w:szCs w:val="18"/>
                              </w:rPr>
                            </w:pPr>
                            <w:r w:rsidRPr="006E0634">
                              <w:rPr>
                                <w:color w:val="007E79"/>
                                <w:szCs w:val="18"/>
                              </w:rPr>
                              <w:t>KOMENTÁŘ</w:t>
                            </w:r>
                            <w:r>
                              <w:rPr>
                                <w:color w:val="007E79"/>
                                <w:szCs w:val="18"/>
                              </w:rPr>
                              <w:t>/CITACE k přímému použití</w:t>
                            </w:r>
                            <w:r w:rsidRPr="006E0634">
                              <w:rPr>
                                <w:color w:val="007E79"/>
                                <w:szCs w:val="18"/>
                              </w:rPr>
                              <w:t>:</w:t>
                            </w:r>
                          </w:p>
                          <w:p w14:paraId="4B303A47" w14:textId="77777777" w:rsidR="001C297A" w:rsidRPr="006E0634" w:rsidRDefault="001C297A" w:rsidP="001C297A">
                            <w:pPr>
                              <w:rPr>
                                <w:b/>
                                <w:color w:val="007E79"/>
                                <w:szCs w:val="18"/>
                              </w:rPr>
                            </w:pPr>
                            <w:r w:rsidRPr="001C297A">
                              <w:rPr>
                                <w:b/>
                                <w:color w:val="007E79"/>
                                <w:szCs w:val="18"/>
                              </w:rPr>
                              <w:t xml:space="preserve">Jan </w:t>
                            </w:r>
                            <w:proofErr w:type="spellStart"/>
                            <w:r w:rsidRPr="001C297A">
                              <w:rPr>
                                <w:b/>
                                <w:color w:val="007E79"/>
                                <w:szCs w:val="18"/>
                              </w:rPr>
                              <w:t>Vejmělek</w:t>
                            </w:r>
                            <w:proofErr w:type="spellEnd"/>
                            <w:r w:rsidRPr="001C297A">
                              <w:rPr>
                                <w:b/>
                                <w:color w:val="007E79"/>
                                <w:szCs w:val="18"/>
                              </w:rPr>
                              <w:t>, hlavní ekonom Komerční banka</w:t>
                            </w:r>
                          </w:p>
                          <w:p w14:paraId="0CDE8668" w14:textId="14388332" w:rsidR="006E0634" w:rsidRPr="006E0634" w:rsidRDefault="001C297A" w:rsidP="001C297A">
                            <w:pPr>
                              <w:rPr>
                                <w:rFonts w:ascii="Calibri" w:hAnsi="Calibri" w:cs="Calibri"/>
                                <w:i/>
                              </w:rPr>
                            </w:pPr>
                            <w:r>
                              <w:rPr>
                                <w:rFonts w:cs="Arial"/>
                                <w:i/>
                                <w:color w:val="000000"/>
                              </w:rPr>
                              <w:t xml:space="preserve"> </w:t>
                            </w:r>
                            <w:r w:rsidR="002D12BD">
                              <w:rPr>
                                <w:rFonts w:cs="Arial"/>
                                <w:i/>
                                <w:color w:val="000000"/>
                              </w:rPr>
                              <w:t>„</w:t>
                            </w:r>
                            <w:r w:rsidR="002D12BD" w:rsidRPr="002D12BD">
                              <w:rPr>
                                <w:rFonts w:cs="Arial"/>
                                <w:i/>
                                <w:color w:val="000000"/>
                              </w:rPr>
                              <w:t>I díky umírněnějším mzdovým požadavkům se inflace se postupně vrátí ke svému cíli a ČNB bude i ve světle nejistého vnějšího prostředí preferovat stabilitu úrokových sazeb.</w:t>
                            </w:r>
                            <w:r w:rsidR="002D12BD">
                              <w:rPr>
                                <w:rFonts w:cs="Arial"/>
                                <w:i/>
                                <w:color w:val="00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40BFCA" id="Textové pole 1" o:spid="_x0000_s1031" type="#_x0000_t202" style="position:absolute;left:0;text-align:left;margin-left:455.8pt;margin-top:52.1pt;width:507pt;height:129.7pt;z-index:2516930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">
                <v:textbox style="mso-fit-shape-to-text:t">
                  <w:txbxContent>
                    <w:p w14:paraId="3F9D7979" w14:textId="77777777" w:rsidR="002D12BD" w:rsidRPr="006E0634" w:rsidRDefault="002D12BD" w:rsidP="002D12BD">
                      <w:pPr>
                        <w:rPr>
                          <w:color w:val="007E79"/>
                          <w:szCs w:val="18"/>
                        </w:rPr>
                      </w:pPr>
                      <w:r w:rsidRPr="006E0634">
                        <w:rPr>
                          <w:color w:val="007E79"/>
                          <w:szCs w:val="18"/>
                        </w:rPr>
                        <w:t>KOMENTÁŘ</w:t>
                      </w:r>
                      <w:r>
                        <w:rPr>
                          <w:color w:val="007E79"/>
                          <w:szCs w:val="18"/>
                        </w:rPr>
                        <w:t>/CITACE k přímému použití</w:t>
                      </w:r>
                      <w:r w:rsidRPr="006E0634">
                        <w:rPr>
                          <w:color w:val="007E79"/>
                          <w:szCs w:val="18"/>
                        </w:rPr>
                        <w:t>:</w:t>
                      </w:r>
                    </w:p>
                    <w:p w14:paraId="4B303A47" w14:textId="77777777" w:rsidR="001C297A" w:rsidRPr="006E0634" w:rsidRDefault="001C297A" w:rsidP="001C297A">
                      <w:pPr>
                        <w:rPr>
                          <w:b/>
                          <w:color w:val="007E79"/>
                          <w:szCs w:val="18"/>
                        </w:rPr>
                      </w:pPr>
                      <w:r w:rsidRPr="001C297A">
                        <w:rPr>
                          <w:b/>
                          <w:color w:val="007E79"/>
                          <w:szCs w:val="18"/>
                        </w:rPr>
                        <w:t xml:space="preserve">Jan </w:t>
                      </w:r>
                      <w:proofErr w:type="spellStart"/>
                      <w:r w:rsidRPr="001C297A">
                        <w:rPr>
                          <w:b/>
                          <w:color w:val="007E79"/>
                          <w:szCs w:val="18"/>
                        </w:rPr>
                        <w:t>Vejmělek</w:t>
                      </w:r>
                      <w:proofErr w:type="spellEnd"/>
                      <w:r w:rsidRPr="001C297A">
                        <w:rPr>
                          <w:b/>
                          <w:color w:val="007E79"/>
                          <w:szCs w:val="18"/>
                        </w:rPr>
                        <w:t>, hlavní ekonom Komerční banka</w:t>
                      </w:r>
                    </w:p>
                    <w:p w14:paraId="0CDE8668" w14:textId="14388332" w:rsidR="006E0634" w:rsidRPr="006E0634" w:rsidRDefault="001C297A" w:rsidP="001C297A">
                      <w:pPr>
                        <w:rPr>
                          <w:rFonts w:ascii="Calibri" w:hAnsi="Calibri" w:cs="Calibri"/>
                          <w:i/>
                        </w:rPr>
                      </w:pPr>
                      <w:r>
                        <w:rPr>
                          <w:rFonts w:cs="Arial"/>
                          <w:i/>
                          <w:color w:val="000000"/>
                        </w:rPr>
                        <w:t xml:space="preserve"> </w:t>
                      </w:r>
                      <w:r w:rsidR="002D12BD">
                        <w:rPr>
                          <w:rFonts w:cs="Arial"/>
                          <w:i/>
                          <w:color w:val="000000"/>
                        </w:rPr>
                        <w:t>„</w:t>
                      </w:r>
                      <w:r w:rsidR="002D12BD" w:rsidRPr="002D12BD">
                        <w:rPr>
                          <w:rFonts w:cs="Arial"/>
                          <w:i/>
                          <w:color w:val="000000"/>
                        </w:rPr>
                        <w:t>I díky umírněnějším mzdovým požadavkům se inflace se postupně vrátí ke svému cíli a ČNB bude i ve světle nejistého vnějšího prostředí preferovat stabilitu úrokových sazeb.</w:t>
                      </w:r>
                      <w:r w:rsidR="002D12BD">
                        <w:rPr>
                          <w:rFonts w:cs="Arial"/>
                          <w:i/>
                          <w:color w:val="000000"/>
                        </w:rPr>
                        <w:t>“</w:t>
                      </w:r>
                    </w:p>
                  </w:txbxContent>
                </v:textbox>
                <w10:wrap type="square" anchorx="margin"/>
              </v:shape>
            </w:pict>
          </mc:Fallback>
        </mc:AlternateContent>
      </w:r>
      <w:r>
        <w:t>V květnu ČNB – v souladu s naším očekáváním – zvýšila úrokové sazby o dalších 0,25 %. Jejich příští pohyb se však ocitá v kleštích ohlášené holubičí politiky ECB, a tím i možného rozšiřování úrokového diferenciálu vůči koruně. Bude ovlivněn také časem případného dopadu externích rizik na naši ekonomiku. Za současné situace se ale jako nejpravděpodobnější scénář jeví stabilita sazeb jak letos, tak v roce příštím.</w:t>
      </w:r>
    </w:p>
    <w:p w14:paraId="7DAD91CA" w14:textId="421DD3A2" w:rsidR="002D12BD" w:rsidRDefault="002D12BD" w:rsidP="002D12BD"/>
    <w:p w14:paraId="6A2F513C" w14:textId="77777777" w:rsidR="002D12BD" w:rsidRDefault="002D12BD" w:rsidP="006478ED">
      <w:pPr>
        <w:rPr>
          <w:b/>
          <w:color w:val="007E79"/>
          <w:sz w:val="20"/>
        </w:rPr>
      </w:pPr>
      <w:r w:rsidRPr="002D12BD">
        <w:rPr>
          <w:b/>
          <w:color w:val="007E79"/>
          <w:sz w:val="20"/>
        </w:rPr>
        <w:t>Očekávaný vývoj vkladů a úvěrové emise</w:t>
      </w:r>
    </w:p>
    <w:p w14:paraId="701F6E49" w14:textId="02F4C586" w:rsidR="002D12BD" w:rsidRPr="00DD7BAE" w:rsidRDefault="002D12BD" w:rsidP="002D12BD">
      <w:r w:rsidRPr="00F06B86">
        <w:t>S</w:t>
      </w:r>
      <w:r>
        <w:t> </w:t>
      </w:r>
      <w:r w:rsidRPr="00F06B86">
        <w:t>očekávan</w:t>
      </w:r>
      <w:r>
        <w:t>ou prognózou</w:t>
      </w:r>
      <w:r w:rsidRPr="00F06B86">
        <w:t xml:space="preserve"> je kompatibilní relativně solidní růst bankovních vkladů o letošních 8 % a 5 % napřesrok. Ohledně vývoje bankovních úvěrů očekáváme jejich další růst </w:t>
      </w:r>
      <w:r>
        <w:t xml:space="preserve">o 5,4 % </w:t>
      </w:r>
      <w:r w:rsidRPr="00F06B86">
        <w:t>v roce 2019</w:t>
      </w:r>
      <w:r>
        <w:t>, a o 4,3 % v roce</w:t>
      </w:r>
      <w:r w:rsidRPr="00F06B86">
        <w:t xml:space="preserve"> 2020</w:t>
      </w:r>
      <w:r>
        <w:t>. Tyto hodnoty se pohybují</w:t>
      </w:r>
      <w:r w:rsidRPr="00F06B86">
        <w:t xml:space="preserve"> </w:t>
      </w:r>
      <w:r>
        <w:t xml:space="preserve">– </w:t>
      </w:r>
      <w:r w:rsidRPr="00F06B86">
        <w:t>stejně jako v předchozí prognóze</w:t>
      </w:r>
      <w:r>
        <w:t xml:space="preserve"> – </w:t>
      </w:r>
      <w:r w:rsidRPr="00F06B86">
        <w:t>na úrovních o cca dva</w:t>
      </w:r>
      <w:r>
        <w:t>, resp. tři</w:t>
      </w:r>
      <w:r w:rsidRPr="00F06B86">
        <w:t xml:space="preserve"> procentní body nižší</w:t>
      </w:r>
      <w:r>
        <w:t>ch</w:t>
      </w:r>
      <w:r w:rsidRPr="00F06B86">
        <w:t xml:space="preserve">, než v roce 2018. </w:t>
      </w:r>
      <w:r>
        <w:t xml:space="preserve">Nemění se ani náš minulý </w:t>
      </w:r>
      <w:r w:rsidRPr="00F06B86">
        <w:t>odhad</w:t>
      </w:r>
      <w:r>
        <w:t xml:space="preserve"> meziročního</w:t>
      </w:r>
      <w:r w:rsidRPr="00F06B86">
        <w:t xml:space="preserve"> zpomalení </w:t>
      </w:r>
      <w:r>
        <w:t xml:space="preserve">míry </w:t>
      </w:r>
      <w:r w:rsidRPr="00F06B86">
        <w:t>růstu úvěrů domácnostem</w:t>
      </w:r>
      <w:r>
        <w:t>,</w:t>
      </w:r>
      <w:r w:rsidRPr="00F06B86">
        <w:t xml:space="preserve"> zapříčiněn</w:t>
      </w:r>
      <w:r>
        <w:t>ý</w:t>
      </w:r>
      <w:r w:rsidRPr="00F06B86">
        <w:t xml:space="preserve"> především kombinací nižší dostupnosti hypoték a vhodných nemovitostí. Úvěrová emise vůči nefinančním podnikům podle našeho odhadu </w:t>
      </w:r>
      <w:r w:rsidR="00746582" w:rsidRPr="00F06B86">
        <w:t xml:space="preserve">rovněž </w:t>
      </w:r>
      <w:r w:rsidRPr="00F06B86">
        <w:t>zpomalí.</w:t>
      </w:r>
      <w:r w:rsidRPr="00DD7BAE">
        <w:t xml:space="preserve"> </w:t>
      </w:r>
    </w:p>
    <w:p w14:paraId="0C81DE72" w14:textId="77777777" w:rsidR="002D12BD" w:rsidRDefault="002D12BD" w:rsidP="00C93158">
      <w:pPr>
        <w:rPr>
          <w:b/>
          <w:color w:val="007E79"/>
          <w:sz w:val="20"/>
        </w:rPr>
      </w:pPr>
    </w:p>
    <w:p w14:paraId="5B66FEF5" w14:textId="1749FD29" w:rsidR="00C93158" w:rsidRDefault="00C93158" w:rsidP="00C93158">
      <w:pPr>
        <w:rPr>
          <w:b/>
          <w:color w:val="007E79"/>
          <w:sz w:val="20"/>
        </w:rPr>
      </w:pPr>
      <w:r w:rsidRPr="00302451">
        <w:rPr>
          <w:b/>
          <w:color w:val="007E79"/>
          <w:sz w:val="20"/>
        </w:rPr>
        <w:t>Prognózy růstu reálného HDP:</w:t>
      </w:r>
    </w:p>
    <w:p w14:paraId="58D31F43" w14:textId="77777777" w:rsidR="00302451" w:rsidRPr="00302451" w:rsidRDefault="00302451" w:rsidP="00C93158">
      <w:pPr>
        <w:rPr>
          <w:b/>
          <w:color w:val="007E79"/>
          <w:sz w:val="20"/>
        </w:rPr>
      </w:pP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4"/>
        <w:gridCol w:w="1970"/>
        <w:gridCol w:w="1964"/>
      </w:tblGrid>
      <w:tr w:rsidR="00C93158" w:rsidRPr="00791240" w14:paraId="3241496F" w14:textId="77777777" w:rsidTr="0065675B">
        <w:trPr>
          <w:trHeight w:val="257"/>
        </w:trPr>
        <w:tc>
          <w:tcPr>
            <w:tcW w:w="6274" w:type="dxa"/>
            <w:shd w:val="clear" w:color="auto" w:fill="007E79"/>
          </w:tcPr>
          <w:p w14:paraId="194FECE0" w14:textId="77777777" w:rsidR="00C93158" w:rsidRPr="00791240" w:rsidRDefault="00C93158" w:rsidP="0065675B">
            <w:pPr>
              <w:autoSpaceDE/>
              <w:autoSpaceDN/>
              <w:adjustRightInd/>
              <w:spacing w:line="256" w:lineRule="auto"/>
              <w:textAlignment w:val="auto"/>
              <w:rPr>
                <w:rFonts w:cs="Arial"/>
                <w:b/>
                <w:color w:val="FFFFFF"/>
                <w:sz w:val="20"/>
                <w:szCs w:val="18"/>
              </w:rPr>
            </w:pPr>
            <w:r w:rsidRPr="0065675B">
              <w:rPr>
                <w:rFonts w:ascii="Calibri" w:hAnsi="Calibri" w:cs="Calibri"/>
                <w:b/>
                <w:bCs/>
                <w:color w:val="FFFFFF" w:themeColor="light1"/>
                <w:kern w:val="24"/>
                <w:sz w:val="20"/>
              </w:rPr>
              <w:t>Instituce (+ nejaktuálnější prognóza)</w:t>
            </w:r>
          </w:p>
        </w:tc>
        <w:tc>
          <w:tcPr>
            <w:tcW w:w="1970" w:type="dxa"/>
            <w:shd w:val="clear" w:color="auto" w:fill="007E79"/>
          </w:tcPr>
          <w:p w14:paraId="2A3F081F" w14:textId="77777777" w:rsidR="00C93158" w:rsidRPr="00791240" w:rsidRDefault="00C93158" w:rsidP="006133D9">
            <w:pPr>
              <w:rPr>
                <w:rFonts w:cs="Arial"/>
                <w:b/>
                <w:color w:val="FFFFFF"/>
                <w:sz w:val="20"/>
                <w:szCs w:val="18"/>
              </w:rPr>
            </w:pPr>
            <w:r w:rsidRPr="00791240">
              <w:rPr>
                <w:rFonts w:cs="Arial"/>
                <w:b/>
                <w:color w:val="FFFFFF"/>
                <w:sz w:val="20"/>
                <w:szCs w:val="18"/>
              </w:rPr>
              <w:t>2019</w:t>
            </w:r>
          </w:p>
        </w:tc>
        <w:tc>
          <w:tcPr>
            <w:tcW w:w="1964" w:type="dxa"/>
            <w:shd w:val="clear" w:color="auto" w:fill="007E79"/>
          </w:tcPr>
          <w:p w14:paraId="4F275052" w14:textId="77777777" w:rsidR="00C93158" w:rsidRPr="00791240" w:rsidRDefault="00C93158" w:rsidP="006133D9">
            <w:pPr>
              <w:rPr>
                <w:rFonts w:cs="Arial"/>
                <w:b/>
                <w:color w:val="FFFFFF"/>
                <w:sz w:val="20"/>
                <w:szCs w:val="18"/>
              </w:rPr>
            </w:pPr>
            <w:r>
              <w:rPr>
                <w:rFonts w:cs="Arial"/>
                <w:b/>
                <w:color w:val="FFFFFF"/>
                <w:sz w:val="20"/>
                <w:szCs w:val="18"/>
              </w:rPr>
              <w:t>2020</w:t>
            </w:r>
          </w:p>
        </w:tc>
      </w:tr>
      <w:tr w:rsidR="00C93158" w:rsidRPr="00251963" w14:paraId="48CA0C97" w14:textId="77777777" w:rsidTr="00302451">
        <w:trPr>
          <w:trHeight w:val="257"/>
        </w:trPr>
        <w:tc>
          <w:tcPr>
            <w:tcW w:w="6274" w:type="dxa"/>
            <w:shd w:val="clear" w:color="auto" w:fill="auto"/>
          </w:tcPr>
          <w:p w14:paraId="0DAAF388" w14:textId="57C8BF4C" w:rsidR="00C93158" w:rsidRPr="00251963" w:rsidRDefault="00C93158" w:rsidP="006133D9">
            <w:pPr>
              <w:rPr>
                <w:rFonts w:cs="Arial"/>
                <w:sz w:val="20"/>
                <w:szCs w:val="18"/>
              </w:rPr>
            </w:pPr>
            <w:r w:rsidRPr="00251963">
              <w:rPr>
                <w:rFonts w:cs="Arial"/>
                <w:sz w:val="20"/>
                <w:szCs w:val="18"/>
              </w:rPr>
              <w:t xml:space="preserve">ČNB (prognóza </w:t>
            </w:r>
            <w:r w:rsidR="00251963" w:rsidRPr="00251963">
              <w:rPr>
                <w:rFonts w:cs="Arial"/>
                <w:sz w:val="20"/>
                <w:szCs w:val="18"/>
              </w:rPr>
              <w:t>květen</w:t>
            </w:r>
            <w:r w:rsidRPr="00251963">
              <w:rPr>
                <w:rFonts w:cs="Arial"/>
                <w:sz w:val="20"/>
                <w:szCs w:val="18"/>
              </w:rPr>
              <w:t xml:space="preserve"> 2019)           </w:t>
            </w:r>
          </w:p>
        </w:tc>
        <w:tc>
          <w:tcPr>
            <w:tcW w:w="1970" w:type="dxa"/>
            <w:shd w:val="clear" w:color="auto" w:fill="auto"/>
          </w:tcPr>
          <w:p w14:paraId="724D5177" w14:textId="77777777" w:rsidR="00C93158" w:rsidRPr="00251963" w:rsidRDefault="00C93158" w:rsidP="006133D9">
            <w:pPr>
              <w:jc w:val="right"/>
              <w:rPr>
                <w:rFonts w:cs="Arial"/>
                <w:sz w:val="20"/>
                <w:szCs w:val="18"/>
              </w:rPr>
            </w:pPr>
            <w:r w:rsidRPr="00251963">
              <w:rPr>
                <w:rFonts w:cs="Arial"/>
                <w:sz w:val="20"/>
                <w:szCs w:val="18"/>
              </w:rPr>
              <w:t>2,9 %</w:t>
            </w:r>
          </w:p>
        </w:tc>
        <w:tc>
          <w:tcPr>
            <w:tcW w:w="1964" w:type="dxa"/>
          </w:tcPr>
          <w:p w14:paraId="1B3B30C1" w14:textId="77777777" w:rsidR="00C93158" w:rsidRPr="00251963" w:rsidRDefault="00C93158" w:rsidP="006133D9">
            <w:pPr>
              <w:jc w:val="right"/>
              <w:rPr>
                <w:rFonts w:cs="Arial"/>
                <w:sz w:val="20"/>
                <w:szCs w:val="18"/>
              </w:rPr>
            </w:pPr>
            <w:r w:rsidRPr="00251963">
              <w:rPr>
                <w:rFonts w:cs="Arial"/>
                <w:sz w:val="20"/>
                <w:szCs w:val="18"/>
              </w:rPr>
              <w:t>3,0 %</w:t>
            </w:r>
          </w:p>
        </w:tc>
      </w:tr>
      <w:tr w:rsidR="00C93158" w:rsidRPr="00251963" w14:paraId="36CF2337" w14:textId="77777777" w:rsidTr="00302451">
        <w:trPr>
          <w:trHeight w:val="257"/>
        </w:trPr>
        <w:tc>
          <w:tcPr>
            <w:tcW w:w="6274" w:type="dxa"/>
            <w:shd w:val="clear" w:color="auto" w:fill="auto"/>
          </w:tcPr>
          <w:p w14:paraId="0A51EAB4" w14:textId="77777777" w:rsidR="00C93158" w:rsidRPr="00251963" w:rsidRDefault="00C93158" w:rsidP="006133D9">
            <w:pPr>
              <w:rPr>
                <w:rFonts w:cs="Arial"/>
                <w:sz w:val="20"/>
                <w:szCs w:val="18"/>
              </w:rPr>
            </w:pPr>
            <w:r w:rsidRPr="00251963">
              <w:rPr>
                <w:rFonts w:cs="Arial"/>
                <w:sz w:val="20"/>
                <w:szCs w:val="18"/>
              </w:rPr>
              <w:t xml:space="preserve">Ministerstvo financí ČR (prognóza duben 2019)             </w:t>
            </w:r>
          </w:p>
        </w:tc>
        <w:tc>
          <w:tcPr>
            <w:tcW w:w="1970" w:type="dxa"/>
            <w:shd w:val="clear" w:color="auto" w:fill="auto"/>
          </w:tcPr>
          <w:p w14:paraId="03A5B9CF" w14:textId="77777777" w:rsidR="00C93158" w:rsidRPr="00251963" w:rsidRDefault="00C93158" w:rsidP="006133D9">
            <w:pPr>
              <w:jc w:val="right"/>
              <w:rPr>
                <w:rFonts w:cs="Arial"/>
                <w:sz w:val="20"/>
                <w:szCs w:val="18"/>
              </w:rPr>
            </w:pPr>
            <w:r w:rsidRPr="00251963">
              <w:rPr>
                <w:rFonts w:cs="Arial"/>
                <w:sz w:val="20"/>
                <w:szCs w:val="18"/>
              </w:rPr>
              <w:t>2,4 %</w:t>
            </w:r>
          </w:p>
        </w:tc>
        <w:tc>
          <w:tcPr>
            <w:tcW w:w="1964" w:type="dxa"/>
          </w:tcPr>
          <w:p w14:paraId="07D5F971" w14:textId="77777777" w:rsidR="00C93158" w:rsidRPr="00251963" w:rsidRDefault="00C93158" w:rsidP="006133D9">
            <w:pPr>
              <w:jc w:val="right"/>
              <w:rPr>
                <w:rFonts w:cs="Arial"/>
                <w:sz w:val="20"/>
                <w:szCs w:val="18"/>
              </w:rPr>
            </w:pPr>
            <w:r w:rsidRPr="00251963">
              <w:rPr>
                <w:rFonts w:cs="Arial"/>
                <w:sz w:val="20"/>
                <w:szCs w:val="18"/>
              </w:rPr>
              <w:t>2,4 %</w:t>
            </w:r>
          </w:p>
        </w:tc>
      </w:tr>
      <w:tr w:rsidR="00C93158" w:rsidRPr="00251963" w14:paraId="1841127B" w14:textId="77777777" w:rsidTr="00302451">
        <w:trPr>
          <w:trHeight w:val="257"/>
        </w:trPr>
        <w:tc>
          <w:tcPr>
            <w:tcW w:w="6274" w:type="dxa"/>
            <w:shd w:val="clear" w:color="auto" w:fill="auto"/>
          </w:tcPr>
          <w:p w14:paraId="4386D38A" w14:textId="77777777" w:rsidR="00C93158" w:rsidRPr="00251963" w:rsidRDefault="00C93158" w:rsidP="006133D9">
            <w:pPr>
              <w:rPr>
                <w:rFonts w:cs="Arial"/>
                <w:sz w:val="20"/>
                <w:szCs w:val="18"/>
              </w:rPr>
            </w:pPr>
            <w:r w:rsidRPr="00251963">
              <w:rPr>
                <w:rFonts w:cs="Arial"/>
                <w:sz w:val="20"/>
                <w:szCs w:val="18"/>
              </w:rPr>
              <w:t xml:space="preserve">MMF (WEO duben 2019)    </w:t>
            </w:r>
          </w:p>
        </w:tc>
        <w:tc>
          <w:tcPr>
            <w:tcW w:w="1970" w:type="dxa"/>
            <w:shd w:val="clear" w:color="auto" w:fill="auto"/>
          </w:tcPr>
          <w:p w14:paraId="266E37D1" w14:textId="77777777" w:rsidR="00C93158" w:rsidRPr="00251963" w:rsidRDefault="00C93158" w:rsidP="006133D9">
            <w:pPr>
              <w:jc w:val="right"/>
              <w:rPr>
                <w:rFonts w:cs="Arial"/>
                <w:sz w:val="20"/>
                <w:szCs w:val="18"/>
              </w:rPr>
            </w:pPr>
            <w:r w:rsidRPr="00251963">
              <w:rPr>
                <w:rFonts w:cs="Arial"/>
                <w:sz w:val="20"/>
                <w:szCs w:val="18"/>
              </w:rPr>
              <w:t>2,9 %</w:t>
            </w:r>
          </w:p>
        </w:tc>
        <w:tc>
          <w:tcPr>
            <w:tcW w:w="1964" w:type="dxa"/>
          </w:tcPr>
          <w:p w14:paraId="6D6008DE" w14:textId="77777777" w:rsidR="00C93158" w:rsidRPr="00251963" w:rsidRDefault="00C93158" w:rsidP="006133D9">
            <w:pPr>
              <w:jc w:val="right"/>
              <w:rPr>
                <w:rFonts w:cs="Arial"/>
                <w:sz w:val="20"/>
                <w:szCs w:val="18"/>
              </w:rPr>
            </w:pPr>
            <w:r w:rsidRPr="00251963">
              <w:rPr>
                <w:rFonts w:cs="Arial"/>
                <w:sz w:val="20"/>
                <w:szCs w:val="18"/>
              </w:rPr>
              <w:t>2,7 %</w:t>
            </w:r>
          </w:p>
        </w:tc>
      </w:tr>
      <w:tr w:rsidR="00C93158" w:rsidRPr="00D06DE3" w14:paraId="04F9D0FF" w14:textId="77777777" w:rsidTr="00302451">
        <w:trPr>
          <w:trHeight w:val="242"/>
        </w:trPr>
        <w:tc>
          <w:tcPr>
            <w:tcW w:w="6274" w:type="dxa"/>
            <w:shd w:val="clear" w:color="auto" w:fill="auto"/>
          </w:tcPr>
          <w:p w14:paraId="136EA678" w14:textId="5D378D9F" w:rsidR="00C93158" w:rsidRPr="00251963" w:rsidRDefault="00C93158" w:rsidP="006133D9">
            <w:pPr>
              <w:rPr>
                <w:rFonts w:cs="Arial"/>
                <w:sz w:val="20"/>
                <w:szCs w:val="18"/>
              </w:rPr>
            </w:pPr>
            <w:r w:rsidRPr="00251963">
              <w:rPr>
                <w:rFonts w:cs="Arial"/>
                <w:color w:val="FF0000"/>
                <w:sz w:val="20"/>
                <w:szCs w:val="18"/>
              </w:rPr>
              <w:t xml:space="preserve">ČBA (prognóza </w:t>
            </w:r>
            <w:r w:rsidR="0065675B" w:rsidRPr="00251963">
              <w:rPr>
                <w:rFonts w:cs="Arial"/>
                <w:color w:val="FF0000"/>
                <w:sz w:val="20"/>
                <w:szCs w:val="18"/>
              </w:rPr>
              <w:t>červenec</w:t>
            </w:r>
            <w:r w:rsidRPr="00251963">
              <w:rPr>
                <w:rFonts w:cs="Arial"/>
                <w:color w:val="FF0000"/>
                <w:sz w:val="20"/>
                <w:szCs w:val="18"/>
              </w:rPr>
              <w:t xml:space="preserve"> 2019)       </w:t>
            </w:r>
          </w:p>
        </w:tc>
        <w:tc>
          <w:tcPr>
            <w:tcW w:w="1970" w:type="dxa"/>
            <w:shd w:val="clear" w:color="auto" w:fill="auto"/>
            <w:vAlign w:val="bottom"/>
          </w:tcPr>
          <w:p w14:paraId="16F4FC66" w14:textId="77777777" w:rsidR="00C93158" w:rsidRPr="00251963" w:rsidRDefault="00C93158" w:rsidP="006133D9">
            <w:pPr>
              <w:pStyle w:val="Normlnweb"/>
              <w:spacing w:before="0" w:beforeAutospacing="0" w:after="0" w:afterAutospacing="0"/>
              <w:jc w:val="right"/>
              <w:textAlignment w:val="bottom"/>
              <w:rPr>
                <w:rFonts w:ascii="Arial" w:hAnsi="Arial" w:cs="Arial"/>
                <w:color w:val="FF0000"/>
                <w:sz w:val="20"/>
                <w:szCs w:val="20"/>
              </w:rPr>
            </w:pPr>
            <w:r w:rsidRPr="00251963">
              <w:rPr>
                <w:rFonts w:ascii="Arial" w:hAnsi="Arial" w:cs="Arial"/>
                <w:color w:val="FF0000"/>
                <w:sz w:val="20"/>
                <w:szCs w:val="20"/>
              </w:rPr>
              <w:t>2,4 %</w:t>
            </w:r>
          </w:p>
        </w:tc>
        <w:tc>
          <w:tcPr>
            <w:tcW w:w="1964" w:type="dxa"/>
            <w:vAlign w:val="bottom"/>
          </w:tcPr>
          <w:p w14:paraId="4F838E60" w14:textId="77777777" w:rsidR="00C93158" w:rsidRPr="00251963" w:rsidRDefault="00C93158" w:rsidP="006133D9">
            <w:pPr>
              <w:pStyle w:val="Normlnweb"/>
              <w:spacing w:before="0" w:beforeAutospacing="0" w:after="0" w:afterAutospacing="0"/>
              <w:jc w:val="right"/>
              <w:textAlignment w:val="bottom"/>
              <w:rPr>
                <w:rFonts w:ascii="Arial" w:hAnsi="Arial" w:cs="Arial"/>
                <w:color w:val="FF0000"/>
                <w:sz w:val="20"/>
                <w:szCs w:val="20"/>
              </w:rPr>
            </w:pPr>
            <w:r w:rsidRPr="00251963">
              <w:rPr>
                <w:rFonts w:ascii="Arial" w:hAnsi="Arial" w:cs="Arial"/>
                <w:color w:val="FF0000"/>
                <w:sz w:val="20"/>
                <w:szCs w:val="20"/>
              </w:rPr>
              <w:t>2,3 %</w:t>
            </w:r>
          </w:p>
        </w:tc>
      </w:tr>
    </w:tbl>
    <w:p w14:paraId="4693D087" w14:textId="77777777" w:rsidR="00FA3413" w:rsidRDefault="00FA3413" w:rsidP="00C93158">
      <w:pPr>
        <w:rPr>
          <w:b/>
          <w:color w:val="007E79"/>
          <w:sz w:val="20"/>
        </w:rPr>
      </w:pPr>
    </w:p>
    <w:p w14:paraId="0FC19613" w14:textId="0D42611A" w:rsidR="00C93158" w:rsidRPr="00302451" w:rsidRDefault="00C93158" w:rsidP="00C93158">
      <w:pPr>
        <w:rPr>
          <w:b/>
          <w:color w:val="007E79"/>
          <w:sz w:val="20"/>
        </w:rPr>
      </w:pPr>
      <w:r w:rsidRPr="00302451">
        <w:rPr>
          <w:b/>
          <w:color w:val="007E79"/>
          <w:sz w:val="20"/>
        </w:rPr>
        <w:t>Makroekonomická prognóza ČBA v číslech:</w:t>
      </w:r>
    </w:p>
    <w:p w14:paraId="10A71CAA" w14:textId="5C88FB90" w:rsidR="00C93158" w:rsidRDefault="00C93158" w:rsidP="00C93158">
      <w:pPr>
        <w:rPr>
          <w:rFonts w:cs="Arial"/>
          <w:sz w:val="20"/>
          <w:szCs w:val="18"/>
        </w:rPr>
      </w:pPr>
    </w:p>
    <w:tbl>
      <w:tblPr>
        <w:tblW w:w="10196" w:type="dxa"/>
        <w:tblCellMar>
          <w:left w:w="0" w:type="dxa"/>
          <w:right w:w="0" w:type="dxa"/>
        </w:tblCellMar>
        <w:tblLook w:val="04A0" w:firstRow="1" w:lastRow="0" w:firstColumn="1" w:lastColumn="0" w:noHBand="0" w:noVBand="1"/>
      </w:tblPr>
      <w:tblGrid>
        <w:gridCol w:w="3747"/>
        <w:gridCol w:w="2055"/>
        <w:gridCol w:w="1985"/>
        <w:gridCol w:w="2409"/>
      </w:tblGrid>
      <w:tr w:rsidR="0065675B" w:rsidRPr="0065675B" w14:paraId="4B1594D4" w14:textId="77777777" w:rsidTr="0065675B">
        <w:trPr>
          <w:trHeight w:val="88"/>
        </w:trPr>
        <w:tc>
          <w:tcPr>
            <w:tcW w:w="3747" w:type="dxa"/>
            <w:tcBorders>
              <w:top w:val="single" w:sz="8" w:space="0" w:color="FFFFFF"/>
              <w:left w:val="single" w:sz="8" w:space="0" w:color="FFFFFF"/>
              <w:bottom w:val="single" w:sz="24" w:space="0" w:color="FFFFFF"/>
              <w:right w:val="single" w:sz="8" w:space="0" w:color="FFFFFF"/>
            </w:tcBorders>
            <w:shd w:val="clear" w:color="auto" w:fill="007E79"/>
            <w:tcMar>
              <w:top w:w="15" w:type="dxa"/>
              <w:left w:w="108" w:type="dxa"/>
              <w:bottom w:w="0" w:type="dxa"/>
              <w:right w:w="108" w:type="dxa"/>
            </w:tcMar>
            <w:hideMark/>
          </w:tcPr>
          <w:p w14:paraId="411568ED"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Ukazatel</w:t>
            </w:r>
          </w:p>
        </w:tc>
        <w:tc>
          <w:tcPr>
            <w:tcW w:w="2055" w:type="dxa"/>
            <w:tcBorders>
              <w:top w:val="single" w:sz="8" w:space="0" w:color="FFFFFF"/>
              <w:left w:val="single" w:sz="8" w:space="0" w:color="FFFFFF"/>
              <w:bottom w:val="single" w:sz="24" w:space="0" w:color="FFFFFF"/>
              <w:right w:val="single" w:sz="8" w:space="0" w:color="FFFFFF"/>
            </w:tcBorders>
            <w:shd w:val="clear" w:color="auto" w:fill="007E79"/>
            <w:tcMar>
              <w:top w:w="15" w:type="dxa"/>
              <w:left w:w="108" w:type="dxa"/>
              <w:bottom w:w="0" w:type="dxa"/>
              <w:right w:w="108" w:type="dxa"/>
            </w:tcMar>
            <w:hideMark/>
          </w:tcPr>
          <w:p w14:paraId="6D672449"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2018 (skutečnost)</w:t>
            </w:r>
          </w:p>
        </w:tc>
        <w:tc>
          <w:tcPr>
            <w:tcW w:w="1985" w:type="dxa"/>
            <w:tcBorders>
              <w:top w:val="single" w:sz="8" w:space="0" w:color="FFFFFF"/>
              <w:left w:val="single" w:sz="8" w:space="0" w:color="FFFFFF"/>
              <w:bottom w:val="single" w:sz="24" w:space="0" w:color="FFFFFF"/>
              <w:right w:val="single" w:sz="8" w:space="0" w:color="FFFFFF"/>
            </w:tcBorders>
            <w:shd w:val="clear" w:color="auto" w:fill="007E79"/>
            <w:tcMar>
              <w:top w:w="15" w:type="dxa"/>
              <w:left w:w="108" w:type="dxa"/>
              <w:bottom w:w="0" w:type="dxa"/>
              <w:right w:w="108" w:type="dxa"/>
            </w:tcMar>
            <w:hideMark/>
          </w:tcPr>
          <w:p w14:paraId="28E7FCB5"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2019 (prognóza)</w:t>
            </w:r>
          </w:p>
        </w:tc>
        <w:tc>
          <w:tcPr>
            <w:tcW w:w="2409" w:type="dxa"/>
            <w:tcBorders>
              <w:top w:val="single" w:sz="8" w:space="0" w:color="FFFFFF"/>
              <w:left w:val="single" w:sz="8" w:space="0" w:color="FFFFFF"/>
              <w:bottom w:val="single" w:sz="24" w:space="0" w:color="FFFFFF"/>
              <w:right w:val="single" w:sz="8" w:space="0" w:color="FFFFFF"/>
            </w:tcBorders>
            <w:shd w:val="clear" w:color="auto" w:fill="007E79"/>
            <w:tcMar>
              <w:top w:w="15" w:type="dxa"/>
              <w:left w:w="108" w:type="dxa"/>
              <w:bottom w:w="0" w:type="dxa"/>
              <w:right w:w="108" w:type="dxa"/>
            </w:tcMar>
            <w:hideMark/>
          </w:tcPr>
          <w:p w14:paraId="66D66CB7"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2020 (prognóza)</w:t>
            </w:r>
          </w:p>
        </w:tc>
      </w:tr>
      <w:tr w:rsidR="0065675B" w:rsidRPr="0065675B" w14:paraId="6C6060CF" w14:textId="77777777" w:rsidTr="0065675B">
        <w:trPr>
          <w:trHeight w:val="87"/>
        </w:trPr>
        <w:tc>
          <w:tcPr>
            <w:tcW w:w="3747" w:type="dxa"/>
            <w:tcBorders>
              <w:top w:val="single" w:sz="24"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15FB5585"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Růst reálného HDP (%)</w:t>
            </w:r>
          </w:p>
        </w:tc>
        <w:tc>
          <w:tcPr>
            <w:tcW w:w="2055"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660C9440"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3,0</w:t>
            </w:r>
          </w:p>
        </w:tc>
        <w:tc>
          <w:tcPr>
            <w:tcW w:w="1985"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0BA0394A"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2,4</w:t>
            </w:r>
          </w:p>
        </w:tc>
        <w:tc>
          <w:tcPr>
            <w:tcW w:w="2409"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1CC27DCA"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2,3</w:t>
            </w:r>
          </w:p>
        </w:tc>
      </w:tr>
      <w:tr w:rsidR="0065675B" w:rsidRPr="0065675B" w14:paraId="646474FC" w14:textId="77777777" w:rsidTr="0065675B">
        <w:trPr>
          <w:trHeight w:val="91"/>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486EC867"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Podíl nezaměstnaných osob (MPSV): průměr (%)</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5D0B0423"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3,2</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0AAAA210"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hAnsi="Calibri"/>
                <w:b/>
                <w:bCs/>
                <w:color w:val="000000" w:themeColor="text1"/>
                <w:kern w:val="24"/>
                <w:sz w:val="22"/>
                <w:szCs w:val="22"/>
              </w:rPr>
              <w:t>2,8</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4F17F024"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3,1</w:t>
            </w:r>
          </w:p>
        </w:tc>
      </w:tr>
      <w:tr w:rsidR="0065675B" w:rsidRPr="0065675B" w14:paraId="636D37C4" w14:textId="77777777" w:rsidTr="0065675B">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7CE8D490"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Průměrná nominální mzda (růst v %)</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0B2FA388"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7,5</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3DA15EC4"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6,7</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72BD4E2E"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5,5</w:t>
            </w:r>
          </w:p>
        </w:tc>
      </w:tr>
      <w:tr w:rsidR="0065675B" w:rsidRPr="0065675B" w14:paraId="3BA814CF" w14:textId="77777777" w:rsidTr="0065675B">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70013A2F"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Míra inflace: CPI (%) průměr</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7A22110F"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2,1</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07F5738C"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2,6</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6E5E8884"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2,1</w:t>
            </w:r>
          </w:p>
        </w:tc>
      </w:tr>
      <w:tr w:rsidR="0065675B" w:rsidRPr="0065675B" w14:paraId="521233EC" w14:textId="77777777" w:rsidTr="0065675B">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3A330F8F"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Vládní deficit/přebytek (% HDP)</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53E8A9EE"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0,9</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1FCBE628"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0,0</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6C494613"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FF0000"/>
                <w:kern w:val="24"/>
                <w:sz w:val="22"/>
                <w:szCs w:val="22"/>
              </w:rPr>
              <w:t>-</w:t>
            </w:r>
            <w:r w:rsidRPr="0065675B">
              <w:rPr>
                <w:rFonts w:ascii="Calibri" w:eastAsia="PMingLiU" w:hAnsi="Calibri"/>
                <w:b/>
                <w:bCs/>
                <w:color w:val="000000"/>
                <w:kern w:val="24"/>
                <w:sz w:val="22"/>
                <w:szCs w:val="22"/>
              </w:rPr>
              <w:t xml:space="preserve"> 0,5</w:t>
            </w:r>
          </w:p>
        </w:tc>
      </w:tr>
      <w:tr w:rsidR="0065675B" w:rsidRPr="0065675B" w14:paraId="14378C53" w14:textId="77777777" w:rsidTr="0065675B">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1F5EC9AA"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 xml:space="preserve">Vládní dluh (% HDP) </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126B4BF0"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32,6</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394CED1C"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31,3</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57312A7B"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30,5</w:t>
            </w:r>
          </w:p>
        </w:tc>
      </w:tr>
      <w:tr w:rsidR="0065675B" w:rsidRPr="0065675B" w14:paraId="552BE0D0" w14:textId="77777777" w:rsidTr="0065675B">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320F0540"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Růst spotřeby domácností (%) reálně</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05492B77"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3,3</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63152515"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2,8</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3D3C80F4"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2,6</w:t>
            </w:r>
          </w:p>
        </w:tc>
      </w:tr>
      <w:tr w:rsidR="0065675B" w:rsidRPr="0065675B" w14:paraId="1648A5F3" w14:textId="77777777" w:rsidTr="0065675B">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0F5C730B"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Růst vládní spotřeby (%) reálně</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68B61A8D"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4,0</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2D257DD9"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2,7</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1259B385"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2,0</w:t>
            </w:r>
          </w:p>
        </w:tc>
      </w:tr>
      <w:tr w:rsidR="0065675B" w:rsidRPr="0065675B" w14:paraId="4EA7D3E3" w14:textId="77777777" w:rsidTr="0065675B">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7C130A54"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Růst investic (%) reálně</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01803B6B"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7,2</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2F7437F0"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2,8</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1892B148"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3,0</w:t>
            </w:r>
          </w:p>
        </w:tc>
      </w:tr>
      <w:tr w:rsidR="0065675B" w:rsidRPr="0065675B" w14:paraId="6F4CA3D3" w14:textId="77777777" w:rsidTr="0065675B">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17787A8E"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Růst reálného HDP v eurozóně (%)</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04025588"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1,9</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689801DE"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1,1</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2A8C9C15"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1,1</w:t>
            </w:r>
          </w:p>
        </w:tc>
      </w:tr>
      <w:tr w:rsidR="0065675B" w:rsidRPr="0065675B" w14:paraId="60142AA4" w14:textId="77777777" w:rsidTr="0065675B">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6A35B974"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Směnný kurz CZK/EUR: průměr</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2A18953F"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25,64</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0C226044"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25,60</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1DD3C408"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25,24</w:t>
            </w:r>
          </w:p>
        </w:tc>
      </w:tr>
      <w:tr w:rsidR="0065675B" w:rsidRPr="0065675B" w14:paraId="445C4C94" w14:textId="77777777" w:rsidTr="0065675B">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00B4B737"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lastRenderedPageBreak/>
              <w:t>Ceny ropy (USD za barel): brent průměr</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2FE56018" w14:textId="77777777" w:rsidR="0065675B" w:rsidRPr="0065675B" w:rsidRDefault="0065675B" w:rsidP="0065675B">
            <w:pPr>
              <w:overflowPunct/>
              <w:autoSpaceDE/>
              <w:autoSpaceDN/>
              <w:adjustRightInd/>
              <w:spacing w:line="254" w:lineRule="auto"/>
              <w:jc w:val="right"/>
              <w:textAlignment w:val="bottom"/>
              <w:rPr>
                <w:rFonts w:cs="Arial"/>
                <w:sz w:val="36"/>
                <w:szCs w:val="36"/>
              </w:rPr>
            </w:pPr>
            <w:r w:rsidRPr="0065675B">
              <w:rPr>
                <w:rFonts w:ascii="Calibri" w:eastAsia="PMingLiU" w:hAnsi="Calibri"/>
                <w:b/>
                <w:bCs/>
                <w:color w:val="000000"/>
                <w:kern w:val="24"/>
                <w:sz w:val="22"/>
                <w:szCs w:val="22"/>
              </w:rPr>
              <w:t xml:space="preserve">      71,70</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0DA44B85"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67,0</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72F1E147"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65,00</w:t>
            </w:r>
          </w:p>
        </w:tc>
      </w:tr>
      <w:tr w:rsidR="0065675B" w:rsidRPr="0065675B" w14:paraId="23861021" w14:textId="77777777" w:rsidTr="0065675B">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23F29BAA"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 xml:space="preserve">Základní sazba ČNB </w:t>
            </w:r>
            <w:proofErr w:type="gramStart"/>
            <w:r w:rsidRPr="0065675B">
              <w:rPr>
                <w:rFonts w:ascii="Calibri" w:hAnsi="Calibri" w:cs="Calibri"/>
                <w:b/>
                <w:bCs/>
                <w:color w:val="FFFFFF" w:themeColor="light1"/>
                <w:kern w:val="24"/>
                <w:sz w:val="20"/>
              </w:rPr>
              <w:t>2T</w:t>
            </w:r>
            <w:proofErr w:type="gramEnd"/>
            <w:r w:rsidRPr="0065675B">
              <w:rPr>
                <w:rFonts w:ascii="Calibri" w:hAnsi="Calibri" w:cs="Calibri"/>
                <w:b/>
                <w:bCs/>
                <w:color w:val="FFFFFF" w:themeColor="light1"/>
                <w:kern w:val="24"/>
                <w:sz w:val="20"/>
              </w:rPr>
              <w:t xml:space="preserve"> REPO (%): konec období</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2D4A90B1" w14:textId="77777777" w:rsidR="0065675B" w:rsidRPr="0065675B" w:rsidRDefault="0065675B" w:rsidP="0065675B">
            <w:pPr>
              <w:overflowPunct/>
              <w:autoSpaceDE/>
              <w:autoSpaceDN/>
              <w:adjustRightInd/>
              <w:spacing w:line="254" w:lineRule="auto"/>
              <w:jc w:val="right"/>
              <w:textAlignment w:val="bottom"/>
              <w:rPr>
                <w:rFonts w:cs="Arial"/>
                <w:sz w:val="36"/>
                <w:szCs w:val="36"/>
              </w:rPr>
            </w:pPr>
            <w:r w:rsidRPr="0065675B">
              <w:rPr>
                <w:rFonts w:ascii="Calibri" w:eastAsia="PMingLiU" w:hAnsi="Calibri"/>
                <w:b/>
                <w:bCs/>
                <w:color w:val="000000"/>
                <w:kern w:val="24"/>
                <w:sz w:val="22"/>
                <w:szCs w:val="22"/>
              </w:rPr>
              <w:t>1,75</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209D982A"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2,00</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58E35022"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2,00</w:t>
            </w:r>
          </w:p>
        </w:tc>
      </w:tr>
      <w:tr w:rsidR="0065675B" w:rsidRPr="0065675B" w14:paraId="32A294F8" w14:textId="77777777" w:rsidTr="0065675B">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69258B6A"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Základní sazba ECB (%): konec období</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60626202"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0,0</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3956D446"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0,0</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531A4A56"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0,0</w:t>
            </w:r>
          </w:p>
        </w:tc>
      </w:tr>
      <w:tr w:rsidR="0065675B" w:rsidRPr="0065675B" w14:paraId="72155F13" w14:textId="77777777" w:rsidTr="0065675B">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2239ABC3"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3M-PRIBOR (%): průměr</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197F1E20"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1,27</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3CB373A3"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2,14</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4B680F07"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2,20</w:t>
            </w:r>
          </w:p>
        </w:tc>
      </w:tr>
      <w:tr w:rsidR="0065675B" w:rsidRPr="0065675B" w14:paraId="50544107" w14:textId="77777777" w:rsidTr="0065675B">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38ED4C72"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Růst bankovních úvěrů klientských (%)</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029A84AA"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7,2</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7CE019AA"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5,4</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3C457989"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4,3</w:t>
            </w:r>
          </w:p>
        </w:tc>
      </w:tr>
      <w:tr w:rsidR="0065675B" w:rsidRPr="0065675B" w14:paraId="32076E5F" w14:textId="77777777" w:rsidTr="0065675B">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4B4F9597"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Růst bankovních úvěrů domácnostem (%)</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472A98D9"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7,9</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48369240"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6,2</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70957DC9"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5,0</w:t>
            </w:r>
          </w:p>
        </w:tc>
      </w:tr>
      <w:tr w:rsidR="0065675B" w:rsidRPr="0065675B" w14:paraId="418E71CA" w14:textId="77777777" w:rsidTr="0065675B">
        <w:trPr>
          <w:trHeight w:val="84"/>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62221125"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Růst bankovních úvěrů (nefinančním) podnikům (%)</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4FF8A217"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5,7</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106F2A8B"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4,3</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13BFD657"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4,0</w:t>
            </w:r>
          </w:p>
        </w:tc>
      </w:tr>
      <w:tr w:rsidR="0065675B" w:rsidRPr="0065675B" w14:paraId="1C64EB0D" w14:textId="77777777" w:rsidTr="0065675B">
        <w:trPr>
          <w:trHeight w:val="84"/>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10B03657"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Růst bankovních vkladů klientských celkem (%)</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532166EB"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6,6</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437631DE"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8,0</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2863EC17"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5,0</w:t>
            </w:r>
          </w:p>
        </w:tc>
      </w:tr>
    </w:tbl>
    <w:p w14:paraId="0E27B1AF" w14:textId="23D84F68" w:rsidR="0065675B" w:rsidRDefault="0065675B" w:rsidP="00C93158">
      <w:pPr>
        <w:rPr>
          <w:rFonts w:cs="Arial"/>
          <w:sz w:val="20"/>
          <w:szCs w:val="18"/>
        </w:rPr>
      </w:pPr>
    </w:p>
    <w:p w14:paraId="1AE6FC8E" w14:textId="437E138B" w:rsidR="005C1943" w:rsidRPr="00517111" w:rsidRDefault="0065675B" w:rsidP="00F67E6A">
      <w:pPr>
        <w:rPr>
          <w:rFonts w:eastAsiaTheme="minorEastAsia" w:cs="Arial"/>
        </w:rPr>
      </w:pPr>
      <w:r w:rsidRPr="005A44FF">
        <w:rPr>
          <w:rFonts w:eastAsiaTheme="minorEastAsia" w:cs="Arial"/>
          <w:noProof/>
        </w:rPr>
        <mc:AlternateContent>
          <mc:Choice Requires="wps">
            <w:drawing>
              <wp:anchor distT="0" distB="0" distL="114300" distR="114300" simplePos="0" relativeHeight="251688960" behindDoc="0" locked="0" layoutInCell="1" allowOverlap="1" wp14:anchorId="351A5361" wp14:editId="56C0884C">
                <wp:simplePos x="0" y="0"/>
                <wp:positionH relativeFrom="margin">
                  <wp:align>right</wp:align>
                </wp:positionH>
                <wp:positionV relativeFrom="paragraph">
                  <wp:posOffset>227330</wp:posOffset>
                </wp:positionV>
                <wp:extent cx="2181225" cy="1637665"/>
                <wp:effectExtent l="0" t="0" r="9525" b="635"/>
                <wp:wrapSquare wrapText="bothSides"/>
                <wp:docPr id="200" name="Obdélník 200"/>
                <wp:cNvGraphicFramePr/>
                <a:graphic xmlns:a="http://schemas.openxmlformats.org/drawingml/2006/main">
                  <a:graphicData uri="http://schemas.microsoft.com/office/word/2010/wordprocessingShape">
                    <wps:wsp>
                      <wps:cNvSpPr/>
                      <wps:spPr>
                        <a:xfrm>
                          <a:off x="0" y="0"/>
                          <a:ext cx="2181225" cy="1637665"/>
                        </a:xfrm>
                        <a:prstGeom prst="rect">
                          <a:avLst/>
                        </a:prstGeom>
                        <a:solidFill>
                          <a:srgbClr val="007E79">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95292" w14:textId="77777777" w:rsidR="00044002" w:rsidRPr="005A44FF" w:rsidRDefault="00044002" w:rsidP="00044002">
                            <w:pPr>
                              <w:spacing w:line="276" w:lineRule="auto"/>
                              <w:ind w:left="28" w:hanging="28"/>
                              <w:jc w:val="left"/>
                              <w:outlineLvl w:val="0"/>
                              <w:rPr>
                                <w:rFonts w:cs="Arial"/>
                                <w:b/>
                                <w:sz w:val="20"/>
                                <w:szCs w:val="18"/>
                              </w:rPr>
                            </w:pPr>
                            <w:r w:rsidRPr="005A44FF">
                              <w:rPr>
                                <w:rFonts w:cs="Arial"/>
                                <w:b/>
                                <w:sz w:val="20"/>
                                <w:szCs w:val="18"/>
                              </w:rPr>
                              <w:t xml:space="preserve">Další informace </w:t>
                            </w:r>
                          </w:p>
                          <w:p w14:paraId="187194D7" w14:textId="77777777" w:rsidR="00044002" w:rsidRPr="005A44FF" w:rsidRDefault="00044002" w:rsidP="00044002">
                            <w:pPr>
                              <w:spacing w:line="276" w:lineRule="auto"/>
                              <w:ind w:left="28" w:hanging="28"/>
                              <w:jc w:val="left"/>
                              <w:outlineLvl w:val="0"/>
                              <w:rPr>
                                <w:rFonts w:cs="Arial"/>
                                <w:b/>
                                <w:sz w:val="20"/>
                                <w:szCs w:val="18"/>
                              </w:rPr>
                            </w:pPr>
                            <w:r w:rsidRPr="005A44FF">
                              <w:rPr>
                                <w:rFonts w:cs="Arial"/>
                                <w:b/>
                                <w:sz w:val="20"/>
                                <w:szCs w:val="18"/>
                              </w:rPr>
                              <w:t>obdržíte na adrese:</w:t>
                            </w:r>
                          </w:p>
                          <w:p w14:paraId="5867C1DD" w14:textId="77777777" w:rsidR="00044002" w:rsidRPr="003D3951" w:rsidRDefault="00044002" w:rsidP="00044002">
                            <w:pPr>
                              <w:spacing w:line="276" w:lineRule="auto"/>
                              <w:jc w:val="left"/>
                              <w:rPr>
                                <w:rFonts w:cs="Arial"/>
                                <w:b/>
                                <w:szCs w:val="18"/>
                              </w:rPr>
                            </w:pPr>
                          </w:p>
                          <w:p w14:paraId="1F85193F" w14:textId="77777777" w:rsidR="00044002" w:rsidRPr="005A44FF" w:rsidRDefault="00044002" w:rsidP="00044002">
                            <w:pPr>
                              <w:spacing w:line="276" w:lineRule="auto"/>
                              <w:jc w:val="left"/>
                              <w:rPr>
                                <w:rFonts w:cs="Arial"/>
                                <w:noProof/>
                                <w:szCs w:val="18"/>
                              </w:rPr>
                            </w:pPr>
                            <w:r w:rsidRPr="005A44FF">
                              <w:rPr>
                                <w:rFonts w:cs="Arial"/>
                                <w:noProof/>
                                <w:szCs w:val="18"/>
                              </w:rPr>
                              <w:t xml:space="preserve">Monika Petrásková, </w:t>
                            </w:r>
                          </w:p>
                          <w:p w14:paraId="5026572F" w14:textId="77777777" w:rsidR="00044002" w:rsidRPr="005A44FF" w:rsidRDefault="00044002" w:rsidP="00044002">
                            <w:pPr>
                              <w:spacing w:line="276" w:lineRule="auto"/>
                              <w:jc w:val="left"/>
                              <w:rPr>
                                <w:rFonts w:cs="Arial"/>
                                <w:szCs w:val="18"/>
                              </w:rPr>
                            </w:pPr>
                            <w:r w:rsidRPr="005A44FF">
                              <w:rPr>
                                <w:rFonts w:cs="Arial"/>
                                <w:noProof/>
                                <w:szCs w:val="18"/>
                              </w:rPr>
                              <w:t>m</w:t>
                            </w:r>
                            <w:proofErr w:type="spellStart"/>
                            <w:r w:rsidRPr="005A44FF">
                              <w:rPr>
                                <w:rFonts w:cs="Arial"/>
                                <w:szCs w:val="18"/>
                              </w:rPr>
                              <w:t>anažerka</w:t>
                            </w:r>
                            <w:proofErr w:type="spellEnd"/>
                            <w:r w:rsidRPr="005A44FF">
                              <w:rPr>
                                <w:rFonts w:cs="Arial"/>
                                <w:szCs w:val="18"/>
                              </w:rPr>
                              <w:t xml:space="preserve"> PR a komunikace ČBA</w:t>
                            </w:r>
                          </w:p>
                          <w:p w14:paraId="69EB82FC" w14:textId="77777777" w:rsidR="00044002" w:rsidRPr="005A44FF" w:rsidRDefault="00044002" w:rsidP="00044002">
                            <w:pPr>
                              <w:spacing w:line="276" w:lineRule="auto"/>
                              <w:jc w:val="left"/>
                              <w:rPr>
                                <w:rFonts w:cs="Arial"/>
                                <w:szCs w:val="18"/>
                              </w:rPr>
                            </w:pPr>
                            <w:r w:rsidRPr="005A44FF">
                              <w:rPr>
                                <w:rFonts w:cs="Arial"/>
                                <w:szCs w:val="18"/>
                              </w:rPr>
                              <w:t>petraskova@czech-ba.cz</w:t>
                            </w:r>
                          </w:p>
                          <w:p w14:paraId="0B0CE061" w14:textId="77777777" w:rsidR="00044002" w:rsidRPr="005A44FF" w:rsidRDefault="00044002" w:rsidP="00044002">
                            <w:pPr>
                              <w:spacing w:line="276" w:lineRule="auto"/>
                              <w:jc w:val="left"/>
                              <w:rPr>
                                <w:rFonts w:cs="Arial"/>
                                <w:szCs w:val="18"/>
                              </w:rPr>
                            </w:pPr>
                            <w:r w:rsidRPr="005A44FF">
                              <w:rPr>
                                <w:rFonts w:cs="Arial"/>
                                <w:szCs w:val="18"/>
                              </w:rPr>
                              <w:t>tel: + 420 733 130 282</w:t>
                            </w:r>
                          </w:p>
                          <w:p w14:paraId="0808B31F" w14:textId="77777777" w:rsidR="00044002" w:rsidRDefault="00044002" w:rsidP="00044002">
                            <w:pPr>
                              <w:jc w:val="left"/>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A5361" id="Obdélník 200" o:spid="_x0000_s1032" style="position:absolute;left:0;text-align:left;margin-left:120.55pt;margin-top:17.9pt;width:171.75pt;height:128.9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" fillcolor="#007e79" stroked="f" strokeweight="1pt">
                <v:fill opacity="32639f"/>
                <v:textbox inset="3mm,3mm,3mm,3mm">
                  <w:txbxContent>
                    <w:p w14:paraId="7AC95292" w14:textId="77777777" w:rsidR="00044002" w:rsidRPr="005A44FF" w:rsidRDefault="00044002" w:rsidP="00044002">
                      <w:pPr>
                        <w:spacing w:line="276" w:lineRule="auto"/>
                        <w:ind w:left="28" w:hanging="28"/>
                        <w:jc w:val="left"/>
                        <w:outlineLvl w:val="0"/>
                        <w:rPr>
                          <w:rFonts w:cs="Arial"/>
                          <w:b/>
                          <w:sz w:val="20"/>
                          <w:szCs w:val="18"/>
                        </w:rPr>
                      </w:pPr>
                      <w:r w:rsidRPr="005A44FF">
                        <w:rPr>
                          <w:rFonts w:cs="Arial"/>
                          <w:b/>
                          <w:sz w:val="20"/>
                          <w:szCs w:val="18"/>
                        </w:rPr>
                        <w:t xml:space="preserve">Další informace </w:t>
                      </w:r>
                    </w:p>
                    <w:p w14:paraId="187194D7" w14:textId="77777777" w:rsidR="00044002" w:rsidRPr="005A44FF" w:rsidRDefault="00044002" w:rsidP="00044002">
                      <w:pPr>
                        <w:spacing w:line="276" w:lineRule="auto"/>
                        <w:ind w:left="28" w:hanging="28"/>
                        <w:jc w:val="left"/>
                        <w:outlineLvl w:val="0"/>
                        <w:rPr>
                          <w:rFonts w:cs="Arial"/>
                          <w:b/>
                          <w:sz w:val="20"/>
                          <w:szCs w:val="18"/>
                        </w:rPr>
                      </w:pPr>
                      <w:r w:rsidRPr="005A44FF">
                        <w:rPr>
                          <w:rFonts w:cs="Arial"/>
                          <w:b/>
                          <w:sz w:val="20"/>
                          <w:szCs w:val="18"/>
                        </w:rPr>
                        <w:t>obdržíte na adrese:</w:t>
                      </w:r>
                    </w:p>
                    <w:p w14:paraId="5867C1DD" w14:textId="77777777" w:rsidR="00044002" w:rsidRPr="003D3951" w:rsidRDefault="00044002" w:rsidP="00044002">
                      <w:pPr>
                        <w:spacing w:line="276" w:lineRule="auto"/>
                        <w:jc w:val="left"/>
                        <w:rPr>
                          <w:rFonts w:cs="Arial"/>
                          <w:b/>
                          <w:szCs w:val="18"/>
                        </w:rPr>
                      </w:pPr>
                    </w:p>
                    <w:p w14:paraId="1F85193F" w14:textId="77777777" w:rsidR="00044002" w:rsidRPr="005A44FF" w:rsidRDefault="00044002" w:rsidP="00044002">
                      <w:pPr>
                        <w:spacing w:line="276" w:lineRule="auto"/>
                        <w:jc w:val="left"/>
                        <w:rPr>
                          <w:rFonts w:cs="Arial"/>
                          <w:noProof/>
                          <w:szCs w:val="18"/>
                        </w:rPr>
                      </w:pPr>
                      <w:r w:rsidRPr="005A44FF">
                        <w:rPr>
                          <w:rFonts w:cs="Arial"/>
                          <w:noProof/>
                          <w:szCs w:val="18"/>
                        </w:rPr>
                        <w:t xml:space="preserve">Monika Petrásková, </w:t>
                      </w:r>
                    </w:p>
                    <w:p w14:paraId="5026572F" w14:textId="77777777" w:rsidR="00044002" w:rsidRPr="005A44FF" w:rsidRDefault="00044002" w:rsidP="00044002">
                      <w:pPr>
                        <w:spacing w:line="276" w:lineRule="auto"/>
                        <w:jc w:val="left"/>
                        <w:rPr>
                          <w:rFonts w:cs="Arial"/>
                          <w:szCs w:val="18"/>
                        </w:rPr>
                      </w:pPr>
                      <w:r w:rsidRPr="005A44FF">
                        <w:rPr>
                          <w:rFonts w:cs="Arial"/>
                          <w:noProof/>
                          <w:szCs w:val="18"/>
                        </w:rPr>
                        <w:t>m</w:t>
                      </w:r>
                      <w:proofErr w:type="spellStart"/>
                      <w:r w:rsidRPr="005A44FF">
                        <w:rPr>
                          <w:rFonts w:cs="Arial"/>
                          <w:szCs w:val="18"/>
                        </w:rPr>
                        <w:t>anažerka</w:t>
                      </w:r>
                      <w:proofErr w:type="spellEnd"/>
                      <w:r w:rsidRPr="005A44FF">
                        <w:rPr>
                          <w:rFonts w:cs="Arial"/>
                          <w:szCs w:val="18"/>
                        </w:rPr>
                        <w:t xml:space="preserve"> PR a komunikace ČBA</w:t>
                      </w:r>
                    </w:p>
                    <w:p w14:paraId="69EB82FC" w14:textId="77777777" w:rsidR="00044002" w:rsidRPr="005A44FF" w:rsidRDefault="00044002" w:rsidP="00044002">
                      <w:pPr>
                        <w:spacing w:line="276" w:lineRule="auto"/>
                        <w:jc w:val="left"/>
                        <w:rPr>
                          <w:rFonts w:cs="Arial"/>
                          <w:szCs w:val="18"/>
                        </w:rPr>
                      </w:pPr>
                      <w:r w:rsidRPr="005A44FF">
                        <w:rPr>
                          <w:rFonts w:cs="Arial"/>
                          <w:szCs w:val="18"/>
                        </w:rPr>
                        <w:t>petraskova@czech-ba.cz</w:t>
                      </w:r>
                    </w:p>
                    <w:p w14:paraId="0B0CE061" w14:textId="77777777" w:rsidR="00044002" w:rsidRPr="005A44FF" w:rsidRDefault="00044002" w:rsidP="00044002">
                      <w:pPr>
                        <w:spacing w:line="276" w:lineRule="auto"/>
                        <w:jc w:val="left"/>
                        <w:rPr>
                          <w:rFonts w:cs="Arial"/>
                          <w:szCs w:val="18"/>
                        </w:rPr>
                      </w:pPr>
                      <w:r w:rsidRPr="005A44FF">
                        <w:rPr>
                          <w:rFonts w:cs="Arial"/>
                          <w:szCs w:val="18"/>
                        </w:rPr>
                        <w:t>tel: + 420 733 130 282</w:t>
                      </w:r>
                    </w:p>
                    <w:p w14:paraId="0808B31F" w14:textId="77777777" w:rsidR="00044002" w:rsidRDefault="00044002" w:rsidP="00044002">
                      <w:pPr>
                        <w:jc w:val="left"/>
                      </w:pPr>
                    </w:p>
                  </w:txbxContent>
                </v:textbox>
                <w10:wrap type="square" anchorx="margin"/>
              </v:rect>
            </w:pict>
          </mc:Fallback>
        </mc:AlternateContent>
      </w:r>
      <w:r w:rsidRPr="005A44FF">
        <w:rPr>
          <w:rFonts w:eastAsiaTheme="minorEastAsia" w:cs="Arial"/>
          <w:noProof/>
        </w:rPr>
        <mc:AlternateContent>
          <mc:Choice Requires="wps">
            <w:drawing>
              <wp:anchor distT="0" distB="0" distL="114300" distR="114300" simplePos="0" relativeHeight="251686912" behindDoc="0" locked="0" layoutInCell="1" allowOverlap="1" wp14:anchorId="12989396" wp14:editId="028F67A9">
                <wp:simplePos x="0" y="0"/>
                <wp:positionH relativeFrom="margin">
                  <wp:align>left</wp:align>
                </wp:positionH>
                <wp:positionV relativeFrom="paragraph">
                  <wp:posOffset>227330</wp:posOffset>
                </wp:positionV>
                <wp:extent cx="4111625" cy="1637665"/>
                <wp:effectExtent l="0" t="0" r="3175" b="635"/>
                <wp:wrapSquare wrapText="bothSides"/>
                <wp:docPr id="199" name="Obdélník 199"/>
                <wp:cNvGraphicFramePr/>
                <a:graphic xmlns:a="http://schemas.openxmlformats.org/drawingml/2006/main">
                  <a:graphicData uri="http://schemas.microsoft.com/office/word/2010/wordprocessingShape">
                    <wps:wsp>
                      <wps:cNvSpPr/>
                      <wps:spPr>
                        <a:xfrm>
                          <a:off x="0" y="0"/>
                          <a:ext cx="4111625" cy="163766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1160DE" w14:textId="77777777" w:rsidR="00044002" w:rsidRPr="005A44FF" w:rsidRDefault="00044002" w:rsidP="00044002">
                            <w:pPr>
                              <w:pStyle w:val="Standard"/>
                              <w:spacing w:line="276" w:lineRule="auto"/>
                              <w:jc w:val="left"/>
                              <w:rPr>
                                <w:rFonts w:cs="Arial"/>
                                <w:b/>
                                <w:sz w:val="20"/>
                                <w:szCs w:val="18"/>
                              </w:rPr>
                            </w:pPr>
                            <w:r w:rsidRPr="005A44FF">
                              <w:rPr>
                                <w:rFonts w:cs="Arial"/>
                                <w:b/>
                                <w:sz w:val="20"/>
                                <w:szCs w:val="18"/>
                              </w:rPr>
                              <w:t>O České bankovní asociaci</w:t>
                            </w:r>
                          </w:p>
                          <w:p w14:paraId="51BDEFCD" w14:textId="77777777" w:rsidR="00044002" w:rsidRPr="00F67E6A" w:rsidRDefault="00044002" w:rsidP="00044002">
                            <w:pPr>
                              <w:pStyle w:val="Standard"/>
                              <w:spacing w:line="276" w:lineRule="auto"/>
                              <w:ind w:left="28" w:hanging="28"/>
                              <w:jc w:val="left"/>
                              <w:rPr>
                                <w:rFonts w:cs="Arial"/>
                                <w:szCs w:val="18"/>
                              </w:rPr>
                            </w:pPr>
                            <w:r w:rsidRPr="003D3951">
                              <w:rPr>
                                <w:rFonts w:cs="Arial"/>
                                <w:szCs w:val="18"/>
                              </w:rPr>
                              <w:t>Česká bankovní asociace vznikla v roce 1990 a je dobrovolným sdružením právnických osob podnikajících v oblasti peněžnictví. V současné době sdružuje 38 členů. Rolí asociace je především zastupovat a prosazovat společné zájmy členů, prezentovat roli a zájmy bankovnictví vůči veřejnosti, podílet se na standardizaci postupů v</w:t>
                            </w:r>
                            <w:r w:rsidRPr="003D3951">
                              <w:rPr>
                                <w:rFonts w:cs="Arial"/>
                                <w:i/>
                                <w:sz w:val="20"/>
                              </w:rPr>
                              <w:t> </w:t>
                            </w:r>
                            <w:r w:rsidRPr="003D3951">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3D3951">
                              <w:rPr>
                                <w:rFonts w:cs="Arial"/>
                                <w:i/>
                                <w:sz w:val="20"/>
                              </w:rPr>
                              <w:t> </w:t>
                            </w:r>
                            <w:r w:rsidRPr="003D3951">
                              <w:rPr>
                                <w:rFonts w:cs="Arial"/>
                                <w:szCs w:val="18"/>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89396" id="Obdélník 199" o:spid="_x0000_s1033" style="position:absolute;left:0;text-align:left;margin-left:0;margin-top:17.9pt;width:323.75pt;height:128.9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" fillcolor="#bfbfbf [2412]" stroked="f" strokeweight="1pt">
                <v:textbox inset="3mm,3mm,3mm,3mm">
                  <w:txbxContent>
                    <w:p w14:paraId="4C1160DE" w14:textId="77777777" w:rsidR="00044002" w:rsidRPr="005A44FF" w:rsidRDefault="00044002" w:rsidP="00044002">
                      <w:pPr>
                        <w:pStyle w:val="Standard"/>
                        <w:spacing w:line="276" w:lineRule="auto"/>
                        <w:jc w:val="left"/>
                        <w:rPr>
                          <w:rFonts w:cs="Arial"/>
                          <w:b/>
                          <w:sz w:val="20"/>
                          <w:szCs w:val="18"/>
                        </w:rPr>
                      </w:pPr>
                      <w:r w:rsidRPr="005A44FF">
                        <w:rPr>
                          <w:rFonts w:cs="Arial"/>
                          <w:b/>
                          <w:sz w:val="20"/>
                          <w:szCs w:val="18"/>
                        </w:rPr>
                        <w:t>O České bankovní asociaci</w:t>
                      </w:r>
                    </w:p>
                    <w:p w14:paraId="51BDEFCD" w14:textId="77777777" w:rsidR="00044002" w:rsidRPr="00F67E6A" w:rsidRDefault="00044002" w:rsidP="00044002">
                      <w:pPr>
                        <w:pStyle w:val="Standard"/>
                        <w:spacing w:line="276" w:lineRule="auto"/>
                        <w:ind w:left="28" w:hanging="28"/>
                        <w:jc w:val="left"/>
                        <w:rPr>
                          <w:rFonts w:cs="Arial"/>
                          <w:szCs w:val="18"/>
                        </w:rPr>
                      </w:pPr>
                      <w:r w:rsidRPr="003D3951">
                        <w:rPr>
                          <w:rFonts w:cs="Arial"/>
                          <w:szCs w:val="18"/>
                        </w:rPr>
                        <w:t>Česká bankovní asociace vznikla v roce 1990 a je dobrovolným sdružením právnických osob podnikajících v oblasti peněžnictví. V současné době sdružuje 38 členů. Rolí asociace je především zastupovat a prosazovat společné zájmy členů, prezentovat roli a zájmy bankovnictví vůči veřejnosti, podílet se na standardizaci postupů v</w:t>
                      </w:r>
                      <w:r w:rsidRPr="003D3951">
                        <w:rPr>
                          <w:rFonts w:cs="Arial"/>
                          <w:i/>
                          <w:sz w:val="20"/>
                        </w:rPr>
                        <w:t> </w:t>
                      </w:r>
                      <w:r w:rsidRPr="003D3951">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3D3951">
                        <w:rPr>
                          <w:rFonts w:cs="Arial"/>
                          <w:i/>
                          <w:sz w:val="20"/>
                        </w:rPr>
                        <w:t> </w:t>
                      </w:r>
                      <w:r w:rsidRPr="003D3951">
                        <w:rPr>
                          <w:rFonts w:cs="Arial"/>
                          <w:szCs w:val="18"/>
                        </w:rPr>
                        <w:t>EMMI.</w:t>
                      </w:r>
                    </w:p>
                  </w:txbxContent>
                </v:textbox>
                <w10:wrap type="square" anchorx="margin"/>
              </v:rect>
            </w:pict>
          </mc:Fallback>
        </mc:AlternateContent>
      </w:r>
    </w:p>
    <w:sectPr w:rsidR="005C1943" w:rsidRPr="00517111" w:rsidSect="00D36FE1">
      <w:headerReference w:type="default" r:id="rId8"/>
      <w:footerReference w:type="default" r:id="rId9"/>
      <w:pgSz w:w="11906" w:h="16838"/>
      <w:pgMar w:top="2552" w:right="851" w:bottom="1560"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346D8" w14:textId="77777777" w:rsidR="000419CA" w:rsidRDefault="000419CA" w:rsidP="00F573F1">
      <w:r>
        <w:separator/>
      </w:r>
    </w:p>
  </w:endnote>
  <w:endnote w:type="continuationSeparator" w:id="0">
    <w:p w14:paraId="1FA0E8EC" w14:textId="77777777" w:rsidR="000419CA" w:rsidRDefault="000419CA"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4"/>
      </w:rPr>
      <w:id w:val="-915778797"/>
      <w:docPartObj>
        <w:docPartGallery w:val="Page Numbers (Bottom of Page)"/>
        <w:docPartUnique/>
      </w:docPartObj>
    </w:sdtPr>
    <w:sdtEndPr/>
    <w:sdtContent>
      <w:p w14:paraId="13CE44BD" w14:textId="77777777" w:rsidR="00FB4A1C" w:rsidRPr="00FB4A1C" w:rsidRDefault="00FB4A1C">
        <w:pPr>
          <w:pStyle w:val="Zpat"/>
          <w:rPr>
            <w:color w:val="A6A6A6" w:themeColor="background1" w:themeShade="A6"/>
            <w:sz w:val="14"/>
          </w:rPr>
        </w:pPr>
        <w:r w:rsidRPr="00FB4A1C">
          <w:rPr>
            <w:color w:val="A6A6A6" w:themeColor="background1" w:themeShade="A6"/>
            <w:sz w:val="14"/>
          </w:rPr>
          <w:fldChar w:fldCharType="begin"/>
        </w:r>
        <w:r w:rsidRPr="00FB4A1C">
          <w:rPr>
            <w:color w:val="A6A6A6" w:themeColor="background1" w:themeShade="A6"/>
            <w:sz w:val="14"/>
          </w:rPr>
          <w:instrText>PAGE   \* MERGEFORMAT</w:instrText>
        </w:r>
        <w:r w:rsidRPr="00FB4A1C">
          <w:rPr>
            <w:color w:val="A6A6A6" w:themeColor="background1" w:themeShade="A6"/>
            <w:sz w:val="14"/>
          </w:rPr>
          <w:fldChar w:fldCharType="separate"/>
        </w:r>
        <w:r w:rsidRPr="00FB4A1C">
          <w:rPr>
            <w:color w:val="A6A6A6" w:themeColor="background1" w:themeShade="A6"/>
            <w:sz w:val="14"/>
          </w:rPr>
          <w:t>2</w:t>
        </w:r>
        <w:r w:rsidRPr="00FB4A1C">
          <w:rPr>
            <w:color w:val="A6A6A6" w:themeColor="background1" w:themeShade="A6"/>
            <w:sz w:val="14"/>
          </w:rPr>
          <w:fldChar w:fldCharType="end"/>
        </w:r>
      </w:p>
    </w:sdtContent>
  </w:sdt>
  <w:p w14:paraId="6B2FBE8E" w14:textId="77777777" w:rsidR="00FB4A1C" w:rsidRPr="00FB4A1C" w:rsidRDefault="00FB4A1C"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211C1" w14:textId="77777777" w:rsidR="000419CA" w:rsidRDefault="000419CA" w:rsidP="00F573F1">
      <w:r>
        <w:separator/>
      </w:r>
    </w:p>
  </w:footnote>
  <w:footnote w:type="continuationSeparator" w:id="0">
    <w:p w14:paraId="1B6B1761" w14:textId="77777777" w:rsidR="000419CA" w:rsidRDefault="000419CA"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06E3" w14:textId="52D82906" w:rsidR="00F573F1" w:rsidRDefault="00F573F1">
    <w:pPr>
      <w:pStyle w:val="Zhlav"/>
    </w:pPr>
    <w:r>
      <w:rPr>
        <w:noProof/>
      </w:rPr>
      <w:drawing>
        <wp:anchor distT="0" distB="0" distL="114300" distR="114300" simplePos="0" relativeHeight="251659264" behindDoc="1" locked="0" layoutInCell="1" allowOverlap="1" wp14:anchorId="08F9921F" wp14:editId="696766EE">
          <wp:simplePos x="0" y="0"/>
          <wp:positionH relativeFrom="page">
            <wp:posOffset>112395</wp:posOffset>
          </wp:positionH>
          <wp:positionV relativeFrom="paragraph">
            <wp:posOffset>-413385</wp:posOffset>
          </wp:positionV>
          <wp:extent cx="3196206" cy="1612900"/>
          <wp:effectExtent l="0" t="0" r="4445" b="635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BA_logo_cz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6206" cy="1612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12C4DCE"/>
    <w:multiLevelType w:val="hybridMultilevel"/>
    <w:tmpl w:val="D4D47A08"/>
    <w:lvl w:ilvl="0" w:tplc="F062A1E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4F41FF"/>
    <w:multiLevelType w:val="hybridMultilevel"/>
    <w:tmpl w:val="06ECF1A8"/>
    <w:lvl w:ilvl="0" w:tplc="7216123C">
      <w:start w:val="1"/>
      <w:numFmt w:val="bullet"/>
      <w:lvlText w:val="-"/>
      <w:lvlJc w:val="left"/>
      <w:pPr>
        <w:tabs>
          <w:tab w:val="num" w:pos="720"/>
        </w:tabs>
        <w:ind w:left="720" w:hanging="360"/>
      </w:pPr>
      <w:rPr>
        <w:rFonts w:ascii="Arial" w:hAnsi="Arial" w:hint="default"/>
      </w:rPr>
    </w:lvl>
    <w:lvl w:ilvl="1" w:tplc="D4D69B72" w:tentative="1">
      <w:start w:val="1"/>
      <w:numFmt w:val="bullet"/>
      <w:lvlText w:val="-"/>
      <w:lvlJc w:val="left"/>
      <w:pPr>
        <w:tabs>
          <w:tab w:val="num" w:pos="1440"/>
        </w:tabs>
        <w:ind w:left="1440" w:hanging="360"/>
      </w:pPr>
      <w:rPr>
        <w:rFonts w:ascii="Arial" w:hAnsi="Arial" w:hint="default"/>
      </w:rPr>
    </w:lvl>
    <w:lvl w:ilvl="2" w:tplc="F4A4DA8A" w:tentative="1">
      <w:start w:val="1"/>
      <w:numFmt w:val="bullet"/>
      <w:lvlText w:val="-"/>
      <w:lvlJc w:val="left"/>
      <w:pPr>
        <w:tabs>
          <w:tab w:val="num" w:pos="2160"/>
        </w:tabs>
        <w:ind w:left="2160" w:hanging="360"/>
      </w:pPr>
      <w:rPr>
        <w:rFonts w:ascii="Arial" w:hAnsi="Arial" w:hint="default"/>
      </w:rPr>
    </w:lvl>
    <w:lvl w:ilvl="3" w:tplc="992E1B1C" w:tentative="1">
      <w:start w:val="1"/>
      <w:numFmt w:val="bullet"/>
      <w:lvlText w:val="-"/>
      <w:lvlJc w:val="left"/>
      <w:pPr>
        <w:tabs>
          <w:tab w:val="num" w:pos="2880"/>
        </w:tabs>
        <w:ind w:left="2880" w:hanging="360"/>
      </w:pPr>
      <w:rPr>
        <w:rFonts w:ascii="Arial" w:hAnsi="Arial" w:hint="default"/>
      </w:rPr>
    </w:lvl>
    <w:lvl w:ilvl="4" w:tplc="87344526" w:tentative="1">
      <w:start w:val="1"/>
      <w:numFmt w:val="bullet"/>
      <w:lvlText w:val="-"/>
      <w:lvlJc w:val="left"/>
      <w:pPr>
        <w:tabs>
          <w:tab w:val="num" w:pos="3600"/>
        </w:tabs>
        <w:ind w:left="3600" w:hanging="360"/>
      </w:pPr>
      <w:rPr>
        <w:rFonts w:ascii="Arial" w:hAnsi="Arial" w:hint="default"/>
      </w:rPr>
    </w:lvl>
    <w:lvl w:ilvl="5" w:tplc="48FEB5AE" w:tentative="1">
      <w:start w:val="1"/>
      <w:numFmt w:val="bullet"/>
      <w:lvlText w:val="-"/>
      <w:lvlJc w:val="left"/>
      <w:pPr>
        <w:tabs>
          <w:tab w:val="num" w:pos="4320"/>
        </w:tabs>
        <w:ind w:left="4320" w:hanging="360"/>
      </w:pPr>
      <w:rPr>
        <w:rFonts w:ascii="Arial" w:hAnsi="Arial" w:hint="default"/>
      </w:rPr>
    </w:lvl>
    <w:lvl w:ilvl="6" w:tplc="53A2F4D2" w:tentative="1">
      <w:start w:val="1"/>
      <w:numFmt w:val="bullet"/>
      <w:lvlText w:val="-"/>
      <w:lvlJc w:val="left"/>
      <w:pPr>
        <w:tabs>
          <w:tab w:val="num" w:pos="5040"/>
        </w:tabs>
        <w:ind w:left="5040" w:hanging="360"/>
      </w:pPr>
      <w:rPr>
        <w:rFonts w:ascii="Arial" w:hAnsi="Arial" w:hint="default"/>
      </w:rPr>
    </w:lvl>
    <w:lvl w:ilvl="7" w:tplc="AEA686B4" w:tentative="1">
      <w:start w:val="1"/>
      <w:numFmt w:val="bullet"/>
      <w:lvlText w:val="-"/>
      <w:lvlJc w:val="left"/>
      <w:pPr>
        <w:tabs>
          <w:tab w:val="num" w:pos="5760"/>
        </w:tabs>
        <w:ind w:left="5760" w:hanging="360"/>
      </w:pPr>
      <w:rPr>
        <w:rFonts w:ascii="Arial" w:hAnsi="Arial" w:hint="default"/>
      </w:rPr>
    </w:lvl>
    <w:lvl w:ilvl="8" w:tplc="0F3A89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3"/>
    <w:rsid w:val="000419CA"/>
    <w:rsid w:val="00044002"/>
    <w:rsid w:val="000D5D2B"/>
    <w:rsid w:val="0011443F"/>
    <w:rsid w:val="00125474"/>
    <w:rsid w:val="001262D3"/>
    <w:rsid w:val="00186E9F"/>
    <w:rsid w:val="00195C6D"/>
    <w:rsid w:val="001C0DF4"/>
    <w:rsid w:val="001C297A"/>
    <w:rsid w:val="001D5BB9"/>
    <w:rsid w:val="00251963"/>
    <w:rsid w:val="00267ACA"/>
    <w:rsid w:val="002D12BD"/>
    <w:rsid w:val="002D1376"/>
    <w:rsid w:val="002F477C"/>
    <w:rsid w:val="00302451"/>
    <w:rsid w:val="00316A23"/>
    <w:rsid w:val="00327407"/>
    <w:rsid w:val="00370F35"/>
    <w:rsid w:val="00391FA6"/>
    <w:rsid w:val="003952ED"/>
    <w:rsid w:val="003C3D7F"/>
    <w:rsid w:val="003D104A"/>
    <w:rsid w:val="003E3DCB"/>
    <w:rsid w:val="003F1CB9"/>
    <w:rsid w:val="003F7F31"/>
    <w:rsid w:val="0040072F"/>
    <w:rsid w:val="00437589"/>
    <w:rsid w:val="0049113D"/>
    <w:rsid w:val="004A1724"/>
    <w:rsid w:val="004E1AC6"/>
    <w:rsid w:val="00517111"/>
    <w:rsid w:val="00527C61"/>
    <w:rsid w:val="005354AE"/>
    <w:rsid w:val="005642DD"/>
    <w:rsid w:val="005A2501"/>
    <w:rsid w:val="005A44FF"/>
    <w:rsid w:val="005C1943"/>
    <w:rsid w:val="005C6D52"/>
    <w:rsid w:val="005D0910"/>
    <w:rsid w:val="005E58E1"/>
    <w:rsid w:val="00604274"/>
    <w:rsid w:val="0060552B"/>
    <w:rsid w:val="00611C5C"/>
    <w:rsid w:val="006454CC"/>
    <w:rsid w:val="006478ED"/>
    <w:rsid w:val="0065675B"/>
    <w:rsid w:val="006642E5"/>
    <w:rsid w:val="006963D2"/>
    <w:rsid w:val="006B19D1"/>
    <w:rsid w:val="006B2F86"/>
    <w:rsid w:val="006B60A6"/>
    <w:rsid w:val="006B7DE5"/>
    <w:rsid w:val="006C6CFF"/>
    <w:rsid w:val="006D23EF"/>
    <w:rsid w:val="006E0634"/>
    <w:rsid w:val="00744504"/>
    <w:rsid w:val="00746582"/>
    <w:rsid w:val="007B02A8"/>
    <w:rsid w:val="007C2F0D"/>
    <w:rsid w:val="007C4C83"/>
    <w:rsid w:val="007D4025"/>
    <w:rsid w:val="007F40D6"/>
    <w:rsid w:val="00803E55"/>
    <w:rsid w:val="00807F85"/>
    <w:rsid w:val="00811FE2"/>
    <w:rsid w:val="008404DA"/>
    <w:rsid w:val="00854190"/>
    <w:rsid w:val="00870102"/>
    <w:rsid w:val="00872847"/>
    <w:rsid w:val="0088279B"/>
    <w:rsid w:val="008857AA"/>
    <w:rsid w:val="00897332"/>
    <w:rsid w:val="009139AF"/>
    <w:rsid w:val="00944D10"/>
    <w:rsid w:val="00950AD8"/>
    <w:rsid w:val="00977317"/>
    <w:rsid w:val="00A41BA7"/>
    <w:rsid w:val="00A6286E"/>
    <w:rsid w:val="00A7019E"/>
    <w:rsid w:val="00A7149F"/>
    <w:rsid w:val="00A8750A"/>
    <w:rsid w:val="00A90878"/>
    <w:rsid w:val="00B03E8F"/>
    <w:rsid w:val="00B27646"/>
    <w:rsid w:val="00B506AC"/>
    <w:rsid w:val="00B95673"/>
    <w:rsid w:val="00BC15D2"/>
    <w:rsid w:val="00C17244"/>
    <w:rsid w:val="00C50104"/>
    <w:rsid w:val="00C74048"/>
    <w:rsid w:val="00C93158"/>
    <w:rsid w:val="00CA7866"/>
    <w:rsid w:val="00CB6EC2"/>
    <w:rsid w:val="00CB79A1"/>
    <w:rsid w:val="00D10717"/>
    <w:rsid w:val="00D2261D"/>
    <w:rsid w:val="00D36FE1"/>
    <w:rsid w:val="00D77C73"/>
    <w:rsid w:val="00D97E49"/>
    <w:rsid w:val="00DC328A"/>
    <w:rsid w:val="00E10053"/>
    <w:rsid w:val="00E23E0B"/>
    <w:rsid w:val="00E3317B"/>
    <w:rsid w:val="00E3386F"/>
    <w:rsid w:val="00E52EE1"/>
    <w:rsid w:val="00E77101"/>
    <w:rsid w:val="00E8787F"/>
    <w:rsid w:val="00E92D8C"/>
    <w:rsid w:val="00EA05BA"/>
    <w:rsid w:val="00ED452D"/>
    <w:rsid w:val="00F20F0C"/>
    <w:rsid w:val="00F32F3A"/>
    <w:rsid w:val="00F52FD1"/>
    <w:rsid w:val="00F545AC"/>
    <w:rsid w:val="00F573F1"/>
    <w:rsid w:val="00F6767A"/>
    <w:rsid w:val="00F67E6A"/>
    <w:rsid w:val="00FA3413"/>
    <w:rsid w:val="00FB4A1C"/>
    <w:rsid w:val="00FD12DB"/>
    <w:rsid w:val="00FD5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D3594D"/>
  <w15:chartTrackingRefBased/>
  <w15:docId w15:val="{2593DE48-8079-4E48-8F14-09991C41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744504"/>
    <w:rPr>
      <w:sz w:val="16"/>
      <w:szCs w:val="16"/>
    </w:rPr>
  </w:style>
  <w:style w:type="paragraph" w:styleId="Textkomente">
    <w:name w:val="annotation text"/>
    <w:basedOn w:val="Normln"/>
    <w:link w:val="TextkomenteChar"/>
    <w:uiPriority w:val="99"/>
    <w:semiHidden/>
    <w:unhideWhenUsed/>
    <w:rsid w:val="00744504"/>
    <w:rPr>
      <w:sz w:val="20"/>
    </w:rPr>
  </w:style>
  <w:style w:type="character" w:customStyle="1" w:styleId="TextkomenteChar">
    <w:name w:val="Text komentáře Char"/>
    <w:basedOn w:val="Standardnpsmoodstavce"/>
    <w:link w:val="Textkomente"/>
    <w:uiPriority w:val="99"/>
    <w:semiHidden/>
    <w:rsid w:val="0074450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44504"/>
    <w:rPr>
      <w:b/>
      <w:bCs/>
    </w:rPr>
  </w:style>
  <w:style w:type="character" w:customStyle="1" w:styleId="PedmtkomenteChar">
    <w:name w:val="Předmět komentáře Char"/>
    <w:basedOn w:val="TextkomenteChar"/>
    <w:link w:val="Pedmtkomente"/>
    <w:uiPriority w:val="99"/>
    <w:semiHidden/>
    <w:rsid w:val="00744504"/>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68362">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350253804">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615551508">
      <w:bodyDiv w:val="1"/>
      <w:marLeft w:val="0"/>
      <w:marRight w:val="0"/>
      <w:marTop w:val="0"/>
      <w:marBottom w:val="0"/>
      <w:divBdr>
        <w:top w:val="none" w:sz="0" w:space="0" w:color="auto"/>
        <w:left w:val="none" w:sz="0" w:space="0" w:color="auto"/>
        <w:bottom w:val="none" w:sz="0" w:space="0" w:color="auto"/>
        <w:right w:val="none" w:sz="0" w:space="0" w:color="auto"/>
      </w:divBdr>
    </w:div>
    <w:div w:id="1775709910">
      <w:bodyDiv w:val="1"/>
      <w:marLeft w:val="0"/>
      <w:marRight w:val="0"/>
      <w:marTop w:val="0"/>
      <w:marBottom w:val="0"/>
      <w:divBdr>
        <w:top w:val="none" w:sz="0" w:space="0" w:color="auto"/>
        <w:left w:val="none" w:sz="0" w:space="0" w:color="auto"/>
        <w:bottom w:val="none" w:sz="0" w:space="0" w:color="auto"/>
        <w:right w:val="none" w:sz="0" w:space="0" w:color="auto"/>
      </w:divBdr>
      <w:divsChild>
        <w:div w:id="1008944210">
          <w:marLeft w:val="547"/>
          <w:marRight w:val="0"/>
          <w:marTop w:val="0"/>
          <w:marBottom w:val="0"/>
          <w:divBdr>
            <w:top w:val="none" w:sz="0" w:space="0" w:color="auto"/>
            <w:left w:val="none" w:sz="0" w:space="0" w:color="auto"/>
            <w:bottom w:val="none" w:sz="0" w:space="0" w:color="auto"/>
            <w:right w:val="none" w:sz="0" w:space="0" w:color="auto"/>
          </w:divBdr>
        </w:div>
      </w:divsChild>
    </w:div>
    <w:div w:id="1777214021">
      <w:bodyDiv w:val="1"/>
      <w:marLeft w:val="0"/>
      <w:marRight w:val="0"/>
      <w:marTop w:val="0"/>
      <w:marBottom w:val="0"/>
      <w:divBdr>
        <w:top w:val="none" w:sz="0" w:space="0" w:color="auto"/>
        <w:left w:val="none" w:sz="0" w:space="0" w:color="auto"/>
        <w:bottom w:val="none" w:sz="0" w:space="0" w:color="auto"/>
        <w:right w:val="none" w:sz="0" w:space="0" w:color="auto"/>
      </w:divBdr>
    </w:div>
    <w:div w:id="1863548730">
      <w:bodyDiv w:val="1"/>
      <w:marLeft w:val="0"/>
      <w:marRight w:val="0"/>
      <w:marTop w:val="0"/>
      <w:marBottom w:val="0"/>
      <w:divBdr>
        <w:top w:val="none" w:sz="0" w:space="0" w:color="auto"/>
        <w:left w:val="none" w:sz="0" w:space="0" w:color="auto"/>
        <w:bottom w:val="none" w:sz="0" w:space="0" w:color="auto"/>
        <w:right w:val="none" w:sz="0" w:space="0" w:color="auto"/>
      </w:divBdr>
    </w:div>
    <w:div w:id="188278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FD23-03EE-4FD6-9F8A-7BF5B64F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9542</Characters>
  <Application>Microsoft Office Word</Application>
  <DocSecurity>4</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vlachova</dc:creator>
  <cp:keywords/>
  <dc:description/>
  <cp:lastModifiedBy>Monika Petrásková</cp:lastModifiedBy>
  <cp:revision>2</cp:revision>
  <cp:lastPrinted>2019-04-29T10:21:00Z</cp:lastPrinted>
  <dcterms:created xsi:type="dcterms:W3CDTF">2019-07-24T09:59:00Z</dcterms:created>
  <dcterms:modified xsi:type="dcterms:W3CDTF">2019-07-24T09:59:00Z</dcterms:modified>
</cp:coreProperties>
</file>