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AE" w:rsidRPr="001D13AE" w14:paraId="57944245" w14:textId="77777777" w:rsidTr="001D13AE">
        <w:trPr>
          <w:tblCellSpacing w:w="0" w:type="dxa"/>
        </w:trPr>
        <w:tc>
          <w:tcPr>
            <w:tcW w:w="0" w:type="auto"/>
            <w:shd w:val="clear" w:color="auto" w:fill="0F435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32086EF2" w14:textId="77777777" w:rsidTr="001D13A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3BA02C1" w14:textId="77777777" w:rsidR="001D13AE" w:rsidRPr="001D13AE" w:rsidRDefault="001D13AE" w:rsidP="001D13AE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FFFFFF"/>
                      <w:sz w:val="27"/>
                      <w:szCs w:val="27"/>
                      <w:lang w:eastAsia="cs-CZ"/>
                    </w:rPr>
                  </w:pPr>
                  <w:r w:rsidRPr="001D13AE">
                    <w:rPr>
                      <w:rFonts w:ascii="Verdana" w:eastAsia="Times New Roman" w:hAnsi="Verdana" w:cs="Times New Roman"/>
                      <w:color w:val="FFFFFF"/>
                      <w:sz w:val="27"/>
                      <w:szCs w:val="27"/>
                      <w:lang w:eastAsia="cs-CZ"/>
                    </w:rPr>
                    <w:t>21/2022</w:t>
                  </w:r>
                </w:p>
              </w:tc>
            </w:tr>
          </w:tbl>
          <w:p w14:paraId="089502AC" w14:textId="77777777" w:rsidR="001D13AE" w:rsidRPr="001D13AE" w:rsidRDefault="001D13AE" w:rsidP="001D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cs-CZ"/>
              </w:rPr>
            </w:pPr>
          </w:p>
        </w:tc>
      </w:tr>
      <w:tr w:rsidR="001D13AE" w:rsidRPr="001D13AE" w14:paraId="3CFB6403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D13AE" w:rsidRPr="001D13AE" w14:paraId="5CA0F8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300" w:type="dxa"/>
                    <w:bottom w:w="600" w:type="dxa"/>
                    <w:right w:w="300" w:type="dxa"/>
                  </w:tcMar>
                  <w:vAlign w:val="center"/>
                  <w:hideMark/>
                </w:tcPr>
                <w:p w14:paraId="6DBF3D56" w14:textId="4D6CE5D4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drawing>
                      <wp:inline distT="0" distB="0" distL="0" distR="0" wp14:anchorId="28E21553" wp14:editId="132A00C9">
                        <wp:extent cx="4953000" cy="971550"/>
                        <wp:effectExtent l="0" t="0" r="0" b="0"/>
                        <wp:docPr id="15" name="Obrázek 15" descr="C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5C4623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15EC7599" w14:textId="77777777" w:rsidTr="001D13A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D13AE" w:rsidRPr="001D13AE" w14:paraId="7ECD58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338A2E1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Colleagues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, </w:t>
                  </w:r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autumn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does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not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offer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many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reasons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jubilation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Inflation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risen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more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expected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high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energy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starting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creeping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negative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effect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households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growing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sense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apprehension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in society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about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future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annoyance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discontent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sector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government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still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addressing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windfall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tax,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i.e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., a tax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extraordinary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profit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fall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energy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sector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refineries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January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Ministry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Finance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expects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receive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CZK 33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alone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introducing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tax.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Czech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Association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repeatedly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expressed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position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proposed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solution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considers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highly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inefficient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our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view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are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number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better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solutions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informed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state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about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would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like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 partner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government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in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slowing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economy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Weakening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way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 big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mistake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proposals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up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presented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Ministry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Finance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would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much more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beneficial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economy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example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lending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capacity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National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Development Bank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would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increased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more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CZK 100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</w:tbl>
          <w:p w14:paraId="26D35EE6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7535ED89" w14:textId="77777777" w:rsidTr="001D13A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3450"/>
            </w:tblGrid>
            <w:tr w:rsidR="001D13AE" w:rsidRPr="001D13AE" w14:paraId="530463C1" w14:textId="77777777">
              <w:trPr>
                <w:tblCellSpacing w:w="0" w:type="dxa"/>
                <w:jc w:val="center"/>
              </w:trPr>
              <w:tc>
                <w:tcPr>
                  <w:tcW w:w="5550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D13AE" w:rsidRPr="001D13AE" w14:paraId="5764EE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2B683278" w14:textId="77777777" w:rsidR="001D13AE" w:rsidRPr="001D13AE" w:rsidRDefault="001D13AE" w:rsidP="001D13AE">
                        <w:pPr>
                          <w:spacing w:after="0" w:line="330" w:lineRule="atLeast"/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</w:pPr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lastRenderedPageBreak/>
                          <w:t xml:space="preserve">It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up to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government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members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parliament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decide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what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solution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they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choose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Whether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will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be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short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-term tax on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banks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or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a long-term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cooperation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that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would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not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only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help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vulnerable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citizens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but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would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also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increase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prosperity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entire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economy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areas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transport,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housing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digitization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Banks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have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demonstrated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their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willingness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help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economy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past.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This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included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instance,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covid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programs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Graceful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Summer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or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credit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moratoriums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1D13A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9936D"/>
                            <w:sz w:val="21"/>
                            <w:szCs w:val="21"/>
                            <w:lang w:eastAsia="cs-CZ"/>
                          </w:rPr>
                          <w:t>Monika Zahálková</w:t>
                        </w:r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Managing</w:t>
                        </w:r>
                        <w:proofErr w:type="spellEnd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D13AE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Director</w:t>
                        </w:r>
                        <w:proofErr w:type="spellEnd"/>
                      </w:p>
                    </w:tc>
                  </w:tr>
                </w:tbl>
                <w:p w14:paraId="5629F3B5" w14:textId="77777777" w:rsidR="001D13AE" w:rsidRPr="001D13AE" w:rsidRDefault="001D13AE" w:rsidP="001D13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450" w:type="dxa"/>
                  <w:vAlign w:val="bottom"/>
                  <w:hideMark/>
                </w:tcPr>
                <w:p w14:paraId="22773A4D" w14:textId="05DF19C6" w:rsidR="001D13AE" w:rsidRPr="001D13AE" w:rsidRDefault="001D13AE" w:rsidP="001D13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drawing>
                      <wp:inline distT="0" distB="0" distL="0" distR="0" wp14:anchorId="0458D26B" wp14:editId="4EE6C34C">
                        <wp:extent cx="2190750" cy="3238500"/>
                        <wp:effectExtent l="0" t="0" r="0" b="0"/>
                        <wp:docPr id="14" name="Obrázek 14" descr="Obsah obrázku osoba, interiér, pózování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Obrázek 14" descr="Obsah obrázku osoba, interiér, pózování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73BD66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6BC90E39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16F46D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3576B"/>
                  <w:vAlign w:val="center"/>
                  <w:hideMark/>
                </w:tcPr>
                <w:p w14:paraId="30E687CC" w14:textId="383962E1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drawing>
                      <wp:inline distT="0" distB="0" distL="0" distR="0" wp14:anchorId="5E8D0E5D" wp14:editId="37A7B78D">
                        <wp:extent cx="5715000" cy="1905000"/>
                        <wp:effectExtent l="0" t="0" r="0" b="0"/>
                        <wp:docPr id="13" name="Obrázek 13" descr="News of the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ews of the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1FA9FC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2C39A0BF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1D13AE" w:rsidRPr="001D13AE" w14:paraId="23BCDE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1B338D35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CBA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launches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Cybergame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- a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cybersecurity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test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tailored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primary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secondary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school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students</w:t>
                  </w:r>
                  <w:proofErr w:type="spellEnd"/>
                </w:p>
              </w:tc>
            </w:tr>
            <w:tr w:rsidR="001D13AE" w:rsidRPr="001D13AE" w14:paraId="5C8A02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FAA1F93" w14:textId="2CC22761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lastRenderedPageBreak/>
                    <w:drawing>
                      <wp:inline distT="0" distB="0" distL="0" distR="0" wp14:anchorId="646CE82A" wp14:editId="01F846D6">
                        <wp:extent cx="5048250" cy="3781425"/>
                        <wp:effectExtent l="0" t="0" r="0" b="9525"/>
                        <wp:docPr id="12" name="Obráze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0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13AE" w:rsidRPr="001D13AE" w14:paraId="1CA24C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450" w:type="dxa"/>
                    <w:right w:w="300" w:type="dxa"/>
                  </w:tcMar>
                  <w:vAlign w:val="center"/>
                  <w:hideMark/>
                </w:tcPr>
                <w:p w14:paraId="359B29E0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number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online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scams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constantly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growing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It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quadrupled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last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two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alone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Fraudsters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target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generations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regardless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education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That's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Association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launched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#nePINdej! 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interactive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online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quiz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- </w:t>
                  </w:r>
                  <w:hyperlink r:id="rId8" w:history="1">
                    <w:r w:rsidRPr="001D13AE">
                      <w:rPr>
                        <w:rFonts w:ascii="Verdana" w:eastAsia="Times New Roman" w:hAnsi="Verdana" w:cs="Times New Roman"/>
                        <w:color w:val="13576B"/>
                        <w:sz w:val="21"/>
                        <w:szCs w:val="21"/>
                        <w:u w:val="single"/>
                        <w:lang w:eastAsia="cs-CZ"/>
                      </w:rPr>
                      <w:t>www.kyberhra.cz</w:t>
                    </w:r>
                  </w:hyperlink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similar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popular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CyberTest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but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contains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questions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suitable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pupils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second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cycle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primary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schools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secondary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schools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vocational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schools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multi-year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grammar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schools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Teenagers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out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cybergame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both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individually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collectively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example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class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school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 </w:t>
                  </w:r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"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conceived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as a testing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want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to show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schools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use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Cybergame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their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curricula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introduce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pupils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students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dangers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await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cyberspace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through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real-life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demonstrations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, but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form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 game.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Next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plan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increase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motivation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schools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Cybergame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announcing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prize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competition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,"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added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Andrea Machálková,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Association's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staff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support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education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#nePINdej!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campaign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CyberGame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part,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certainly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most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extensive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campaigns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field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implemented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unique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involves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both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administration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bodies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dealing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key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Czech business,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themselves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their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clients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affected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fraudulent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attacks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addition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Association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implementing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project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campaign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involves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Police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Republic,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National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Information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Agency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(NUKIB),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itego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a.s., CISCO, Thein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Czech Post Office, ČEZ, Mastercard, O2 and Czech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Railways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Media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partners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are Czech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Television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(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main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media partner), Seznam Zprávy, Deník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Cinestar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</w:tbl>
          <w:p w14:paraId="1956A661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59358595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40D22D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9936D"/>
                  <w:vAlign w:val="center"/>
                  <w:hideMark/>
                </w:tcPr>
                <w:p w14:paraId="39D87A22" w14:textId="0DD8ED4B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lastRenderedPageBreak/>
                    <w:drawing>
                      <wp:inline distT="0" distB="0" distL="0" distR="0" wp14:anchorId="4113800E" wp14:editId="53375C33">
                        <wp:extent cx="5715000" cy="1905000"/>
                        <wp:effectExtent l="0" t="0" r="0" b="0"/>
                        <wp:docPr id="11" name="Obrázek 11" descr="From the Mark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rom the Mark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2504C9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0F6182D0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D13AE" w:rsidRPr="001D13AE" w14:paraId="1AF79E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75529AEA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Loans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Sberbank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probably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taken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over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by Česká spořitelna</w:t>
                  </w:r>
                </w:p>
                <w:p w14:paraId="7D0DF186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Jiřina Lužová,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insolvency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administrator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bankrupt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Sberbank CZ,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negotiate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purchase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agreement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sale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bank's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loan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portfolio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exclusively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Česká spořitelna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begin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instrText xml:space="preserve"> HYPERLINK "https://www.sberbank.cz/cs-cz/novinky/jednani-prodej-uveroveho-portfolia-Sberbank-ceska-sporitelna" \t "_blank" </w:instrTex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separate"/>
                  </w:r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based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decision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creditors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'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committee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end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creditors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'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committee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decided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basis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offer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made  by Česká spořitelna,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offered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purchase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loan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portfolio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according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Lužová,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together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available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cash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expected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proceeds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monetization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Sberbank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CZ's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assets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should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sufficient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satisfy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100%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claims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Guarantee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System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natural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persons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small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medium-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sized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enterprises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and most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likely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more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90%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claims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regions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municipalities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large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nominal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value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portfolio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47.7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  <w:tr w:rsidR="001D13AE" w:rsidRPr="001D13AE" w14:paraId="431BD6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28973206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Inflation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accelerated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again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  <w:t> </w:t>
                  </w:r>
                </w:p>
                <w:p w14:paraId="4B66D590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reached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18%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had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risen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by 0.8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percentage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point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August.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had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expected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stagnation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main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reason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higher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energy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especially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started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rise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significantly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again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previous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food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contributed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less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significantly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Natural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accelerated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15%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electricity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by 3.6% and solid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fuels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by 7%.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dynamics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reached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38%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electricity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86%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56%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solid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fuels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expects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volatile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until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administrative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influences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probably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not go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below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10%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threshold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until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middle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next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 </w:t>
                  </w:r>
                  <w:hyperlink r:id="rId10" w:tgtFrame="_blank" w:history="1"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More in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the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commentary</w:t>
                    </w:r>
                    <w:proofErr w:type="spellEnd"/>
                  </w:hyperlink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 by Jakub Seidler,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Chief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Economist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CBA.</w:t>
                  </w:r>
                </w:p>
              </w:tc>
            </w:tr>
            <w:tr w:rsidR="001D13AE" w:rsidRPr="001D13AE" w14:paraId="4FC12E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1E0C0FA7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lastRenderedPageBreak/>
                    <w:t xml:space="preserve">EBA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published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quarterly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Risk Dashboard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In early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October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European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Authority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(EBA)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published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begin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instrText xml:space="preserve"> HYPERLINK "https://www.eba.europa.eu/eba-risk-dashboard-shows-capital-ratios-remained-broadly-stable-and-liquidity-ratios-declined" </w:instrTex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separate"/>
                  </w:r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quarterly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Risk Dashboard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end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Q2 2022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covering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main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risks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vulnerabilities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EU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Despite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deteriorating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macroeconomic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outlook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credit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risk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shows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no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significant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signs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worsening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Operational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risk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remains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high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digitization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risks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sanctions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compliance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issues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Most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robust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capital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buffers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sufficient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liquidity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buffers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Capital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adequacy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liquidity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profitability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asset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quality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indicators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better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EU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  <w:tr w:rsidR="001D13AE" w:rsidRPr="001D13AE" w14:paraId="5ED6EE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411BB40B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ESMA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announces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strategy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next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five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years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Last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week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European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Markets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Authority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(ESMA),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EU’s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markets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regulator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supervisor,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announced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begin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instrText xml:space="preserve"> HYPERLINK "https://www.esma.europa.eu/press-news/esma-news/esma-announces-strategic-priorities-next-five-years?utm_source=European+Banking+Federation+newsletters+and+updates&amp;utm_campaign=c4627e13f3-EMAIL_CAMPAIGN_2018_01_17_COPY_01&amp;utm_medium=email&amp;utm_term=0_088668d33b-c4627e13f3-80169275&amp;mc_cid=c4627e13f3&amp;mc_eid=4c2b368f2f" </w:instrTex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separate"/>
                  </w:r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strategy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next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five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years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,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end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i.e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period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2023 to 2028.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According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published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strategy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ESMA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focus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strengthening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supervision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enhancing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protection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retail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investors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fostering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effective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markets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stability,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enabling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sustainable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finance, 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well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facilitating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technological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innovation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effective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use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data.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addition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five-year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strategy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ESMA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unveiled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detailed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hyperlink r:id="rId11" w:history="1"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 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work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program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for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2023</w:t>
                    </w:r>
                  </w:hyperlink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 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Under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ESMA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taking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responsibilities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regulating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impact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technology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markets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via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mandates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under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DORA,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MiCA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DLT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regime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ESMA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continue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oversee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several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key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infrastructures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view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foster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effective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markets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stability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EU.</w:t>
                  </w:r>
                </w:p>
              </w:tc>
            </w:tr>
          </w:tbl>
          <w:p w14:paraId="767C0890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4A970DA9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975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0BE663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E41AD7" w14:textId="02A1815D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lastRenderedPageBreak/>
                    <w:drawing>
                      <wp:inline distT="0" distB="0" distL="0" distR="0" wp14:anchorId="24246909" wp14:editId="5A8A31B3">
                        <wp:extent cx="5715000" cy="2952750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78851B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6AD88774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6D4CC1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3576B"/>
                  <w:vAlign w:val="center"/>
                  <w:hideMark/>
                </w:tcPr>
                <w:p w14:paraId="1FF3F6B8" w14:textId="2533CBB2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drawing>
                      <wp:inline distT="0" distB="0" distL="0" distR="0" wp14:anchorId="23DE50D8" wp14:editId="7989594D">
                        <wp:extent cx="5715000" cy="1905000"/>
                        <wp:effectExtent l="0" t="0" r="0" b="0"/>
                        <wp:docPr id="9" name="Obrázek 9" descr="From Legisla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rom Legisla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959DEE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7F1806ED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D13AE" w:rsidRPr="001D13AE" w14:paraId="6E2C13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0FD15EBC" w14:textId="29962421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0" distR="0" simplePos="0" relativeHeight="251658240" behindDoc="0" locked="0" layoutInCell="1" allowOverlap="0" wp14:anchorId="783CCEA0" wp14:editId="6350B0A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09650" cy="1009650"/>
                        <wp:effectExtent l="0" t="0" r="0" b="0"/>
                        <wp:wrapSquare wrapText="bothSides"/>
                        <wp:docPr id="18" name="Obrázek 18" descr="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§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New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European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Cybersecurity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come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into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force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in 2024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European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Commission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approved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EU-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wide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strategy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known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hyperlink r:id="rId15" w:history="1">
                    <w:r w:rsidRPr="001D13AE">
                      <w:rPr>
                        <w:rFonts w:ascii="Verdana" w:eastAsia="Times New Roman" w:hAnsi="Verdana" w:cs="Times New Roman"/>
                        <w:color w:val="13576B"/>
                        <w:sz w:val="21"/>
                        <w:szCs w:val="21"/>
                        <w:u w:val="single"/>
                        <w:lang w:eastAsia="cs-CZ"/>
                      </w:rPr>
                      <w:t xml:space="preserve">NIS 2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13576B"/>
                        <w:sz w:val="21"/>
                        <w:szCs w:val="21"/>
                        <w:u w:val="single"/>
                        <w:lang w:eastAsia="cs-CZ"/>
                      </w:rPr>
                      <w:t>Directive</w:t>
                    </w:r>
                    <w:proofErr w:type="spellEnd"/>
                  </w:hyperlink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should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2024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major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impact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operations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more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six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thousand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businesses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organizations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directive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introduces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number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rules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ensure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'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cyberspace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against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hacker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attacks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NIS 2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directive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divides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entities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two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groups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namely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critical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entities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such as,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example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healthcare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banking, public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administration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transport,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important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entities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such as,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instance,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postal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courier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services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management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manufacturers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medical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devices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computers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Directive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enter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2024,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EU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approval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finalized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In 2023,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implementation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national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legislation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take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place;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Republic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means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amending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No. 181/2014,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non-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compliance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Directive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face a maximum fine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ten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euros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2%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company's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total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global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annual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turnover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</w:tbl>
          <w:p w14:paraId="2C02B64A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47BA1823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2F02AC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9936D"/>
                  <w:vAlign w:val="center"/>
                  <w:hideMark/>
                </w:tcPr>
                <w:p w14:paraId="57CEAE54" w14:textId="4CAD1646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lastRenderedPageBreak/>
                    <w:drawing>
                      <wp:inline distT="0" distB="0" distL="0" distR="0" wp14:anchorId="22D02864" wp14:editId="73F30253">
                        <wp:extent cx="5715000" cy="1905000"/>
                        <wp:effectExtent l="0" t="0" r="0" b="0"/>
                        <wp:docPr id="8" name="Obrázek 8" descr="Financial Educ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inancial Educ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A637DF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143092AD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D13AE" w:rsidRPr="001D13AE" w14:paraId="401366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493CE469" w14:textId="303BE183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0" distR="0" simplePos="0" relativeHeight="251658240" behindDoc="0" locked="0" layoutInCell="1" allowOverlap="0" wp14:anchorId="4FCFCE87" wp14:editId="6E759757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476500" cy="638175"/>
                        <wp:effectExtent l="0" t="0" r="0" b="9525"/>
                        <wp:wrapSquare wrapText="bothSides"/>
                        <wp:docPr id="17" name="Obrázek 17" descr="Obsah obrázku nápoje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brázek 17" descr="Obsah obrázku nápoje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Bazaar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scams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been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a big hit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lately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fraud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affect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regardless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gender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education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Therefore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Banking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Association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pays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lot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attention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education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field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addition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ongoing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#nePINdej!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campaign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tries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educate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public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through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media. Petr Barák,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chairperson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CBA's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Financial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Commission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spoke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about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fraud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Rozstřel program on iDNES.tv. 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You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listen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full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recording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begin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instrText xml:space="preserve"> HYPERLINK "https://www.idnes.cz/ekonomika/domaci/rozstrel-podvody-internetove-bazary-michal-ihnat-petr-barak.A221012_145155_ekonomika_rie" </w:instrTex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separate"/>
                  </w:r>
                  <w:r w:rsidRPr="001D13AE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u w:val="single"/>
                      <w:lang w:eastAsia="cs-CZ"/>
                    </w:rPr>
                    <w:t>here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fldChar w:fldCharType="end"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  <w:tr w:rsidR="001D13AE" w:rsidRPr="001D13AE" w14:paraId="3E5544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4362BF64" w14:textId="3E118671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D13AE">
                    <w:rPr>
                      <w:rFonts w:ascii="Verdana" w:eastAsia="Times New Roman" w:hAnsi="Verdana" w:cs="Times New Roman"/>
                      <w:noProof/>
                      <w:color w:val="000000"/>
                      <w:sz w:val="21"/>
                      <w:szCs w:val="21"/>
                      <w:lang w:eastAsia="cs-CZ"/>
                    </w:rPr>
                    <w:drawing>
                      <wp:anchor distT="0" distB="0" distL="0" distR="0" simplePos="0" relativeHeight="251658240" behindDoc="0" locked="0" layoutInCell="1" allowOverlap="0" wp14:anchorId="7232FB5D" wp14:editId="44564E95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476500" cy="638175"/>
                        <wp:effectExtent l="0" t="0" r="0" b="9525"/>
                        <wp:wrapSquare wrapText="bothSides"/>
                        <wp:docPr id="16" name="Obrázek 16" descr="Obsah obrázku budova, okenní roleta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Obrázek 16" descr="Obsah obrázku budova, okenní roleta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CBA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training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programs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continue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through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A9936D"/>
                      <w:sz w:val="24"/>
                      <w:szCs w:val="24"/>
                      <w:lang w:eastAsia="cs-CZ"/>
                    </w:rPr>
                    <w:t>October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hyperlink r:id="rId19" w:tgtFrame="_blank" w:history="1"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The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Czech Banking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Association's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“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Corporate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Governance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” and “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Strategic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Management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for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Top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Managers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”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educational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programs</w:t>
                    </w:r>
                    <w:proofErr w:type="spellEnd"/>
                    <w:r w:rsidRPr="001D13AE">
                      <w:rPr>
                        <w:rFonts w:ascii="Verdana" w:eastAsia="Times New Roman" w:hAnsi="Verdana" w:cs="Times New Roman"/>
                        <w:color w:val="A9936D"/>
                        <w:sz w:val="21"/>
                        <w:szCs w:val="21"/>
                        <w:u w:val="single"/>
                        <w:lang w:eastAsia="cs-CZ"/>
                      </w:rPr>
                      <w:t> </w:t>
                    </w:r>
                    <w:proofErr w:type="spellStart"/>
                  </w:hyperlink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continue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second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half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October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CBA “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Corporate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Governance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” program,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participants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look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forward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topic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Sustainable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Business. They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Europe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doing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field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sustainability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how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Republic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responding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how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topics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reflected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domestic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At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end,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panel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discussion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key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experts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field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such as Petr J. Kalaš, President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CBCSD –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Business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Council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Sustainable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Development,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Miroslav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Hažer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Director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Communications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Confederation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Industry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Transport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Czech Republic and co-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author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survey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sustainability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domestic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CBA “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Strategic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Management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Top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Managers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” program,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participants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introduced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topic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"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Future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Finance and Digital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Currencies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".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Speakers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include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CNB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Deputy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Governor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Eva Zamrazilová,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Deputy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Governor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Marek Mora,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former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Deputy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Governor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Tomáš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Nidetzký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Petr Valášek,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consultant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DLT and blockchain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technologies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and Lukáš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Kintr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director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National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Cyber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Information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Security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Agency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</w:tbl>
          <w:p w14:paraId="6822A569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29C523FF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58831B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3576B"/>
                  <w:vAlign w:val="center"/>
                  <w:hideMark/>
                </w:tcPr>
                <w:p w14:paraId="2677AF0C" w14:textId="466F4927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lastRenderedPageBreak/>
                    <w:drawing>
                      <wp:inline distT="0" distB="0" distL="0" distR="0" wp14:anchorId="26AA4777" wp14:editId="6A4DD19C">
                        <wp:extent cx="5715000" cy="1905000"/>
                        <wp:effectExtent l="0" t="0" r="0" b="0"/>
                        <wp:docPr id="7" name="Obrázek 7" descr="To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o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C99E28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50022D56" w14:textId="77777777" w:rsidTr="001D13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1D13AE" w:rsidRPr="001D13AE" w14:paraId="03CE0E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0B02C1B6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still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declining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interest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 xml:space="preserve"> 5.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4"/>
                      <w:szCs w:val="24"/>
                      <w:lang w:eastAsia="cs-CZ"/>
                    </w:rPr>
                    <w:t>8%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building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societies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loans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in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exceeding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CZK 7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billion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Compared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to August,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both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number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decreased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roughly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30%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third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double-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digit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decline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in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row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comparison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decline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further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intensified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exceeded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80%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interest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actual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(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without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refinancing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) rose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, but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remained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around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5.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8%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as in August.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rates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probably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already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peaked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information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comes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 </w:t>
                  </w:r>
                  <w:hyperlink r:id="rId21" w:tgtFrame="_blank" w:history="1">
                    <w:r w:rsidRPr="001D13AE">
                      <w:rPr>
                        <w:rFonts w:ascii="Verdana" w:eastAsia="Times New Roman" w:hAnsi="Verdana" w:cs="Times New Roman"/>
                        <w:b/>
                        <w:bCs/>
                        <w:color w:val="13576B"/>
                        <w:sz w:val="21"/>
                        <w:szCs w:val="21"/>
                        <w:u w:val="single"/>
                        <w:lang w:eastAsia="cs-CZ"/>
                      </w:rPr>
                      <w:t xml:space="preserve">CBA </w:t>
                    </w:r>
                    <w:proofErr w:type="spellStart"/>
                    <w:r w:rsidRPr="001D13AE">
                      <w:rPr>
                        <w:rFonts w:ascii="Verdana" w:eastAsia="Times New Roman" w:hAnsi="Verdana" w:cs="Times New Roman"/>
                        <w:b/>
                        <w:bCs/>
                        <w:color w:val="13576B"/>
                        <w:sz w:val="21"/>
                        <w:szCs w:val="21"/>
                        <w:u w:val="single"/>
                        <w:lang w:eastAsia="cs-CZ"/>
                      </w:rPr>
                      <w:t>Hypomonitor</w:t>
                    </w:r>
                    <w:proofErr w:type="spellEnd"/>
                  </w:hyperlink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captures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data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domestic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building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societies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providing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loans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  <w:tr w:rsidR="001D13AE" w:rsidRPr="001D13AE" w14:paraId="5CAC51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13206416" w14:textId="77777777" w:rsidR="001D13AE" w:rsidRPr="001D13AE" w:rsidRDefault="001D13AE" w:rsidP="001D13AE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declined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further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According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Hypomonitor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banks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building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societies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households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total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7.16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2.9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less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August.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decline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terms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total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intensified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further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almost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30%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after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August,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making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third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more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significant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decline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row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weakening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further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evident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dynamics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It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deepened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decline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78%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August to 82%.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drop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origination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volumes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not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only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noticeable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relative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strong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2021, but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September's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origination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almost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three-quarters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lower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2020.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whole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January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activity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fallen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almost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60%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"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number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units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continued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fall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significantly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-on-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month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whereas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been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similar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even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stronger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August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terms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activity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many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previous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years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significant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slowdown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activity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illustrated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fact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volume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reached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weakest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level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since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beginning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2014.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market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fallen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significantly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recent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months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as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result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high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rates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tighter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lending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rules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rising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concerns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about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development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economy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generally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high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real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estate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  <w:t>,"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says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Jakub Seidler,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Chief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Economist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CBA.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rose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further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to 5.8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interest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actual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new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loans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rose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5.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83%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5.76%,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brought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down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round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figure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broadly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flat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5.8%.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reached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highest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level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twenty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although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2008 and 2009,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were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similarly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high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levels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actually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received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granted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thus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gradually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caught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up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bid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prices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stagnating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some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cases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declining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recent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line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evolution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interest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payment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increasing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although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size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b/>
                      <w:bCs/>
                      <w:color w:val="13576B"/>
                      <w:sz w:val="21"/>
                      <w:szCs w:val="21"/>
                      <w:lang w:eastAsia="cs-CZ"/>
                    </w:rPr>
                    <w:t>decreasing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level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been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declining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recent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months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and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September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as in August,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slightly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below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3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where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last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end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2020.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stricter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rules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CNB and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high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interest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increasing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repayments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some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households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had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reduce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intended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amount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November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last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amount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highest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3.46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million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.  </w:t>
                  </w:r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rise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course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also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reflected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amount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repayment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An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increase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one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percentage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point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means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increase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payment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approximately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1,500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size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Compared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gram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2%</w:t>
                  </w:r>
                  <w:proofErr w:type="gram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interest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was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common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market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earlier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years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, a 6%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rate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means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increase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monthly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payment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an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average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mortgage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>of</w:t>
                  </w:r>
                  <w:proofErr w:type="spellEnd"/>
                  <w:r w:rsidRPr="001D13AE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 CZK 6,000 to 7,000.</w:t>
                  </w:r>
                </w:p>
              </w:tc>
            </w:tr>
            <w:tr w:rsidR="001D13AE" w:rsidRPr="001D13AE" w14:paraId="619619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59BA77E3" w14:textId="2CD834CA" w:rsidR="001D13AE" w:rsidRPr="001D13AE" w:rsidRDefault="001D13AE" w:rsidP="001D1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lastRenderedPageBreak/>
                    <w:drawing>
                      <wp:inline distT="0" distB="0" distL="0" distR="0" wp14:anchorId="6D84707A" wp14:editId="0CFBA43B">
                        <wp:extent cx="5048250" cy="3514725"/>
                        <wp:effectExtent l="0" t="0" r="0" b="9525"/>
                        <wp:docPr id="6" name="Obrázek 6" descr="Obsah obrázku stůl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ázek 6" descr="Obsah obrázku stůl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0" cy="351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4FD744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10C1E165" w14:textId="77777777" w:rsidTr="001D13AE">
        <w:trPr>
          <w:tblCellSpacing w:w="0" w:type="dxa"/>
        </w:trPr>
        <w:tc>
          <w:tcPr>
            <w:tcW w:w="0" w:type="auto"/>
            <w:shd w:val="clear" w:color="auto" w:fill="13576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AE" w:rsidRPr="001D13AE" w14:paraId="0E533A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1D13AE" w:rsidRPr="001D13AE" w14:paraId="438BAA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7E9209B7" w14:textId="7FB91C33" w:rsidR="001D13AE" w:rsidRPr="001D13AE" w:rsidRDefault="001D13AE" w:rsidP="001D13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cs-CZ"/>
                          </w:rPr>
                        </w:pPr>
                        <w:r w:rsidRPr="001D13AE">
                          <w:rPr>
                            <w:rFonts w:ascii="Times New Roman" w:eastAsia="Times New Roman" w:hAnsi="Times New Roman" w:cs="Times New Roman"/>
                            <w:noProof/>
                            <w:color w:val="A9936D"/>
                            <w:sz w:val="2"/>
                            <w:szCs w:val="2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0CDBE6C5" wp14:editId="079F2773">
                              <wp:extent cx="390525" cy="390525"/>
                              <wp:effectExtent l="0" t="0" r="9525" b="9525"/>
                              <wp:docPr id="5" name="Obrázek 5">
                                <a:hlinkClick xmlns:a="http://schemas.openxmlformats.org/drawingml/2006/main" r:id="rId2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>
                                        <a:hlinkClick r:id="rId2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01E247A" w14:textId="77777777" w:rsidR="001D13AE" w:rsidRPr="001D13AE" w:rsidRDefault="001D13AE" w:rsidP="001D1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1D13AE" w:rsidRPr="001D13AE" w14:paraId="2A3662DA" w14:textId="77777777" w:rsidTr="001D13A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7F6A406C" w14:textId="2B0FC985" w:rsidR="001D13AE" w:rsidRPr="001D13AE" w:rsidRDefault="001D13AE" w:rsidP="001D13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cs-CZ"/>
                          </w:rPr>
                        </w:pPr>
                        <w:r w:rsidRPr="001D13AE">
                          <w:rPr>
                            <w:rFonts w:ascii="Times New Roman" w:eastAsia="Times New Roman" w:hAnsi="Times New Roman" w:cs="Times New Roman"/>
                            <w:noProof/>
                            <w:color w:val="A9936D"/>
                            <w:sz w:val="2"/>
                            <w:szCs w:val="2"/>
                            <w:lang w:eastAsia="cs-CZ"/>
                          </w:rPr>
                          <w:drawing>
                            <wp:inline distT="0" distB="0" distL="0" distR="0" wp14:anchorId="6B30BD26" wp14:editId="5CEDD4F6">
                              <wp:extent cx="390525" cy="390525"/>
                              <wp:effectExtent l="0" t="0" r="9525" b="9525"/>
                              <wp:docPr id="4" name="Obrázek 4">
                                <a:hlinkClick xmlns:a="http://schemas.openxmlformats.org/drawingml/2006/main" r:id="rId2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>
                                        <a:hlinkClick r:id="rId2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7B032A" w14:textId="77777777" w:rsidR="001D13AE" w:rsidRPr="001D13AE" w:rsidRDefault="001D13AE" w:rsidP="001D1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1D13AE" w:rsidRPr="001D13AE" w14:paraId="0DCEB09E" w14:textId="77777777" w:rsidTr="001D13A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21351E0E" w14:textId="5F655572" w:rsidR="001D13AE" w:rsidRPr="001D13AE" w:rsidRDefault="001D13AE" w:rsidP="001D13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cs-CZ"/>
                          </w:rPr>
                        </w:pPr>
                        <w:r w:rsidRPr="001D13AE">
                          <w:rPr>
                            <w:rFonts w:ascii="Times New Roman" w:eastAsia="Times New Roman" w:hAnsi="Times New Roman" w:cs="Times New Roman"/>
                            <w:noProof/>
                            <w:color w:val="A9936D"/>
                            <w:sz w:val="2"/>
                            <w:szCs w:val="2"/>
                            <w:lang w:eastAsia="cs-CZ"/>
                          </w:rPr>
                          <w:drawing>
                            <wp:inline distT="0" distB="0" distL="0" distR="0" wp14:anchorId="47D553BD" wp14:editId="6A3070D4">
                              <wp:extent cx="390525" cy="390525"/>
                              <wp:effectExtent l="0" t="0" r="9525" b="9525"/>
                              <wp:docPr id="3" name="Obrázek 3">
                                <a:hlinkClick xmlns:a="http://schemas.openxmlformats.org/drawingml/2006/main" r:id="rId2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>
                                        <a:hlinkClick r:id="rId2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5A5359" w14:textId="77777777" w:rsidR="001D13AE" w:rsidRPr="001D13AE" w:rsidRDefault="001D13AE" w:rsidP="001D1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1D13AE" w:rsidRPr="001D13AE" w14:paraId="2DA71324" w14:textId="77777777" w:rsidTr="001D13A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1D3C4EC8" w14:textId="065C3E1C" w:rsidR="001D13AE" w:rsidRPr="001D13AE" w:rsidRDefault="001D13AE" w:rsidP="001D13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cs-CZ"/>
                          </w:rPr>
                        </w:pPr>
                        <w:r w:rsidRPr="001D13AE">
                          <w:rPr>
                            <w:rFonts w:ascii="Times New Roman" w:eastAsia="Times New Roman" w:hAnsi="Times New Roman" w:cs="Times New Roman"/>
                            <w:noProof/>
                            <w:color w:val="A9936D"/>
                            <w:sz w:val="2"/>
                            <w:szCs w:val="2"/>
                            <w:lang w:eastAsia="cs-CZ"/>
                          </w:rPr>
                          <w:drawing>
                            <wp:inline distT="0" distB="0" distL="0" distR="0" wp14:anchorId="5DFA5A17" wp14:editId="7FE4C4BB">
                              <wp:extent cx="390525" cy="390525"/>
                              <wp:effectExtent l="0" t="0" r="9525" b="9525"/>
                              <wp:docPr id="2" name="Obrázek 2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D9626AA" w14:textId="77777777" w:rsidR="001D13AE" w:rsidRPr="001D13AE" w:rsidRDefault="001D13AE" w:rsidP="001D1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1D13A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1D13AE" w:rsidRPr="001D13AE" w14:paraId="7ACBF44A" w14:textId="77777777" w:rsidTr="001D13A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045638C1" w14:textId="4A92FB76" w:rsidR="001D13AE" w:rsidRPr="001D13AE" w:rsidRDefault="001D13AE" w:rsidP="001D13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cs-CZ"/>
                          </w:rPr>
                        </w:pPr>
                        <w:r w:rsidRPr="001D13AE">
                          <w:rPr>
                            <w:rFonts w:ascii="Times New Roman" w:eastAsia="Times New Roman" w:hAnsi="Times New Roman" w:cs="Times New Roman"/>
                            <w:noProof/>
                            <w:color w:val="A9936D"/>
                            <w:sz w:val="2"/>
                            <w:szCs w:val="2"/>
                            <w:lang w:eastAsia="cs-CZ"/>
                          </w:rPr>
                          <w:drawing>
                            <wp:inline distT="0" distB="0" distL="0" distR="0" wp14:anchorId="685F1BCA" wp14:editId="0B5803B5">
                              <wp:extent cx="390525" cy="390525"/>
                              <wp:effectExtent l="0" t="0" r="9525" b="9525"/>
                              <wp:docPr id="1" name="Obrázek 1">
                                <a:hlinkClick xmlns:a="http://schemas.openxmlformats.org/drawingml/2006/main" r:id="rId3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>
                                        <a:hlinkClick r:id="rId3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D67B337" w14:textId="77777777" w:rsidR="001D13AE" w:rsidRPr="001D13AE" w:rsidRDefault="001D13AE" w:rsidP="001D13A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</w:p>
              </w:tc>
            </w:tr>
          </w:tbl>
          <w:p w14:paraId="29F40072" w14:textId="77777777" w:rsidR="001D13AE" w:rsidRPr="001D13AE" w:rsidRDefault="001D13AE" w:rsidP="001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1D13AE" w:rsidRPr="001D13AE" w14:paraId="2C502680" w14:textId="77777777" w:rsidTr="001D13AE">
        <w:trPr>
          <w:tblCellSpacing w:w="0" w:type="dxa"/>
        </w:trPr>
        <w:tc>
          <w:tcPr>
            <w:tcW w:w="0" w:type="auto"/>
            <w:shd w:val="clear" w:color="auto" w:fill="0F4352"/>
            <w:vAlign w:val="center"/>
          </w:tcPr>
          <w:p w14:paraId="094EBA5D" w14:textId="77777777" w:rsidR="001D13AE" w:rsidRPr="001D13AE" w:rsidRDefault="001D13AE" w:rsidP="001D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cs-CZ"/>
              </w:rPr>
            </w:pPr>
          </w:p>
        </w:tc>
      </w:tr>
    </w:tbl>
    <w:p w14:paraId="4168B34F" w14:textId="77777777" w:rsidR="00D41924" w:rsidRDefault="00D41924" w:rsidP="001D13AE"/>
    <w:sectPr w:rsidR="00D4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E"/>
    <w:rsid w:val="001D13AE"/>
    <w:rsid w:val="00D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4CA7"/>
  <w15:chartTrackingRefBased/>
  <w15:docId w15:val="{51475D31-32E5-421F-970A-65335E84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13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13A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D1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cbaonline.cz/cba-hypomonitor-zari-2022-rust-sazeb-se-zastavi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twitter.com/cba_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www.linkedin.com/company/ceska-bankovni-asociace/?viewAsMember=tru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esma.europa.eu/press-news/esma-news/esma-work-programme-2023-focus-sustainability-technological-change-and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hyperlink" Target="https://nis2.tech/" TargetMode="External"/><Relationship Id="rId23" Type="http://schemas.openxmlformats.org/officeDocument/2006/relationships/hyperlink" Target="https://www.facebook.com/ceskabankovniasociace" TargetMode="External"/><Relationship Id="rId28" Type="http://schemas.openxmlformats.org/officeDocument/2006/relationships/image" Target="media/image16.png"/><Relationship Id="rId10" Type="http://schemas.openxmlformats.org/officeDocument/2006/relationships/hyperlink" Target="https://cbaonline.cz/inflace-v-zari-dosahla-18-" TargetMode="External"/><Relationship Id="rId19" Type="http://schemas.openxmlformats.org/officeDocument/2006/relationships/hyperlink" Target="https://cbacfo.cz/" TargetMode="External"/><Relationship Id="rId31" Type="http://schemas.openxmlformats.org/officeDocument/2006/relationships/hyperlink" Target="https://www.youtube.com/channel/UCNKqC8xY_H-FmpAMEDbxdm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hyperlink" Target="https://cbaonline.cz/en" TargetMode="External"/><Relationship Id="rId30" Type="http://schemas.openxmlformats.org/officeDocument/2006/relationships/image" Target="media/image17.png"/><Relationship Id="rId8" Type="http://schemas.openxmlformats.org/officeDocument/2006/relationships/hyperlink" Target="http://www.kyberhr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2190</Words>
  <Characters>12925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1</cp:revision>
  <dcterms:created xsi:type="dcterms:W3CDTF">2022-10-18T09:31:00Z</dcterms:created>
  <dcterms:modified xsi:type="dcterms:W3CDTF">2022-10-18T09:33:00Z</dcterms:modified>
</cp:coreProperties>
</file>