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2AD" w14:textId="6C225BAE" w:rsidR="009139AF" w:rsidRPr="005D593D" w:rsidRDefault="009139AF" w:rsidP="008B1C16">
      <w:pPr>
        <w:spacing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5D593D">
        <w:rPr>
          <w:rFonts w:cs="Arial"/>
          <w:noProof/>
          <w:color w:val="007E79"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81776EB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D11A5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25E85AE8" w:rsidR="005D11A5" w:rsidRPr="00517111" w:rsidRDefault="005D11A5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23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05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D11A5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25E85AE8" w:rsidR="005D11A5" w:rsidRPr="00517111" w:rsidRDefault="005D11A5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23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05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ED7" w:rsidRPr="005D593D">
        <w:rPr>
          <w:rFonts w:cs="Arial"/>
          <w:b/>
          <w:color w:val="007E79"/>
          <w:sz w:val="28"/>
          <w:szCs w:val="28"/>
        </w:rPr>
        <w:t xml:space="preserve">Průzkum pro ČBA: Hypotéku </w:t>
      </w:r>
      <w:r w:rsidR="005D593D" w:rsidRPr="005D593D">
        <w:rPr>
          <w:rFonts w:cs="Arial"/>
          <w:b/>
          <w:color w:val="007E79"/>
          <w:sz w:val="28"/>
          <w:szCs w:val="28"/>
        </w:rPr>
        <w:t>má každý pátý Čech, deset procent o ní uvažuje</w:t>
      </w:r>
    </w:p>
    <w:p w14:paraId="4822D790" w14:textId="77777777" w:rsidR="009D24D7" w:rsidRPr="00573F62" w:rsidRDefault="009D24D7" w:rsidP="008B1C16">
      <w:pPr>
        <w:spacing w:line="276" w:lineRule="auto"/>
        <w:contextualSpacing/>
        <w:rPr>
          <w:rFonts w:cs="Arial"/>
          <w:b/>
          <w:color w:val="007E79"/>
          <w:sz w:val="12"/>
          <w:szCs w:val="28"/>
        </w:rPr>
      </w:pPr>
    </w:p>
    <w:p w14:paraId="47217BB8" w14:textId="77777777" w:rsidR="000E4ABC" w:rsidRDefault="00FE2ED7" w:rsidP="00576CF4">
      <w:pPr>
        <w:pStyle w:val="Odstavecseseznamem"/>
        <w:numPr>
          <w:ilvl w:val="0"/>
          <w:numId w:val="11"/>
        </w:numPr>
        <w:spacing w:line="276" w:lineRule="auto"/>
        <w:rPr>
          <w:rFonts w:cs="Arial"/>
          <w:b/>
          <w:color w:val="007E79"/>
          <w:szCs w:val="18"/>
        </w:rPr>
      </w:pPr>
      <w:r w:rsidRPr="000E4ABC">
        <w:rPr>
          <w:rFonts w:cs="Arial"/>
          <w:b/>
          <w:color w:val="007E79"/>
          <w:szCs w:val="18"/>
        </w:rPr>
        <w:t>R</w:t>
      </w:r>
      <w:r w:rsidR="006F2196" w:rsidRPr="000E4ABC">
        <w:rPr>
          <w:rFonts w:cs="Arial"/>
          <w:b/>
          <w:color w:val="007E79"/>
          <w:szCs w:val="18"/>
        </w:rPr>
        <w:t xml:space="preserve">ozpočet každého pátého Čecha </w:t>
      </w:r>
      <w:r w:rsidR="005D593D" w:rsidRPr="000E4ABC">
        <w:rPr>
          <w:rFonts w:cs="Arial"/>
          <w:b/>
          <w:color w:val="007E79"/>
          <w:szCs w:val="18"/>
        </w:rPr>
        <w:t xml:space="preserve">je </w:t>
      </w:r>
      <w:r w:rsidR="006F2196" w:rsidRPr="000E4ABC">
        <w:rPr>
          <w:rFonts w:cs="Arial"/>
          <w:b/>
          <w:color w:val="007E79"/>
          <w:szCs w:val="18"/>
        </w:rPr>
        <w:t>zatížen hypotékou</w:t>
      </w:r>
    </w:p>
    <w:p w14:paraId="6F2F4F11" w14:textId="6860453A" w:rsidR="000E4ABC" w:rsidRDefault="00521FF6" w:rsidP="00576CF4">
      <w:pPr>
        <w:pStyle w:val="Odstavecseseznamem"/>
        <w:numPr>
          <w:ilvl w:val="0"/>
          <w:numId w:val="11"/>
        </w:numPr>
        <w:spacing w:line="276" w:lineRule="auto"/>
        <w:rPr>
          <w:rFonts w:cs="Arial"/>
          <w:b/>
          <w:color w:val="007E79"/>
          <w:szCs w:val="18"/>
        </w:rPr>
      </w:pPr>
      <w:r w:rsidRPr="000E4ABC">
        <w:rPr>
          <w:rFonts w:cs="Arial"/>
          <w:b/>
          <w:color w:val="007E79"/>
          <w:szCs w:val="18"/>
        </w:rPr>
        <w:t xml:space="preserve">Zpravidla pro účely vlastního bydlení si </w:t>
      </w:r>
      <w:r w:rsidR="000E4ABC" w:rsidRPr="000E4ABC">
        <w:rPr>
          <w:rFonts w:cs="Arial"/>
          <w:b/>
          <w:color w:val="007E79"/>
          <w:szCs w:val="18"/>
        </w:rPr>
        <w:t xml:space="preserve">hypotéku </w:t>
      </w:r>
      <w:r w:rsidRPr="000E4ABC">
        <w:rPr>
          <w:rFonts w:cs="Arial"/>
          <w:b/>
          <w:color w:val="007E79"/>
          <w:szCs w:val="18"/>
        </w:rPr>
        <w:t>plánuje vzít 10 % Čechů</w:t>
      </w:r>
    </w:p>
    <w:p w14:paraId="2C7F965C" w14:textId="110FA43A" w:rsidR="000E4ABC" w:rsidRDefault="000E4ABC" w:rsidP="00576CF4">
      <w:pPr>
        <w:pStyle w:val="Odstavecseseznamem"/>
        <w:numPr>
          <w:ilvl w:val="0"/>
          <w:numId w:val="11"/>
        </w:numPr>
        <w:spacing w:line="276" w:lineRule="auto"/>
        <w:rPr>
          <w:rFonts w:cs="Arial"/>
          <w:b/>
          <w:color w:val="007E79"/>
          <w:szCs w:val="18"/>
        </w:rPr>
      </w:pPr>
      <w:r>
        <w:rPr>
          <w:rFonts w:cs="Arial"/>
          <w:b/>
          <w:color w:val="007E79"/>
          <w:szCs w:val="18"/>
        </w:rPr>
        <w:t>P</w:t>
      </w:r>
      <w:r w:rsidRPr="000E4ABC">
        <w:rPr>
          <w:rFonts w:cs="Arial"/>
          <w:b/>
          <w:color w:val="007E79"/>
          <w:szCs w:val="18"/>
        </w:rPr>
        <w:t>ři výběru</w:t>
      </w:r>
      <w:r>
        <w:rPr>
          <w:rFonts w:cs="Arial"/>
          <w:b/>
          <w:color w:val="007E79"/>
          <w:szCs w:val="18"/>
        </w:rPr>
        <w:t xml:space="preserve"> poskytovatele hypotéky</w:t>
      </w:r>
      <w:r w:rsidRPr="000E4ABC">
        <w:rPr>
          <w:rFonts w:cs="Arial"/>
          <w:b/>
          <w:color w:val="007E79"/>
          <w:szCs w:val="18"/>
        </w:rPr>
        <w:t xml:space="preserve"> se téměř polovina </w:t>
      </w:r>
      <w:r>
        <w:rPr>
          <w:rFonts w:cs="Arial"/>
          <w:b/>
          <w:color w:val="007E79"/>
          <w:szCs w:val="18"/>
        </w:rPr>
        <w:t xml:space="preserve">Čechů </w:t>
      </w:r>
      <w:r w:rsidRPr="000E4ABC">
        <w:rPr>
          <w:rFonts w:cs="Arial"/>
          <w:b/>
          <w:color w:val="007E79"/>
          <w:szCs w:val="18"/>
        </w:rPr>
        <w:t>rozhod</w:t>
      </w:r>
      <w:r>
        <w:rPr>
          <w:rFonts w:cs="Arial"/>
          <w:b/>
          <w:color w:val="007E79"/>
          <w:szCs w:val="18"/>
        </w:rPr>
        <w:t xml:space="preserve">ovala podle </w:t>
      </w:r>
      <w:r w:rsidRPr="000E4ABC">
        <w:rPr>
          <w:rFonts w:cs="Arial"/>
          <w:b/>
          <w:color w:val="007E79"/>
          <w:szCs w:val="18"/>
        </w:rPr>
        <w:t>doporučení finančního poradce</w:t>
      </w:r>
    </w:p>
    <w:p w14:paraId="54A008F1" w14:textId="77777777" w:rsidR="000E4ABC" w:rsidRDefault="00521FF6" w:rsidP="00576CF4">
      <w:pPr>
        <w:pStyle w:val="Odstavecseseznamem"/>
        <w:numPr>
          <w:ilvl w:val="0"/>
          <w:numId w:val="11"/>
        </w:numPr>
        <w:spacing w:line="276" w:lineRule="auto"/>
        <w:rPr>
          <w:rFonts w:cs="Arial"/>
          <w:b/>
          <w:color w:val="007E79"/>
          <w:szCs w:val="18"/>
        </w:rPr>
      </w:pPr>
      <w:r w:rsidRPr="000E4ABC">
        <w:rPr>
          <w:rFonts w:cs="Arial"/>
          <w:b/>
          <w:color w:val="007E79"/>
          <w:szCs w:val="18"/>
        </w:rPr>
        <w:t>V</w:t>
      </w:r>
      <w:r w:rsidR="0055377C" w:rsidRPr="000E4ABC">
        <w:rPr>
          <w:rFonts w:cs="Arial"/>
          <w:b/>
          <w:color w:val="007E79"/>
          <w:szCs w:val="18"/>
        </w:rPr>
        <w:t xml:space="preserve">ýše </w:t>
      </w:r>
      <w:r w:rsidRPr="000E4ABC">
        <w:rPr>
          <w:rFonts w:cs="Arial"/>
          <w:b/>
          <w:color w:val="007E79"/>
          <w:szCs w:val="18"/>
        </w:rPr>
        <w:t xml:space="preserve">hypoték </w:t>
      </w:r>
      <w:r w:rsidR="0055377C" w:rsidRPr="000E4ABC">
        <w:rPr>
          <w:rFonts w:cs="Arial"/>
          <w:b/>
          <w:color w:val="007E79"/>
          <w:szCs w:val="18"/>
        </w:rPr>
        <w:t>se nejčastěji pohybuje v rozmezí od jednoho do dvou</w:t>
      </w:r>
      <w:r w:rsidR="006445A3" w:rsidRPr="000E4ABC">
        <w:rPr>
          <w:rFonts w:cs="Arial"/>
          <w:b/>
          <w:color w:val="007E79"/>
          <w:szCs w:val="18"/>
        </w:rPr>
        <w:t xml:space="preserve"> </w:t>
      </w:r>
      <w:r w:rsidR="0055377C" w:rsidRPr="000E4ABC">
        <w:rPr>
          <w:rFonts w:cs="Arial"/>
          <w:b/>
          <w:color w:val="007E79"/>
          <w:szCs w:val="18"/>
        </w:rPr>
        <w:t>milionů</w:t>
      </w:r>
      <w:r w:rsidR="006445A3" w:rsidRPr="000E4ABC">
        <w:rPr>
          <w:rFonts w:cs="Arial"/>
          <w:b/>
          <w:color w:val="007E79"/>
          <w:szCs w:val="18"/>
        </w:rPr>
        <w:t xml:space="preserve"> korun</w:t>
      </w:r>
      <w:r w:rsidR="005D593D" w:rsidRPr="000E4ABC">
        <w:rPr>
          <w:rFonts w:cs="Arial"/>
          <w:b/>
          <w:color w:val="007E79"/>
          <w:szCs w:val="18"/>
        </w:rPr>
        <w:t xml:space="preserve"> a </w:t>
      </w:r>
      <w:r w:rsidR="0055377C" w:rsidRPr="000E4ABC">
        <w:rPr>
          <w:rFonts w:cs="Arial"/>
          <w:b/>
          <w:color w:val="007E79"/>
          <w:szCs w:val="18"/>
        </w:rPr>
        <w:t xml:space="preserve">doba </w:t>
      </w:r>
      <w:r w:rsidR="005D593D" w:rsidRPr="000E4ABC">
        <w:rPr>
          <w:rFonts w:cs="Arial"/>
          <w:b/>
          <w:color w:val="007E79"/>
          <w:szCs w:val="18"/>
        </w:rPr>
        <w:t xml:space="preserve">splácení nad </w:t>
      </w:r>
      <w:r w:rsidR="006445A3" w:rsidRPr="000E4ABC">
        <w:rPr>
          <w:rFonts w:cs="Arial"/>
          <w:b/>
          <w:color w:val="007E79"/>
          <w:szCs w:val="18"/>
        </w:rPr>
        <w:t>20 let</w:t>
      </w:r>
    </w:p>
    <w:p w14:paraId="4A3ACB88" w14:textId="67216DD2" w:rsidR="00576CF4" w:rsidRDefault="000E4ABC" w:rsidP="00576CF4">
      <w:pPr>
        <w:pStyle w:val="Odstavecseseznamem"/>
        <w:numPr>
          <w:ilvl w:val="0"/>
          <w:numId w:val="11"/>
        </w:numPr>
        <w:spacing w:line="276" w:lineRule="auto"/>
        <w:rPr>
          <w:rFonts w:cs="Arial"/>
          <w:b/>
          <w:color w:val="007E79"/>
          <w:szCs w:val="18"/>
        </w:rPr>
      </w:pPr>
      <w:r>
        <w:rPr>
          <w:rFonts w:cs="Arial"/>
          <w:b/>
          <w:color w:val="007E79"/>
          <w:szCs w:val="18"/>
        </w:rPr>
        <w:t xml:space="preserve">Vlastní zdroje k získání hypotéky </w:t>
      </w:r>
      <w:r w:rsidR="00576CF4">
        <w:rPr>
          <w:rFonts w:cs="Arial"/>
          <w:b/>
          <w:color w:val="007E79"/>
          <w:szCs w:val="18"/>
        </w:rPr>
        <w:t>Češi řeší nejčastěji formou úspor (64 %) či stavebním spořením (31 %)</w:t>
      </w:r>
    </w:p>
    <w:p w14:paraId="29E1570C" w14:textId="017805DA" w:rsidR="00521FF6" w:rsidRPr="000E4ABC" w:rsidRDefault="00576CF4" w:rsidP="00576CF4">
      <w:pPr>
        <w:pStyle w:val="Odstavecseseznamem"/>
        <w:numPr>
          <w:ilvl w:val="0"/>
          <w:numId w:val="11"/>
        </w:numPr>
        <w:spacing w:line="276" w:lineRule="auto"/>
        <w:rPr>
          <w:rFonts w:cs="Arial"/>
          <w:b/>
          <w:color w:val="007E79"/>
          <w:szCs w:val="18"/>
        </w:rPr>
      </w:pPr>
      <w:r>
        <w:rPr>
          <w:rFonts w:cs="Arial"/>
          <w:b/>
          <w:color w:val="007E79"/>
          <w:szCs w:val="18"/>
        </w:rPr>
        <w:t>Za největší riziko pro splácení hypotéky Češi považují dlouhodobou nemoc či úmrtí (34 %)</w:t>
      </w:r>
      <w:r w:rsidR="000E4ABC" w:rsidRPr="000E4ABC">
        <w:rPr>
          <w:rFonts w:cs="Arial"/>
          <w:b/>
          <w:color w:val="007E79"/>
          <w:szCs w:val="18"/>
        </w:rPr>
        <w:t xml:space="preserve"> </w:t>
      </w:r>
    </w:p>
    <w:p w14:paraId="41FCCCAD" w14:textId="77777777" w:rsidR="00521FF6" w:rsidRDefault="00521FF6" w:rsidP="008B1C16">
      <w:pPr>
        <w:spacing w:line="276" w:lineRule="auto"/>
        <w:contextualSpacing/>
        <w:rPr>
          <w:rFonts w:cs="Arial"/>
          <w:b/>
          <w:color w:val="007E79"/>
          <w:szCs w:val="18"/>
        </w:rPr>
      </w:pPr>
    </w:p>
    <w:p w14:paraId="15EFD0D9" w14:textId="77777777" w:rsidR="00576CF4" w:rsidRDefault="00576CF4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28CAF2E" w14:textId="50B786AD" w:rsidR="00D55406" w:rsidRDefault="00576C13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Poč</w:t>
      </w:r>
      <w:r w:rsidR="000B4C8F">
        <w:rPr>
          <w:rFonts w:cs="Arial"/>
          <w:szCs w:val="18"/>
        </w:rPr>
        <w:t xml:space="preserve">et </w:t>
      </w:r>
      <w:r>
        <w:rPr>
          <w:rFonts w:cs="Arial"/>
          <w:szCs w:val="18"/>
        </w:rPr>
        <w:t xml:space="preserve">nově sjednaných </w:t>
      </w:r>
      <w:r w:rsidR="00226F32">
        <w:rPr>
          <w:rFonts w:cs="Arial"/>
          <w:szCs w:val="18"/>
        </w:rPr>
        <w:t>hypoték</w:t>
      </w:r>
      <w:r w:rsidR="000B4C8F">
        <w:rPr>
          <w:rFonts w:cs="Arial"/>
          <w:szCs w:val="18"/>
        </w:rPr>
        <w:t xml:space="preserve"> </w:t>
      </w:r>
      <w:r w:rsidR="00AB4CFC">
        <w:rPr>
          <w:rFonts w:cs="Arial"/>
          <w:szCs w:val="18"/>
        </w:rPr>
        <w:t xml:space="preserve">vlivem regulace a vysokých cen nemovitostí ve velkých městech </w:t>
      </w:r>
      <w:r w:rsidR="000B4C8F">
        <w:rPr>
          <w:rFonts w:cs="Arial"/>
          <w:szCs w:val="18"/>
        </w:rPr>
        <w:t>postupně mírně klesá</w:t>
      </w:r>
      <w:r w:rsidR="00D55406">
        <w:rPr>
          <w:rFonts w:cs="Arial"/>
          <w:szCs w:val="18"/>
        </w:rPr>
        <w:t>. V</w:t>
      </w:r>
      <w:r>
        <w:rPr>
          <w:rFonts w:cs="Arial"/>
          <w:szCs w:val="18"/>
        </w:rPr>
        <w:t xml:space="preserve"> loňsk</w:t>
      </w:r>
      <w:r w:rsidR="000B4C8F">
        <w:rPr>
          <w:rFonts w:cs="Arial"/>
          <w:szCs w:val="18"/>
        </w:rPr>
        <w:t>ém</w:t>
      </w:r>
      <w:r>
        <w:rPr>
          <w:rFonts w:cs="Arial"/>
          <w:szCs w:val="18"/>
        </w:rPr>
        <w:t xml:space="preserve"> ro</w:t>
      </w:r>
      <w:r w:rsidR="000B4C8F">
        <w:rPr>
          <w:rFonts w:cs="Arial"/>
          <w:szCs w:val="18"/>
        </w:rPr>
        <w:t>ce</w:t>
      </w:r>
      <w:r>
        <w:rPr>
          <w:rFonts w:cs="Arial"/>
          <w:szCs w:val="18"/>
        </w:rPr>
        <w:t xml:space="preserve"> spadl</w:t>
      </w:r>
      <w:r w:rsidR="000B4C8F">
        <w:rPr>
          <w:rFonts w:cs="Arial"/>
          <w:szCs w:val="18"/>
        </w:rPr>
        <w:t xml:space="preserve"> oproti roku 2017</w:t>
      </w:r>
      <w:r>
        <w:rPr>
          <w:rFonts w:cs="Arial"/>
          <w:szCs w:val="18"/>
        </w:rPr>
        <w:t xml:space="preserve"> pod 100 tisíc na 99,5 tisíc nových hypoték</w:t>
      </w:r>
      <w:r w:rsidR="00D55406">
        <w:rPr>
          <w:rFonts w:cs="Arial"/>
          <w:szCs w:val="18"/>
        </w:rPr>
        <w:t>. Z</w:t>
      </w:r>
      <w:r w:rsidR="000B4C8F">
        <w:rPr>
          <w:rFonts w:cs="Arial"/>
          <w:szCs w:val="18"/>
        </w:rPr>
        <w:t>ájem Čechů o to bydlet „ve vlastním“ však přetrvává</w:t>
      </w:r>
      <w:r w:rsidR="00D55406">
        <w:rPr>
          <w:rFonts w:cs="Arial"/>
          <w:szCs w:val="18"/>
        </w:rPr>
        <w:t xml:space="preserve"> a pro </w:t>
      </w:r>
      <w:r w:rsidR="00F313E8">
        <w:rPr>
          <w:rFonts w:cs="Arial"/>
          <w:szCs w:val="18"/>
        </w:rPr>
        <w:t xml:space="preserve">zhruba tři čtvrtiny </w:t>
      </w:r>
      <w:r w:rsidR="00D55406">
        <w:rPr>
          <w:rFonts w:cs="Arial"/>
          <w:szCs w:val="18"/>
        </w:rPr>
        <w:t>úspěšných žadatelů také podle průzkumu</w:t>
      </w:r>
      <w:r w:rsidR="00576CF4">
        <w:rPr>
          <w:rFonts w:cs="Arial"/>
          <w:szCs w:val="18"/>
        </w:rPr>
        <w:t xml:space="preserve"> SC&amp;C pro Českou bankovní asociaci (ČBA)</w:t>
      </w:r>
      <w:r w:rsidR="00D55406">
        <w:rPr>
          <w:rFonts w:cs="Arial"/>
          <w:szCs w:val="18"/>
        </w:rPr>
        <w:t xml:space="preserve"> představoval hlavní důvod, proč si hypotéku vzali.</w:t>
      </w:r>
      <w:r w:rsidR="00AB4CFC">
        <w:rPr>
          <w:rFonts w:cs="Arial"/>
          <w:szCs w:val="18"/>
        </w:rPr>
        <w:t xml:space="preserve"> </w:t>
      </w:r>
      <w:r w:rsidR="00B05777" w:rsidRPr="00D004E5">
        <w:rPr>
          <w:rFonts w:cs="Arial"/>
          <w:i/>
          <w:szCs w:val="18"/>
        </w:rPr>
        <w:t>„</w:t>
      </w:r>
      <w:r w:rsidR="00B05777">
        <w:rPr>
          <w:rFonts w:cs="Arial"/>
          <w:i/>
          <w:szCs w:val="18"/>
        </w:rPr>
        <w:t xml:space="preserve">Mentalitu Čechů v tomto ohledu nepředěláte. </w:t>
      </w:r>
      <w:r w:rsidR="00B05777" w:rsidRPr="00D004E5">
        <w:rPr>
          <w:rFonts w:cs="Arial"/>
          <w:i/>
          <w:szCs w:val="18"/>
        </w:rPr>
        <w:t xml:space="preserve">Češi zkrátka </w:t>
      </w:r>
      <w:r w:rsidR="00B05777">
        <w:rPr>
          <w:rFonts w:cs="Arial"/>
          <w:i/>
          <w:szCs w:val="18"/>
        </w:rPr>
        <w:t>vidí ve vlastním bydlení jistotu</w:t>
      </w:r>
      <w:r w:rsidR="00B05777" w:rsidRPr="00D004E5">
        <w:rPr>
          <w:rFonts w:cs="Arial"/>
          <w:i/>
          <w:szCs w:val="18"/>
        </w:rPr>
        <w:t xml:space="preserve"> a hypoték</w:t>
      </w:r>
      <w:r w:rsidR="00B05777">
        <w:rPr>
          <w:rFonts w:cs="Arial"/>
          <w:i/>
          <w:szCs w:val="18"/>
        </w:rPr>
        <w:t>a</w:t>
      </w:r>
      <w:r w:rsidR="00B05777" w:rsidRPr="00D004E5">
        <w:rPr>
          <w:rFonts w:cs="Arial"/>
          <w:i/>
          <w:szCs w:val="18"/>
        </w:rPr>
        <w:t xml:space="preserve"> </w:t>
      </w:r>
      <w:r w:rsidR="00B05777">
        <w:rPr>
          <w:rFonts w:cs="Arial"/>
          <w:i/>
          <w:szCs w:val="18"/>
        </w:rPr>
        <w:t xml:space="preserve">je pro ně často jedinou </w:t>
      </w:r>
      <w:r w:rsidR="00B05777" w:rsidRPr="00D004E5">
        <w:rPr>
          <w:rFonts w:cs="Arial"/>
          <w:i/>
          <w:szCs w:val="18"/>
        </w:rPr>
        <w:t>cest</w:t>
      </w:r>
      <w:r w:rsidR="00B05777">
        <w:rPr>
          <w:rFonts w:cs="Arial"/>
          <w:i/>
          <w:szCs w:val="18"/>
        </w:rPr>
        <w:t>o</w:t>
      </w:r>
      <w:r w:rsidR="00B05777" w:rsidRPr="00D004E5">
        <w:rPr>
          <w:rFonts w:cs="Arial"/>
          <w:i/>
          <w:szCs w:val="18"/>
        </w:rPr>
        <w:t>u</w:t>
      </w:r>
      <w:r w:rsidR="00B05777">
        <w:rPr>
          <w:rFonts w:cs="Arial"/>
          <w:i/>
          <w:szCs w:val="18"/>
        </w:rPr>
        <w:t>, jak ho dosáhnout</w:t>
      </w:r>
      <w:r w:rsidR="00B05777" w:rsidRPr="00D004E5">
        <w:rPr>
          <w:rFonts w:cs="Arial"/>
          <w:i/>
          <w:szCs w:val="18"/>
        </w:rPr>
        <w:t>,“</w:t>
      </w:r>
      <w:r w:rsidR="00B05777">
        <w:rPr>
          <w:rFonts w:cs="Arial"/>
          <w:i/>
          <w:szCs w:val="18"/>
        </w:rPr>
        <w:t xml:space="preserve"> </w:t>
      </w:r>
      <w:r w:rsidR="00B05777" w:rsidRPr="007A3BFB">
        <w:rPr>
          <w:rFonts w:cs="Arial"/>
          <w:szCs w:val="18"/>
        </w:rPr>
        <w:t xml:space="preserve">upřesňuje Vladimír Staňura, hlavní poradce </w:t>
      </w:r>
      <w:r w:rsidR="00B05777">
        <w:rPr>
          <w:rFonts w:cs="Arial"/>
          <w:szCs w:val="18"/>
        </w:rPr>
        <w:t>ČBA</w:t>
      </w:r>
      <w:r w:rsidR="00B05777" w:rsidRPr="007A3BFB">
        <w:rPr>
          <w:rFonts w:cs="Arial"/>
          <w:szCs w:val="18"/>
        </w:rPr>
        <w:t>.</w:t>
      </w:r>
      <w:r w:rsidR="00B05777" w:rsidRPr="00B05777">
        <w:rPr>
          <w:rFonts w:cs="Arial"/>
          <w:szCs w:val="18"/>
        </w:rPr>
        <w:t xml:space="preserve"> </w:t>
      </w:r>
    </w:p>
    <w:p w14:paraId="1D94FDA0" w14:textId="77777777" w:rsidR="00D55406" w:rsidRDefault="00D554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4BF27476" w14:textId="2BB67477" w:rsidR="006131E9" w:rsidRDefault="00AB4CFC" w:rsidP="00BD483C">
      <w:pPr>
        <w:spacing w:after="120"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7A3BFB" w:rsidRPr="007A3BFB">
        <w:rPr>
          <w:rFonts w:cs="Arial"/>
          <w:szCs w:val="18"/>
        </w:rPr>
        <w:t>e srovnání s</w:t>
      </w:r>
      <w:r w:rsidR="00662C23">
        <w:rPr>
          <w:rFonts w:cs="Arial"/>
          <w:szCs w:val="18"/>
        </w:rPr>
        <w:t xml:space="preserve"> ostatními</w:t>
      </w:r>
      <w:r w:rsidR="007A3BFB" w:rsidRPr="007A3BFB">
        <w:rPr>
          <w:rFonts w:cs="Arial"/>
          <w:szCs w:val="18"/>
        </w:rPr>
        <w:t xml:space="preserve"> zeměmi </w:t>
      </w:r>
      <w:r w:rsidR="007A3BFB">
        <w:rPr>
          <w:rFonts w:cs="Arial"/>
          <w:szCs w:val="18"/>
        </w:rPr>
        <w:t xml:space="preserve">EU </w:t>
      </w:r>
      <w:r>
        <w:rPr>
          <w:rFonts w:cs="Arial"/>
          <w:szCs w:val="18"/>
        </w:rPr>
        <w:t xml:space="preserve">se Česko co do podílu vlastnického bydlení </w:t>
      </w:r>
      <w:r w:rsidR="007A3BFB">
        <w:rPr>
          <w:rFonts w:cs="Arial"/>
          <w:szCs w:val="18"/>
        </w:rPr>
        <w:t xml:space="preserve">pohybuje </w:t>
      </w:r>
      <w:r w:rsidR="007A3BFB" w:rsidRPr="007A3BFB">
        <w:rPr>
          <w:rFonts w:cs="Arial"/>
          <w:szCs w:val="18"/>
        </w:rPr>
        <w:t>vysoko nad průměrem, který v zemích evropské osmadvacítky dosahuje 69 %</w:t>
      </w:r>
      <w:r w:rsidR="00B05777">
        <w:rPr>
          <w:rFonts w:cs="Arial"/>
          <w:szCs w:val="18"/>
        </w:rPr>
        <w:t xml:space="preserve"> </w:t>
      </w:r>
      <w:r w:rsidR="00B05777" w:rsidRPr="00B05777">
        <w:rPr>
          <w:rFonts w:cs="Arial"/>
          <w:szCs w:val="18"/>
        </w:rPr>
        <w:t>–</w:t>
      </w:r>
      <w:r w:rsidR="00B05777">
        <w:rPr>
          <w:rFonts w:cs="Arial"/>
          <w:szCs w:val="18"/>
        </w:rPr>
        <w:t xml:space="preserve"> v</w:t>
      </w:r>
      <w:r w:rsidR="007A3BFB" w:rsidRPr="007A3BFB">
        <w:rPr>
          <w:rFonts w:cs="Arial"/>
          <w:szCs w:val="18"/>
        </w:rPr>
        <w:t xml:space="preserve"> České republice je to </w:t>
      </w:r>
      <w:r w:rsidR="00F313E8">
        <w:rPr>
          <w:rFonts w:cs="Arial"/>
          <w:szCs w:val="18"/>
        </w:rPr>
        <w:t xml:space="preserve">skoro </w:t>
      </w:r>
      <w:r w:rsidR="007A3BFB" w:rsidRPr="007A3BFB">
        <w:rPr>
          <w:rFonts w:cs="Arial"/>
          <w:szCs w:val="18"/>
        </w:rPr>
        <w:t>79 % obyvatel.</w:t>
      </w:r>
      <w:r w:rsidR="007A3BFB" w:rsidRPr="00D004E5">
        <w:rPr>
          <w:rFonts w:cs="Arial"/>
          <w:i/>
          <w:szCs w:val="18"/>
        </w:rPr>
        <w:t xml:space="preserve"> </w:t>
      </w:r>
    </w:p>
    <w:p w14:paraId="429F1E77" w14:textId="7EB2F598" w:rsidR="00226F32" w:rsidRDefault="00226F32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C7D4E23" w14:textId="3284D323" w:rsidR="00226F32" w:rsidRDefault="00576CF4" w:rsidP="00BD483C">
      <w:pPr>
        <w:spacing w:after="120" w:line="276" w:lineRule="auto"/>
        <w:contextualSpacing/>
        <w:rPr>
          <w:rFonts w:cs="Arial"/>
          <w:szCs w:val="18"/>
        </w:rPr>
      </w:pPr>
      <w:r w:rsidRPr="00662C23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E7D07" wp14:editId="06A28883">
                <wp:simplePos x="0" y="0"/>
                <wp:positionH relativeFrom="margin">
                  <wp:posOffset>18415</wp:posOffset>
                </wp:positionH>
                <wp:positionV relativeFrom="paragraph">
                  <wp:posOffset>10160</wp:posOffset>
                </wp:positionV>
                <wp:extent cx="1612900" cy="317500"/>
                <wp:effectExtent l="0" t="0" r="0" b="0"/>
                <wp:wrapNone/>
                <wp:docPr id="9" name="Zástupný symbol pro tex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85FBA9-3B7C-47ED-9DE0-7427612AFF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90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9A0E0" w14:textId="64FE0049" w:rsidR="00662C23" w:rsidRPr="00662C23" w:rsidRDefault="00662C23" w:rsidP="00662C23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</w:pPr>
                            <w:r w:rsidRPr="00662C23"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 xml:space="preserve">Máte hypotéku? </w:t>
                            </w:r>
                          </w:p>
                          <w:p w14:paraId="55BBB139" w14:textId="52F8133D" w:rsidR="00662C23" w:rsidRPr="00662C23" w:rsidRDefault="00662C23" w:rsidP="00662C23">
                            <w:pPr>
                              <w:pStyle w:val="Odstavecseseznamem"/>
                              <w:rPr>
                                <w:rFonts w:asciiTheme="minorHAnsi" w:hAnsi="Calibri Light" w:cstheme="minorBidi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</w:p>
                          <w:p w14:paraId="33C52C4C" w14:textId="77777777" w:rsidR="00662C23" w:rsidRPr="00662C23" w:rsidRDefault="00662C23" w:rsidP="00662C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7D07" id="Zástupný symbol pro text 4" o:spid="_x0000_s1027" type="#_x0000_t202" style="position:absolute;left:0;text-align:left;margin-left:1.45pt;margin-top:.8pt;width:127pt;height: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" filled="f" stroked="f">
                <v:textbox>
                  <w:txbxContent>
                    <w:p w14:paraId="5069A0E0" w14:textId="64FE0049" w:rsidR="00662C23" w:rsidRPr="00662C23" w:rsidRDefault="00662C23" w:rsidP="00662C23">
                      <w:pPr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</w:pPr>
                      <w:r w:rsidRPr="00662C23"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  <w:t xml:space="preserve">Máte hypotéku? </w:t>
                      </w:r>
                    </w:p>
                    <w:p w14:paraId="55BBB139" w14:textId="52F8133D" w:rsidR="00662C23" w:rsidRPr="00662C23" w:rsidRDefault="00662C23" w:rsidP="00662C23">
                      <w:pPr>
                        <w:pStyle w:val="Odstavecseseznamem"/>
                        <w:rPr>
                          <w:rFonts w:asciiTheme="minorHAnsi" w:hAnsi="Calibri Light" w:cstheme="minorBidi"/>
                          <w:b/>
                          <w:color w:val="000000" w:themeColor="text1"/>
                          <w:kern w:val="24"/>
                          <w:szCs w:val="18"/>
                        </w:rPr>
                      </w:pPr>
                    </w:p>
                    <w:p w14:paraId="33C52C4C" w14:textId="77777777" w:rsidR="00662C23" w:rsidRPr="00662C23" w:rsidRDefault="00662C23" w:rsidP="00662C2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C23">
        <w:rPr>
          <w:rFonts w:cs="Arial"/>
          <w:noProof/>
          <w:szCs w:val="18"/>
        </w:rPr>
        <w:drawing>
          <wp:anchor distT="0" distB="0" distL="114300" distR="114300" simplePos="0" relativeHeight="251700224" behindDoc="0" locked="0" layoutInCell="1" allowOverlap="1" wp14:anchorId="1E829375" wp14:editId="2E3681D4">
            <wp:simplePos x="0" y="0"/>
            <wp:positionH relativeFrom="margin">
              <wp:posOffset>2181860</wp:posOffset>
            </wp:positionH>
            <wp:positionV relativeFrom="paragraph">
              <wp:posOffset>29210</wp:posOffset>
            </wp:positionV>
            <wp:extent cx="2254250" cy="22904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CD76D5" w14:textId="1CDE583E" w:rsidR="00226F32" w:rsidRDefault="00226F32" w:rsidP="00BD483C">
      <w:pPr>
        <w:spacing w:after="120" w:line="276" w:lineRule="auto"/>
        <w:contextualSpacing/>
        <w:rPr>
          <w:rFonts w:cs="Arial"/>
          <w:szCs w:val="18"/>
        </w:rPr>
      </w:pPr>
    </w:p>
    <w:p w14:paraId="1E78A5AA" w14:textId="4D4F2D70" w:rsidR="00BA1F8A" w:rsidRPr="009038F9" w:rsidRDefault="00BA1F8A" w:rsidP="00BD483C">
      <w:pPr>
        <w:spacing w:after="120" w:line="276" w:lineRule="auto"/>
        <w:contextualSpacing/>
        <w:rPr>
          <w:rFonts w:cs="Arial"/>
          <w:szCs w:val="18"/>
        </w:rPr>
      </w:pPr>
    </w:p>
    <w:p w14:paraId="63F5FBCB" w14:textId="7A27289E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46F3F1D4" w14:textId="2F2CC674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3882B444" w14:textId="22702962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03F904C8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3FF49CA6" w14:textId="1827286F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37A8A7AE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0E7BC362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3EA170E8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76E7281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Cs w:val="18"/>
        </w:rPr>
      </w:pPr>
    </w:p>
    <w:p w14:paraId="7DD0763E" w14:textId="52753E62" w:rsidR="00E02136" w:rsidRPr="00E8561A" w:rsidRDefault="00BD483C" w:rsidP="00571BEE">
      <w:pPr>
        <w:spacing w:after="120" w:line="276" w:lineRule="auto"/>
        <w:rPr>
          <w:rFonts w:cs="Arial"/>
          <w:b/>
          <w:color w:val="007E79"/>
          <w:szCs w:val="18"/>
        </w:rPr>
      </w:pPr>
      <w:r w:rsidRPr="00E8561A">
        <w:rPr>
          <w:rFonts w:cs="Arial"/>
          <w:b/>
          <w:color w:val="007E79"/>
          <w:szCs w:val="18"/>
        </w:rPr>
        <w:t>Pětina Čechů má hypotéku</w:t>
      </w:r>
      <w:r w:rsidR="001A6304">
        <w:rPr>
          <w:rFonts w:cs="Arial"/>
          <w:b/>
          <w:color w:val="007E79"/>
          <w:szCs w:val="18"/>
        </w:rPr>
        <w:t>, polovina na doporučení poradce</w:t>
      </w:r>
    </w:p>
    <w:p w14:paraId="5649D4D7" w14:textId="566969D4" w:rsidR="005D769A" w:rsidRDefault="00B05777" w:rsidP="007F742B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Splácení hypotéky v průzkumu přiznal každý pátý Čech</w:t>
      </w:r>
      <w:r w:rsidR="008825CE">
        <w:rPr>
          <w:rFonts w:cs="Arial"/>
          <w:szCs w:val="18"/>
        </w:rPr>
        <w:t xml:space="preserve">. </w:t>
      </w:r>
      <w:r w:rsidR="008825CE" w:rsidRPr="00FA59C6">
        <w:rPr>
          <w:rFonts w:cs="Arial"/>
          <w:szCs w:val="18"/>
        </w:rPr>
        <w:t>D</w:t>
      </w:r>
      <w:r w:rsidRPr="00FA59C6">
        <w:rPr>
          <w:rFonts w:cs="Arial"/>
          <w:szCs w:val="18"/>
        </w:rPr>
        <w:t>alších 10 % si ji plánuje vzít</w:t>
      </w:r>
      <w:r w:rsidR="005D769A" w:rsidRPr="00FA59C6">
        <w:rPr>
          <w:rFonts w:cs="Arial"/>
          <w:szCs w:val="18"/>
        </w:rPr>
        <w:t xml:space="preserve">, což je dokonce o </w:t>
      </w:r>
      <w:proofErr w:type="gramStart"/>
      <w:r w:rsidR="005D769A" w:rsidRPr="00FA59C6">
        <w:rPr>
          <w:rFonts w:cs="Arial"/>
          <w:szCs w:val="18"/>
        </w:rPr>
        <w:t>5</w:t>
      </w:r>
      <w:r w:rsidR="00FA59C6">
        <w:rPr>
          <w:rFonts w:cs="Arial"/>
          <w:szCs w:val="18"/>
        </w:rPr>
        <w:t xml:space="preserve"> </w:t>
      </w:r>
      <w:r w:rsidR="00FA59C6" w:rsidRPr="00FA59C6">
        <w:rPr>
          <w:rFonts w:cs="Arial"/>
          <w:szCs w:val="18"/>
        </w:rPr>
        <w:t>procentních</w:t>
      </w:r>
      <w:proofErr w:type="gramEnd"/>
      <w:r w:rsidR="00FA59C6" w:rsidRPr="00FA59C6">
        <w:rPr>
          <w:rFonts w:cs="Arial"/>
          <w:szCs w:val="18"/>
        </w:rPr>
        <w:t xml:space="preserve"> bodů</w:t>
      </w:r>
      <w:r w:rsidR="00FA59C6" w:rsidRPr="00FA59C6">
        <w:rPr>
          <w:rFonts w:cs="Arial"/>
          <w:szCs w:val="18"/>
        </w:rPr>
        <w:t xml:space="preserve"> </w:t>
      </w:r>
      <w:r w:rsidR="005D769A" w:rsidRPr="00FA59C6">
        <w:rPr>
          <w:rFonts w:cs="Arial"/>
          <w:szCs w:val="18"/>
        </w:rPr>
        <w:t xml:space="preserve">více než loni. </w:t>
      </w:r>
      <w:r w:rsidR="008825CE" w:rsidRPr="00FA59C6">
        <w:rPr>
          <w:rFonts w:cs="Arial"/>
          <w:szCs w:val="18"/>
        </w:rPr>
        <w:t>R</w:t>
      </w:r>
      <w:r w:rsidR="005D769A" w:rsidRPr="00FA59C6">
        <w:rPr>
          <w:rFonts w:cs="Arial"/>
          <w:szCs w:val="18"/>
        </w:rPr>
        <w:t xml:space="preserve">ozhodovat </w:t>
      </w:r>
      <w:r w:rsidR="008825CE" w:rsidRPr="00FA59C6">
        <w:rPr>
          <w:rFonts w:cs="Arial"/>
          <w:szCs w:val="18"/>
        </w:rPr>
        <w:t xml:space="preserve">se chtějí především </w:t>
      </w:r>
      <w:r w:rsidR="005D769A" w:rsidRPr="00FA59C6">
        <w:rPr>
          <w:rFonts w:cs="Arial"/>
          <w:szCs w:val="18"/>
        </w:rPr>
        <w:t xml:space="preserve">podle výše úrokových sazeb (64 %) a RPSN (57 %). </w:t>
      </w:r>
      <w:r w:rsidR="009664DD" w:rsidRPr="00FA59C6">
        <w:rPr>
          <w:rFonts w:cs="Arial"/>
          <w:szCs w:val="18"/>
        </w:rPr>
        <w:t>Průzkum však ukázal, že</w:t>
      </w:r>
      <w:r w:rsidR="009664DD" w:rsidRPr="009664DD">
        <w:rPr>
          <w:rFonts w:cs="Arial"/>
          <w:szCs w:val="18"/>
        </w:rPr>
        <w:t xml:space="preserve"> plány a realita se často liší. Z těch</w:t>
      </w:r>
      <w:r w:rsidR="008825CE" w:rsidRPr="009664DD">
        <w:rPr>
          <w:rFonts w:cs="Arial"/>
          <w:szCs w:val="18"/>
        </w:rPr>
        <w:t>, k</w:t>
      </w:r>
      <w:r w:rsidR="009664DD" w:rsidRPr="009664DD">
        <w:rPr>
          <w:rFonts w:cs="Arial"/>
          <w:szCs w:val="18"/>
        </w:rPr>
        <w:t>teří</w:t>
      </w:r>
      <w:r w:rsidR="008825CE" w:rsidRPr="009664DD">
        <w:rPr>
          <w:rFonts w:cs="Arial"/>
          <w:szCs w:val="18"/>
        </w:rPr>
        <w:t xml:space="preserve"> již hypotéku mají, </w:t>
      </w:r>
      <w:r w:rsidR="009664DD" w:rsidRPr="009664DD">
        <w:rPr>
          <w:rFonts w:cs="Arial"/>
          <w:szCs w:val="18"/>
        </w:rPr>
        <w:t xml:space="preserve">totiž téměř polovina </w:t>
      </w:r>
      <w:r w:rsidR="008825CE" w:rsidRPr="009664DD">
        <w:rPr>
          <w:rFonts w:cs="Arial"/>
          <w:szCs w:val="18"/>
        </w:rPr>
        <w:t>uvedl</w:t>
      </w:r>
      <w:r w:rsidR="009664DD" w:rsidRPr="009664DD">
        <w:rPr>
          <w:rFonts w:cs="Arial"/>
          <w:szCs w:val="18"/>
        </w:rPr>
        <w:t>a</w:t>
      </w:r>
      <w:r w:rsidR="008825CE" w:rsidRPr="009664DD">
        <w:rPr>
          <w:rFonts w:cs="Arial"/>
          <w:szCs w:val="18"/>
        </w:rPr>
        <w:t>, že při jejím výběru dal</w:t>
      </w:r>
      <w:r w:rsidR="009664DD" w:rsidRPr="009664DD">
        <w:rPr>
          <w:rFonts w:cs="Arial"/>
          <w:szCs w:val="18"/>
        </w:rPr>
        <w:t xml:space="preserve">a především </w:t>
      </w:r>
      <w:r w:rsidR="008825CE" w:rsidRPr="009664DD">
        <w:rPr>
          <w:rFonts w:cs="Arial"/>
          <w:szCs w:val="18"/>
        </w:rPr>
        <w:t>na doporučení finančního poradce.</w:t>
      </w:r>
      <w:r w:rsidR="008825CE" w:rsidRPr="008825CE">
        <w:rPr>
          <w:rFonts w:cs="Arial"/>
          <w:i/>
          <w:szCs w:val="18"/>
        </w:rPr>
        <w:t xml:space="preserve"> </w:t>
      </w:r>
      <w:r w:rsidR="009664DD">
        <w:rPr>
          <w:rFonts w:cs="Arial"/>
          <w:i/>
          <w:szCs w:val="18"/>
        </w:rPr>
        <w:t>„</w:t>
      </w:r>
      <w:r w:rsidR="008825CE" w:rsidRPr="008825CE">
        <w:rPr>
          <w:rFonts w:cs="Arial"/>
          <w:i/>
          <w:szCs w:val="18"/>
        </w:rPr>
        <w:t>Z praxe mohu potvrdit, že tomu tak skutečně je. Respektive, že většina klientů se primárně obrací na poradce s otázkou, zdali mají šanci se svou žádostí o hypotéku uspět a za jakých podmínek by jim byla poskytnuta</w:t>
      </w:r>
      <w:r w:rsidR="009664DD">
        <w:rPr>
          <w:rFonts w:cs="Arial"/>
          <w:i/>
          <w:szCs w:val="18"/>
        </w:rPr>
        <w:t>,</w:t>
      </w:r>
      <w:r w:rsidR="008825CE" w:rsidRPr="008825CE">
        <w:rPr>
          <w:rFonts w:cs="Arial"/>
          <w:i/>
          <w:szCs w:val="18"/>
        </w:rPr>
        <w:t>“</w:t>
      </w:r>
      <w:r w:rsidR="009664DD">
        <w:rPr>
          <w:rFonts w:cs="Arial"/>
          <w:i/>
          <w:szCs w:val="18"/>
        </w:rPr>
        <w:t xml:space="preserve"> </w:t>
      </w:r>
      <w:r w:rsidR="00E06813">
        <w:rPr>
          <w:rFonts w:cs="Arial"/>
          <w:szCs w:val="18"/>
        </w:rPr>
        <w:t>potvrzuje</w:t>
      </w:r>
      <w:r w:rsidR="009664DD" w:rsidRPr="009664DD">
        <w:rPr>
          <w:rFonts w:cs="Arial"/>
          <w:szCs w:val="18"/>
        </w:rPr>
        <w:t xml:space="preserve"> Vladimír Staňura.</w:t>
      </w:r>
    </w:p>
    <w:p w14:paraId="17D9BEDE" w14:textId="293411E8" w:rsidR="005D769A" w:rsidRDefault="005D769A" w:rsidP="007F742B">
      <w:pPr>
        <w:spacing w:line="276" w:lineRule="auto"/>
        <w:contextualSpacing/>
        <w:rPr>
          <w:rFonts w:cs="Arial"/>
          <w:szCs w:val="18"/>
        </w:rPr>
      </w:pPr>
    </w:p>
    <w:p w14:paraId="4FA01E3C" w14:textId="242744A8" w:rsidR="00FA2228" w:rsidRDefault="00FA2228" w:rsidP="00FA2228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Při výběru nemovitosti je pro více než čtvrtinu respondentů (28 %) nejdůležitější velikost dané nemovitosti a v 15 % její typ. </w:t>
      </w:r>
      <w:r w:rsidR="00023E9F">
        <w:rPr>
          <w:rFonts w:cs="Arial"/>
          <w:szCs w:val="18"/>
        </w:rPr>
        <w:t xml:space="preserve">Podle </w:t>
      </w:r>
      <w:proofErr w:type="spellStart"/>
      <w:r w:rsidR="00023E9F">
        <w:rPr>
          <w:rFonts w:cs="Arial"/>
          <w:szCs w:val="18"/>
        </w:rPr>
        <w:t>Staňury</w:t>
      </w:r>
      <w:proofErr w:type="spellEnd"/>
      <w:r w:rsidR="00023E9F">
        <w:rPr>
          <w:rFonts w:cs="Arial"/>
          <w:szCs w:val="18"/>
        </w:rPr>
        <w:t xml:space="preserve"> ale </w:t>
      </w:r>
      <w:r>
        <w:rPr>
          <w:rFonts w:cs="Arial"/>
          <w:szCs w:val="18"/>
        </w:rPr>
        <w:t>ve skutečnosti</w:t>
      </w:r>
      <w:r w:rsidR="00023E9F">
        <w:rPr>
          <w:rFonts w:cs="Arial"/>
          <w:szCs w:val="18"/>
        </w:rPr>
        <w:t xml:space="preserve">, aniž si to uvědomujeme, zpravidla </w:t>
      </w:r>
      <w:r>
        <w:rPr>
          <w:rFonts w:cs="Arial"/>
          <w:szCs w:val="18"/>
        </w:rPr>
        <w:t>v prvé řadě vycházíme z</w:t>
      </w:r>
      <w:r w:rsidR="00023E9F">
        <w:rPr>
          <w:rFonts w:cs="Arial"/>
          <w:szCs w:val="18"/>
        </w:rPr>
        <w:t> </w:t>
      </w:r>
      <w:r>
        <w:rPr>
          <w:rFonts w:cs="Arial"/>
          <w:szCs w:val="18"/>
        </w:rPr>
        <w:t>lokality</w:t>
      </w:r>
      <w:r w:rsidR="00023E9F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Dopředu </w:t>
      </w:r>
      <w:r w:rsidR="00023E9F">
        <w:rPr>
          <w:rFonts w:cs="Arial"/>
          <w:szCs w:val="18"/>
        </w:rPr>
        <w:t xml:space="preserve">totiž </w:t>
      </w:r>
      <w:r>
        <w:rPr>
          <w:rFonts w:cs="Arial"/>
          <w:szCs w:val="18"/>
        </w:rPr>
        <w:t>víme, jestli chceme bydlet v centru města</w:t>
      </w:r>
      <w:r w:rsidR="00023E9F">
        <w:rPr>
          <w:rFonts w:cs="Arial"/>
          <w:szCs w:val="18"/>
        </w:rPr>
        <w:t xml:space="preserve"> či</w:t>
      </w:r>
      <w:r>
        <w:rPr>
          <w:rFonts w:cs="Arial"/>
          <w:szCs w:val="18"/>
        </w:rPr>
        <w:t xml:space="preserve"> na jeho okraji, </w:t>
      </w:r>
      <w:r w:rsidR="00023E9F">
        <w:rPr>
          <w:rFonts w:cs="Arial"/>
          <w:szCs w:val="18"/>
        </w:rPr>
        <w:t xml:space="preserve">případně </w:t>
      </w:r>
      <w:r>
        <w:rPr>
          <w:rFonts w:cs="Arial"/>
          <w:szCs w:val="18"/>
        </w:rPr>
        <w:t xml:space="preserve">tíhneme </w:t>
      </w:r>
      <w:r w:rsidR="00023E9F">
        <w:rPr>
          <w:rFonts w:cs="Arial"/>
          <w:szCs w:val="18"/>
        </w:rPr>
        <w:t>k nějaké</w:t>
      </w:r>
      <w:r>
        <w:rPr>
          <w:rFonts w:cs="Arial"/>
          <w:szCs w:val="18"/>
        </w:rPr>
        <w:t xml:space="preserve"> </w:t>
      </w:r>
      <w:r w:rsidR="00F313E8" w:rsidRPr="00FA59C6">
        <w:rPr>
          <w:rFonts w:cs="Arial"/>
          <w:szCs w:val="18"/>
        </w:rPr>
        <w:t>městské</w:t>
      </w:r>
      <w:r w:rsidR="00F313E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části</w:t>
      </w:r>
      <w:r w:rsidR="00023E9F">
        <w:rPr>
          <w:rFonts w:cs="Arial"/>
          <w:szCs w:val="18"/>
        </w:rPr>
        <w:t xml:space="preserve"> či oblast</w:t>
      </w:r>
      <w:r w:rsidR="009D0E88">
        <w:rPr>
          <w:rFonts w:cs="Arial"/>
          <w:szCs w:val="18"/>
        </w:rPr>
        <w:t>i.</w:t>
      </w:r>
    </w:p>
    <w:p w14:paraId="1F577D42" w14:textId="4CB4C0C8" w:rsidR="00FA2228" w:rsidRDefault="00FA2228" w:rsidP="006131E9">
      <w:pPr>
        <w:pStyle w:val="Standard"/>
        <w:spacing w:line="276" w:lineRule="auto"/>
        <w:contextualSpacing/>
        <w:rPr>
          <w:rFonts w:cs="Arial"/>
          <w:szCs w:val="18"/>
        </w:rPr>
      </w:pPr>
    </w:p>
    <w:p w14:paraId="4D54A274" w14:textId="2B155CF6" w:rsidR="00FA2228" w:rsidRPr="00FA2228" w:rsidRDefault="00FA2228" w:rsidP="00571BEE">
      <w:pPr>
        <w:spacing w:after="120" w:line="276" w:lineRule="auto"/>
        <w:rPr>
          <w:rFonts w:cs="Arial"/>
          <w:b/>
          <w:color w:val="007E79"/>
          <w:szCs w:val="18"/>
        </w:rPr>
      </w:pPr>
      <w:r w:rsidRPr="00FA2228">
        <w:rPr>
          <w:rFonts w:cs="Arial"/>
          <w:b/>
          <w:color w:val="007E79"/>
          <w:szCs w:val="18"/>
        </w:rPr>
        <w:t>Výše a doba splácení</w:t>
      </w:r>
    </w:p>
    <w:p w14:paraId="1C1D8581" w14:textId="0EB8878F" w:rsidR="00820A66" w:rsidRDefault="00A569E0" w:rsidP="006131E9">
      <w:pPr>
        <w:pStyle w:val="Standard"/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Výše hypotéky </w:t>
      </w:r>
      <w:r w:rsidR="00931E42">
        <w:rPr>
          <w:rFonts w:cs="Arial"/>
          <w:szCs w:val="18"/>
        </w:rPr>
        <w:t>se</w:t>
      </w:r>
      <w:r>
        <w:rPr>
          <w:rFonts w:cs="Arial"/>
          <w:szCs w:val="18"/>
        </w:rPr>
        <w:t xml:space="preserve"> </w:t>
      </w:r>
      <w:r w:rsidR="00E06813">
        <w:rPr>
          <w:rFonts w:cs="Arial"/>
          <w:szCs w:val="18"/>
        </w:rPr>
        <w:t xml:space="preserve">nejčastěji </w:t>
      </w:r>
      <w:r>
        <w:rPr>
          <w:rFonts w:cs="Arial"/>
          <w:szCs w:val="18"/>
        </w:rPr>
        <w:t>pohybuje v rozmezí od jednoho do dvou milionu korun</w:t>
      </w:r>
      <w:r w:rsidR="00E06813" w:rsidRPr="00E06813">
        <w:rPr>
          <w:rFonts w:cs="Arial"/>
          <w:szCs w:val="18"/>
        </w:rPr>
        <w:t xml:space="preserve"> </w:t>
      </w:r>
      <w:r w:rsidR="00E06813">
        <w:rPr>
          <w:rFonts w:cs="Arial"/>
          <w:szCs w:val="18"/>
        </w:rPr>
        <w:t>(42 %) a dob</w:t>
      </w:r>
      <w:r w:rsidR="004A435C">
        <w:rPr>
          <w:rFonts w:cs="Arial"/>
          <w:szCs w:val="18"/>
        </w:rPr>
        <w:t>u</w:t>
      </w:r>
      <w:r w:rsidR="00E06813">
        <w:rPr>
          <w:rFonts w:cs="Arial"/>
          <w:szCs w:val="18"/>
        </w:rPr>
        <w:t xml:space="preserve"> splácení si Češi volí na více než 20 let (66 %). Sjedn</w:t>
      </w:r>
      <w:r w:rsidR="004A435C">
        <w:rPr>
          <w:rFonts w:cs="Arial"/>
          <w:szCs w:val="18"/>
        </w:rPr>
        <w:t xml:space="preserve">ávaná </w:t>
      </w:r>
      <w:r w:rsidR="00E06813">
        <w:rPr>
          <w:rFonts w:cs="Arial"/>
          <w:szCs w:val="18"/>
        </w:rPr>
        <w:t>doba souvisí</w:t>
      </w:r>
      <w:r w:rsidR="000F70CA">
        <w:rPr>
          <w:rFonts w:cs="Arial"/>
          <w:szCs w:val="18"/>
        </w:rPr>
        <w:t xml:space="preserve"> s věkem žadatelů</w:t>
      </w:r>
      <w:r w:rsidR="004A435C">
        <w:rPr>
          <w:rFonts w:cs="Arial"/>
          <w:szCs w:val="18"/>
        </w:rPr>
        <w:t>: „K</w:t>
      </w:r>
      <w:r w:rsidR="000F70CA" w:rsidRPr="001C6945">
        <w:rPr>
          <w:rFonts w:cs="Arial"/>
          <w:i/>
          <w:szCs w:val="18"/>
        </w:rPr>
        <w:t>ratší dobu si volí zejména starší lidé, naopak na více než 20 let se upisují lidé do 40 let</w:t>
      </w:r>
      <w:r w:rsidR="004A435C">
        <w:rPr>
          <w:rFonts w:cs="Arial"/>
          <w:szCs w:val="18"/>
        </w:rPr>
        <w:t xml:space="preserve">, říká </w:t>
      </w:r>
      <w:r w:rsidR="004A435C" w:rsidRPr="00820A66">
        <w:rPr>
          <w:rFonts w:cs="Arial"/>
          <w:szCs w:val="18"/>
        </w:rPr>
        <w:t>Jana Hamanová, ředitelka výzkumu agentury SC&amp;C.</w:t>
      </w:r>
      <w:r w:rsidR="009D0E88">
        <w:rPr>
          <w:rFonts w:cs="Arial"/>
          <w:szCs w:val="18"/>
        </w:rPr>
        <w:t xml:space="preserve"> Mladší lidé s hypotékou na </w:t>
      </w:r>
      <w:r w:rsidR="00AB0ED1">
        <w:rPr>
          <w:rFonts w:cs="Arial"/>
          <w:szCs w:val="18"/>
        </w:rPr>
        <w:t>dobu delší</w:t>
      </w:r>
      <w:r w:rsidR="009D0E88">
        <w:rPr>
          <w:rFonts w:cs="Arial"/>
          <w:szCs w:val="18"/>
        </w:rPr>
        <w:t xml:space="preserve"> než 20 let také více uvažují o refinancování. Celkově však </w:t>
      </w:r>
      <w:r w:rsidR="00AB0ED1">
        <w:rPr>
          <w:rFonts w:cs="Arial"/>
          <w:szCs w:val="18"/>
        </w:rPr>
        <w:t>Češi</w:t>
      </w:r>
      <w:r w:rsidR="009D0E88">
        <w:rPr>
          <w:rFonts w:cs="Arial"/>
          <w:szCs w:val="18"/>
        </w:rPr>
        <w:t xml:space="preserve"> </w:t>
      </w:r>
      <w:r w:rsidR="00AB0ED1">
        <w:rPr>
          <w:rFonts w:cs="Arial"/>
          <w:szCs w:val="18"/>
        </w:rPr>
        <w:t>o tomto kroku</w:t>
      </w:r>
      <w:r w:rsidR="009D0E88">
        <w:rPr>
          <w:rFonts w:cs="Arial"/>
          <w:szCs w:val="18"/>
        </w:rPr>
        <w:t xml:space="preserve"> </w:t>
      </w:r>
      <w:r w:rsidR="00AB0ED1">
        <w:rPr>
          <w:rFonts w:cs="Arial"/>
          <w:szCs w:val="18"/>
        </w:rPr>
        <w:t>moc</w:t>
      </w:r>
      <w:r w:rsidR="00AB0ED1">
        <w:rPr>
          <w:rFonts w:cs="Arial"/>
          <w:szCs w:val="18"/>
        </w:rPr>
        <w:t xml:space="preserve"> </w:t>
      </w:r>
      <w:r w:rsidR="009D0E88">
        <w:rPr>
          <w:rFonts w:cs="Arial"/>
          <w:szCs w:val="18"/>
        </w:rPr>
        <w:t xml:space="preserve">nepřemýšlejí (54 %), což se ale podle Vladimíra </w:t>
      </w:r>
      <w:proofErr w:type="spellStart"/>
      <w:r w:rsidR="009D0E88">
        <w:rPr>
          <w:rFonts w:cs="Arial"/>
          <w:szCs w:val="18"/>
        </w:rPr>
        <w:t>Staňury</w:t>
      </w:r>
      <w:proofErr w:type="spellEnd"/>
      <w:r w:rsidR="009D0E88">
        <w:rPr>
          <w:rFonts w:cs="Arial"/>
          <w:szCs w:val="18"/>
        </w:rPr>
        <w:t xml:space="preserve"> může rychle změnit v případě výraznějšího poklesu úrokových sazeb. Současný vývoj trhu t</w:t>
      </w:r>
      <w:r w:rsidR="00AB0ED1">
        <w:rPr>
          <w:rFonts w:cs="Arial"/>
          <w:szCs w:val="18"/>
        </w:rPr>
        <w:t>omu však nenapovídá.</w:t>
      </w:r>
      <w:r w:rsidR="009D0E88">
        <w:rPr>
          <w:rFonts w:cs="Arial"/>
          <w:szCs w:val="18"/>
        </w:rPr>
        <w:t xml:space="preserve"> </w:t>
      </w:r>
      <w:r w:rsidR="004A435C" w:rsidRPr="00820A66">
        <w:rPr>
          <w:rFonts w:cs="Arial"/>
          <w:szCs w:val="18"/>
        </w:rPr>
        <w:t xml:space="preserve"> </w:t>
      </w:r>
    </w:p>
    <w:p w14:paraId="539E09FF" w14:textId="77777777" w:rsidR="00820A66" w:rsidRDefault="00820A66" w:rsidP="006131E9">
      <w:pPr>
        <w:pStyle w:val="Standard"/>
        <w:spacing w:line="276" w:lineRule="auto"/>
        <w:contextualSpacing/>
        <w:rPr>
          <w:rFonts w:cs="Arial"/>
          <w:szCs w:val="18"/>
        </w:rPr>
      </w:pPr>
    </w:p>
    <w:p w14:paraId="364893EE" w14:textId="111D5CA4" w:rsidR="004A435C" w:rsidRDefault="004A435C" w:rsidP="006131E9">
      <w:pPr>
        <w:pStyle w:val="Standard"/>
        <w:spacing w:line="276" w:lineRule="auto"/>
        <w:contextualSpacing/>
        <w:rPr>
          <w:rFonts w:cs="Arial"/>
          <w:szCs w:val="18"/>
        </w:rPr>
      </w:pPr>
      <w:r w:rsidRPr="00820A66">
        <w:rPr>
          <w:rFonts w:cs="Arial"/>
          <w:szCs w:val="18"/>
        </w:rPr>
        <w:lastRenderedPageBreak/>
        <w:t xml:space="preserve">Dalším parametrem, který ovlivňuje délku sjednané doby hypotéky je její výše. </w:t>
      </w:r>
      <w:r w:rsidR="000F70CA" w:rsidRPr="00820A66">
        <w:rPr>
          <w:rFonts w:cs="Arial"/>
          <w:szCs w:val="18"/>
        </w:rPr>
        <w:t xml:space="preserve">Čím vyšší hypoteční úvěr si žadatel vezme, tím spíše </w:t>
      </w:r>
      <w:r w:rsidRPr="00820A66">
        <w:rPr>
          <w:rFonts w:cs="Arial"/>
          <w:szCs w:val="18"/>
        </w:rPr>
        <w:t>si splátky</w:t>
      </w:r>
      <w:r w:rsidR="000F70CA" w:rsidRPr="00820A66">
        <w:rPr>
          <w:rFonts w:cs="Arial"/>
          <w:szCs w:val="18"/>
        </w:rPr>
        <w:t xml:space="preserve"> rozloží </w:t>
      </w:r>
      <w:r w:rsidRPr="00820A66">
        <w:rPr>
          <w:rFonts w:cs="Arial"/>
          <w:szCs w:val="18"/>
        </w:rPr>
        <w:t xml:space="preserve">do </w:t>
      </w:r>
      <w:r w:rsidR="000F70CA" w:rsidRPr="00820A66">
        <w:rPr>
          <w:rFonts w:cs="Arial"/>
          <w:szCs w:val="18"/>
        </w:rPr>
        <w:t xml:space="preserve">více let, aby </w:t>
      </w:r>
      <w:r w:rsidRPr="00820A66">
        <w:rPr>
          <w:rFonts w:cs="Arial"/>
          <w:szCs w:val="18"/>
        </w:rPr>
        <w:t>jejich výší přespříliš nezatížil svůj rodinný rozpočet. Toto je současně hlídáno i ze strany České národní banky, která svým doporučením</w:t>
      </w:r>
      <w:r w:rsidR="00820A66">
        <w:rPr>
          <w:rFonts w:cs="Arial"/>
          <w:szCs w:val="18"/>
        </w:rPr>
        <w:t xml:space="preserve"> </w:t>
      </w:r>
      <w:r w:rsidRPr="00820A66">
        <w:rPr>
          <w:rFonts w:cs="Arial"/>
          <w:szCs w:val="18"/>
        </w:rPr>
        <w:t xml:space="preserve">stanovila, že </w:t>
      </w:r>
      <w:r w:rsidR="00820A66" w:rsidRPr="00820A66">
        <w:rPr>
          <w:rFonts w:cs="Arial"/>
          <w:szCs w:val="18"/>
        </w:rPr>
        <w:t>výše měsíčních splátek všech žadatelových úvěrů nesmí překročit 45 % jeho čistého měsíčního příjmu</w:t>
      </w:r>
      <w:r w:rsidR="000054D2">
        <w:rPr>
          <w:rFonts w:cs="Arial"/>
          <w:szCs w:val="18"/>
        </w:rPr>
        <w:t xml:space="preserve"> (DSTI 45</w:t>
      </w:r>
      <w:r w:rsidR="00654F37">
        <w:rPr>
          <w:rFonts w:cs="Arial"/>
          <w:szCs w:val="18"/>
        </w:rPr>
        <w:t>)</w:t>
      </w:r>
      <w:r w:rsidR="00820A66" w:rsidRPr="00820A66">
        <w:rPr>
          <w:rFonts w:cs="Arial"/>
          <w:szCs w:val="18"/>
        </w:rPr>
        <w:t>.</w:t>
      </w:r>
    </w:p>
    <w:p w14:paraId="2F3F9C8D" w14:textId="3665A1D1" w:rsidR="00FA2228" w:rsidRDefault="00FA2228" w:rsidP="006131E9">
      <w:pPr>
        <w:pStyle w:val="Standard"/>
        <w:spacing w:line="276" w:lineRule="auto"/>
        <w:contextualSpacing/>
        <w:rPr>
          <w:rFonts w:cs="Arial"/>
          <w:szCs w:val="18"/>
        </w:rPr>
      </w:pPr>
    </w:p>
    <w:p w14:paraId="21ADDD07" w14:textId="6B4150D3" w:rsidR="00FA2228" w:rsidRDefault="00FA2228" w:rsidP="00FA2228">
      <w:pPr>
        <w:spacing w:after="120" w:line="276" w:lineRule="auto"/>
        <w:rPr>
          <w:rFonts w:cs="Arial"/>
          <w:b/>
          <w:color w:val="007E79"/>
          <w:szCs w:val="18"/>
        </w:rPr>
      </w:pPr>
      <w:r>
        <w:rPr>
          <w:rFonts w:cs="Arial"/>
          <w:b/>
          <w:color w:val="007E79"/>
          <w:szCs w:val="18"/>
        </w:rPr>
        <w:t>Doplacení</w:t>
      </w:r>
      <w:r w:rsidR="000054D2">
        <w:rPr>
          <w:rFonts w:cs="Arial"/>
          <w:b/>
          <w:color w:val="007E79"/>
          <w:szCs w:val="18"/>
        </w:rPr>
        <w:t xml:space="preserve"> ceny nemovitosti</w:t>
      </w:r>
      <w:r>
        <w:rPr>
          <w:rFonts w:cs="Arial"/>
          <w:b/>
          <w:color w:val="007E79"/>
          <w:szCs w:val="18"/>
        </w:rPr>
        <w:t xml:space="preserve"> řešíme vlastními úsporami </w:t>
      </w:r>
    </w:p>
    <w:p w14:paraId="2F514E10" w14:textId="7E1960AA" w:rsidR="00315F32" w:rsidRDefault="0010277A" w:rsidP="00820A66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>Spolu s</w:t>
      </w:r>
      <w:r w:rsidR="00315F32">
        <w:rPr>
          <w:rFonts w:cs="Arial"/>
        </w:rPr>
        <w:t xml:space="preserve"> ukazatelem</w:t>
      </w:r>
      <w:r>
        <w:rPr>
          <w:rFonts w:cs="Arial"/>
        </w:rPr>
        <w:t xml:space="preserve"> DSTI </w:t>
      </w:r>
      <w:r w:rsidR="00315F32">
        <w:rPr>
          <w:rFonts w:cs="Arial"/>
        </w:rPr>
        <w:t xml:space="preserve">centrální </w:t>
      </w:r>
      <w:r>
        <w:rPr>
          <w:rFonts w:cs="Arial"/>
        </w:rPr>
        <w:t xml:space="preserve">banka také </w:t>
      </w:r>
      <w:r w:rsidR="00654F37">
        <w:rPr>
          <w:rFonts w:cs="Arial"/>
        </w:rPr>
        <w:t xml:space="preserve">svým </w:t>
      </w:r>
      <w:r w:rsidR="000054D2">
        <w:rPr>
          <w:rFonts w:cs="Arial"/>
        </w:rPr>
        <w:t>doporučením uprav</w:t>
      </w:r>
      <w:r w:rsidR="00654F37">
        <w:rPr>
          <w:rFonts w:cs="Arial"/>
        </w:rPr>
        <w:t>uje</w:t>
      </w:r>
      <w:r w:rsidR="000054D2">
        <w:rPr>
          <w:rFonts w:cs="Arial"/>
        </w:rPr>
        <w:t xml:space="preserve"> </w:t>
      </w:r>
      <w:r w:rsidR="00654F37">
        <w:rPr>
          <w:rFonts w:cs="Arial"/>
        </w:rPr>
        <w:t xml:space="preserve">limity pro </w:t>
      </w:r>
      <w:r w:rsidR="00315F32">
        <w:rPr>
          <w:rFonts w:cs="Arial"/>
        </w:rPr>
        <w:t xml:space="preserve">úvěrové </w:t>
      </w:r>
      <w:r>
        <w:rPr>
          <w:rFonts w:cs="Arial"/>
        </w:rPr>
        <w:t>ukazatel</w:t>
      </w:r>
      <w:r w:rsidR="00315F32">
        <w:rPr>
          <w:rFonts w:cs="Arial"/>
        </w:rPr>
        <w:t>e</w:t>
      </w:r>
      <w:r>
        <w:rPr>
          <w:rFonts w:cs="Arial"/>
        </w:rPr>
        <w:t xml:space="preserve"> </w:t>
      </w:r>
      <w:r w:rsidR="00023E9F">
        <w:rPr>
          <w:rFonts w:cs="Arial"/>
        </w:rPr>
        <w:t>DTI</w:t>
      </w:r>
      <w:r w:rsidR="00315F32">
        <w:rPr>
          <w:rFonts w:cs="Arial"/>
        </w:rPr>
        <w:t xml:space="preserve"> (</w:t>
      </w:r>
      <w:r w:rsidR="00654F37">
        <w:rPr>
          <w:rFonts w:cs="Arial"/>
        </w:rPr>
        <w:t>DTI 9, tj. součet</w:t>
      </w:r>
      <w:r w:rsidR="00654F37" w:rsidRPr="00654F37">
        <w:rPr>
          <w:rFonts w:cs="Arial"/>
        </w:rPr>
        <w:t xml:space="preserve"> </w:t>
      </w:r>
      <w:r w:rsidR="00654F37">
        <w:rPr>
          <w:rFonts w:cs="Arial"/>
        </w:rPr>
        <w:t>všech dluhů žadatele včetně hypotečního úvěru</w:t>
      </w:r>
      <w:r w:rsidR="00654F37" w:rsidRPr="00654F37">
        <w:rPr>
          <w:rFonts w:cs="Arial"/>
        </w:rPr>
        <w:t xml:space="preserve"> nesmí být větší než 9násobek </w:t>
      </w:r>
      <w:r w:rsidR="00654F37">
        <w:rPr>
          <w:rFonts w:cs="Arial"/>
        </w:rPr>
        <w:t>jeho r</w:t>
      </w:r>
      <w:r w:rsidR="00654F37" w:rsidRPr="00654F37">
        <w:rPr>
          <w:rFonts w:cs="Arial"/>
        </w:rPr>
        <w:t>očního</w:t>
      </w:r>
      <w:r w:rsidR="00654F37">
        <w:rPr>
          <w:rFonts w:cs="Arial"/>
        </w:rPr>
        <w:t xml:space="preserve"> </w:t>
      </w:r>
      <w:r w:rsidR="00654F37" w:rsidRPr="00654F37">
        <w:rPr>
          <w:rFonts w:cs="Arial"/>
        </w:rPr>
        <w:t>příjmu</w:t>
      </w:r>
      <w:r w:rsidR="00315F32">
        <w:rPr>
          <w:rFonts w:cs="Arial"/>
        </w:rPr>
        <w:t>) a LTV</w:t>
      </w:r>
      <w:r w:rsidR="00654F37">
        <w:rPr>
          <w:rFonts w:cs="Arial"/>
        </w:rPr>
        <w:t>.</w:t>
      </w:r>
    </w:p>
    <w:p w14:paraId="0ED5831E" w14:textId="77777777" w:rsidR="00315F32" w:rsidRDefault="00315F32" w:rsidP="00820A66">
      <w:pPr>
        <w:pStyle w:val="Standard"/>
        <w:spacing w:line="276" w:lineRule="auto"/>
        <w:rPr>
          <w:rFonts w:cs="Arial"/>
        </w:rPr>
      </w:pPr>
    </w:p>
    <w:p w14:paraId="51B3F4B2" w14:textId="76DDE836" w:rsidR="00820A66" w:rsidRDefault="00820A66" w:rsidP="00820A66">
      <w:pPr>
        <w:pStyle w:val="Standard"/>
        <w:spacing w:line="276" w:lineRule="auto"/>
        <w:rPr>
          <w:rFonts w:cs="Arial"/>
          <w:kern w:val="0"/>
          <w:szCs w:val="18"/>
          <w:lang w:eastAsia="cs-CZ" w:bidi="ar-SA"/>
        </w:rPr>
      </w:pPr>
      <w:r>
        <w:rPr>
          <w:rFonts w:cs="Arial"/>
          <w:kern w:val="0"/>
          <w:szCs w:val="18"/>
          <w:lang w:eastAsia="cs-CZ" w:bidi="ar-SA"/>
        </w:rPr>
        <w:t>„</w:t>
      </w:r>
      <w:r w:rsidRPr="00E64F71">
        <w:rPr>
          <w:rFonts w:cs="Arial"/>
          <w:i/>
          <w:kern w:val="0"/>
          <w:szCs w:val="18"/>
          <w:lang w:eastAsia="cs-CZ" w:bidi="ar-SA"/>
        </w:rPr>
        <w:t>Doporučení</w:t>
      </w:r>
      <w:r w:rsidR="0010277A">
        <w:rPr>
          <w:rFonts w:cs="Arial"/>
          <w:i/>
          <w:kern w:val="0"/>
          <w:szCs w:val="18"/>
          <w:lang w:eastAsia="cs-CZ" w:bidi="ar-SA"/>
        </w:rPr>
        <w:t xml:space="preserve"> </w:t>
      </w:r>
      <w:r w:rsidR="00315F32">
        <w:rPr>
          <w:rFonts w:cs="Arial"/>
          <w:i/>
          <w:kern w:val="0"/>
          <w:szCs w:val="18"/>
          <w:lang w:eastAsia="cs-CZ" w:bidi="ar-SA"/>
        </w:rPr>
        <w:t>týkající se úvěrového ukazatele L</w:t>
      </w:r>
      <w:bookmarkStart w:id="0" w:name="_GoBack"/>
      <w:bookmarkEnd w:id="0"/>
      <w:r w:rsidR="00315F32">
        <w:rPr>
          <w:rFonts w:cs="Arial"/>
          <w:i/>
          <w:kern w:val="0"/>
          <w:szCs w:val="18"/>
          <w:lang w:eastAsia="cs-CZ" w:bidi="ar-SA"/>
        </w:rPr>
        <w:t>TV</w:t>
      </w:r>
      <w:r w:rsidR="00654F37">
        <w:rPr>
          <w:rFonts w:cs="Arial"/>
          <w:i/>
          <w:kern w:val="0"/>
          <w:szCs w:val="18"/>
          <w:lang w:eastAsia="cs-CZ" w:bidi="ar-SA"/>
        </w:rPr>
        <w:t xml:space="preserve"> v podstatě </w:t>
      </w:r>
      <w:r w:rsidR="00023E9F">
        <w:rPr>
          <w:rFonts w:cs="Arial"/>
          <w:i/>
          <w:kern w:val="0"/>
          <w:szCs w:val="18"/>
          <w:lang w:eastAsia="cs-CZ" w:bidi="ar-SA"/>
        </w:rPr>
        <w:t>říká</w:t>
      </w:r>
      <w:r>
        <w:rPr>
          <w:rFonts w:cs="Arial"/>
          <w:i/>
          <w:kern w:val="0"/>
          <w:szCs w:val="18"/>
          <w:lang w:eastAsia="cs-CZ" w:bidi="ar-SA"/>
        </w:rPr>
        <w:t>, že každý žadatel o hypotéku musí disponovat vlastními zdroji. Ve většině případů jde minimálně o 20 % z celkové hodnoty nemovitosti</w:t>
      </w:r>
      <w:r w:rsidRPr="00E64F71">
        <w:rPr>
          <w:rFonts w:cs="Arial"/>
          <w:i/>
          <w:kern w:val="0"/>
          <w:szCs w:val="18"/>
          <w:lang w:eastAsia="cs-CZ" w:bidi="ar-SA"/>
        </w:rPr>
        <w:t>,</w:t>
      </w:r>
      <w:r>
        <w:rPr>
          <w:rFonts w:cs="Arial"/>
          <w:kern w:val="0"/>
          <w:szCs w:val="18"/>
          <w:lang w:eastAsia="cs-CZ" w:bidi="ar-SA"/>
        </w:rPr>
        <w:t xml:space="preserve">“ komentuje </w:t>
      </w:r>
      <w:r w:rsidR="00654F37">
        <w:rPr>
          <w:rFonts w:cs="Arial"/>
          <w:kern w:val="0"/>
          <w:szCs w:val="18"/>
          <w:lang w:eastAsia="cs-CZ" w:bidi="ar-SA"/>
        </w:rPr>
        <w:t xml:space="preserve">Vladimír </w:t>
      </w:r>
      <w:r>
        <w:rPr>
          <w:rFonts w:cs="Arial"/>
          <w:kern w:val="0"/>
          <w:szCs w:val="18"/>
          <w:lang w:eastAsia="cs-CZ" w:bidi="ar-SA"/>
        </w:rPr>
        <w:t xml:space="preserve">Staňura. </w:t>
      </w:r>
      <w:r w:rsidR="00654F37">
        <w:rPr>
          <w:rFonts w:cs="Arial"/>
          <w:kern w:val="0"/>
          <w:szCs w:val="18"/>
          <w:lang w:eastAsia="cs-CZ" w:bidi="ar-SA"/>
        </w:rPr>
        <w:t>Podle průzkumu</w:t>
      </w:r>
      <w:r>
        <w:rPr>
          <w:rFonts w:cs="Arial"/>
          <w:kern w:val="0"/>
          <w:szCs w:val="18"/>
          <w:lang w:eastAsia="cs-CZ" w:bidi="ar-SA"/>
        </w:rPr>
        <w:t xml:space="preserve"> si čtvrtina</w:t>
      </w:r>
      <w:r w:rsidR="00654F37">
        <w:rPr>
          <w:rFonts w:cs="Arial"/>
          <w:kern w:val="0"/>
          <w:szCs w:val="18"/>
          <w:lang w:eastAsia="cs-CZ" w:bidi="ar-SA"/>
        </w:rPr>
        <w:t xml:space="preserve"> </w:t>
      </w:r>
      <w:r>
        <w:rPr>
          <w:rFonts w:cs="Arial"/>
          <w:kern w:val="0"/>
          <w:szCs w:val="18"/>
          <w:lang w:eastAsia="cs-CZ" w:bidi="ar-SA"/>
        </w:rPr>
        <w:t xml:space="preserve">respondentů před podáním žádosti o hypotéku musela nejprve našetřit více než půl milionu korun. </w:t>
      </w:r>
      <w:r w:rsidR="00654F37">
        <w:rPr>
          <w:rFonts w:cs="Arial"/>
          <w:kern w:val="0"/>
          <w:szCs w:val="18"/>
          <w:lang w:eastAsia="cs-CZ" w:bidi="ar-SA"/>
        </w:rPr>
        <w:t>Jako h</w:t>
      </w:r>
      <w:r>
        <w:rPr>
          <w:rFonts w:cs="Arial"/>
          <w:kern w:val="0"/>
          <w:szCs w:val="18"/>
          <w:lang w:eastAsia="cs-CZ" w:bidi="ar-SA"/>
        </w:rPr>
        <w:t>lavní z</w:t>
      </w:r>
      <w:r w:rsidRPr="00600D9B">
        <w:rPr>
          <w:rFonts w:cs="Arial"/>
          <w:kern w:val="0"/>
          <w:szCs w:val="18"/>
          <w:lang w:eastAsia="cs-CZ" w:bidi="ar-SA"/>
        </w:rPr>
        <w:t xml:space="preserve">droj </w:t>
      </w:r>
      <w:r w:rsidR="00654F37">
        <w:rPr>
          <w:rFonts w:cs="Arial"/>
          <w:kern w:val="0"/>
          <w:szCs w:val="18"/>
          <w:lang w:eastAsia="cs-CZ" w:bidi="ar-SA"/>
        </w:rPr>
        <w:t>„</w:t>
      </w:r>
      <w:r w:rsidRPr="00600D9B">
        <w:rPr>
          <w:rFonts w:cs="Arial"/>
          <w:kern w:val="0"/>
          <w:szCs w:val="18"/>
          <w:lang w:eastAsia="cs-CZ" w:bidi="ar-SA"/>
        </w:rPr>
        <w:t>vlastních peněz</w:t>
      </w:r>
      <w:r w:rsidR="00654F37">
        <w:rPr>
          <w:rFonts w:cs="Arial"/>
          <w:kern w:val="0"/>
          <w:szCs w:val="18"/>
          <w:lang w:eastAsia="cs-CZ" w:bidi="ar-SA"/>
        </w:rPr>
        <w:t>“</w:t>
      </w:r>
      <w:r>
        <w:rPr>
          <w:rFonts w:cs="Arial"/>
          <w:kern w:val="0"/>
          <w:szCs w:val="18"/>
          <w:lang w:eastAsia="cs-CZ" w:bidi="ar-SA"/>
        </w:rPr>
        <w:t xml:space="preserve"> </w:t>
      </w:r>
      <w:r w:rsidR="004F6CFB">
        <w:rPr>
          <w:rFonts w:cs="Arial"/>
          <w:kern w:val="0"/>
          <w:szCs w:val="18"/>
          <w:lang w:eastAsia="cs-CZ" w:bidi="ar-SA"/>
        </w:rPr>
        <w:t xml:space="preserve">jmenovali v prvé řadě své </w:t>
      </w:r>
      <w:r w:rsidRPr="00600D9B">
        <w:rPr>
          <w:rFonts w:cs="Arial"/>
          <w:kern w:val="0"/>
          <w:szCs w:val="18"/>
          <w:lang w:eastAsia="cs-CZ" w:bidi="ar-SA"/>
        </w:rPr>
        <w:t xml:space="preserve">úspory </w:t>
      </w:r>
      <w:r>
        <w:rPr>
          <w:rFonts w:cs="Arial"/>
          <w:kern w:val="0"/>
          <w:szCs w:val="18"/>
          <w:lang w:eastAsia="cs-CZ" w:bidi="ar-SA"/>
        </w:rPr>
        <w:t>(64 %)</w:t>
      </w:r>
      <w:r w:rsidRPr="00600D9B">
        <w:rPr>
          <w:rFonts w:cs="Arial"/>
          <w:kern w:val="0"/>
          <w:szCs w:val="18"/>
          <w:lang w:eastAsia="cs-CZ" w:bidi="ar-SA"/>
        </w:rPr>
        <w:t xml:space="preserve">, </w:t>
      </w:r>
      <w:r w:rsidR="004F6CFB">
        <w:rPr>
          <w:rFonts w:cs="Arial"/>
          <w:kern w:val="0"/>
          <w:szCs w:val="18"/>
          <w:lang w:eastAsia="cs-CZ" w:bidi="ar-SA"/>
        </w:rPr>
        <w:t>případně stavební spoření (31 %). N</w:t>
      </w:r>
      <w:r>
        <w:rPr>
          <w:rFonts w:cs="Arial"/>
          <w:kern w:val="0"/>
          <w:szCs w:val="18"/>
          <w:lang w:eastAsia="cs-CZ" w:bidi="ar-SA"/>
        </w:rPr>
        <w:t xml:space="preserve">a 18 % si půjčilo v rámci rodiny. </w:t>
      </w:r>
    </w:p>
    <w:p w14:paraId="7FBF2F72" w14:textId="77777777" w:rsidR="00820A66" w:rsidRDefault="00820A66" w:rsidP="00820A66">
      <w:pPr>
        <w:pStyle w:val="Standard"/>
        <w:spacing w:line="276" w:lineRule="auto"/>
        <w:rPr>
          <w:rFonts w:cs="Arial"/>
          <w:kern w:val="0"/>
          <w:szCs w:val="18"/>
          <w:lang w:eastAsia="cs-CZ" w:bidi="ar-SA"/>
        </w:rPr>
      </w:pPr>
    </w:p>
    <w:p w14:paraId="1230A8A2" w14:textId="56387A99" w:rsidR="00576CF4" w:rsidRDefault="00820A66" w:rsidP="00820A66">
      <w:pPr>
        <w:pStyle w:val="Standard"/>
        <w:spacing w:line="276" w:lineRule="auto"/>
        <w:rPr>
          <w:rFonts w:cs="Arial"/>
          <w:kern w:val="0"/>
          <w:szCs w:val="18"/>
          <w:lang w:eastAsia="cs-CZ" w:bidi="ar-SA"/>
        </w:rPr>
      </w:pPr>
      <w:r>
        <w:rPr>
          <w:rFonts w:cs="Arial"/>
        </w:rPr>
        <w:t xml:space="preserve">Prověřování </w:t>
      </w:r>
      <w:r w:rsidR="0010277A">
        <w:rPr>
          <w:rFonts w:cs="Arial"/>
        </w:rPr>
        <w:t xml:space="preserve">a posuzování </w:t>
      </w:r>
      <w:r>
        <w:rPr>
          <w:rFonts w:cs="Arial"/>
        </w:rPr>
        <w:t>bonity žadatelů o hypotéku</w:t>
      </w:r>
      <w:r w:rsidR="0010277A">
        <w:rPr>
          <w:rFonts w:cs="Arial"/>
        </w:rPr>
        <w:t xml:space="preserve"> bankou</w:t>
      </w:r>
      <w:r>
        <w:rPr>
          <w:rFonts w:cs="Arial"/>
        </w:rPr>
        <w:t xml:space="preserve"> </w:t>
      </w:r>
      <w:r w:rsidR="0010277A">
        <w:rPr>
          <w:rFonts w:cs="Arial"/>
        </w:rPr>
        <w:t xml:space="preserve">hodnotí 65 % respondentů jako přísné, </w:t>
      </w:r>
      <w:r>
        <w:rPr>
          <w:rFonts w:cs="Arial"/>
          <w:kern w:val="0"/>
          <w:szCs w:val="18"/>
          <w:lang w:eastAsia="cs-CZ" w:bidi="ar-SA"/>
        </w:rPr>
        <w:t xml:space="preserve">ale správné a především účinné. </w:t>
      </w:r>
      <w:r w:rsidRPr="00600D9B">
        <w:rPr>
          <w:rFonts w:cs="Arial"/>
          <w:kern w:val="0"/>
          <w:szCs w:val="18"/>
          <w:lang w:eastAsia="cs-CZ" w:bidi="ar-SA"/>
        </w:rPr>
        <w:t xml:space="preserve"> </w:t>
      </w:r>
    </w:p>
    <w:p w14:paraId="0E4D94F9" w14:textId="77777777" w:rsidR="00AB0ED1" w:rsidRDefault="00AB0ED1" w:rsidP="00AB0ED1">
      <w:pPr>
        <w:pStyle w:val="Standard"/>
        <w:spacing w:line="276" w:lineRule="auto"/>
        <w:jc w:val="center"/>
        <w:rPr>
          <w:rFonts w:cs="Arial"/>
          <w:b/>
          <w:color w:val="007E79"/>
          <w:szCs w:val="18"/>
        </w:rPr>
      </w:pPr>
      <w:r w:rsidRPr="00662C23"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024C7" wp14:editId="2BC28846">
                <wp:simplePos x="0" y="0"/>
                <wp:positionH relativeFrom="margin">
                  <wp:posOffset>-635</wp:posOffset>
                </wp:positionH>
                <wp:positionV relativeFrom="paragraph">
                  <wp:posOffset>133985</wp:posOffset>
                </wp:positionV>
                <wp:extent cx="1968500" cy="800100"/>
                <wp:effectExtent l="0" t="0" r="0" b="0"/>
                <wp:wrapNone/>
                <wp:docPr id="6" name="Zástupný symbol pro text 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6056F" w14:textId="2EDD7F1B" w:rsidR="00576CF4" w:rsidRPr="00662C23" w:rsidRDefault="00576CF4" w:rsidP="00AB0ED1">
                            <w:pPr>
                              <w:jc w:val="left"/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 xml:space="preserve">Jak podle vás banky posuzují žadatele </w:t>
                            </w:r>
                            <w:r w:rsidR="00AB0ED1"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o hypotéku?</w:t>
                            </w:r>
                            <w:r w:rsidRPr="00662C23">
                              <w:rPr>
                                <w:rFonts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  <w:p w14:paraId="778B6044" w14:textId="77777777" w:rsidR="00576CF4" w:rsidRPr="00662C23" w:rsidRDefault="00576CF4" w:rsidP="00576CF4">
                            <w:pPr>
                              <w:pStyle w:val="Odstavecseseznamem"/>
                              <w:rPr>
                                <w:rFonts w:asciiTheme="minorHAnsi" w:hAnsi="Calibri Light" w:cstheme="minorBidi"/>
                                <w:b/>
                                <w:color w:val="000000" w:themeColor="text1"/>
                                <w:kern w:val="24"/>
                                <w:szCs w:val="18"/>
                              </w:rPr>
                            </w:pPr>
                          </w:p>
                          <w:p w14:paraId="38F9151A" w14:textId="77777777" w:rsidR="00576CF4" w:rsidRPr="00662C23" w:rsidRDefault="00576CF4" w:rsidP="00576C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24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05pt;margin-top:10.55pt;width:15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" filled="f" stroked="f">
                <v:textbox>
                  <w:txbxContent>
                    <w:p w14:paraId="7386056F" w14:textId="2EDD7F1B" w:rsidR="00576CF4" w:rsidRPr="00662C23" w:rsidRDefault="00576CF4" w:rsidP="00AB0ED1">
                      <w:pPr>
                        <w:jc w:val="left"/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  <w:t xml:space="preserve">Jak podle vás banky posuzují žadatele </w:t>
                      </w:r>
                      <w:r w:rsidR="00AB0ED1"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  <w:t>o hypotéku?</w:t>
                      </w:r>
                      <w:r w:rsidRPr="00662C23">
                        <w:rPr>
                          <w:rFonts w:cs="Arial"/>
                          <w:b/>
                          <w:color w:val="000000" w:themeColor="text1"/>
                          <w:kern w:val="24"/>
                          <w:sz w:val="28"/>
                          <w:szCs w:val="18"/>
                        </w:rPr>
                        <w:t xml:space="preserve"> </w:t>
                      </w:r>
                    </w:p>
                    <w:p w14:paraId="778B6044" w14:textId="77777777" w:rsidR="00576CF4" w:rsidRPr="00662C23" w:rsidRDefault="00576CF4" w:rsidP="00576CF4">
                      <w:pPr>
                        <w:pStyle w:val="Odstavecseseznamem"/>
                        <w:rPr>
                          <w:rFonts w:asciiTheme="minorHAnsi" w:hAnsi="Calibri Light" w:cstheme="minorBidi"/>
                          <w:b/>
                          <w:color w:val="000000" w:themeColor="text1"/>
                          <w:kern w:val="24"/>
                          <w:szCs w:val="18"/>
                        </w:rPr>
                      </w:pPr>
                    </w:p>
                    <w:p w14:paraId="38F9151A" w14:textId="77777777" w:rsidR="00576CF4" w:rsidRPr="00662C23" w:rsidRDefault="00576CF4" w:rsidP="00576CF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CF4">
        <w:rPr>
          <w:rFonts w:cs="Arial"/>
          <w:noProof/>
          <w:kern w:val="0"/>
          <w:szCs w:val="18"/>
          <w:lang w:eastAsia="cs-CZ" w:bidi="ar-SA"/>
        </w:rPr>
        <w:drawing>
          <wp:inline distT="0" distB="0" distL="0" distR="0" wp14:anchorId="5A4CE47B" wp14:editId="29B20298">
            <wp:extent cx="3605530" cy="245330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90" cy="2463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B3A07" w14:textId="5158D57C" w:rsidR="00842443" w:rsidRPr="00AB0ED1" w:rsidRDefault="00842443" w:rsidP="00AB0ED1">
      <w:pPr>
        <w:pStyle w:val="Standard"/>
        <w:spacing w:line="276" w:lineRule="auto"/>
        <w:jc w:val="left"/>
        <w:rPr>
          <w:rFonts w:cs="Arial"/>
          <w:kern w:val="0"/>
          <w:szCs w:val="18"/>
          <w:lang w:eastAsia="cs-CZ" w:bidi="ar-SA"/>
        </w:rPr>
      </w:pPr>
      <w:r>
        <w:rPr>
          <w:rFonts w:cs="Arial"/>
          <w:b/>
          <w:color w:val="007E79"/>
          <w:szCs w:val="18"/>
        </w:rPr>
        <w:t>Největším rizikem je nemoc, chráníme se pojištěním</w:t>
      </w:r>
    </w:p>
    <w:p w14:paraId="69C1063F" w14:textId="5AA0151A" w:rsidR="0010268F" w:rsidRDefault="00842443" w:rsidP="00842443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>Vážnou dlouhodobou nemoc či úmrtí jednoho ze spoludlužníků považuje 34 % Čechů za největší riziko, které by mohlo ohrozit jejich schopnost splácet. Naopak například rozchodu s partnerem se bojí 7 % dotázaných</w:t>
      </w:r>
      <w:r w:rsidR="0062336F">
        <w:rPr>
          <w:rFonts w:cs="Arial"/>
          <w:szCs w:val="18"/>
        </w:rPr>
        <w:t>. To je</w:t>
      </w:r>
      <w:r w:rsidR="004F6CFB">
        <w:rPr>
          <w:rFonts w:cs="Arial"/>
          <w:szCs w:val="18"/>
        </w:rPr>
        <w:t xml:space="preserve"> přitom </w:t>
      </w:r>
      <w:r w:rsidR="0062336F">
        <w:rPr>
          <w:rFonts w:cs="Arial"/>
          <w:szCs w:val="18"/>
        </w:rPr>
        <w:t xml:space="preserve">podle </w:t>
      </w:r>
      <w:proofErr w:type="spellStart"/>
      <w:r w:rsidR="0062336F">
        <w:rPr>
          <w:rFonts w:cs="Arial"/>
          <w:szCs w:val="18"/>
        </w:rPr>
        <w:t>Staňury</w:t>
      </w:r>
      <w:proofErr w:type="spellEnd"/>
      <w:r w:rsidR="0062336F">
        <w:rPr>
          <w:rFonts w:cs="Arial"/>
          <w:szCs w:val="18"/>
        </w:rPr>
        <w:t xml:space="preserve"> daleko častějším problémem, se kterým se dlužníci na banku obracejí. </w:t>
      </w:r>
      <w:r>
        <w:rPr>
          <w:rFonts w:cs="Arial"/>
          <w:szCs w:val="18"/>
        </w:rPr>
        <w:t xml:space="preserve">Dalším významným rizikem </w:t>
      </w:r>
      <w:r w:rsidR="0010268F">
        <w:rPr>
          <w:rFonts w:cs="Arial"/>
          <w:szCs w:val="18"/>
        </w:rPr>
        <w:t>je</w:t>
      </w:r>
      <w:r>
        <w:rPr>
          <w:rFonts w:cs="Arial"/>
          <w:szCs w:val="18"/>
        </w:rPr>
        <w:t xml:space="preserve"> ztráta zaměstnání</w:t>
      </w:r>
      <w:r w:rsidR="0010268F">
        <w:rPr>
          <w:rFonts w:cs="Arial"/>
          <w:szCs w:val="18"/>
        </w:rPr>
        <w:t xml:space="preserve"> (31 %)</w:t>
      </w:r>
      <w:r>
        <w:rPr>
          <w:rFonts w:cs="Arial"/>
          <w:szCs w:val="18"/>
        </w:rPr>
        <w:t xml:space="preserve">. </w:t>
      </w:r>
    </w:p>
    <w:p w14:paraId="46F9CC12" w14:textId="77777777" w:rsidR="0010268F" w:rsidRDefault="0010268F" w:rsidP="00842443">
      <w:pPr>
        <w:spacing w:line="276" w:lineRule="auto"/>
        <w:contextualSpacing/>
        <w:rPr>
          <w:rFonts w:cs="Arial"/>
          <w:szCs w:val="18"/>
        </w:rPr>
      </w:pPr>
    </w:p>
    <w:p w14:paraId="48DE608A" w14:textId="61E4C257" w:rsidR="00FF052C" w:rsidRDefault="00842443" w:rsidP="008B1C16">
      <w:pPr>
        <w:spacing w:line="276" w:lineRule="auto"/>
        <w:contextualSpacing/>
        <w:rPr>
          <w:rFonts w:cs="Arial"/>
          <w:szCs w:val="18"/>
        </w:rPr>
      </w:pPr>
      <w:r>
        <w:rPr>
          <w:rFonts w:cs="Arial"/>
          <w:szCs w:val="18"/>
        </w:rPr>
        <w:t xml:space="preserve">Češi si možná rizika </w:t>
      </w:r>
      <w:r w:rsidR="00B54F8C">
        <w:rPr>
          <w:rFonts w:cs="Arial"/>
          <w:szCs w:val="18"/>
        </w:rPr>
        <w:t xml:space="preserve">spojená s hypotečním úvěrem </w:t>
      </w:r>
      <w:r>
        <w:rPr>
          <w:rFonts w:cs="Arial"/>
          <w:szCs w:val="18"/>
        </w:rPr>
        <w:t>uvědomují a snaží se jim předcházet v podobě pojištění. Kromě zákonného pojištění nemovitosti si více než třetina (39 %) respondentů sjedn</w:t>
      </w:r>
      <w:r w:rsidR="0062336F">
        <w:rPr>
          <w:rFonts w:cs="Arial"/>
          <w:szCs w:val="18"/>
        </w:rPr>
        <w:t>ává</w:t>
      </w:r>
      <w:r>
        <w:rPr>
          <w:rFonts w:cs="Arial"/>
          <w:szCs w:val="18"/>
        </w:rPr>
        <w:t xml:space="preserve"> také pojištění </w:t>
      </w:r>
      <w:r w:rsidR="0062336F">
        <w:rPr>
          <w:rFonts w:cs="Arial"/>
          <w:szCs w:val="18"/>
        </w:rPr>
        <w:t>proti ne</w:t>
      </w:r>
      <w:r>
        <w:rPr>
          <w:rFonts w:cs="Arial"/>
          <w:szCs w:val="18"/>
        </w:rPr>
        <w:t xml:space="preserve">schopnosti splácet úvěr a 17 % pojištění pro případ nezaměstnanosti. </w:t>
      </w:r>
      <w:r w:rsidR="0062336F">
        <w:rPr>
          <w:rFonts w:cs="Arial"/>
          <w:szCs w:val="18"/>
        </w:rPr>
        <w:t>Životní pojištění deklarovalo 61 % respondentů.</w:t>
      </w:r>
    </w:p>
    <w:p w14:paraId="596B633E" w14:textId="1BE4E475" w:rsidR="00AB0ED1" w:rsidRDefault="00AB0ED1" w:rsidP="008B1C16">
      <w:pPr>
        <w:spacing w:line="276" w:lineRule="auto"/>
        <w:contextualSpacing/>
        <w:rPr>
          <w:rFonts w:cs="Arial"/>
          <w:szCs w:val="18"/>
        </w:rPr>
      </w:pPr>
    </w:p>
    <w:p w14:paraId="753C7D9B" w14:textId="2000605E" w:rsidR="00FF052C" w:rsidRDefault="00AB0ED1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8606BA" wp14:editId="497DCB0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574790" cy="713105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713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9F7A0" w14:textId="77777777" w:rsidR="005D11A5" w:rsidRPr="003028DC" w:rsidRDefault="005D11A5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3028DC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Průzkumu </w:t>
                            </w:r>
                          </w:p>
                          <w:p w14:paraId="7564CDDA" w14:textId="0F080926" w:rsidR="005D11A5" w:rsidRPr="00335341" w:rsidRDefault="005D11A5" w:rsidP="00335341">
                            <w:pPr>
                              <w:spacing w:line="276" w:lineRule="auto"/>
                              <w:contextualSpacing/>
                              <w:rPr>
                                <w:rFonts w:cs="Arial"/>
                                <w:szCs w:val="18"/>
                              </w:rPr>
                            </w:pP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Průzkum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335341" w:rsidRPr="00335341">
                              <w:rPr>
                                <w:rFonts w:cs="Arial"/>
                                <w:szCs w:val="18"/>
                              </w:rPr>
                              <w:t>který se zaměřil na zkoumání postojů Čechů k hypotékám, realizovala p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 xml:space="preserve">ro </w:t>
                            </w:r>
                            <w:r w:rsidR="00335341">
                              <w:rPr>
                                <w:rFonts w:cs="Arial"/>
                                <w:szCs w:val="18"/>
                              </w:rPr>
                              <w:t>Českou bankovní asociaci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>agentura SC&amp;C</w:t>
                            </w:r>
                            <w:r w:rsidR="00335341">
                              <w:rPr>
                                <w:rFonts w:cs="Arial"/>
                                <w:szCs w:val="18"/>
                              </w:rPr>
                              <w:t>. Sběr dat probíhal v dubnu 2019</w:t>
                            </w:r>
                            <w:r w:rsidRPr="003028DC">
                              <w:rPr>
                                <w:rFonts w:cs="Arial"/>
                                <w:szCs w:val="18"/>
                              </w:rPr>
                              <w:t xml:space="preserve"> na reprezentativním vzorku 1028 respondentů ve věku od 18-79 let.</w:t>
                            </w:r>
                          </w:p>
                          <w:p w14:paraId="3C318137" w14:textId="147DDF6A" w:rsidR="005D11A5" w:rsidRPr="00335341" w:rsidRDefault="005D11A5" w:rsidP="00060D7F">
                            <w:pPr>
                              <w:pStyle w:val="Zhlav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06BA" id="Obdélník 5" o:spid="_x0000_s1029" style="position:absolute;left:0;text-align:left;margin-left:0;margin-top:.4pt;width:517.7pt;height:56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" fillcolor="#bfbfbf [2412]" stroked="f" strokeweight="1pt">
                <v:textbox inset="3mm,3mm,3mm,3mm">
                  <w:txbxContent>
                    <w:p w14:paraId="2399F7A0" w14:textId="77777777" w:rsidR="005D11A5" w:rsidRPr="003028DC" w:rsidRDefault="005D11A5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3028DC">
                        <w:rPr>
                          <w:rFonts w:cs="Arial"/>
                          <w:b/>
                          <w:szCs w:val="18"/>
                        </w:rPr>
                        <w:t xml:space="preserve">O Průzkumu </w:t>
                      </w:r>
                    </w:p>
                    <w:p w14:paraId="7564CDDA" w14:textId="0F080926" w:rsidR="005D11A5" w:rsidRPr="00335341" w:rsidRDefault="005D11A5" w:rsidP="00335341">
                      <w:pPr>
                        <w:spacing w:line="276" w:lineRule="auto"/>
                        <w:contextualSpacing/>
                        <w:rPr>
                          <w:rFonts w:cs="Arial"/>
                          <w:szCs w:val="18"/>
                        </w:rPr>
                      </w:pPr>
                      <w:r w:rsidRPr="003028DC">
                        <w:rPr>
                          <w:rFonts w:cs="Arial"/>
                          <w:szCs w:val="18"/>
                        </w:rPr>
                        <w:t>Průzkum</w:t>
                      </w:r>
                      <w:r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335341" w:rsidRPr="00335341">
                        <w:rPr>
                          <w:rFonts w:cs="Arial"/>
                          <w:szCs w:val="18"/>
                        </w:rPr>
                        <w:t>který se zaměřil na zkoumání postojů Čechů k hypotékám, realizovala p</w:t>
                      </w:r>
                      <w:r w:rsidRPr="003028DC">
                        <w:rPr>
                          <w:rFonts w:cs="Arial"/>
                          <w:szCs w:val="18"/>
                        </w:rPr>
                        <w:t xml:space="preserve">ro </w:t>
                      </w:r>
                      <w:r w:rsidR="00335341">
                        <w:rPr>
                          <w:rFonts w:cs="Arial"/>
                          <w:szCs w:val="18"/>
                        </w:rPr>
                        <w:t>Českou bankovní asociaci</w:t>
                      </w: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Pr="003028DC">
                        <w:rPr>
                          <w:rFonts w:cs="Arial"/>
                          <w:szCs w:val="18"/>
                        </w:rPr>
                        <w:t>agentura SC&amp;C</w:t>
                      </w:r>
                      <w:r w:rsidR="00335341">
                        <w:rPr>
                          <w:rFonts w:cs="Arial"/>
                          <w:szCs w:val="18"/>
                        </w:rPr>
                        <w:t>. Sběr dat probíhal v dubnu 2019</w:t>
                      </w:r>
                      <w:r w:rsidRPr="003028DC">
                        <w:rPr>
                          <w:rFonts w:cs="Arial"/>
                          <w:szCs w:val="18"/>
                        </w:rPr>
                        <w:t xml:space="preserve"> na reprezentativním vzorku 1028 respondentů ve věku od 18-79 let.</w:t>
                      </w:r>
                    </w:p>
                    <w:p w14:paraId="3C318137" w14:textId="147DDF6A" w:rsidR="005D11A5" w:rsidRPr="00335341" w:rsidRDefault="005D11A5" w:rsidP="00060D7F">
                      <w:pPr>
                        <w:pStyle w:val="Zhlav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3C63DF" w14:textId="66003B0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496CD930" w14:textId="58F1C3C9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4FA71F9" w14:textId="16F0A5CB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C216A55" w14:textId="3BCBEC96" w:rsidR="00FF052C" w:rsidRDefault="00FF052C" w:rsidP="008B1C16">
      <w:pPr>
        <w:spacing w:line="276" w:lineRule="auto"/>
        <w:contextualSpacing/>
        <w:rPr>
          <w:rFonts w:cs="Arial"/>
          <w:szCs w:val="18"/>
        </w:rPr>
      </w:pPr>
    </w:p>
    <w:p w14:paraId="577B1969" w14:textId="19400372" w:rsidR="00FF052C" w:rsidRDefault="00AB0ED1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3403B560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98370" cy="1557770"/>
                <wp:effectExtent l="0" t="0" r="0" b="444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55777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D11A5" w:rsidRPr="005A44FF" w:rsidRDefault="005D11A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D11A5" w:rsidRPr="003D3951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5D11A5" w:rsidRPr="005A44FF" w:rsidRDefault="005D11A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5D11A5" w:rsidRDefault="005D11A5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30" style="position:absolute;left:0;text-align:left;margin-left:344.45pt;margin-top:.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" fillcolor="#007e79" stroked="f" strokeweight="1pt">
                <v:fill opacity="32639f"/>
                <v:textbox inset="3mm,3mm,3mm,3mm">
                  <w:txbxContent>
                    <w:p w14:paraId="7AC95292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D11A5" w:rsidRPr="005A44FF" w:rsidRDefault="005D11A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D11A5" w:rsidRPr="003D3951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5D11A5" w:rsidRPr="005A44FF" w:rsidRDefault="005D11A5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5D11A5" w:rsidRDefault="005D11A5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0564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7D2932D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5D11A5" w:rsidRPr="009F3268" w:rsidRDefault="005D11A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31" style="position:absolute;left:0;text-align:left;margin-left:0;margin-top:.3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" fillcolor="#bfbfbf [2412]" stroked="f" strokeweight="1pt">
                <v:textbox inset="3mm,3mm,3mm,3mm">
                  <w:txbxContent>
                    <w:p w14:paraId="4C1160DE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5D11A5" w:rsidRPr="009F3268" w:rsidRDefault="005D11A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89B66" w14:textId="0C2EE235" w:rsidR="00E373B4" w:rsidRDefault="00E373B4" w:rsidP="008B1C16">
      <w:pPr>
        <w:spacing w:line="276" w:lineRule="auto"/>
        <w:contextualSpacing/>
        <w:rPr>
          <w:rFonts w:cs="Arial"/>
          <w:szCs w:val="18"/>
        </w:rPr>
      </w:pPr>
    </w:p>
    <w:p w14:paraId="4CBED3FF" w14:textId="15CE5C1F" w:rsidR="004F6EA8" w:rsidRPr="00010564" w:rsidRDefault="004F6EA8" w:rsidP="008B1C16">
      <w:pPr>
        <w:spacing w:line="276" w:lineRule="auto"/>
        <w:contextualSpacing/>
        <w:jc w:val="center"/>
        <w:rPr>
          <w:rFonts w:cs="Arial"/>
          <w:szCs w:val="18"/>
        </w:rPr>
      </w:pPr>
    </w:p>
    <w:p w14:paraId="7E175C42" w14:textId="4D6E811F" w:rsidR="00B15438" w:rsidRDefault="00B15438" w:rsidP="008B1C16">
      <w:pPr>
        <w:spacing w:line="276" w:lineRule="auto"/>
        <w:contextualSpacing/>
        <w:rPr>
          <w:rFonts w:cs="Arial"/>
          <w:szCs w:val="18"/>
        </w:rPr>
      </w:pPr>
      <w:r w:rsidRPr="00010564">
        <w:rPr>
          <w:rFonts w:cs="Arial"/>
          <w:szCs w:val="18"/>
        </w:rPr>
        <w:t xml:space="preserve"> </w:t>
      </w:r>
    </w:p>
    <w:p w14:paraId="17DA2EF1" w14:textId="3617B13B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EC2BECB" w14:textId="74C79B48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99C193E" w14:textId="700B258F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52A8D0EB" w14:textId="0567ABC1" w:rsidR="00F8461A" w:rsidRDefault="00F8461A" w:rsidP="008B1C16">
      <w:pPr>
        <w:spacing w:line="276" w:lineRule="auto"/>
        <w:contextualSpacing/>
        <w:rPr>
          <w:rFonts w:cs="Arial"/>
          <w:szCs w:val="18"/>
        </w:rPr>
      </w:pPr>
    </w:p>
    <w:p w14:paraId="6BF56699" w14:textId="530B1FD9" w:rsidR="00B85546" w:rsidRDefault="00B85546" w:rsidP="008B1C16">
      <w:pPr>
        <w:spacing w:line="276" w:lineRule="auto"/>
        <w:contextualSpacing/>
        <w:rPr>
          <w:rFonts w:eastAsiaTheme="minorEastAsia" w:cs="Arial"/>
        </w:rPr>
      </w:pPr>
    </w:p>
    <w:sectPr w:rsidR="00B85546" w:rsidSect="0025305E">
      <w:headerReference w:type="default" r:id="rId10"/>
      <w:footerReference w:type="default" r:id="rId11"/>
      <w:pgSz w:w="11906" w:h="16838"/>
      <w:pgMar w:top="2410" w:right="849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14EE" w14:textId="77777777" w:rsidR="00F15E8D" w:rsidRDefault="00F15E8D" w:rsidP="00F573F1">
      <w:r>
        <w:separator/>
      </w:r>
    </w:p>
  </w:endnote>
  <w:endnote w:type="continuationSeparator" w:id="0">
    <w:p w14:paraId="5E290290" w14:textId="77777777" w:rsidR="00F15E8D" w:rsidRDefault="00F15E8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13CE44BD" w14:textId="77777777" w:rsidR="005D11A5" w:rsidRPr="00FB4A1C" w:rsidRDefault="005D11A5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5D11A5" w:rsidRPr="00FB4A1C" w:rsidRDefault="005D11A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FE26" w14:textId="77777777" w:rsidR="00F15E8D" w:rsidRDefault="00F15E8D" w:rsidP="00F573F1">
      <w:r>
        <w:separator/>
      </w:r>
    </w:p>
  </w:footnote>
  <w:footnote w:type="continuationSeparator" w:id="0">
    <w:p w14:paraId="2C7C15FD" w14:textId="77777777" w:rsidR="00F15E8D" w:rsidRDefault="00F15E8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5D11A5" w:rsidRDefault="005D11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E5"/>
    <w:rsid w:val="00020581"/>
    <w:rsid w:val="00023E9F"/>
    <w:rsid w:val="00037707"/>
    <w:rsid w:val="00044002"/>
    <w:rsid w:val="00051A5B"/>
    <w:rsid w:val="000559DE"/>
    <w:rsid w:val="00060D7F"/>
    <w:rsid w:val="00072447"/>
    <w:rsid w:val="0007445A"/>
    <w:rsid w:val="000842AE"/>
    <w:rsid w:val="0009491E"/>
    <w:rsid w:val="00097293"/>
    <w:rsid w:val="000A2C3B"/>
    <w:rsid w:val="000A4D59"/>
    <w:rsid w:val="000B4C8F"/>
    <w:rsid w:val="000C4910"/>
    <w:rsid w:val="000D4F26"/>
    <w:rsid w:val="000D5D2B"/>
    <w:rsid w:val="000E4ABC"/>
    <w:rsid w:val="000E563F"/>
    <w:rsid w:val="000F70CA"/>
    <w:rsid w:val="0010268F"/>
    <w:rsid w:val="0010277A"/>
    <w:rsid w:val="001126B2"/>
    <w:rsid w:val="0011443F"/>
    <w:rsid w:val="00123FF9"/>
    <w:rsid w:val="00131E94"/>
    <w:rsid w:val="00146F46"/>
    <w:rsid w:val="00165DDC"/>
    <w:rsid w:val="00175A85"/>
    <w:rsid w:val="00176C20"/>
    <w:rsid w:val="00195C6D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2137B0"/>
    <w:rsid w:val="00217881"/>
    <w:rsid w:val="0022648E"/>
    <w:rsid w:val="00226F32"/>
    <w:rsid w:val="00227ACD"/>
    <w:rsid w:val="00244923"/>
    <w:rsid w:val="00247512"/>
    <w:rsid w:val="0025305E"/>
    <w:rsid w:val="00253D09"/>
    <w:rsid w:val="002567A3"/>
    <w:rsid w:val="00262B7F"/>
    <w:rsid w:val="00266980"/>
    <w:rsid w:val="00267ACA"/>
    <w:rsid w:val="00290498"/>
    <w:rsid w:val="002A31A1"/>
    <w:rsid w:val="002A6290"/>
    <w:rsid w:val="002C2C2B"/>
    <w:rsid w:val="002D1376"/>
    <w:rsid w:val="002D49FB"/>
    <w:rsid w:val="002E5E57"/>
    <w:rsid w:val="002F1752"/>
    <w:rsid w:val="002F477C"/>
    <w:rsid w:val="002F557F"/>
    <w:rsid w:val="003028DC"/>
    <w:rsid w:val="00315F32"/>
    <w:rsid w:val="00327407"/>
    <w:rsid w:val="00335341"/>
    <w:rsid w:val="003472AF"/>
    <w:rsid w:val="003508FE"/>
    <w:rsid w:val="00351369"/>
    <w:rsid w:val="003608FD"/>
    <w:rsid w:val="00366057"/>
    <w:rsid w:val="003677E2"/>
    <w:rsid w:val="00370F35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F021E"/>
    <w:rsid w:val="003F03DF"/>
    <w:rsid w:val="003F1CB9"/>
    <w:rsid w:val="003F7F31"/>
    <w:rsid w:val="00402FA1"/>
    <w:rsid w:val="00425B3B"/>
    <w:rsid w:val="004325D3"/>
    <w:rsid w:val="00437589"/>
    <w:rsid w:val="00445609"/>
    <w:rsid w:val="004476C2"/>
    <w:rsid w:val="0046651A"/>
    <w:rsid w:val="004714FB"/>
    <w:rsid w:val="00472210"/>
    <w:rsid w:val="0047757F"/>
    <w:rsid w:val="0048354D"/>
    <w:rsid w:val="0048489E"/>
    <w:rsid w:val="00490E1A"/>
    <w:rsid w:val="00492636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6531"/>
    <w:rsid w:val="004E011D"/>
    <w:rsid w:val="004E1AC6"/>
    <w:rsid w:val="004E4B5B"/>
    <w:rsid w:val="004F6CFB"/>
    <w:rsid w:val="004F6EA8"/>
    <w:rsid w:val="004F70A7"/>
    <w:rsid w:val="005069C2"/>
    <w:rsid w:val="00512176"/>
    <w:rsid w:val="00517111"/>
    <w:rsid w:val="00521FF6"/>
    <w:rsid w:val="00537D95"/>
    <w:rsid w:val="00546646"/>
    <w:rsid w:val="00552694"/>
    <w:rsid w:val="0055377C"/>
    <w:rsid w:val="00554717"/>
    <w:rsid w:val="00561ED7"/>
    <w:rsid w:val="005642DD"/>
    <w:rsid w:val="00564453"/>
    <w:rsid w:val="00571BEE"/>
    <w:rsid w:val="00571C08"/>
    <w:rsid w:val="00573F62"/>
    <w:rsid w:val="00576C13"/>
    <w:rsid w:val="00576CF4"/>
    <w:rsid w:val="00584718"/>
    <w:rsid w:val="005A0C34"/>
    <w:rsid w:val="005A2501"/>
    <w:rsid w:val="005A3E34"/>
    <w:rsid w:val="005A44FF"/>
    <w:rsid w:val="005A51C6"/>
    <w:rsid w:val="005A5BAB"/>
    <w:rsid w:val="005B3439"/>
    <w:rsid w:val="005C1943"/>
    <w:rsid w:val="005C6D52"/>
    <w:rsid w:val="005D11A5"/>
    <w:rsid w:val="005D4BC8"/>
    <w:rsid w:val="005D55D6"/>
    <w:rsid w:val="005D593D"/>
    <w:rsid w:val="005D769A"/>
    <w:rsid w:val="005E092E"/>
    <w:rsid w:val="005E1DD8"/>
    <w:rsid w:val="005E58E1"/>
    <w:rsid w:val="005F73A6"/>
    <w:rsid w:val="00600D9B"/>
    <w:rsid w:val="0060552B"/>
    <w:rsid w:val="00606E04"/>
    <w:rsid w:val="00611C5C"/>
    <w:rsid w:val="006131E9"/>
    <w:rsid w:val="0062336F"/>
    <w:rsid w:val="0063314F"/>
    <w:rsid w:val="006445A3"/>
    <w:rsid w:val="006513A0"/>
    <w:rsid w:val="00654F37"/>
    <w:rsid w:val="00661C43"/>
    <w:rsid w:val="00662C23"/>
    <w:rsid w:val="006839E8"/>
    <w:rsid w:val="006963D2"/>
    <w:rsid w:val="006A0B4A"/>
    <w:rsid w:val="006A0F4A"/>
    <w:rsid w:val="006A1D16"/>
    <w:rsid w:val="006B120F"/>
    <w:rsid w:val="006B2EBD"/>
    <w:rsid w:val="006B2F86"/>
    <w:rsid w:val="006B37A6"/>
    <w:rsid w:val="006D0EE8"/>
    <w:rsid w:val="006D23EF"/>
    <w:rsid w:val="006D61DA"/>
    <w:rsid w:val="006E3420"/>
    <w:rsid w:val="006E3FA9"/>
    <w:rsid w:val="006F2196"/>
    <w:rsid w:val="006F2B29"/>
    <w:rsid w:val="00702D07"/>
    <w:rsid w:val="007133E9"/>
    <w:rsid w:val="00714837"/>
    <w:rsid w:val="00720DE3"/>
    <w:rsid w:val="00727012"/>
    <w:rsid w:val="0072723A"/>
    <w:rsid w:val="00733C05"/>
    <w:rsid w:val="007402C2"/>
    <w:rsid w:val="00743577"/>
    <w:rsid w:val="007813D1"/>
    <w:rsid w:val="00786BB9"/>
    <w:rsid w:val="00786FE5"/>
    <w:rsid w:val="007964DC"/>
    <w:rsid w:val="007A3BFB"/>
    <w:rsid w:val="007B02A8"/>
    <w:rsid w:val="007B6B28"/>
    <w:rsid w:val="007B7B44"/>
    <w:rsid w:val="007C4C83"/>
    <w:rsid w:val="007D275E"/>
    <w:rsid w:val="007D4025"/>
    <w:rsid w:val="007E1035"/>
    <w:rsid w:val="007F166D"/>
    <w:rsid w:val="007F1EDF"/>
    <w:rsid w:val="007F40D6"/>
    <w:rsid w:val="007F742B"/>
    <w:rsid w:val="007F7CBC"/>
    <w:rsid w:val="00802F9F"/>
    <w:rsid w:val="00803E55"/>
    <w:rsid w:val="00807F85"/>
    <w:rsid w:val="00811FE2"/>
    <w:rsid w:val="00820A66"/>
    <w:rsid w:val="0082668B"/>
    <w:rsid w:val="00830214"/>
    <w:rsid w:val="00834366"/>
    <w:rsid w:val="008363D1"/>
    <w:rsid w:val="00842443"/>
    <w:rsid w:val="00843386"/>
    <w:rsid w:val="008466C4"/>
    <w:rsid w:val="00854190"/>
    <w:rsid w:val="00854682"/>
    <w:rsid w:val="00857A3C"/>
    <w:rsid w:val="008612B4"/>
    <w:rsid w:val="00870102"/>
    <w:rsid w:val="00872847"/>
    <w:rsid w:val="008825CE"/>
    <w:rsid w:val="0088460D"/>
    <w:rsid w:val="008857AA"/>
    <w:rsid w:val="00890B66"/>
    <w:rsid w:val="008B19B7"/>
    <w:rsid w:val="008B1C16"/>
    <w:rsid w:val="008C1507"/>
    <w:rsid w:val="008F399F"/>
    <w:rsid w:val="009038F9"/>
    <w:rsid w:val="00905AAB"/>
    <w:rsid w:val="009139AF"/>
    <w:rsid w:val="009234FD"/>
    <w:rsid w:val="00924973"/>
    <w:rsid w:val="00931E42"/>
    <w:rsid w:val="00935EAC"/>
    <w:rsid w:val="00944529"/>
    <w:rsid w:val="00944D10"/>
    <w:rsid w:val="009454B6"/>
    <w:rsid w:val="00946929"/>
    <w:rsid w:val="00963AA3"/>
    <w:rsid w:val="00963B80"/>
    <w:rsid w:val="009664DD"/>
    <w:rsid w:val="00975439"/>
    <w:rsid w:val="00977317"/>
    <w:rsid w:val="0098257D"/>
    <w:rsid w:val="00987232"/>
    <w:rsid w:val="00992840"/>
    <w:rsid w:val="00994CC4"/>
    <w:rsid w:val="009A11ED"/>
    <w:rsid w:val="009A1CB0"/>
    <w:rsid w:val="009A7026"/>
    <w:rsid w:val="009B393A"/>
    <w:rsid w:val="009C0DD6"/>
    <w:rsid w:val="009C1B29"/>
    <w:rsid w:val="009D0E88"/>
    <w:rsid w:val="009D24D7"/>
    <w:rsid w:val="009D2F47"/>
    <w:rsid w:val="009D7835"/>
    <w:rsid w:val="009E172B"/>
    <w:rsid w:val="009E5367"/>
    <w:rsid w:val="009F3268"/>
    <w:rsid w:val="009F6C56"/>
    <w:rsid w:val="00A0323B"/>
    <w:rsid w:val="00A13F1D"/>
    <w:rsid w:val="00A155ED"/>
    <w:rsid w:val="00A15F37"/>
    <w:rsid w:val="00A163E3"/>
    <w:rsid w:val="00A425BA"/>
    <w:rsid w:val="00A5314F"/>
    <w:rsid w:val="00A569E0"/>
    <w:rsid w:val="00A7149F"/>
    <w:rsid w:val="00A72FF3"/>
    <w:rsid w:val="00A7410C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E2387"/>
    <w:rsid w:val="00AE6E19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4F8C"/>
    <w:rsid w:val="00B73636"/>
    <w:rsid w:val="00B76C42"/>
    <w:rsid w:val="00B84219"/>
    <w:rsid w:val="00B85546"/>
    <w:rsid w:val="00B913AA"/>
    <w:rsid w:val="00B95673"/>
    <w:rsid w:val="00BA18D1"/>
    <w:rsid w:val="00BA1F8A"/>
    <w:rsid w:val="00BA47DA"/>
    <w:rsid w:val="00BA4E91"/>
    <w:rsid w:val="00BB50DE"/>
    <w:rsid w:val="00BC0CB8"/>
    <w:rsid w:val="00BC1B82"/>
    <w:rsid w:val="00BD0100"/>
    <w:rsid w:val="00BD297C"/>
    <w:rsid w:val="00BD483C"/>
    <w:rsid w:val="00BD7A55"/>
    <w:rsid w:val="00BE00E4"/>
    <w:rsid w:val="00BE48B7"/>
    <w:rsid w:val="00BE5574"/>
    <w:rsid w:val="00BE74B4"/>
    <w:rsid w:val="00BF0B84"/>
    <w:rsid w:val="00C05E06"/>
    <w:rsid w:val="00C12AFA"/>
    <w:rsid w:val="00C17244"/>
    <w:rsid w:val="00C2020E"/>
    <w:rsid w:val="00C461EB"/>
    <w:rsid w:val="00C520D7"/>
    <w:rsid w:val="00C627A3"/>
    <w:rsid w:val="00C6528A"/>
    <w:rsid w:val="00C7375A"/>
    <w:rsid w:val="00C74048"/>
    <w:rsid w:val="00C74654"/>
    <w:rsid w:val="00C8685C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38D7"/>
    <w:rsid w:val="00D10717"/>
    <w:rsid w:val="00D2261D"/>
    <w:rsid w:val="00D24515"/>
    <w:rsid w:val="00D32A14"/>
    <w:rsid w:val="00D32B43"/>
    <w:rsid w:val="00D477C3"/>
    <w:rsid w:val="00D55406"/>
    <w:rsid w:val="00D67470"/>
    <w:rsid w:val="00D67FC9"/>
    <w:rsid w:val="00D775D2"/>
    <w:rsid w:val="00D8118D"/>
    <w:rsid w:val="00D85155"/>
    <w:rsid w:val="00D93EB9"/>
    <w:rsid w:val="00D97E49"/>
    <w:rsid w:val="00DD4F3E"/>
    <w:rsid w:val="00DF431A"/>
    <w:rsid w:val="00DF6D21"/>
    <w:rsid w:val="00E02136"/>
    <w:rsid w:val="00E06813"/>
    <w:rsid w:val="00E10053"/>
    <w:rsid w:val="00E3317B"/>
    <w:rsid w:val="00E3386F"/>
    <w:rsid w:val="00E350BD"/>
    <w:rsid w:val="00E373B4"/>
    <w:rsid w:val="00E528C6"/>
    <w:rsid w:val="00E56378"/>
    <w:rsid w:val="00E642DC"/>
    <w:rsid w:val="00E64F71"/>
    <w:rsid w:val="00E703B1"/>
    <w:rsid w:val="00E718EA"/>
    <w:rsid w:val="00E71A6E"/>
    <w:rsid w:val="00E72E55"/>
    <w:rsid w:val="00E77101"/>
    <w:rsid w:val="00E82DCF"/>
    <w:rsid w:val="00E8561A"/>
    <w:rsid w:val="00E85DE8"/>
    <w:rsid w:val="00E9372A"/>
    <w:rsid w:val="00EA5747"/>
    <w:rsid w:val="00EB3F96"/>
    <w:rsid w:val="00EC03D2"/>
    <w:rsid w:val="00EC202F"/>
    <w:rsid w:val="00EC5679"/>
    <w:rsid w:val="00ED2264"/>
    <w:rsid w:val="00ED412E"/>
    <w:rsid w:val="00ED41A8"/>
    <w:rsid w:val="00ED452D"/>
    <w:rsid w:val="00EE29BE"/>
    <w:rsid w:val="00EF038F"/>
    <w:rsid w:val="00EF07C3"/>
    <w:rsid w:val="00EF6331"/>
    <w:rsid w:val="00F1303C"/>
    <w:rsid w:val="00F15E8D"/>
    <w:rsid w:val="00F247BC"/>
    <w:rsid w:val="00F313E8"/>
    <w:rsid w:val="00F36405"/>
    <w:rsid w:val="00F53132"/>
    <w:rsid w:val="00F573F1"/>
    <w:rsid w:val="00F57CAC"/>
    <w:rsid w:val="00F6767A"/>
    <w:rsid w:val="00F67E6A"/>
    <w:rsid w:val="00F7568A"/>
    <w:rsid w:val="00F8461A"/>
    <w:rsid w:val="00F91222"/>
    <w:rsid w:val="00F94AE5"/>
    <w:rsid w:val="00F970A7"/>
    <w:rsid w:val="00FA2228"/>
    <w:rsid w:val="00FA59C6"/>
    <w:rsid w:val="00FB4A1C"/>
    <w:rsid w:val="00FB60CC"/>
    <w:rsid w:val="00FB60FB"/>
    <w:rsid w:val="00FC5B2A"/>
    <w:rsid w:val="00FD12DB"/>
    <w:rsid w:val="00FD1306"/>
    <w:rsid w:val="00FD3713"/>
    <w:rsid w:val="00FD57E2"/>
    <w:rsid w:val="00FE2ED7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4DA9-B703-431A-B14C-961B2B1F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2</cp:revision>
  <cp:lastPrinted>2019-03-25T15:33:00Z</cp:lastPrinted>
  <dcterms:created xsi:type="dcterms:W3CDTF">2019-05-23T06:34:00Z</dcterms:created>
  <dcterms:modified xsi:type="dcterms:W3CDTF">2019-05-23T06:34:00Z</dcterms:modified>
</cp:coreProperties>
</file>