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45D2" w14:textId="6DC90918" w:rsidR="00266E32" w:rsidRPr="00DD4A8E" w:rsidRDefault="00266E32" w:rsidP="002B1A4A">
      <w:pPr>
        <w:spacing w:after="120"/>
        <w:rPr>
          <w:rFonts w:ascii="Calibri" w:hAnsi="Calibri" w:cs="Arial"/>
          <w:b/>
          <w:color w:val="13576B"/>
          <w:sz w:val="36"/>
          <w:szCs w:val="36"/>
        </w:rPr>
      </w:pPr>
      <w:r w:rsidRPr="00DD4A8E">
        <w:rPr>
          <w:rFonts w:ascii="Calibri" w:hAnsi="Calibri" w:cs="Arial"/>
          <w:b/>
          <w:color w:val="13576B"/>
          <w:sz w:val="36"/>
          <w:szCs w:val="36"/>
        </w:rPr>
        <w:t xml:space="preserve">MAKROEKONOMICKÁ PROGNÓZA </w:t>
      </w:r>
      <w:r>
        <w:rPr>
          <w:rFonts w:ascii="Calibri" w:hAnsi="Calibri" w:cs="Arial"/>
          <w:b/>
          <w:color w:val="13576B"/>
          <w:sz w:val="36"/>
          <w:szCs w:val="36"/>
        </w:rPr>
        <w:t>ČBA</w:t>
      </w:r>
    </w:p>
    <w:p w14:paraId="240C088F" w14:textId="3268713C" w:rsidR="00266E32" w:rsidRPr="00DD4A8E" w:rsidRDefault="005024DC" w:rsidP="00266E32">
      <w:pPr>
        <w:jc w:val="left"/>
        <w:rPr>
          <w:rFonts w:ascii="Calibri" w:hAnsi="Calibri" w:cs="Arial"/>
          <w:b/>
          <w:color w:val="13576B"/>
          <w:sz w:val="32"/>
          <w:szCs w:val="32"/>
        </w:rPr>
      </w:pPr>
      <w:r>
        <w:rPr>
          <w:rFonts w:ascii="Calibri" w:hAnsi="Calibri" w:cs="Arial"/>
          <w:b/>
          <w:color w:val="13576B"/>
          <w:sz w:val="32"/>
          <w:szCs w:val="32"/>
        </w:rPr>
        <w:t>Květen</w:t>
      </w:r>
      <w:r w:rsidR="00335332">
        <w:rPr>
          <w:rFonts w:ascii="Calibri" w:hAnsi="Calibri" w:cs="Arial"/>
          <w:b/>
          <w:color w:val="13576B"/>
          <w:sz w:val="32"/>
          <w:szCs w:val="32"/>
        </w:rPr>
        <w:t xml:space="preserve"> </w:t>
      </w:r>
      <w:r w:rsidR="000366C2">
        <w:rPr>
          <w:rFonts w:ascii="Calibri" w:hAnsi="Calibri" w:cs="Arial"/>
          <w:b/>
          <w:color w:val="13576B"/>
          <w:sz w:val="32"/>
          <w:szCs w:val="32"/>
        </w:rPr>
        <w:t>20</w:t>
      </w:r>
      <w:r w:rsidR="00335332">
        <w:rPr>
          <w:rFonts w:ascii="Calibri" w:hAnsi="Calibri" w:cs="Arial"/>
          <w:b/>
          <w:color w:val="13576B"/>
          <w:sz w:val="32"/>
          <w:szCs w:val="32"/>
        </w:rPr>
        <w:t>22</w:t>
      </w:r>
      <w:r w:rsidR="000366C2">
        <w:rPr>
          <w:rFonts w:ascii="Calibri" w:hAnsi="Calibri" w:cs="Arial"/>
          <w:b/>
          <w:color w:val="13576B"/>
          <w:sz w:val="32"/>
          <w:szCs w:val="32"/>
        </w:rPr>
        <w:t xml:space="preserve">: </w:t>
      </w:r>
      <w:r w:rsidR="00484DC6" w:rsidRPr="00484DC6">
        <w:rPr>
          <w:rFonts w:ascii="Calibri" w:hAnsi="Calibri" w:cs="Arial"/>
          <w:b/>
          <w:color w:val="13576B"/>
          <w:sz w:val="32"/>
          <w:szCs w:val="32"/>
        </w:rPr>
        <w:t xml:space="preserve">Česká ekonomika letos </w:t>
      </w:r>
      <w:r>
        <w:rPr>
          <w:rFonts w:ascii="Calibri" w:hAnsi="Calibri" w:cs="Arial"/>
          <w:b/>
          <w:color w:val="13576B"/>
          <w:sz w:val="32"/>
          <w:szCs w:val="32"/>
        </w:rPr>
        <w:t>zpomalí</w:t>
      </w:r>
      <w:r w:rsidR="001A3800">
        <w:rPr>
          <w:rFonts w:ascii="Calibri" w:hAnsi="Calibri" w:cs="Arial"/>
          <w:b/>
          <w:color w:val="13576B"/>
          <w:sz w:val="32"/>
          <w:szCs w:val="32"/>
        </w:rPr>
        <w:t xml:space="preserve"> na 1,8 %</w:t>
      </w:r>
      <w:r w:rsidR="00B33525">
        <w:rPr>
          <w:rFonts w:ascii="Calibri" w:hAnsi="Calibri" w:cs="Arial"/>
          <w:b/>
          <w:color w:val="13576B"/>
          <w:sz w:val="32"/>
          <w:szCs w:val="32"/>
        </w:rPr>
        <w:t>.</w:t>
      </w:r>
      <w:r>
        <w:rPr>
          <w:rFonts w:ascii="Calibri" w:hAnsi="Calibri" w:cs="Arial"/>
          <w:b/>
          <w:color w:val="13576B"/>
          <w:sz w:val="32"/>
          <w:szCs w:val="32"/>
        </w:rPr>
        <w:t xml:space="preserve"> </w:t>
      </w:r>
      <w:r w:rsidR="00B33525">
        <w:rPr>
          <w:rFonts w:ascii="Calibri" w:hAnsi="Calibri" w:cs="Arial"/>
          <w:b/>
          <w:color w:val="13576B"/>
          <w:sz w:val="32"/>
          <w:szCs w:val="32"/>
        </w:rPr>
        <w:t>R</w:t>
      </w:r>
      <w:r>
        <w:rPr>
          <w:rFonts w:ascii="Calibri" w:hAnsi="Calibri" w:cs="Arial"/>
          <w:b/>
          <w:color w:val="13576B"/>
          <w:sz w:val="32"/>
          <w:szCs w:val="32"/>
        </w:rPr>
        <w:t>izika stagflačního vývoje</w:t>
      </w:r>
      <w:r w:rsidR="00266E32">
        <w:rPr>
          <w:rFonts w:ascii="Calibri" w:hAnsi="Calibri" w:cs="Arial"/>
          <w:b/>
          <w:color w:val="13576B"/>
          <w:sz w:val="32"/>
          <w:szCs w:val="32"/>
        </w:rPr>
        <w:t xml:space="preserve"> </w:t>
      </w:r>
      <w:r>
        <w:rPr>
          <w:rFonts w:ascii="Calibri" w:hAnsi="Calibri" w:cs="Arial"/>
          <w:b/>
          <w:color w:val="13576B"/>
          <w:sz w:val="32"/>
          <w:szCs w:val="32"/>
        </w:rPr>
        <w:t xml:space="preserve">sílí, reálné mzdy letos </w:t>
      </w:r>
      <w:r w:rsidR="00E9176D">
        <w:rPr>
          <w:rFonts w:ascii="Calibri" w:hAnsi="Calibri" w:cs="Arial"/>
          <w:b/>
          <w:color w:val="13576B"/>
          <w:sz w:val="32"/>
          <w:szCs w:val="32"/>
        </w:rPr>
        <w:t>citelně</w:t>
      </w:r>
      <w:r>
        <w:rPr>
          <w:rFonts w:ascii="Calibri" w:hAnsi="Calibri" w:cs="Arial"/>
          <w:b/>
          <w:color w:val="13576B"/>
          <w:sz w:val="32"/>
          <w:szCs w:val="32"/>
        </w:rPr>
        <w:t xml:space="preserve"> propadnou</w:t>
      </w:r>
    </w:p>
    <w:p w14:paraId="47BA50B7" w14:textId="3DFA8422" w:rsidR="008B1328" w:rsidRPr="00DD4A8E" w:rsidRDefault="00266E32" w:rsidP="00983579">
      <w:pPr>
        <w:pStyle w:val="Normlnweb"/>
        <w:jc w:val="both"/>
        <w:rPr>
          <w:rFonts w:ascii="Calibri" w:hAnsi="Calibri" w:cs="Calibri"/>
          <w:color w:val="13576B"/>
          <w:sz w:val="20"/>
        </w:rPr>
      </w:pPr>
      <w:r w:rsidRPr="00DD4A8E">
        <w:rPr>
          <w:rFonts w:ascii="Calibri" w:hAnsi="Calibri" w:cs="Calibri"/>
          <w:b/>
          <w:color w:val="13576B"/>
          <w:sz w:val="20"/>
        </w:rPr>
        <w:t>Praha, 1</w:t>
      </w:r>
      <w:r w:rsidR="005024DC">
        <w:rPr>
          <w:rFonts w:ascii="Calibri" w:hAnsi="Calibri" w:cs="Calibri"/>
          <w:b/>
          <w:color w:val="13576B"/>
          <w:sz w:val="20"/>
        </w:rPr>
        <w:t>2</w:t>
      </w:r>
      <w:r w:rsidRPr="00DD4A8E">
        <w:rPr>
          <w:rFonts w:ascii="Calibri" w:hAnsi="Calibri" w:cs="Calibri"/>
          <w:b/>
          <w:color w:val="13576B"/>
          <w:sz w:val="20"/>
        </w:rPr>
        <w:t xml:space="preserve">. </w:t>
      </w:r>
      <w:r w:rsidR="005024DC">
        <w:rPr>
          <w:rFonts w:ascii="Calibri" w:hAnsi="Calibri" w:cs="Calibri"/>
          <w:b/>
          <w:color w:val="13576B"/>
          <w:sz w:val="20"/>
        </w:rPr>
        <w:t xml:space="preserve">května </w:t>
      </w:r>
      <w:r w:rsidRPr="00DD4A8E">
        <w:rPr>
          <w:rFonts w:ascii="Calibri" w:hAnsi="Calibri" w:cs="Calibri"/>
          <w:b/>
          <w:color w:val="13576B"/>
          <w:sz w:val="20"/>
        </w:rPr>
        <w:t>202</w:t>
      </w:r>
      <w:r w:rsidR="00335332">
        <w:rPr>
          <w:rFonts w:ascii="Calibri" w:hAnsi="Calibri" w:cs="Calibri"/>
          <w:b/>
          <w:color w:val="13576B"/>
          <w:sz w:val="20"/>
        </w:rPr>
        <w:t>2</w:t>
      </w:r>
      <w:r w:rsidRPr="00DD4A8E">
        <w:rPr>
          <w:rFonts w:ascii="Calibri" w:hAnsi="Calibri" w:cs="Calibri"/>
          <w:b/>
          <w:color w:val="13576B"/>
          <w:sz w:val="20"/>
        </w:rPr>
        <w:t xml:space="preserve"> – Hlavní ekonomové bank zastoupení v </w:t>
      </w:r>
      <w:r w:rsidR="005E1864">
        <w:rPr>
          <w:rFonts w:ascii="Calibri" w:hAnsi="Calibri" w:cs="Calibri"/>
          <w:b/>
          <w:color w:val="13576B"/>
          <w:sz w:val="20"/>
        </w:rPr>
        <w:t>p</w:t>
      </w:r>
      <w:r w:rsidRPr="00DD4A8E">
        <w:rPr>
          <w:rFonts w:ascii="Calibri" w:hAnsi="Calibri" w:cs="Calibri"/>
          <w:b/>
          <w:color w:val="13576B"/>
          <w:sz w:val="20"/>
        </w:rPr>
        <w:t xml:space="preserve">rognostickém panelu České bankovní asociace (ČBA) </w:t>
      </w:r>
      <w:r>
        <w:rPr>
          <w:rFonts w:ascii="Calibri" w:hAnsi="Calibri" w:cs="Calibri"/>
          <w:b/>
          <w:color w:val="13576B"/>
          <w:sz w:val="20"/>
        </w:rPr>
        <w:t>snížili odhad růstu tuzemské ekonomiky pro letošní</w:t>
      </w:r>
      <w:r w:rsidR="00A87E96">
        <w:rPr>
          <w:rFonts w:ascii="Calibri" w:hAnsi="Calibri" w:cs="Calibri"/>
          <w:b/>
          <w:color w:val="13576B"/>
          <w:sz w:val="20"/>
        </w:rPr>
        <w:t xml:space="preserve"> rok </w:t>
      </w:r>
      <w:r w:rsidR="005024DC">
        <w:rPr>
          <w:rFonts w:ascii="Calibri" w:hAnsi="Calibri" w:cs="Calibri"/>
          <w:b/>
          <w:color w:val="13576B"/>
          <w:sz w:val="20"/>
        </w:rPr>
        <w:t>na polovinu, a to na 1,8 % z</w:t>
      </w:r>
      <w:r w:rsidR="00351068">
        <w:rPr>
          <w:rFonts w:ascii="Calibri" w:hAnsi="Calibri" w:cs="Calibri"/>
          <w:b/>
          <w:color w:val="13576B"/>
          <w:sz w:val="20"/>
        </w:rPr>
        <w:t xml:space="preserve"> dřívějšího </w:t>
      </w:r>
      <w:r w:rsidR="005024DC">
        <w:rPr>
          <w:rFonts w:ascii="Calibri" w:hAnsi="Calibri" w:cs="Calibri"/>
          <w:b/>
          <w:color w:val="13576B"/>
          <w:sz w:val="20"/>
        </w:rPr>
        <w:t xml:space="preserve">odhadu </w:t>
      </w:r>
      <w:r w:rsidR="00A87E96">
        <w:rPr>
          <w:rFonts w:ascii="Calibri" w:hAnsi="Calibri" w:cs="Calibri"/>
          <w:b/>
          <w:color w:val="13576B"/>
          <w:sz w:val="20"/>
        </w:rPr>
        <w:t>3,7 %</w:t>
      </w:r>
      <w:r w:rsidR="005024DC">
        <w:rPr>
          <w:rFonts w:ascii="Calibri" w:hAnsi="Calibri" w:cs="Calibri"/>
          <w:b/>
          <w:color w:val="13576B"/>
          <w:sz w:val="20"/>
        </w:rPr>
        <w:t xml:space="preserve"> z počátku února</w:t>
      </w:r>
      <w:r w:rsidR="00A87E96">
        <w:rPr>
          <w:rFonts w:ascii="Calibri" w:hAnsi="Calibri" w:cs="Calibri"/>
          <w:b/>
          <w:color w:val="13576B"/>
          <w:sz w:val="20"/>
        </w:rPr>
        <w:t>.</w:t>
      </w:r>
      <w:r w:rsidR="00F811EE">
        <w:rPr>
          <w:rFonts w:ascii="Calibri" w:hAnsi="Calibri" w:cs="Calibri"/>
          <w:b/>
          <w:color w:val="13576B"/>
          <w:sz w:val="20"/>
        </w:rPr>
        <w:t xml:space="preserve"> </w:t>
      </w:r>
      <w:r w:rsidR="000C779F">
        <w:rPr>
          <w:rFonts w:ascii="Calibri" w:hAnsi="Calibri" w:cs="Calibri"/>
          <w:b/>
          <w:color w:val="13576B"/>
          <w:sz w:val="20"/>
        </w:rPr>
        <w:t xml:space="preserve">V příštím roce se předpokládá </w:t>
      </w:r>
      <w:r w:rsidR="00351068">
        <w:rPr>
          <w:rFonts w:ascii="Calibri" w:hAnsi="Calibri" w:cs="Calibri"/>
          <w:b/>
          <w:color w:val="13576B"/>
          <w:sz w:val="20"/>
        </w:rPr>
        <w:t xml:space="preserve">zrychlení </w:t>
      </w:r>
      <w:r w:rsidR="000C779F">
        <w:rPr>
          <w:rFonts w:ascii="Calibri" w:hAnsi="Calibri" w:cs="Calibri"/>
          <w:b/>
          <w:color w:val="13576B"/>
          <w:sz w:val="20"/>
        </w:rPr>
        <w:t>růst</w:t>
      </w:r>
      <w:r w:rsidR="00351068">
        <w:rPr>
          <w:rFonts w:ascii="Calibri" w:hAnsi="Calibri" w:cs="Calibri"/>
          <w:b/>
          <w:color w:val="13576B"/>
          <w:sz w:val="20"/>
        </w:rPr>
        <w:t>u</w:t>
      </w:r>
      <w:r w:rsidR="000C779F">
        <w:rPr>
          <w:rFonts w:ascii="Calibri" w:hAnsi="Calibri" w:cs="Calibri"/>
          <w:b/>
          <w:color w:val="13576B"/>
          <w:sz w:val="20"/>
        </w:rPr>
        <w:t xml:space="preserve"> </w:t>
      </w:r>
      <w:r w:rsidR="001A3800">
        <w:rPr>
          <w:rFonts w:ascii="Calibri" w:hAnsi="Calibri" w:cs="Calibri"/>
          <w:b/>
          <w:color w:val="13576B"/>
          <w:sz w:val="20"/>
        </w:rPr>
        <w:t>na</w:t>
      </w:r>
      <w:r w:rsidR="000C779F">
        <w:rPr>
          <w:rFonts w:ascii="Calibri" w:hAnsi="Calibri" w:cs="Calibri"/>
          <w:b/>
          <w:color w:val="13576B"/>
          <w:sz w:val="20"/>
        </w:rPr>
        <w:t xml:space="preserve"> necelá 3 %. Prognóza </w:t>
      </w:r>
      <w:r w:rsidR="001A3800">
        <w:rPr>
          <w:rFonts w:ascii="Calibri" w:hAnsi="Calibri" w:cs="Calibri"/>
          <w:b/>
          <w:color w:val="13576B"/>
          <w:sz w:val="20"/>
        </w:rPr>
        <w:t xml:space="preserve">ale </w:t>
      </w:r>
      <w:r w:rsidR="000C779F">
        <w:rPr>
          <w:rFonts w:ascii="Calibri" w:hAnsi="Calibri" w:cs="Calibri"/>
          <w:b/>
          <w:color w:val="13576B"/>
          <w:sz w:val="20"/>
        </w:rPr>
        <w:t xml:space="preserve">nepředpokládá eskalaci vztahů </w:t>
      </w:r>
      <w:r w:rsidR="00351068">
        <w:rPr>
          <w:rFonts w:ascii="Calibri" w:hAnsi="Calibri" w:cs="Calibri"/>
          <w:b/>
          <w:color w:val="13576B"/>
          <w:sz w:val="20"/>
        </w:rPr>
        <w:t xml:space="preserve">s Ruskem a </w:t>
      </w:r>
      <w:r w:rsidR="00E9176D">
        <w:rPr>
          <w:rFonts w:ascii="Calibri" w:hAnsi="Calibri" w:cs="Calibri"/>
          <w:b/>
          <w:color w:val="13576B"/>
          <w:sz w:val="20"/>
        </w:rPr>
        <w:t>další zhoršení situace na energetickém trhu.</w:t>
      </w:r>
      <w:r w:rsidR="00351068">
        <w:rPr>
          <w:rFonts w:ascii="Calibri" w:hAnsi="Calibri" w:cs="Calibri"/>
          <w:b/>
          <w:color w:val="13576B"/>
          <w:sz w:val="20"/>
        </w:rPr>
        <w:t xml:space="preserve"> Rizika prognózy jsou tak vzhledem k válečnému konfliktu mimořádná, obdobně jako v době pandemie. </w:t>
      </w:r>
      <w:r w:rsidR="00F811EE">
        <w:rPr>
          <w:rFonts w:ascii="Calibri" w:hAnsi="Calibri" w:cs="Calibri"/>
          <w:b/>
          <w:color w:val="13576B"/>
          <w:sz w:val="20"/>
        </w:rPr>
        <w:t xml:space="preserve">Válka na Ukrajině a další pandemické restrikce v Číně zesilují problémy v dodavatelských řetězcích, </w:t>
      </w:r>
      <w:r w:rsidR="001A3800">
        <w:rPr>
          <w:rFonts w:ascii="Calibri" w:hAnsi="Calibri" w:cs="Calibri"/>
          <w:b/>
          <w:color w:val="13576B"/>
          <w:sz w:val="20"/>
        </w:rPr>
        <w:t xml:space="preserve">a to </w:t>
      </w:r>
      <w:r w:rsidR="00F811EE">
        <w:rPr>
          <w:rFonts w:ascii="Calibri" w:hAnsi="Calibri" w:cs="Calibri"/>
          <w:b/>
          <w:color w:val="13576B"/>
          <w:sz w:val="20"/>
        </w:rPr>
        <w:t xml:space="preserve">bude negativně dopadat na tuzemské výrobce. K těmto potížím se přidávají vysoké ceny energií a plošný růst nákladů, který se zrcadlí ve stále zrychlující inflaci. Ta </w:t>
      </w:r>
      <w:r w:rsidR="00CA3DD4">
        <w:rPr>
          <w:rFonts w:ascii="Calibri" w:hAnsi="Calibri" w:cs="Calibri"/>
          <w:b/>
          <w:color w:val="13576B"/>
          <w:sz w:val="20"/>
        </w:rPr>
        <w:t>bude do konce</w:t>
      </w:r>
      <w:r w:rsidR="00E9176D">
        <w:rPr>
          <w:rFonts w:ascii="Calibri" w:hAnsi="Calibri" w:cs="Calibri"/>
          <w:b/>
          <w:color w:val="13576B"/>
          <w:sz w:val="20"/>
        </w:rPr>
        <w:t xml:space="preserve"> letošního</w:t>
      </w:r>
      <w:r w:rsidR="00CA3DD4">
        <w:rPr>
          <w:rFonts w:ascii="Calibri" w:hAnsi="Calibri" w:cs="Calibri"/>
          <w:b/>
          <w:color w:val="13576B"/>
          <w:sz w:val="20"/>
        </w:rPr>
        <w:t xml:space="preserve"> roku dvouciferná a </w:t>
      </w:r>
      <w:r w:rsidR="00F811EE">
        <w:rPr>
          <w:rFonts w:ascii="Calibri" w:hAnsi="Calibri" w:cs="Calibri"/>
          <w:b/>
          <w:color w:val="13576B"/>
          <w:sz w:val="20"/>
        </w:rPr>
        <w:t>v průměru nejvyšší za posledních 30 let. Růst mezd by měl pokračovat v obdobném tempu jako</w:t>
      </w:r>
      <w:r w:rsidR="00520BE6">
        <w:rPr>
          <w:rFonts w:ascii="Calibri" w:hAnsi="Calibri" w:cs="Calibri"/>
          <w:b/>
          <w:color w:val="13576B"/>
          <w:sz w:val="20"/>
        </w:rPr>
        <w:t xml:space="preserve"> v minulém roce, což </w:t>
      </w:r>
      <w:r w:rsidR="00CA3DD4">
        <w:rPr>
          <w:rFonts w:ascii="Calibri" w:hAnsi="Calibri" w:cs="Calibri"/>
          <w:b/>
          <w:color w:val="13576B"/>
          <w:sz w:val="20"/>
        </w:rPr>
        <w:t xml:space="preserve">nebude kompenzovat růst cen a </w:t>
      </w:r>
      <w:r w:rsidR="00520BE6">
        <w:rPr>
          <w:rFonts w:ascii="Calibri" w:hAnsi="Calibri" w:cs="Calibri"/>
          <w:b/>
          <w:color w:val="13576B"/>
          <w:sz w:val="20"/>
        </w:rPr>
        <w:t>reáln</w:t>
      </w:r>
      <w:r w:rsidR="00CA3DD4">
        <w:rPr>
          <w:rFonts w:ascii="Calibri" w:hAnsi="Calibri" w:cs="Calibri"/>
          <w:b/>
          <w:color w:val="13576B"/>
          <w:sz w:val="20"/>
        </w:rPr>
        <w:t>é</w:t>
      </w:r>
      <w:r w:rsidR="00520BE6">
        <w:rPr>
          <w:rFonts w:ascii="Calibri" w:hAnsi="Calibri" w:cs="Calibri"/>
          <w:b/>
          <w:color w:val="13576B"/>
          <w:sz w:val="20"/>
        </w:rPr>
        <w:t xml:space="preserve"> příjm</w:t>
      </w:r>
      <w:r w:rsidR="00CA3DD4">
        <w:rPr>
          <w:rFonts w:ascii="Calibri" w:hAnsi="Calibri" w:cs="Calibri"/>
          <w:b/>
          <w:color w:val="13576B"/>
          <w:sz w:val="20"/>
        </w:rPr>
        <w:t>y</w:t>
      </w:r>
      <w:r w:rsidR="00520BE6">
        <w:rPr>
          <w:rFonts w:ascii="Calibri" w:hAnsi="Calibri" w:cs="Calibri"/>
          <w:b/>
          <w:color w:val="13576B"/>
          <w:sz w:val="20"/>
        </w:rPr>
        <w:t xml:space="preserve"> domácností</w:t>
      </w:r>
      <w:r w:rsidR="00CA3DD4">
        <w:rPr>
          <w:rFonts w:ascii="Calibri" w:hAnsi="Calibri" w:cs="Calibri"/>
          <w:b/>
          <w:color w:val="13576B"/>
          <w:sz w:val="20"/>
        </w:rPr>
        <w:t xml:space="preserve"> tak citelně propadnou</w:t>
      </w:r>
      <w:r w:rsidR="00520BE6">
        <w:rPr>
          <w:rFonts w:ascii="Calibri" w:hAnsi="Calibri" w:cs="Calibri"/>
          <w:b/>
          <w:color w:val="13576B"/>
          <w:sz w:val="20"/>
        </w:rPr>
        <w:t xml:space="preserve">. V příštím roce by </w:t>
      </w:r>
      <w:r w:rsidR="004C5ED8">
        <w:rPr>
          <w:rFonts w:ascii="Calibri" w:hAnsi="Calibri" w:cs="Calibri"/>
          <w:b/>
          <w:color w:val="13576B"/>
          <w:sz w:val="20"/>
        </w:rPr>
        <w:t xml:space="preserve">pak </w:t>
      </w:r>
      <w:r w:rsidR="00520BE6">
        <w:rPr>
          <w:rFonts w:ascii="Calibri" w:hAnsi="Calibri" w:cs="Calibri"/>
          <w:b/>
          <w:color w:val="13576B"/>
          <w:sz w:val="20"/>
        </w:rPr>
        <w:t xml:space="preserve">měly opět mírně růst. Po rychlém zvyšování úrokových sazeb prognóza čeká jejich pokles ke 4 % v závěru příštího roku. Další směřování měnové politiky ČNB se </w:t>
      </w:r>
      <w:r w:rsidR="00B33525">
        <w:rPr>
          <w:rFonts w:ascii="Calibri" w:hAnsi="Calibri" w:cs="Calibri"/>
          <w:b/>
          <w:color w:val="13576B"/>
          <w:sz w:val="20"/>
        </w:rPr>
        <w:t xml:space="preserve">ale </w:t>
      </w:r>
      <w:r w:rsidR="00520BE6">
        <w:rPr>
          <w:rFonts w:ascii="Calibri" w:hAnsi="Calibri" w:cs="Calibri"/>
          <w:b/>
          <w:color w:val="13576B"/>
          <w:sz w:val="20"/>
        </w:rPr>
        <w:t>může odvíjet od změn ve vedení centrální banky v polovině tohoto roku</w:t>
      </w:r>
      <w:r w:rsidR="008A1BEE">
        <w:rPr>
          <w:rFonts w:ascii="Calibri" w:hAnsi="Calibri" w:cs="Calibri"/>
          <w:b/>
          <w:color w:val="13576B"/>
          <w:sz w:val="20"/>
        </w:rPr>
        <w:t xml:space="preserve"> a začátkem</w:t>
      </w:r>
      <w:r w:rsidR="004C5ED8">
        <w:rPr>
          <w:rFonts w:ascii="Calibri" w:hAnsi="Calibri" w:cs="Calibri"/>
          <w:b/>
          <w:color w:val="13576B"/>
          <w:sz w:val="20"/>
        </w:rPr>
        <w:t xml:space="preserve"> toho</w:t>
      </w:r>
      <w:r w:rsidR="008A1BEE">
        <w:rPr>
          <w:rFonts w:ascii="Calibri" w:hAnsi="Calibri" w:cs="Calibri"/>
          <w:b/>
          <w:color w:val="13576B"/>
          <w:sz w:val="20"/>
        </w:rPr>
        <w:t xml:space="preserve"> příštího</w:t>
      </w:r>
      <w:r w:rsidR="004C5ED8">
        <w:rPr>
          <w:rFonts w:ascii="Calibri" w:hAnsi="Calibri" w:cs="Calibri"/>
          <w:b/>
          <w:color w:val="13576B"/>
          <w:sz w:val="20"/>
        </w:rPr>
        <w:t>.</w:t>
      </w:r>
      <w:r w:rsidR="00520BE6">
        <w:rPr>
          <w:rFonts w:ascii="Calibri" w:hAnsi="Calibri" w:cs="Calibri"/>
          <w:b/>
          <w:color w:val="13576B"/>
          <w:sz w:val="20"/>
        </w:rPr>
        <w:t xml:space="preserve"> </w:t>
      </w:r>
    </w:p>
    <w:p w14:paraId="3D5DA6B2" w14:textId="7413A9AA" w:rsidR="00F32F3A" w:rsidRPr="00DD4A8E" w:rsidRDefault="00504443" w:rsidP="00FD4088">
      <w:pPr>
        <w:rPr>
          <w:rFonts w:ascii="Calibri" w:hAnsi="Calibri" w:cs="Calibri"/>
          <w:b/>
          <w:color w:val="13576B"/>
          <w:sz w:val="22"/>
          <w:szCs w:val="22"/>
        </w:rPr>
      </w:pPr>
      <w:r>
        <w:rPr>
          <w:rFonts w:ascii="Calibri" w:hAnsi="Calibri" w:cs="Calibri"/>
          <w:b/>
          <w:color w:val="13576B"/>
          <w:sz w:val="22"/>
          <w:szCs w:val="22"/>
        </w:rPr>
        <w:t xml:space="preserve">Válečný </w:t>
      </w:r>
      <w:r w:rsidR="00150BD1">
        <w:rPr>
          <w:rFonts w:ascii="Calibri" w:hAnsi="Calibri" w:cs="Calibri"/>
          <w:b/>
          <w:color w:val="13576B"/>
          <w:sz w:val="22"/>
          <w:szCs w:val="22"/>
        </w:rPr>
        <w:t>konflikt a další pandemické restrikce přináší mimořádnou nejistotu</w:t>
      </w:r>
    </w:p>
    <w:p w14:paraId="570689DD" w14:textId="4B5CEA2E" w:rsidR="004D6922" w:rsidRDefault="0056335A" w:rsidP="00786866">
      <w:pPr>
        <w:rPr>
          <w:rFonts w:ascii="Calibri" w:hAnsi="Calibri" w:cs="Calibri"/>
          <w:sz w:val="20"/>
        </w:rPr>
      </w:pPr>
      <w:r w:rsidRPr="00C15C17">
        <w:rPr>
          <w:noProof/>
        </w:rPr>
        <mc:AlternateContent>
          <mc:Choice Requires="wps">
            <w:drawing>
              <wp:anchor distT="45720" distB="45720" distL="114300" distR="114300" simplePos="0" relativeHeight="251664384" behindDoc="0" locked="0" layoutInCell="1" allowOverlap="1" wp14:anchorId="3E7E5370" wp14:editId="6082F1C0">
                <wp:simplePos x="0" y="0"/>
                <wp:positionH relativeFrom="margin">
                  <wp:posOffset>-957</wp:posOffset>
                </wp:positionH>
                <wp:positionV relativeFrom="paragraph">
                  <wp:posOffset>1171888</wp:posOffset>
                </wp:positionV>
                <wp:extent cx="6461760" cy="706755"/>
                <wp:effectExtent l="0" t="0" r="15240" b="1714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706755"/>
                        </a:xfrm>
                        <a:prstGeom prst="rect">
                          <a:avLst/>
                        </a:prstGeom>
                        <a:solidFill>
                          <a:srgbClr val="FFFFFF"/>
                        </a:solidFill>
                        <a:ln w="9525">
                          <a:solidFill>
                            <a:srgbClr val="000000"/>
                          </a:solidFill>
                          <a:miter lim="800000"/>
                          <a:headEnd/>
                          <a:tailEnd/>
                        </a:ln>
                      </wps:spPr>
                      <wps:txbx>
                        <w:txbxContent>
                          <w:p w14:paraId="33B02031" w14:textId="61D59744" w:rsidR="00BF5C5A" w:rsidRPr="00FA325B" w:rsidRDefault="00BF5C5A" w:rsidP="00BF5C5A">
                            <w:pPr>
                              <w:rPr>
                                <w:rFonts w:ascii="Calibri" w:hAnsi="Calibri" w:cs="Calibri"/>
                                <w:b/>
                                <w:bCs/>
                                <w:sz w:val="20"/>
                              </w:rPr>
                            </w:pPr>
                            <w:r>
                              <w:rPr>
                                <w:rFonts w:ascii="Calibri" w:hAnsi="Calibri" w:cs="Calibri"/>
                                <w:b/>
                                <w:bCs/>
                                <w:sz w:val="20"/>
                              </w:rPr>
                              <w:t>Jakub Seidler</w:t>
                            </w:r>
                            <w:r w:rsidRPr="00FA325B">
                              <w:rPr>
                                <w:rFonts w:ascii="Calibri" w:hAnsi="Calibri" w:cs="Calibri"/>
                                <w:b/>
                                <w:bCs/>
                                <w:sz w:val="20"/>
                              </w:rPr>
                              <w:t>, hlavní ekonom České bankovní asociace:</w:t>
                            </w:r>
                          </w:p>
                          <w:p w14:paraId="06CFC5A8" w14:textId="2E82C385" w:rsidR="00BF5C5A" w:rsidRPr="00F37DC9" w:rsidRDefault="00BF5C5A" w:rsidP="00BF5C5A">
                            <w:pPr>
                              <w:rPr>
                                <w:rFonts w:ascii="Calibri" w:hAnsi="Calibri" w:cs="Calibri"/>
                                <w:i/>
                                <w:iCs/>
                              </w:rPr>
                            </w:pPr>
                            <w:r>
                              <w:rPr>
                                <w:rFonts w:ascii="Calibri" w:hAnsi="Calibri" w:cs="Calibri"/>
                                <w:i/>
                                <w:iCs/>
                                <w:sz w:val="20"/>
                              </w:rPr>
                              <w:t>„</w:t>
                            </w:r>
                            <w:r w:rsidR="0056335A">
                              <w:rPr>
                                <w:rFonts w:ascii="Calibri" w:hAnsi="Calibri" w:cs="Calibri"/>
                                <w:i/>
                                <w:iCs/>
                                <w:sz w:val="20"/>
                              </w:rPr>
                              <w:t>Ruská agrese na Ukrajině otočila začátkem letošního roku směřování světové ekonomiky a zapříčinila, že po dvou pandemických letech bude ekonomika čelit neméně obtížné situaci i letos</w:t>
                            </w:r>
                            <w:r w:rsidR="00174667">
                              <w:rPr>
                                <w:rFonts w:ascii="Calibri" w:hAnsi="Calibri" w:cs="Calibri"/>
                                <w:i/>
                                <w:iCs/>
                                <w:sz w:val="20"/>
                              </w:rPr>
                              <w:t>.</w:t>
                            </w:r>
                            <w:r w:rsidR="0056335A">
                              <w:rPr>
                                <w:rFonts w:ascii="Calibri" w:hAnsi="Calibri" w:cs="Calibri"/>
                                <w:i/>
                                <w:iCs/>
                                <w:sz w:val="20"/>
                              </w:rPr>
                              <w:t xml:space="preserve"> </w:t>
                            </w:r>
                            <w:r w:rsidR="00C212A4">
                              <w:rPr>
                                <w:rFonts w:ascii="Calibri" w:hAnsi="Calibri" w:cs="Calibri"/>
                                <w:i/>
                                <w:iCs/>
                                <w:sz w:val="20"/>
                              </w:rPr>
                              <w:t>Vysoké ceny energií, problémy v dodavatelských vzta</w:t>
                            </w:r>
                            <w:r w:rsidR="008A1BEE">
                              <w:rPr>
                                <w:rFonts w:ascii="Calibri" w:hAnsi="Calibri" w:cs="Calibri"/>
                                <w:i/>
                                <w:iCs/>
                                <w:sz w:val="20"/>
                              </w:rPr>
                              <w:t>z</w:t>
                            </w:r>
                            <w:r w:rsidR="00C212A4">
                              <w:rPr>
                                <w:rFonts w:ascii="Calibri" w:hAnsi="Calibri" w:cs="Calibri"/>
                                <w:i/>
                                <w:iCs/>
                                <w:sz w:val="20"/>
                              </w:rPr>
                              <w:t>ích a citelný růst cen budou podvazovat ekonomický růst po celý letošní rok</w:t>
                            </w:r>
                            <w:r w:rsidR="0056335A">
                              <w:rPr>
                                <w:rFonts w:ascii="Calibri" w:hAnsi="Calibri" w:cs="Calibri"/>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E5370" id="_x0000_t202" coordsize="21600,21600" o:spt="202" path="m,l,21600r21600,l21600,xe">
                <v:stroke joinstyle="miter"/>
                <v:path gradientshapeok="t" o:connecttype="rect"/>
              </v:shapetype>
              <v:shape id="Textové pole 2" o:spid="_x0000_s1026" type="#_x0000_t202" style="position:absolute;left:0;text-align:left;margin-left:-.1pt;margin-top:92.25pt;width:508.8pt;height:55.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">
                <v:textbox>
                  <w:txbxContent>
                    <w:p w14:paraId="33B02031" w14:textId="61D59744" w:rsidR="00BF5C5A" w:rsidRPr="00FA325B" w:rsidRDefault="00BF5C5A" w:rsidP="00BF5C5A">
                      <w:pPr>
                        <w:rPr>
                          <w:rFonts w:ascii="Calibri" w:hAnsi="Calibri" w:cs="Calibri"/>
                          <w:b/>
                          <w:bCs/>
                          <w:sz w:val="20"/>
                        </w:rPr>
                      </w:pPr>
                      <w:r>
                        <w:rPr>
                          <w:rFonts w:ascii="Calibri" w:hAnsi="Calibri" w:cs="Calibri"/>
                          <w:b/>
                          <w:bCs/>
                          <w:sz w:val="20"/>
                        </w:rPr>
                        <w:t>Jakub Seidler</w:t>
                      </w:r>
                      <w:r w:rsidRPr="00FA325B">
                        <w:rPr>
                          <w:rFonts w:ascii="Calibri" w:hAnsi="Calibri" w:cs="Calibri"/>
                          <w:b/>
                          <w:bCs/>
                          <w:sz w:val="20"/>
                        </w:rPr>
                        <w:t>, hlavní ekonom České bankovní asociace:</w:t>
                      </w:r>
                    </w:p>
                    <w:p w14:paraId="06CFC5A8" w14:textId="2E82C385" w:rsidR="00BF5C5A" w:rsidRPr="00F37DC9" w:rsidRDefault="00BF5C5A" w:rsidP="00BF5C5A">
                      <w:pPr>
                        <w:rPr>
                          <w:rFonts w:ascii="Calibri" w:hAnsi="Calibri" w:cs="Calibri"/>
                          <w:i/>
                          <w:iCs/>
                        </w:rPr>
                      </w:pPr>
                      <w:r>
                        <w:rPr>
                          <w:rFonts w:ascii="Calibri" w:hAnsi="Calibri" w:cs="Calibri"/>
                          <w:i/>
                          <w:iCs/>
                          <w:sz w:val="20"/>
                        </w:rPr>
                        <w:t>„</w:t>
                      </w:r>
                      <w:r w:rsidR="0056335A">
                        <w:rPr>
                          <w:rFonts w:ascii="Calibri" w:hAnsi="Calibri" w:cs="Calibri"/>
                          <w:i/>
                          <w:iCs/>
                          <w:sz w:val="20"/>
                        </w:rPr>
                        <w:t>Ruská agrese na Ukrajině otočila začátkem letošního roku směřování světové ekonomiky a zapříčinila, že po dvou pandemických letech bude ekonomika čelit neméně obtížné situaci i letos</w:t>
                      </w:r>
                      <w:r w:rsidR="00174667">
                        <w:rPr>
                          <w:rFonts w:ascii="Calibri" w:hAnsi="Calibri" w:cs="Calibri"/>
                          <w:i/>
                          <w:iCs/>
                          <w:sz w:val="20"/>
                        </w:rPr>
                        <w:t>.</w:t>
                      </w:r>
                      <w:r w:rsidR="0056335A">
                        <w:rPr>
                          <w:rFonts w:ascii="Calibri" w:hAnsi="Calibri" w:cs="Calibri"/>
                          <w:i/>
                          <w:iCs/>
                          <w:sz w:val="20"/>
                        </w:rPr>
                        <w:t xml:space="preserve"> </w:t>
                      </w:r>
                      <w:r w:rsidR="00C212A4">
                        <w:rPr>
                          <w:rFonts w:ascii="Calibri" w:hAnsi="Calibri" w:cs="Calibri"/>
                          <w:i/>
                          <w:iCs/>
                          <w:sz w:val="20"/>
                        </w:rPr>
                        <w:t>Vysoké ceny energií, problémy v dodavatelských vzta</w:t>
                      </w:r>
                      <w:r w:rsidR="008A1BEE">
                        <w:rPr>
                          <w:rFonts w:ascii="Calibri" w:hAnsi="Calibri" w:cs="Calibri"/>
                          <w:i/>
                          <w:iCs/>
                          <w:sz w:val="20"/>
                        </w:rPr>
                        <w:t>z</w:t>
                      </w:r>
                      <w:r w:rsidR="00C212A4">
                        <w:rPr>
                          <w:rFonts w:ascii="Calibri" w:hAnsi="Calibri" w:cs="Calibri"/>
                          <w:i/>
                          <w:iCs/>
                          <w:sz w:val="20"/>
                        </w:rPr>
                        <w:t>ích a citelný růst cen budou podvazovat ekonomický růst po celý letošní rok</w:t>
                      </w:r>
                      <w:r w:rsidR="0056335A">
                        <w:rPr>
                          <w:rFonts w:ascii="Calibri" w:hAnsi="Calibri" w:cs="Calibri"/>
                          <w:i/>
                          <w:iCs/>
                          <w:sz w:val="20"/>
                        </w:rPr>
                        <w:t>.“</w:t>
                      </w:r>
                    </w:p>
                  </w:txbxContent>
                </v:textbox>
                <w10:wrap type="square" anchorx="margin"/>
              </v:shape>
            </w:pict>
          </mc:Fallback>
        </mc:AlternateContent>
      </w:r>
      <w:r w:rsidR="00A520B1">
        <w:rPr>
          <w:rFonts w:ascii="Calibri" w:hAnsi="Calibri" w:cs="Calibri"/>
          <w:sz w:val="20"/>
        </w:rPr>
        <w:t xml:space="preserve">Postpandemické oživování globální ekonomiky </w:t>
      </w:r>
      <w:r w:rsidR="00187BEF">
        <w:rPr>
          <w:rFonts w:ascii="Calibri" w:hAnsi="Calibri" w:cs="Calibri"/>
          <w:sz w:val="20"/>
        </w:rPr>
        <w:t xml:space="preserve">narušilo </w:t>
      </w:r>
      <w:r w:rsidR="00A520B1">
        <w:rPr>
          <w:rFonts w:ascii="Calibri" w:hAnsi="Calibri" w:cs="Calibri"/>
          <w:sz w:val="20"/>
        </w:rPr>
        <w:t xml:space="preserve">koncem února zahájení </w:t>
      </w:r>
      <w:r w:rsidR="00725BE6">
        <w:rPr>
          <w:rFonts w:ascii="Calibri" w:hAnsi="Calibri" w:cs="Calibri"/>
          <w:sz w:val="20"/>
        </w:rPr>
        <w:t xml:space="preserve">ruské válečné agrese </w:t>
      </w:r>
      <w:r w:rsidR="00A520B1">
        <w:rPr>
          <w:rFonts w:ascii="Calibri" w:hAnsi="Calibri" w:cs="Calibri"/>
          <w:sz w:val="20"/>
        </w:rPr>
        <w:t>na Ukrajině</w:t>
      </w:r>
      <w:r w:rsidR="00187BEF">
        <w:rPr>
          <w:rFonts w:ascii="Calibri" w:hAnsi="Calibri" w:cs="Calibri"/>
          <w:sz w:val="20"/>
        </w:rPr>
        <w:t>.</w:t>
      </w:r>
      <w:r w:rsidR="00A520B1">
        <w:rPr>
          <w:rFonts w:ascii="Calibri" w:hAnsi="Calibri" w:cs="Calibri"/>
          <w:sz w:val="20"/>
        </w:rPr>
        <w:t xml:space="preserve"> </w:t>
      </w:r>
      <w:r w:rsidR="00187BEF">
        <w:rPr>
          <w:rFonts w:ascii="Calibri" w:hAnsi="Calibri" w:cs="Calibri"/>
          <w:sz w:val="20"/>
        </w:rPr>
        <w:t>To</w:t>
      </w:r>
      <w:r w:rsidR="00A520B1">
        <w:rPr>
          <w:rFonts w:ascii="Calibri" w:hAnsi="Calibri" w:cs="Calibri"/>
          <w:sz w:val="20"/>
        </w:rPr>
        <w:t xml:space="preserve"> dosavadní relativně přízniv</w:t>
      </w:r>
      <w:r w:rsidR="00455AD4">
        <w:rPr>
          <w:rFonts w:ascii="Calibri" w:hAnsi="Calibri" w:cs="Calibri"/>
          <w:sz w:val="20"/>
        </w:rPr>
        <w:t xml:space="preserve">á očekávání </w:t>
      </w:r>
      <w:r w:rsidR="004D6922">
        <w:rPr>
          <w:rFonts w:ascii="Calibri" w:hAnsi="Calibri" w:cs="Calibri"/>
          <w:sz w:val="20"/>
        </w:rPr>
        <w:t>ohledně</w:t>
      </w:r>
      <w:r w:rsidR="00725BE6">
        <w:rPr>
          <w:rFonts w:ascii="Calibri" w:hAnsi="Calibri" w:cs="Calibri"/>
          <w:sz w:val="20"/>
        </w:rPr>
        <w:t xml:space="preserve"> budoucího </w:t>
      </w:r>
      <w:r w:rsidR="004D6922">
        <w:rPr>
          <w:rFonts w:ascii="Calibri" w:hAnsi="Calibri" w:cs="Calibri"/>
          <w:sz w:val="20"/>
        </w:rPr>
        <w:t>ekonomického vývoje</w:t>
      </w:r>
      <w:r w:rsidR="00C6774E">
        <w:rPr>
          <w:rFonts w:ascii="Calibri" w:hAnsi="Calibri" w:cs="Calibri"/>
          <w:sz w:val="20"/>
        </w:rPr>
        <w:t xml:space="preserve"> </w:t>
      </w:r>
      <w:r w:rsidR="00187BEF">
        <w:rPr>
          <w:rFonts w:ascii="Calibri" w:hAnsi="Calibri" w:cs="Calibri"/>
          <w:sz w:val="20"/>
        </w:rPr>
        <w:t>úplně změnilo</w:t>
      </w:r>
      <w:r w:rsidR="004D6922">
        <w:rPr>
          <w:rFonts w:ascii="Calibri" w:hAnsi="Calibri" w:cs="Calibri"/>
          <w:sz w:val="20"/>
        </w:rPr>
        <w:t xml:space="preserve">. </w:t>
      </w:r>
      <w:r w:rsidR="007E029B">
        <w:rPr>
          <w:rFonts w:ascii="Calibri" w:hAnsi="Calibri" w:cs="Calibri"/>
          <w:sz w:val="20"/>
        </w:rPr>
        <w:t>K</w:t>
      </w:r>
      <w:r w:rsidR="004D6922">
        <w:rPr>
          <w:rFonts w:ascii="Calibri" w:hAnsi="Calibri" w:cs="Calibri"/>
          <w:sz w:val="20"/>
        </w:rPr>
        <w:t xml:space="preserve">onflikt v Evropě </w:t>
      </w:r>
      <w:r w:rsidR="00725BE6">
        <w:rPr>
          <w:rFonts w:ascii="Calibri" w:hAnsi="Calibri" w:cs="Calibri"/>
          <w:sz w:val="20"/>
        </w:rPr>
        <w:t xml:space="preserve">tohoto rozměru </w:t>
      </w:r>
      <w:r w:rsidR="004D6922">
        <w:rPr>
          <w:rFonts w:ascii="Calibri" w:hAnsi="Calibri" w:cs="Calibri"/>
          <w:sz w:val="20"/>
        </w:rPr>
        <w:t xml:space="preserve">přináší kromě obrovských lidských tragédií řadu nepříznivých </w:t>
      </w:r>
      <w:r w:rsidR="00725BE6">
        <w:rPr>
          <w:rFonts w:ascii="Calibri" w:hAnsi="Calibri" w:cs="Calibri"/>
          <w:sz w:val="20"/>
        </w:rPr>
        <w:t xml:space="preserve">ekonomických </w:t>
      </w:r>
      <w:r w:rsidR="004D6922">
        <w:rPr>
          <w:rFonts w:ascii="Calibri" w:hAnsi="Calibri" w:cs="Calibri"/>
          <w:sz w:val="20"/>
        </w:rPr>
        <w:t>dopadů</w:t>
      </w:r>
      <w:r w:rsidR="007E029B">
        <w:rPr>
          <w:rFonts w:ascii="Calibri" w:hAnsi="Calibri" w:cs="Calibri"/>
          <w:sz w:val="20"/>
        </w:rPr>
        <w:t>.</w:t>
      </w:r>
      <w:r w:rsidR="00725BE6">
        <w:rPr>
          <w:rFonts w:ascii="Calibri" w:hAnsi="Calibri" w:cs="Calibri"/>
          <w:sz w:val="20"/>
        </w:rPr>
        <w:t xml:space="preserve"> Kromě samotného válečného konfliktu situaci</w:t>
      </w:r>
      <w:r w:rsidR="00DD2360">
        <w:rPr>
          <w:rFonts w:ascii="Calibri" w:hAnsi="Calibri" w:cs="Calibri"/>
          <w:sz w:val="20"/>
        </w:rPr>
        <w:t xml:space="preserve"> začala dále</w:t>
      </w:r>
      <w:r w:rsidR="00725BE6">
        <w:rPr>
          <w:rFonts w:ascii="Calibri" w:hAnsi="Calibri" w:cs="Calibri"/>
          <w:sz w:val="20"/>
        </w:rPr>
        <w:t xml:space="preserve"> </w:t>
      </w:r>
      <w:r w:rsidR="00DD2360">
        <w:rPr>
          <w:rFonts w:ascii="Calibri" w:hAnsi="Calibri" w:cs="Calibri"/>
          <w:sz w:val="20"/>
        </w:rPr>
        <w:t xml:space="preserve">komplikovat </w:t>
      </w:r>
      <w:r w:rsidR="00725BE6">
        <w:rPr>
          <w:rFonts w:ascii="Calibri" w:hAnsi="Calibri" w:cs="Calibri"/>
          <w:sz w:val="20"/>
        </w:rPr>
        <w:t xml:space="preserve">pandemická situace a obnovené restrikce v Číně, které </w:t>
      </w:r>
      <w:r w:rsidR="00DD2360">
        <w:rPr>
          <w:rFonts w:ascii="Calibri" w:hAnsi="Calibri" w:cs="Calibri"/>
          <w:sz w:val="20"/>
        </w:rPr>
        <w:t xml:space="preserve">zhoršují </w:t>
      </w:r>
      <w:r w:rsidR="00725BE6">
        <w:rPr>
          <w:rFonts w:ascii="Calibri" w:hAnsi="Calibri" w:cs="Calibri"/>
          <w:sz w:val="20"/>
        </w:rPr>
        <w:t xml:space="preserve">dodávky potřebných komponent v globálním výrobním řetězci. </w:t>
      </w:r>
      <w:r w:rsidR="00DD2360">
        <w:rPr>
          <w:rFonts w:ascii="Calibri" w:hAnsi="Calibri" w:cs="Calibri"/>
          <w:sz w:val="20"/>
        </w:rPr>
        <w:t xml:space="preserve">Globální ekonomika tak letos zpomalí, přitom nejistota jakýchkoli </w:t>
      </w:r>
      <w:r>
        <w:rPr>
          <w:rFonts w:ascii="Calibri" w:hAnsi="Calibri" w:cs="Calibri"/>
          <w:sz w:val="20"/>
        </w:rPr>
        <w:t xml:space="preserve">ekonomických </w:t>
      </w:r>
      <w:r w:rsidR="00DD2360">
        <w:rPr>
          <w:rFonts w:ascii="Calibri" w:hAnsi="Calibri" w:cs="Calibri"/>
          <w:sz w:val="20"/>
        </w:rPr>
        <w:t>výhledů je v současnosti mimořádná.</w:t>
      </w:r>
      <w:r>
        <w:rPr>
          <w:rFonts w:ascii="Calibri" w:hAnsi="Calibri" w:cs="Calibri"/>
          <w:sz w:val="20"/>
        </w:rPr>
        <w:t xml:space="preserve"> </w:t>
      </w:r>
    </w:p>
    <w:p w14:paraId="10FEB783" w14:textId="322E5AB5" w:rsidR="002C752B" w:rsidRDefault="00AB39A4" w:rsidP="00AB39A4">
      <w:pPr>
        <w:rPr>
          <w:rFonts w:ascii="Calibri" w:hAnsi="Calibri" w:cs="Calibri"/>
          <w:b/>
          <w:color w:val="13576B"/>
          <w:sz w:val="22"/>
          <w:szCs w:val="22"/>
        </w:rPr>
      </w:pPr>
      <w:bookmarkStart w:id="0" w:name="_Hlk87441833"/>
      <w:r>
        <w:rPr>
          <w:rFonts w:ascii="Calibri" w:hAnsi="Calibri" w:cs="Calibri"/>
          <w:b/>
          <w:color w:val="13576B"/>
          <w:sz w:val="22"/>
          <w:szCs w:val="22"/>
        </w:rPr>
        <w:t xml:space="preserve">Růst tuzemské ekonomiky </w:t>
      </w:r>
      <w:r w:rsidR="00335332">
        <w:rPr>
          <w:rFonts w:ascii="Calibri" w:hAnsi="Calibri" w:cs="Calibri"/>
          <w:b/>
          <w:color w:val="13576B"/>
          <w:sz w:val="22"/>
          <w:szCs w:val="22"/>
        </w:rPr>
        <w:t xml:space="preserve">by se měl letos udržet </w:t>
      </w:r>
      <w:r w:rsidR="002C752B">
        <w:rPr>
          <w:rFonts w:ascii="Calibri" w:hAnsi="Calibri" w:cs="Calibri"/>
          <w:b/>
          <w:color w:val="13576B"/>
          <w:sz w:val="22"/>
          <w:szCs w:val="22"/>
        </w:rPr>
        <w:t>mírně pod</w:t>
      </w:r>
      <w:r w:rsidR="00335332">
        <w:rPr>
          <w:rFonts w:ascii="Calibri" w:hAnsi="Calibri" w:cs="Calibri"/>
          <w:b/>
          <w:color w:val="13576B"/>
          <w:sz w:val="22"/>
          <w:szCs w:val="22"/>
        </w:rPr>
        <w:t xml:space="preserve"> </w:t>
      </w:r>
      <w:r w:rsidR="002C752B">
        <w:rPr>
          <w:rFonts w:ascii="Calibri" w:hAnsi="Calibri" w:cs="Calibri"/>
          <w:b/>
          <w:color w:val="13576B"/>
          <w:sz w:val="22"/>
          <w:szCs w:val="22"/>
        </w:rPr>
        <w:t>2</w:t>
      </w:r>
      <w:r w:rsidR="00335332">
        <w:rPr>
          <w:rFonts w:ascii="Calibri" w:hAnsi="Calibri" w:cs="Calibri"/>
          <w:b/>
          <w:color w:val="13576B"/>
          <w:sz w:val="22"/>
          <w:szCs w:val="22"/>
        </w:rPr>
        <w:t xml:space="preserve"> %</w:t>
      </w:r>
      <w:bookmarkEnd w:id="0"/>
    </w:p>
    <w:p w14:paraId="53647E43" w14:textId="692AFED2" w:rsidR="00675EBD" w:rsidRDefault="00495A30" w:rsidP="00AB39A4">
      <w:pPr>
        <w:rPr>
          <w:rFonts w:ascii="Calibri" w:hAnsi="Calibri" w:cs="Calibri"/>
          <w:sz w:val="20"/>
        </w:rPr>
      </w:pPr>
      <w:r w:rsidRPr="00495A30">
        <w:rPr>
          <w:rFonts w:ascii="Calibri" w:hAnsi="Calibri" w:cs="Calibri"/>
          <w:b/>
          <w:bCs/>
          <w:sz w:val="20"/>
        </w:rPr>
        <w:t xml:space="preserve">Růst tuzemské ekonomiky </w:t>
      </w:r>
      <w:r w:rsidR="00B3068D">
        <w:rPr>
          <w:rFonts w:ascii="Calibri" w:hAnsi="Calibri" w:cs="Calibri"/>
          <w:b/>
          <w:bCs/>
          <w:sz w:val="20"/>
        </w:rPr>
        <w:t xml:space="preserve">dle nové prognózy ČBA </w:t>
      </w:r>
      <w:r w:rsidRPr="00495A30">
        <w:rPr>
          <w:rFonts w:ascii="Calibri" w:hAnsi="Calibri" w:cs="Calibri"/>
          <w:b/>
          <w:bCs/>
          <w:sz w:val="20"/>
        </w:rPr>
        <w:t>v letošním roce</w:t>
      </w:r>
      <w:r w:rsidR="00A9273C">
        <w:rPr>
          <w:rFonts w:ascii="Calibri" w:hAnsi="Calibri" w:cs="Calibri"/>
          <w:b/>
          <w:bCs/>
          <w:sz w:val="20"/>
        </w:rPr>
        <w:t xml:space="preserve"> zpomalí oproti původním odhadům na polovinu. Zatímco předchozí prognóza z počátku února předpokládala růst o 3,7 %, ta současná ho odhaduje na 1,8 %. </w:t>
      </w:r>
      <w:r w:rsidR="00A9273C">
        <w:rPr>
          <w:rFonts w:ascii="Calibri" w:hAnsi="Calibri" w:cs="Calibri"/>
          <w:sz w:val="20"/>
        </w:rPr>
        <w:t>Odhad pro letošní rok je tak v tomto ohledu mírně optimističtější ve srovnání s poslední prognózou ČNB či ministerstva financí. To je však dáno i tím, že prognóza ČBA při svém vzniku již znala odhad růstu za první čtvrtletí, který překvapil nad očekávání, a byl silnější ve srovnání s předpokladem prognóz ministerstva i centrální banky.</w:t>
      </w:r>
      <w:r w:rsidR="002C752B" w:rsidRPr="002C752B">
        <w:rPr>
          <w:rFonts w:ascii="Calibri" w:hAnsi="Calibri" w:cs="Calibri"/>
          <w:sz w:val="20"/>
        </w:rPr>
        <w:t xml:space="preserve"> </w:t>
      </w:r>
      <w:r w:rsidR="002C752B">
        <w:rPr>
          <w:rFonts w:ascii="Calibri" w:hAnsi="Calibri" w:cs="Calibri"/>
          <w:sz w:val="20"/>
        </w:rPr>
        <w:t xml:space="preserve">Na meziroční dynamiku pak bude působit také nízká srovnávací základna z minulého roku. Pokud by tuzemská ekonomika v celém letošním roce z mezičtvrtletního pohledu jen stagnovala, i tak by </w:t>
      </w:r>
      <w:r w:rsidR="00857D12">
        <w:rPr>
          <w:rFonts w:ascii="Calibri" w:hAnsi="Calibri" w:cs="Calibri"/>
          <w:sz w:val="20"/>
        </w:rPr>
        <w:t xml:space="preserve">meziročně rostla </w:t>
      </w:r>
      <w:r w:rsidR="002C752B">
        <w:rPr>
          <w:rFonts w:ascii="Calibri" w:hAnsi="Calibri" w:cs="Calibri"/>
          <w:sz w:val="20"/>
        </w:rPr>
        <w:t>téměř o 2 %.</w:t>
      </w:r>
      <w:r w:rsidR="00A9273C">
        <w:rPr>
          <w:rFonts w:ascii="Calibri" w:hAnsi="Calibri" w:cs="Calibri"/>
          <w:sz w:val="20"/>
        </w:rPr>
        <w:t xml:space="preserve"> </w:t>
      </w:r>
      <w:r w:rsidR="00324583">
        <w:rPr>
          <w:rFonts w:ascii="Calibri" w:hAnsi="Calibri" w:cs="Calibri"/>
          <w:sz w:val="20"/>
        </w:rPr>
        <w:t xml:space="preserve">Navzdory </w:t>
      </w:r>
      <w:r w:rsidR="00A9273C">
        <w:rPr>
          <w:rFonts w:ascii="Calibri" w:hAnsi="Calibri" w:cs="Calibri"/>
          <w:sz w:val="20"/>
        </w:rPr>
        <w:t>příznivějš</w:t>
      </w:r>
      <w:r w:rsidR="00324583">
        <w:rPr>
          <w:rFonts w:ascii="Calibri" w:hAnsi="Calibri" w:cs="Calibri"/>
          <w:sz w:val="20"/>
        </w:rPr>
        <w:t>ímu</w:t>
      </w:r>
      <w:r w:rsidR="00A9273C">
        <w:rPr>
          <w:rFonts w:ascii="Calibri" w:hAnsi="Calibri" w:cs="Calibri"/>
          <w:sz w:val="20"/>
        </w:rPr>
        <w:t xml:space="preserve"> výsledku prvního čtvrtletí prognóz</w:t>
      </w:r>
      <w:r w:rsidR="00324583">
        <w:rPr>
          <w:rFonts w:ascii="Calibri" w:hAnsi="Calibri" w:cs="Calibri"/>
          <w:sz w:val="20"/>
        </w:rPr>
        <w:t>a</w:t>
      </w:r>
      <w:r w:rsidR="00A9273C">
        <w:rPr>
          <w:rFonts w:ascii="Calibri" w:hAnsi="Calibri" w:cs="Calibri"/>
          <w:sz w:val="20"/>
        </w:rPr>
        <w:t xml:space="preserve"> předpokládá</w:t>
      </w:r>
      <w:r w:rsidR="00324583">
        <w:rPr>
          <w:rFonts w:ascii="Calibri" w:hAnsi="Calibri" w:cs="Calibri"/>
          <w:sz w:val="20"/>
        </w:rPr>
        <w:t xml:space="preserve"> mezičtvrtletní propad ekonomiky </w:t>
      </w:r>
      <w:r w:rsidR="00A9273C">
        <w:rPr>
          <w:rFonts w:ascii="Calibri" w:hAnsi="Calibri" w:cs="Calibri"/>
          <w:sz w:val="20"/>
        </w:rPr>
        <w:t xml:space="preserve">ve druhém </w:t>
      </w:r>
      <w:r w:rsidR="00324583">
        <w:rPr>
          <w:rFonts w:ascii="Calibri" w:hAnsi="Calibri" w:cs="Calibri"/>
          <w:sz w:val="20"/>
        </w:rPr>
        <w:t xml:space="preserve">a třetím </w:t>
      </w:r>
      <w:r w:rsidR="00A9273C">
        <w:rPr>
          <w:rFonts w:ascii="Calibri" w:hAnsi="Calibri" w:cs="Calibri"/>
          <w:sz w:val="20"/>
        </w:rPr>
        <w:t>čtvrtletí</w:t>
      </w:r>
      <w:r w:rsidR="00324583">
        <w:rPr>
          <w:rFonts w:ascii="Calibri" w:hAnsi="Calibri" w:cs="Calibri"/>
          <w:sz w:val="20"/>
        </w:rPr>
        <w:t>. Meziroční růst ekonomiky se tak bude pohybovat v druhé polovině letošního roku poblíž nuly a některé prognózy</w:t>
      </w:r>
      <w:r w:rsidR="008A1BEE">
        <w:rPr>
          <w:rFonts w:ascii="Calibri" w:hAnsi="Calibri" w:cs="Calibri"/>
          <w:sz w:val="20"/>
        </w:rPr>
        <w:t xml:space="preserve"> </w:t>
      </w:r>
      <w:r w:rsidR="00324583">
        <w:rPr>
          <w:rFonts w:ascii="Calibri" w:hAnsi="Calibri" w:cs="Calibri"/>
          <w:sz w:val="20"/>
        </w:rPr>
        <w:t>bank čekají i mírný pokles.</w:t>
      </w:r>
    </w:p>
    <w:p w14:paraId="720E7AF8" w14:textId="77777777" w:rsidR="002B1A4A" w:rsidRDefault="002B1A4A" w:rsidP="00AB39A4">
      <w:pPr>
        <w:rPr>
          <w:rFonts w:ascii="Calibri" w:hAnsi="Calibri" w:cs="Calibri"/>
          <w:b/>
          <w:bCs/>
          <w:sz w:val="20"/>
        </w:rPr>
      </w:pPr>
    </w:p>
    <w:p w14:paraId="16F1DEC6" w14:textId="317EA205" w:rsidR="00AB39A4" w:rsidRDefault="00324583" w:rsidP="00AB39A4">
      <w:pPr>
        <w:rPr>
          <w:rFonts w:ascii="Calibri" w:hAnsi="Calibri" w:cs="Calibri"/>
          <w:sz w:val="20"/>
        </w:rPr>
      </w:pPr>
      <w:r>
        <w:rPr>
          <w:rFonts w:ascii="Calibri" w:hAnsi="Calibri" w:cs="Calibri"/>
          <w:b/>
          <w:bCs/>
          <w:sz w:val="20"/>
        </w:rPr>
        <w:t>Struktura růstu bude ovlivněna výraznou eskalací nejistoty, citelně tak zpomalí investice a spotřeba domácností</w:t>
      </w:r>
      <w:r w:rsidR="000F39C3">
        <w:rPr>
          <w:rFonts w:ascii="Calibri" w:hAnsi="Calibri" w:cs="Calibri"/>
          <w:sz w:val="20"/>
        </w:rPr>
        <w:t xml:space="preserve">. </w:t>
      </w:r>
      <w:r w:rsidR="0010643C">
        <w:rPr>
          <w:rFonts w:ascii="Calibri" w:hAnsi="Calibri" w:cs="Calibri"/>
          <w:sz w:val="20"/>
        </w:rPr>
        <w:t>Poslední indikátory důvěry naznačují, že současnou situaci vnímají domácnosti velmi negativně a důvěra mezi spotřebiteli se v průběhu března a dubna dostala na slabší úroveň, než byla v době pandemie. Lze tak očekávat, že spotřeba domácností citelně zabrzdí, ačkoli část domácností bude zvýšen</w:t>
      </w:r>
      <w:r w:rsidR="00C05857">
        <w:rPr>
          <w:rFonts w:ascii="Calibri" w:hAnsi="Calibri" w:cs="Calibri"/>
          <w:sz w:val="20"/>
        </w:rPr>
        <w:t>é</w:t>
      </w:r>
      <w:r w:rsidR="0010643C">
        <w:rPr>
          <w:rFonts w:ascii="Calibri" w:hAnsi="Calibri" w:cs="Calibri"/>
          <w:sz w:val="20"/>
        </w:rPr>
        <w:t xml:space="preserve"> náklady pokrývat ze svých úspor. Nemalou roli pak mohou hrát zesílené transfery států, které budou pomáhat nejvíce ohroženým skupinám domácností</w:t>
      </w:r>
      <w:r w:rsidR="00F00B3C">
        <w:rPr>
          <w:rFonts w:ascii="Calibri" w:hAnsi="Calibri" w:cs="Calibri"/>
          <w:sz w:val="20"/>
        </w:rPr>
        <w:t>.</w:t>
      </w:r>
      <w:r w:rsidR="00A757DD">
        <w:rPr>
          <w:rFonts w:ascii="Calibri" w:hAnsi="Calibri" w:cs="Calibri"/>
          <w:sz w:val="20"/>
        </w:rPr>
        <w:t xml:space="preserve"> </w:t>
      </w:r>
      <w:r w:rsidR="0010643C">
        <w:rPr>
          <w:rFonts w:ascii="Calibri" w:hAnsi="Calibri" w:cs="Calibri"/>
          <w:sz w:val="20"/>
        </w:rPr>
        <w:t>Nejistota bude citelně doléhat na investiční aktivitu firem, kter</w:t>
      </w:r>
      <w:r w:rsidR="00E82950">
        <w:rPr>
          <w:rFonts w:ascii="Calibri" w:hAnsi="Calibri" w:cs="Calibri"/>
          <w:sz w:val="20"/>
        </w:rPr>
        <w:t>á</w:t>
      </w:r>
      <w:r w:rsidR="0010643C">
        <w:rPr>
          <w:rFonts w:ascii="Calibri" w:hAnsi="Calibri" w:cs="Calibri"/>
          <w:sz w:val="20"/>
        </w:rPr>
        <w:t xml:space="preserve"> oproti předchozí prognóze také výrazně zvolní. Vzhledem k určitým vynuceným investicím v oblasti energetiky a vysokým nákladům </w:t>
      </w:r>
      <w:r w:rsidR="00E82950">
        <w:rPr>
          <w:rFonts w:ascii="Calibri" w:hAnsi="Calibri" w:cs="Calibri"/>
          <w:sz w:val="20"/>
        </w:rPr>
        <w:t>plynoucí</w:t>
      </w:r>
      <w:r w:rsidR="008A1BEE">
        <w:rPr>
          <w:rFonts w:ascii="Calibri" w:hAnsi="Calibri" w:cs="Calibri"/>
          <w:sz w:val="20"/>
        </w:rPr>
        <w:t>m</w:t>
      </w:r>
      <w:r w:rsidR="00E82950">
        <w:rPr>
          <w:rFonts w:ascii="Calibri" w:hAnsi="Calibri" w:cs="Calibri"/>
          <w:sz w:val="20"/>
        </w:rPr>
        <w:t xml:space="preserve"> z pozastavení rozjetých investi</w:t>
      </w:r>
      <w:r w:rsidR="00C05857">
        <w:rPr>
          <w:rFonts w:ascii="Calibri" w:hAnsi="Calibri" w:cs="Calibri"/>
          <w:sz w:val="20"/>
        </w:rPr>
        <w:t>čních projektů</w:t>
      </w:r>
      <w:r w:rsidR="00E82950">
        <w:rPr>
          <w:rFonts w:ascii="Calibri" w:hAnsi="Calibri" w:cs="Calibri"/>
          <w:sz w:val="20"/>
        </w:rPr>
        <w:t xml:space="preserve"> </w:t>
      </w:r>
      <w:r w:rsidR="008E0A13">
        <w:rPr>
          <w:rFonts w:ascii="Calibri" w:hAnsi="Calibri" w:cs="Calibri"/>
          <w:sz w:val="20"/>
        </w:rPr>
        <w:t>ale</w:t>
      </w:r>
      <w:r w:rsidR="00E82950">
        <w:rPr>
          <w:rFonts w:ascii="Calibri" w:hAnsi="Calibri" w:cs="Calibri"/>
          <w:sz w:val="20"/>
        </w:rPr>
        <w:t xml:space="preserve"> prognóza čeká u investic mírný růst. I s ním však bude investiční aktivita v roce 2022 stále téměř 5 % pod úrovní roku 2019. </w:t>
      </w:r>
    </w:p>
    <w:p w14:paraId="395BA904" w14:textId="77777777" w:rsidR="00146F24" w:rsidRDefault="00146F24" w:rsidP="00AB39A4">
      <w:pPr>
        <w:rPr>
          <w:rFonts w:ascii="Calibri" w:hAnsi="Calibri" w:cs="Calibri"/>
          <w:sz w:val="20"/>
        </w:rPr>
      </w:pPr>
    </w:p>
    <w:p w14:paraId="65A54C45" w14:textId="7EF5FD9C" w:rsidR="002B1A4A" w:rsidRDefault="00F110B1" w:rsidP="002B1A4A">
      <w:pPr>
        <w:keepNext/>
        <w:rPr>
          <w:rFonts w:ascii="Calibri" w:hAnsi="Calibri" w:cs="Calibri"/>
          <w:b/>
          <w:color w:val="13576B"/>
          <w:sz w:val="22"/>
          <w:szCs w:val="22"/>
        </w:rPr>
      </w:pPr>
      <w:r>
        <w:rPr>
          <w:rFonts w:ascii="Calibri" w:hAnsi="Calibri" w:cs="Calibri"/>
          <w:b/>
          <w:color w:val="13576B"/>
          <w:sz w:val="22"/>
          <w:szCs w:val="22"/>
        </w:rPr>
        <w:lastRenderedPageBreak/>
        <w:t>L</w:t>
      </w:r>
      <w:r w:rsidR="002C5839">
        <w:rPr>
          <w:rFonts w:ascii="Calibri" w:hAnsi="Calibri" w:cs="Calibri"/>
          <w:b/>
          <w:color w:val="13576B"/>
          <w:sz w:val="22"/>
          <w:szCs w:val="22"/>
        </w:rPr>
        <w:t xml:space="preserve">etos reálné mzdy </w:t>
      </w:r>
      <w:r w:rsidR="00B20BCD">
        <w:rPr>
          <w:rFonts w:ascii="Calibri" w:hAnsi="Calibri" w:cs="Calibri"/>
          <w:b/>
          <w:color w:val="13576B"/>
          <w:sz w:val="22"/>
          <w:szCs w:val="22"/>
        </w:rPr>
        <w:t xml:space="preserve">citelně </w:t>
      </w:r>
      <w:r w:rsidR="002C5839">
        <w:rPr>
          <w:rFonts w:ascii="Calibri" w:hAnsi="Calibri" w:cs="Calibri"/>
          <w:b/>
          <w:color w:val="13576B"/>
          <w:sz w:val="22"/>
          <w:szCs w:val="22"/>
        </w:rPr>
        <w:t xml:space="preserve">poklesnou, v příštím roce již čekáme jejich </w:t>
      </w:r>
      <w:r w:rsidR="00B20BCD">
        <w:rPr>
          <w:rFonts w:ascii="Calibri" w:hAnsi="Calibri" w:cs="Calibri"/>
          <w:b/>
          <w:color w:val="13576B"/>
          <w:sz w:val="22"/>
          <w:szCs w:val="22"/>
        </w:rPr>
        <w:t xml:space="preserve">mírný </w:t>
      </w:r>
      <w:r w:rsidR="002C5839">
        <w:rPr>
          <w:rFonts w:ascii="Calibri" w:hAnsi="Calibri" w:cs="Calibri"/>
          <w:b/>
          <w:color w:val="13576B"/>
          <w:sz w:val="22"/>
          <w:szCs w:val="22"/>
        </w:rPr>
        <w:t>růst</w:t>
      </w:r>
    </w:p>
    <w:p w14:paraId="1091B578" w14:textId="2B31D5EF" w:rsidR="00D30A6F" w:rsidRPr="002B1A4A" w:rsidRDefault="00E63F7F" w:rsidP="00B4285D">
      <w:pPr>
        <w:rPr>
          <w:rFonts w:ascii="Calibri" w:hAnsi="Calibri" w:cs="Calibri"/>
          <w:b/>
          <w:color w:val="13576B"/>
          <w:sz w:val="22"/>
          <w:szCs w:val="22"/>
        </w:rPr>
      </w:pPr>
      <w:r w:rsidRPr="00C15C17">
        <w:rPr>
          <w:noProof/>
          <w:sz w:val="20"/>
        </w:rPr>
        <mc:AlternateContent>
          <mc:Choice Requires="wps">
            <w:drawing>
              <wp:anchor distT="45720" distB="45720" distL="114300" distR="114300" simplePos="0" relativeHeight="251666432" behindDoc="0" locked="0" layoutInCell="1" allowOverlap="1" wp14:anchorId="6D58E977" wp14:editId="25E217B6">
                <wp:simplePos x="0" y="0"/>
                <wp:positionH relativeFrom="margin">
                  <wp:align>right</wp:align>
                </wp:positionH>
                <wp:positionV relativeFrom="paragraph">
                  <wp:posOffset>1489962</wp:posOffset>
                </wp:positionV>
                <wp:extent cx="6461760" cy="581025"/>
                <wp:effectExtent l="0" t="0" r="15240" b="2857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81025"/>
                        </a:xfrm>
                        <a:prstGeom prst="rect">
                          <a:avLst/>
                        </a:prstGeom>
                        <a:solidFill>
                          <a:srgbClr val="FFFFFF"/>
                        </a:solidFill>
                        <a:ln w="9525">
                          <a:solidFill>
                            <a:srgbClr val="000000"/>
                          </a:solidFill>
                          <a:miter lim="800000"/>
                          <a:headEnd/>
                          <a:tailEnd/>
                        </a:ln>
                      </wps:spPr>
                      <wps:txbx>
                        <w:txbxContent>
                          <w:p w14:paraId="0C09B0EA" w14:textId="77777777" w:rsidR="00B20BCD" w:rsidRDefault="00B20BCD" w:rsidP="00BA4F26">
                            <w:pPr>
                              <w:rPr>
                                <w:rFonts w:ascii="Calibri" w:hAnsi="Calibri" w:cs="Calibri"/>
                                <w:b/>
                                <w:bCs/>
                                <w:sz w:val="20"/>
                              </w:rPr>
                            </w:pPr>
                            <w:r>
                              <w:rPr>
                                <w:rFonts w:ascii="Calibri" w:hAnsi="Calibri" w:cs="Calibri"/>
                                <w:b/>
                                <w:bCs/>
                                <w:sz w:val="20"/>
                              </w:rPr>
                              <w:t>Petr Gapko</w:t>
                            </w:r>
                            <w:r w:rsidRPr="00DA61AD">
                              <w:rPr>
                                <w:rFonts w:ascii="Calibri" w:hAnsi="Calibri" w:cs="Calibri"/>
                                <w:b/>
                                <w:bCs/>
                                <w:sz w:val="20"/>
                              </w:rPr>
                              <w:t>, hlavní ekonom MONETA Money Bank:</w:t>
                            </w:r>
                          </w:p>
                          <w:p w14:paraId="3D18E4A1" w14:textId="271512DD" w:rsidR="00F01F41" w:rsidRPr="00F37DC9" w:rsidRDefault="00EE53AB" w:rsidP="00C93EFF">
                            <w:pPr>
                              <w:rPr>
                                <w:rFonts w:ascii="Calibri" w:hAnsi="Calibri" w:cs="Calibri"/>
                                <w:i/>
                                <w:iCs/>
                              </w:rPr>
                            </w:pPr>
                            <w:r>
                              <w:rPr>
                                <w:rFonts w:ascii="Calibri" w:hAnsi="Calibri" w:cs="Calibri"/>
                                <w:i/>
                                <w:iCs/>
                                <w:sz w:val="20"/>
                              </w:rPr>
                              <w:t>„</w:t>
                            </w:r>
                            <w:r w:rsidRPr="00EE53AB">
                              <w:rPr>
                                <w:rFonts w:ascii="Calibri" w:hAnsi="Calibri" w:cs="Calibri"/>
                                <w:i/>
                                <w:iCs/>
                                <w:sz w:val="20"/>
                              </w:rPr>
                              <w:t>Aspekty spojené zejména s válkou na Ukrajině způsobují, že růst cen je stále vnímán jako největší makroekonomické riziko letošního roku. Česká populace musí přijmout fakt, že reálné mzdy letos klesnou, což bude mít dopad do životní úrovně</w:t>
                            </w:r>
                            <w:r w:rsidR="006A00DF">
                              <w:rPr>
                                <w:rFonts w:ascii="Calibri" w:hAnsi="Calibri" w:cs="Calibri"/>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E977" id="Textové pole 1" o:spid="_x0000_s1027" type="#_x0000_t202" style="position:absolute;left:0;text-align:left;margin-left:457.6pt;margin-top:117.3pt;width:508.8pt;height:45.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">
                <v:textbox>
                  <w:txbxContent>
                    <w:p w14:paraId="0C09B0EA" w14:textId="77777777" w:rsidR="00B20BCD" w:rsidRDefault="00B20BCD" w:rsidP="00BA4F26">
                      <w:pPr>
                        <w:rPr>
                          <w:rFonts w:ascii="Calibri" w:hAnsi="Calibri" w:cs="Calibri"/>
                          <w:b/>
                          <w:bCs/>
                          <w:sz w:val="20"/>
                        </w:rPr>
                      </w:pPr>
                      <w:r>
                        <w:rPr>
                          <w:rFonts w:ascii="Calibri" w:hAnsi="Calibri" w:cs="Calibri"/>
                          <w:b/>
                          <w:bCs/>
                          <w:sz w:val="20"/>
                        </w:rPr>
                        <w:t>Petr Gapko</w:t>
                      </w:r>
                      <w:r w:rsidRPr="00DA61AD">
                        <w:rPr>
                          <w:rFonts w:ascii="Calibri" w:hAnsi="Calibri" w:cs="Calibri"/>
                          <w:b/>
                          <w:bCs/>
                          <w:sz w:val="20"/>
                        </w:rPr>
                        <w:t>, hlavní ekonom MONETA Money Bank:</w:t>
                      </w:r>
                    </w:p>
                    <w:p w14:paraId="3D18E4A1" w14:textId="271512DD" w:rsidR="00F01F41" w:rsidRPr="00F37DC9" w:rsidRDefault="00EE53AB" w:rsidP="00C93EFF">
                      <w:pPr>
                        <w:rPr>
                          <w:rFonts w:ascii="Calibri" w:hAnsi="Calibri" w:cs="Calibri"/>
                          <w:i/>
                          <w:iCs/>
                        </w:rPr>
                      </w:pPr>
                      <w:r>
                        <w:rPr>
                          <w:rFonts w:ascii="Calibri" w:hAnsi="Calibri" w:cs="Calibri"/>
                          <w:i/>
                          <w:iCs/>
                          <w:sz w:val="20"/>
                        </w:rPr>
                        <w:t>„</w:t>
                      </w:r>
                      <w:r w:rsidRPr="00EE53AB">
                        <w:rPr>
                          <w:rFonts w:ascii="Calibri" w:hAnsi="Calibri" w:cs="Calibri"/>
                          <w:i/>
                          <w:iCs/>
                          <w:sz w:val="20"/>
                        </w:rPr>
                        <w:t>Aspekty spojené zejména s válkou na Ukrajině způsobují, že růst cen je stále vnímán jako největší makroekonomické riziko letošního roku. Česká populace musí přijmout fakt, že reálné mzdy letos klesnou, což bude mít dopad do životní úrovně</w:t>
                      </w:r>
                      <w:r w:rsidR="006A00DF">
                        <w:rPr>
                          <w:rFonts w:ascii="Calibri" w:hAnsi="Calibri" w:cs="Calibri"/>
                          <w:i/>
                          <w:iCs/>
                          <w:sz w:val="20"/>
                        </w:rPr>
                        <w:t>.“</w:t>
                      </w:r>
                    </w:p>
                  </w:txbxContent>
                </v:textbox>
                <w10:wrap type="square" anchorx="margin"/>
              </v:shape>
            </w:pict>
          </mc:Fallback>
        </mc:AlternateContent>
      </w:r>
      <w:r w:rsidR="00B20BCD">
        <w:rPr>
          <w:rFonts w:ascii="Calibri" w:hAnsi="Calibri" w:cs="Calibri"/>
          <w:sz w:val="20"/>
        </w:rPr>
        <w:t xml:space="preserve">Navzdory současné nejistotě </w:t>
      </w:r>
      <w:r w:rsidR="00120A0D">
        <w:rPr>
          <w:rFonts w:ascii="Calibri" w:hAnsi="Calibri" w:cs="Calibri"/>
          <w:sz w:val="20"/>
        </w:rPr>
        <w:t xml:space="preserve">zůstává </w:t>
      </w:r>
      <w:r w:rsidR="00B20BCD">
        <w:rPr>
          <w:rFonts w:ascii="Calibri" w:hAnsi="Calibri" w:cs="Calibri"/>
          <w:sz w:val="20"/>
        </w:rPr>
        <w:t>trh práce nadále přehřát</w:t>
      </w:r>
      <w:r w:rsidR="008A1BEE">
        <w:rPr>
          <w:rFonts w:ascii="Calibri" w:hAnsi="Calibri" w:cs="Calibri"/>
          <w:sz w:val="20"/>
        </w:rPr>
        <w:t>ý</w:t>
      </w:r>
      <w:r w:rsidR="00B20BCD">
        <w:rPr>
          <w:rFonts w:ascii="Calibri" w:hAnsi="Calibri" w:cs="Calibri"/>
          <w:sz w:val="20"/>
        </w:rPr>
        <w:t xml:space="preserve"> a míra nezaměstnanosti nejnižší v zemích EU. Ačkoli dubnový podíl nezaměstnaných osob poklesl méně, než bývá v tuto dobu obvyklé, známky oslabování trhu práce jsou prozatím jen nepatrné. </w:t>
      </w:r>
      <w:r w:rsidR="00A22DEF">
        <w:rPr>
          <w:rFonts w:ascii="Calibri" w:hAnsi="Calibri" w:cs="Calibri"/>
          <w:sz w:val="20"/>
        </w:rPr>
        <w:t xml:space="preserve">Prognózy ekonomů panelu </w:t>
      </w:r>
      <w:r w:rsidR="007251C1">
        <w:rPr>
          <w:rFonts w:ascii="Calibri" w:hAnsi="Calibri" w:cs="Calibri"/>
          <w:sz w:val="20"/>
        </w:rPr>
        <w:t xml:space="preserve">ale </w:t>
      </w:r>
      <w:r w:rsidR="00A22DEF">
        <w:rPr>
          <w:rFonts w:ascii="Calibri" w:hAnsi="Calibri" w:cs="Calibri"/>
          <w:sz w:val="20"/>
        </w:rPr>
        <w:t xml:space="preserve">byly v tomto ohledu nejednotné, zatímco některé předpokládají letos růst podílu nezaměstnaných, jiné čekají další mírný pokles. Konsensus pak očekává snížení podílu nezaměstnaných osob v letošním roce na 3,4 % a další mírný pokles v příštím roce. </w:t>
      </w:r>
      <w:r w:rsidR="00C05857">
        <w:rPr>
          <w:rFonts w:ascii="Calibri" w:hAnsi="Calibri" w:cs="Calibri"/>
          <w:sz w:val="20"/>
        </w:rPr>
        <w:t>Významná n</w:t>
      </w:r>
      <w:r w:rsidR="00A22DEF">
        <w:rPr>
          <w:rFonts w:ascii="Calibri" w:hAnsi="Calibri" w:cs="Calibri"/>
          <w:sz w:val="20"/>
        </w:rPr>
        <w:t xml:space="preserve">ejistota ohledně vývoje na trhu práce je však </w:t>
      </w:r>
      <w:r w:rsidR="003E2BA3">
        <w:rPr>
          <w:rFonts w:ascii="Calibri" w:hAnsi="Calibri" w:cs="Calibri"/>
          <w:sz w:val="20"/>
        </w:rPr>
        <w:t xml:space="preserve">patrná </w:t>
      </w:r>
      <w:r w:rsidR="00FC3DEC">
        <w:rPr>
          <w:rFonts w:ascii="Calibri" w:hAnsi="Calibri" w:cs="Calibri"/>
          <w:sz w:val="20"/>
        </w:rPr>
        <w:t>i</w:t>
      </w:r>
      <w:r w:rsidR="003E2BA3">
        <w:rPr>
          <w:rFonts w:ascii="Calibri" w:hAnsi="Calibri" w:cs="Calibri"/>
          <w:sz w:val="20"/>
        </w:rPr>
        <w:t xml:space="preserve"> pro odhady příštího roku.</w:t>
      </w:r>
      <w:r w:rsidR="00D30A6F">
        <w:rPr>
          <w:rFonts w:ascii="Calibri" w:hAnsi="Calibri" w:cs="Calibri"/>
          <w:sz w:val="20"/>
        </w:rPr>
        <w:t xml:space="preserve"> </w:t>
      </w:r>
      <w:r w:rsidR="00FC3DEC">
        <w:rPr>
          <w:rFonts w:ascii="Calibri" w:hAnsi="Calibri" w:cs="Calibri"/>
          <w:sz w:val="20"/>
        </w:rPr>
        <w:t>P</w:t>
      </w:r>
      <w:r w:rsidR="004F09E3">
        <w:rPr>
          <w:rFonts w:ascii="Calibri" w:hAnsi="Calibri" w:cs="Calibri"/>
          <w:sz w:val="20"/>
        </w:rPr>
        <w:t>růměrné mzdy by měly v letošním roce růst</w:t>
      </w:r>
      <w:r w:rsidR="00FC3DEC">
        <w:rPr>
          <w:rFonts w:ascii="Calibri" w:hAnsi="Calibri" w:cs="Calibri"/>
          <w:sz w:val="20"/>
        </w:rPr>
        <w:t xml:space="preserve"> obdobně jako loni zhruba</w:t>
      </w:r>
      <w:r w:rsidR="004F09E3">
        <w:rPr>
          <w:rFonts w:ascii="Calibri" w:hAnsi="Calibri" w:cs="Calibri"/>
          <w:sz w:val="20"/>
        </w:rPr>
        <w:t xml:space="preserve"> o 6 %</w:t>
      </w:r>
      <w:r w:rsidR="007251C1">
        <w:rPr>
          <w:rFonts w:ascii="Calibri" w:hAnsi="Calibri" w:cs="Calibri"/>
          <w:sz w:val="20"/>
        </w:rPr>
        <w:t>.</w:t>
      </w:r>
      <w:r w:rsidR="004F09E3">
        <w:rPr>
          <w:rFonts w:ascii="Calibri" w:hAnsi="Calibri" w:cs="Calibri"/>
          <w:sz w:val="20"/>
        </w:rPr>
        <w:t xml:space="preserve"> </w:t>
      </w:r>
      <w:r w:rsidR="007251C1">
        <w:rPr>
          <w:rFonts w:ascii="Calibri" w:hAnsi="Calibri" w:cs="Calibri"/>
          <w:sz w:val="20"/>
        </w:rPr>
        <w:t>N</w:t>
      </w:r>
      <w:r w:rsidR="004F09E3">
        <w:rPr>
          <w:rFonts w:ascii="Calibri" w:hAnsi="Calibri" w:cs="Calibri"/>
          <w:sz w:val="20"/>
        </w:rPr>
        <w:t>ebudou</w:t>
      </w:r>
      <w:r w:rsidR="0097099D">
        <w:rPr>
          <w:rFonts w:ascii="Calibri" w:hAnsi="Calibri" w:cs="Calibri"/>
          <w:sz w:val="20"/>
        </w:rPr>
        <w:t xml:space="preserve"> </w:t>
      </w:r>
      <w:r w:rsidR="007251C1">
        <w:rPr>
          <w:rFonts w:ascii="Calibri" w:hAnsi="Calibri" w:cs="Calibri"/>
          <w:sz w:val="20"/>
        </w:rPr>
        <w:t xml:space="preserve"> tak</w:t>
      </w:r>
      <w:r w:rsidR="0097099D">
        <w:rPr>
          <w:rFonts w:ascii="Calibri" w:hAnsi="Calibri" w:cs="Calibri"/>
          <w:sz w:val="20"/>
        </w:rPr>
        <w:t xml:space="preserve"> zdaleka</w:t>
      </w:r>
      <w:r w:rsidR="004F09E3">
        <w:rPr>
          <w:rFonts w:ascii="Calibri" w:hAnsi="Calibri" w:cs="Calibri"/>
          <w:sz w:val="20"/>
        </w:rPr>
        <w:t xml:space="preserve"> kompenzovat</w:t>
      </w:r>
      <w:r>
        <w:rPr>
          <w:rFonts w:ascii="Calibri" w:hAnsi="Calibri" w:cs="Calibri"/>
          <w:sz w:val="20"/>
        </w:rPr>
        <w:t xml:space="preserve"> rychlý</w:t>
      </w:r>
      <w:r w:rsidR="004F09E3">
        <w:rPr>
          <w:rFonts w:ascii="Calibri" w:hAnsi="Calibri" w:cs="Calibri"/>
          <w:sz w:val="20"/>
        </w:rPr>
        <w:t xml:space="preserve"> růst cen a reálné mzdy </w:t>
      </w:r>
      <w:r w:rsidR="007251C1">
        <w:rPr>
          <w:rFonts w:ascii="Calibri" w:hAnsi="Calibri" w:cs="Calibri"/>
          <w:sz w:val="20"/>
        </w:rPr>
        <w:t>proto</w:t>
      </w:r>
      <w:r w:rsidR="003E2BA3">
        <w:rPr>
          <w:rFonts w:ascii="Calibri" w:hAnsi="Calibri" w:cs="Calibri"/>
          <w:sz w:val="20"/>
        </w:rPr>
        <w:t xml:space="preserve"> poklesnou </w:t>
      </w:r>
      <w:r w:rsidR="008A1BEE">
        <w:rPr>
          <w:rFonts w:ascii="Calibri" w:hAnsi="Calibri" w:cs="Calibri"/>
          <w:sz w:val="20"/>
        </w:rPr>
        <w:t>o více než</w:t>
      </w:r>
      <w:r w:rsidR="003E2BA3">
        <w:rPr>
          <w:rFonts w:ascii="Calibri" w:hAnsi="Calibri" w:cs="Calibri"/>
          <w:sz w:val="20"/>
        </w:rPr>
        <w:t xml:space="preserve"> 6</w:t>
      </w:r>
      <w:r w:rsidR="004F09E3">
        <w:rPr>
          <w:rFonts w:ascii="Calibri" w:hAnsi="Calibri" w:cs="Calibri"/>
          <w:sz w:val="20"/>
        </w:rPr>
        <w:t xml:space="preserve"> %. V příštím roce </w:t>
      </w:r>
      <w:r w:rsidR="007251C1">
        <w:rPr>
          <w:rFonts w:ascii="Calibri" w:hAnsi="Calibri" w:cs="Calibri"/>
          <w:sz w:val="20"/>
        </w:rPr>
        <w:t xml:space="preserve">pak </w:t>
      </w:r>
      <w:r w:rsidR="004F09E3">
        <w:rPr>
          <w:rFonts w:ascii="Calibri" w:hAnsi="Calibri" w:cs="Calibri"/>
          <w:sz w:val="20"/>
        </w:rPr>
        <w:t>prognostický panel čeká návrat růst</w:t>
      </w:r>
      <w:r w:rsidR="00F00B3C">
        <w:rPr>
          <w:rFonts w:ascii="Calibri" w:hAnsi="Calibri" w:cs="Calibri"/>
          <w:sz w:val="20"/>
        </w:rPr>
        <w:t>u</w:t>
      </w:r>
      <w:r w:rsidR="004F09E3">
        <w:rPr>
          <w:rFonts w:ascii="Calibri" w:hAnsi="Calibri" w:cs="Calibri"/>
          <w:sz w:val="20"/>
        </w:rPr>
        <w:t xml:space="preserve"> reálných mezd, a to o </w:t>
      </w:r>
      <w:r w:rsidR="00DE5733">
        <w:rPr>
          <w:rFonts w:ascii="Calibri" w:hAnsi="Calibri" w:cs="Calibri"/>
          <w:sz w:val="20"/>
        </w:rPr>
        <w:t>1</w:t>
      </w:r>
      <w:r w:rsidR="004F09E3">
        <w:rPr>
          <w:rFonts w:ascii="Calibri" w:hAnsi="Calibri" w:cs="Calibri"/>
          <w:sz w:val="20"/>
        </w:rPr>
        <w:t>,5 %.</w:t>
      </w:r>
      <w:r w:rsidR="0097099D">
        <w:rPr>
          <w:rFonts w:ascii="Calibri" w:hAnsi="Calibri" w:cs="Calibri"/>
          <w:sz w:val="20"/>
        </w:rPr>
        <w:t xml:space="preserve"> Ačkoli pro příští rok předpokládá konsensus odhadů obdobnou dynamiku kolem 6 %, nelze vyloučit zesílený tlak ze strany odborů i zaměstnanců kompenzovat </w:t>
      </w:r>
      <w:r w:rsidR="008A1BEE">
        <w:rPr>
          <w:rFonts w:ascii="Calibri" w:hAnsi="Calibri" w:cs="Calibri"/>
          <w:sz w:val="20"/>
        </w:rPr>
        <w:t>vysokou inflaci</w:t>
      </w:r>
      <w:r w:rsidR="0097099D">
        <w:rPr>
          <w:rFonts w:ascii="Calibri" w:hAnsi="Calibri" w:cs="Calibri"/>
          <w:sz w:val="20"/>
        </w:rPr>
        <w:t xml:space="preserve"> z letošního roku. </w:t>
      </w:r>
    </w:p>
    <w:p w14:paraId="71CF0BE4" w14:textId="34178976" w:rsidR="00B941DB" w:rsidRPr="0074441D" w:rsidRDefault="00B941DB" w:rsidP="004F09E3">
      <w:pPr>
        <w:rPr>
          <w:rFonts w:ascii="Calibri" w:hAnsi="Calibri" w:cs="Calibri"/>
          <w:b/>
          <w:color w:val="13576B"/>
          <w:sz w:val="22"/>
          <w:szCs w:val="22"/>
        </w:rPr>
      </w:pPr>
      <w:r w:rsidRPr="0074441D">
        <w:rPr>
          <w:rFonts w:ascii="Calibri" w:hAnsi="Calibri" w:cs="Calibri"/>
          <w:b/>
          <w:color w:val="13576B"/>
          <w:sz w:val="22"/>
          <w:szCs w:val="22"/>
        </w:rPr>
        <w:t xml:space="preserve">Inflace </w:t>
      </w:r>
      <w:r w:rsidR="008B0EB9">
        <w:rPr>
          <w:rFonts w:ascii="Calibri" w:hAnsi="Calibri" w:cs="Calibri"/>
          <w:b/>
          <w:color w:val="13576B"/>
          <w:sz w:val="22"/>
          <w:szCs w:val="22"/>
        </w:rPr>
        <w:t>stále překvapuje,</w:t>
      </w:r>
      <w:r w:rsidR="00BD55D6">
        <w:rPr>
          <w:rFonts w:ascii="Calibri" w:hAnsi="Calibri" w:cs="Calibri"/>
          <w:b/>
          <w:color w:val="13576B"/>
          <w:sz w:val="22"/>
          <w:szCs w:val="22"/>
        </w:rPr>
        <w:t xml:space="preserve"> ČBA ji vidí na 12,5</w:t>
      </w:r>
      <w:r w:rsidR="00D108D2">
        <w:rPr>
          <w:rFonts w:ascii="Calibri" w:hAnsi="Calibri" w:cs="Calibri"/>
          <w:b/>
          <w:color w:val="13576B"/>
          <w:sz w:val="22"/>
          <w:szCs w:val="22"/>
        </w:rPr>
        <w:t xml:space="preserve"> </w:t>
      </w:r>
      <w:r w:rsidR="00BD55D6">
        <w:rPr>
          <w:rFonts w:ascii="Calibri" w:hAnsi="Calibri" w:cs="Calibri"/>
          <w:b/>
          <w:color w:val="13576B"/>
          <w:sz w:val="22"/>
          <w:szCs w:val="22"/>
        </w:rPr>
        <w:t>%.</w:t>
      </w:r>
      <w:r w:rsidR="008B0EB9">
        <w:rPr>
          <w:rFonts w:ascii="Calibri" w:hAnsi="Calibri" w:cs="Calibri"/>
          <w:b/>
          <w:color w:val="13576B"/>
          <w:sz w:val="22"/>
          <w:szCs w:val="22"/>
        </w:rPr>
        <w:t xml:space="preserve"> </w:t>
      </w:r>
      <w:r w:rsidR="00BD55D6">
        <w:rPr>
          <w:rFonts w:ascii="Calibri" w:hAnsi="Calibri" w:cs="Calibri"/>
          <w:b/>
          <w:color w:val="13576B"/>
          <w:sz w:val="22"/>
          <w:szCs w:val="22"/>
        </w:rPr>
        <w:t>R</w:t>
      </w:r>
      <w:r w:rsidR="008B0EB9">
        <w:rPr>
          <w:rFonts w:ascii="Calibri" w:hAnsi="Calibri" w:cs="Calibri"/>
          <w:b/>
          <w:color w:val="13576B"/>
          <w:sz w:val="22"/>
          <w:szCs w:val="22"/>
        </w:rPr>
        <w:t>izika se začínají koncentrovat i pro rok příští</w:t>
      </w:r>
    </w:p>
    <w:p w14:paraId="40A790CA" w14:textId="7BC2A38A" w:rsidR="00B941DB" w:rsidRDefault="008B0EB9" w:rsidP="00B941DB">
      <w:pPr>
        <w:rPr>
          <w:rFonts w:ascii="Calibri" w:hAnsi="Calibri" w:cs="Calibri"/>
          <w:sz w:val="20"/>
        </w:rPr>
      </w:pPr>
      <w:r>
        <w:rPr>
          <w:rFonts w:ascii="Calibri" w:hAnsi="Calibri" w:cs="Calibri"/>
          <w:b/>
          <w:bCs/>
          <w:sz w:val="20"/>
        </w:rPr>
        <w:t>Růst cen nadále překvapuje a v dubnu zrychlil nad očekávání trhu</w:t>
      </w:r>
      <w:r w:rsidR="00B65809">
        <w:rPr>
          <w:rFonts w:ascii="Calibri" w:hAnsi="Calibri" w:cs="Calibri"/>
          <w:b/>
          <w:bCs/>
          <w:sz w:val="20"/>
        </w:rPr>
        <w:t xml:space="preserve"> i centrální banky</w:t>
      </w:r>
      <w:r w:rsidR="00C05857">
        <w:rPr>
          <w:rFonts w:ascii="Calibri" w:hAnsi="Calibri" w:cs="Calibri"/>
          <w:b/>
          <w:bCs/>
          <w:sz w:val="20"/>
        </w:rPr>
        <w:t xml:space="preserve"> na 14,2 %</w:t>
      </w:r>
      <w:r>
        <w:rPr>
          <w:rFonts w:ascii="Calibri" w:hAnsi="Calibri" w:cs="Calibri"/>
          <w:b/>
          <w:bCs/>
          <w:sz w:val="20"/>
        </w:rPr>
        <w:t xml:space="preserve">. </w:t>
      </w:r>
      <w:r w:rsidRPr="00B65809">
        <w:rPr>
          <w:rFonts w:ascii="Calibri" w:hAnsi="Calibri" w:cs="Calibri"/>
          <w:sz w:val="20"/>
        </w:rPr>
        <w:t>To přináší i rizika pro le</w:t>
      </w:r>
      <w:r w:rsidR="00B65809" w:rsidRPr="00B65809">
        <w:rPr>
          <w:rFonts w:ascii="Calibri" w:hAnsi="Calibri" w:cs="Calibri"/>
          <w:sz w:val="20"/>
        </w:rPr>
        <w:t>to</w:t>
      </w:r>
      <w:r w:rsidRPr="00B65809">
        <w:rPr>
          <w:rFonts w:ascii="Calibri" w:hAnsi="Calibri" w:cs="Calibri"/>
          <w:sz w:val="20"/>
        </w:rPr>
        <w:t xml:space="preserve">šní odhad inflace, kterou </w:t>
      </w:r>
      <w:r w:rsidR="00B65809" w:rsidRPr="00B65809">
        <w:rPr>
          <w:rFonts w:ascii="Calibri" w:hAnsi="Calibri" w:cs="Calibri"/>
          <w:sz w:val="20"/>
        </w:rPr>
        <w:t>prognóza</w:t>
      </w:r>
      <w:r w:rsidRPr="00B65809">
        <w:rPr>
          <w:rFonts w:ascii="Calibri" w:hAnsi="Calibri" w:cs="Calibri"/>
          <w:sz w:val="20"/>
        </w:rPr>
        <w:t xml:space="preserve"> vidí na úrovni 12</w:t>
      </w:r>
      <w:r w:rsidR="00B65809" w:rsidRPr="00B65809">
        <w:rPr>
          <w:rFonts w:ascii="Calibri" w:hAnsi="Calibri" w:cs="Calibri"/>
          <w:sz w:val="20"/>
        </w:rPr>
        <w:t>,5</w:t>
      </w:r>
      <w:r w:rsidRPr="00B65809">
        <w:rPr>
          <w:rFonts w:ascii="Calibri" w:hAnsi="Calibri" w:cs="Calibri"/>
          <w:sz w:val="20"/>
        </w:rPr>
        <w:t xml:space="preserve"> %. Zrychlování inflace je letos taženo především cenami spojenými s bydlením, růstem cen potravin a také</w:t>
      </w:r>
      <w:r w:rsidR="00B65809" w:rsidRPr="00B65809">
        <w:rPr>
          <w:rFonts w:ascii="Calibri" w:hAnsi="Calibri" w:cs="Calibri"/>
          <w:sz w:val="20"/>
        </w:rPr>
        <w:t xml:space="preserve"> </w:t>
      </w:r>
      <w:r w:rsidRPr="00B65809">
        <w:rPr>
          <w:rFonts w:ascii="Calibri" w:hAnsi="Calibri" w:cs="Calibri"/>
          <w:sz w:val="20"/>
        </w:rPr>
        <w:t xml:space="preserve">pohonných hmot. </w:t>
      </w:r>
      <w:r w:rsidR="00B65809">
        <w:rPr>
          <w:rFonts w:ascii="Calibri" w:hAnsi="Calibri" w:cs="Calibri"/>
          <w:sz w:val="20"/>
        </w:rPr>
        <w:t xml:space="preserve">Ekonomové prognostického panelu se obecně shodovali, že v oblasti inflace existují rizika ve směru vyšších hodnot, a to pro letošní i příští rok. Zejména ceny energií citelně vzrostly i pro dlouhodobé </w:t>
      </w:r>
      <w:r w:rsidR="00720B0E">
        <w:rPr>
          <w:rFonts w:ascii="Calibri" w:hAnsi="Calibri" w:cs="Calibri"/>
          <w:sz w:val="20"/>
        </w:rPr>
        <w:t>kontrakty</w:t>
      </w:r>
      <w:r w:rsidR="00B65809">
        <w:rPr>
          <w:rFonts w:ascii="Calibri" w:hAnsi="Calibri" w:cs="Calibri"/>
          <w:sz w:val="20"/>
        </w:rPr>
        <w:t xml:space="preserve"> příštího a přespříštího roku, což bude přinášet další proinflační rizika, pokud se situace na trhu </w:t>
      </w:r>
      <w:r w:rsidR="00720B0E">
        <w:rPr>
          <w:rFonts w:ascii="Calibri" w:hAnsi="Calibri" w:cs="Calibri"/>
          <w:sz w:val="20"/>
        </w:rPr>
        <w:t xml:space="preserve">neuklidní. V příštím roce čeká panel průměrnou inflaci ve výši 4,5 %, nejvyšší odhad pak hovoří o 7 %. </w:t>
      </w:r>
    </w:p>
    <w:p w14:paraId="036CDD55" w14:textId="77777777" w:rsidR="00E63F7F" w:rsidRDefault="00E63F7F" w:rsidP="00B941DB">
      <w:pPr>
        <w:rPr>
          <w:rFonts w:ascii="Calibri" w:hAnsi="Calibri" w:cs="Calibri"/>
          <w:sz w:val="20"/>
        </w:rPr>
      </w:pPr>
    </w:p>
    <w:p w14:paraId="79F7C9A9" w14:textId="71C02112" w:rsidR="00B941DB" w:rsidRDefault="00146F24" w:rsidP="00FD4088">
      <w:pPr>
        <w:rPr>
          <w:rFonts w:ascii="Calibri" w:hAnsi="Calibri" w:cs="Calibri"/>
          <w:sz w:val="20"/>
        </w:rPr>
      </w:pPr>
      <w:r>
        <w:rPr>
          <w:rFonts w:ascii="Calibri" w:hAnsi="Calibri" w:cs="Calibri"/>
          <w:b/>
          <w:color w:val="13576B"/>
          <w:sz w:val="22"/>
          <w:szCs w:val="22"/>
        </w:rPr>
        <w:t xml:space="preserve">Sazby ČNB </w:t>
      </w:r>
      <w:r w:rsidR="00E463A1">
        <w:rPr>
          <w:rFonts w:ascii="Calibri" w:hAnsi="Calibri" w:cs="Calibri"/>
          <w:b/>
          <w:color w:val="13576B"/>
          <w:sz w:val="22"/>
          <w:szCs w:val="22"/>
        </w:rPr>
        <w:t>mohou ještě mírně růst,</w:t>
      </w:r>
      <w:r w:rsidR="00851DC6">
        <w:rPr>
          <w:rFonts w:ascii="Calibri" w:hAnsi="Calibri" w:cs="Calibri"/>
          <w:b/>
          <w:color w:val="13576B"/>
          <w:sz w:val="22"/>
          <w:szCs w:val="22"/>
        </w:rPr>
        <w:t xml:space="preserve"> v příštím roce  již </w:t>
      </w:r>
      <w:r w:rsidR="00364050">
        <w:rPr>
          <w:rFonts w:ascii="Calibri" w:hAnsi="Calibri" w:cs="Calibri"/>
          <w:b/>
          <w:color w:val="13576B"/>
          <w:sz w:val="22"/>
          <w:szCs w:val="22"/>
        </w:rPr>
        <w:t xml:space="preserve">čekáme </w:t>
      </w:r>
      <w:r w:rsidR="00851DC6">
        <w:rPr>
          <w:rFonts w:ascii="Calibri" w:hAnsi="Calibri" w:cs="Calibri"/>
          <w:b/>
          <w:color w:val="13576B"/>
          <w:sz w:val="22"/>
          <w:szCs w:val="22"/>
        </w:rPr>
        <w:t>jejich snižování</w:t>
      </w:r>
    </w:p>
    <w:p w14:paraId="1F212B88" w14:textId="1412B5F9" w:rsidR="007B17AD" w:rsidRPr="00B7479B" w:rsidRDefault="007B17AD" w:rsidP="00B941DB">
      <w:pPr>
        <w:rPr>
          <w:rFonts w:ascii="Calibri" w:hAnsi="Calibri" w:cs="Calibri"/>
          <w:sz w:val="20"/>
        </w:rPr>
      </w:pPr>
      <w:r>
        <w:rPr>
          <w:rFonts w:ascii="Calibri" w:hAnsi="Calibri" w:cs="Calibri"/>
          <w:b/>
          <w:bCs/>
          <w:sz w:val="20"/>
        </w:rPr>
        <w:t>Nad očekávání</w:t>
      </w:r>
      <w:r w:rsidR="0074441D">
        <w:rPr>
          <w:rFonts w:ascii="Calibri" w:hAnsi="Calibri" w:cs="Calibri"/>
          <w:b/>
          <w:bCs/>
          <w:sz w:val="20"/>
        </w:rPr>
        <w:t xml:space="preserve"> rychlejší růst cen se promítl v podstatně rychlejším růstu </w:t>
      </w:r>
      <w:r>
        <w:rPr>
          <w:rFonts w:ascii="Calibri" w:hAnsi="Calibri" w:cs="Calibri"/>
          <w:b/>
          <w:bCs/>
          <w:sz w:val="20"/>
        </w:rPr>
        <w:t>úrokových</w:t>
      </w:r>
      <w:r w:rsidR="0074441D">
        <w:rPr>
          <w:rFonts w:ascii="Calibri" w:hAnsi="Calibri" w:cs="Calibri"/>
          <w:b/>
          <w:bCs/>
          <w:sz w:val="20"/>
        </w:rPr>
        <w:t xml:space="preserve"> sazeb ze strany České národní banky.</w:t>
      </w:r>
      <w:r w:rsidR="007B5D5A">
        <w:rPr>
          <w:rFonts w:ascii="Calibri" w:hAnsi="Calibri" w:cs="Calibri"/>
          <w:b/>
          <w:bCs/>
          <w:sz w:val="20"/>
        </w:rPr>
        <w:t xml:space="preserve"> Ta v</w:t>
      </w:r>
      <w:r w:rsidR="00151610">
        <w:rPr>
          <w:rFonts w:ascii="Calibri" w:hAnsi="Calibri" w:cs="Calibri"/>
          <w:b/>
          <w:bCs/>
          <w:sz w:val="20"/>
        </w:rPr>
        <w:t xml:space="preserve"> posledních několika čtvrtletích </w:t>
      </w:r>
      <w:r w:rsidR="007B5D5A">
        <w:rPr>
          <w:rFonts w:ascii="Calibri" w:hAnsi="Calibri" w:cs="Calibri"/>
          <w:b/>
          <w:bCs/>
          <w:sz w:val="20"/>
        </w:rPr>
        <w:t>přistoupila k bezprecedentní rychlosti zvyšování sazeb a základní úrokovou sazb</w:t>
      </w:r>
      <w:r w:rsidR="00151610">
        <w:rPr>
          <w:rFonts w:ascii="Calibri" w:hAnsi="Calibri" w:cs="Calibri"/>
          <w:b/>
          <w:bCs/>
          <w:sz w:val="20"/>
        </w:rPr>
        <w:t xml:space="preserve">a vystoupala </w:t>
      </w:r>
      <w:r w:rsidR="00720B0E">
        <w:rPr>
          <w:rFonts w:ascii="Calibri" w:hAnsi="Calibri" w:cs="Calibri"/>
          <w:b/>
          <w:bCs/>
          <w:sz w:val="20"/>
        </w:rPr>
        <w:t>na 5</w:t>
      </w:r>
      <w:r w:rsidR="007B5D5A">
        <w:rPr>
          <w:rFonts w:ascii="Calibri" w:hAnsi="Calibri" w:cs="Calibri"/>
          <w:b/>
          <w:bCs/>
          <w:sz w:val="20"/>
        </w:rPr>
        <w:t>,</w:t>
      </w:r>
      <w:r w:rsidR="00720B0E">
        <w:rPr>
          <w:rFonts w:ascii="Calibri" w:hAnsi="Calibri" w:cs="Calibri"/>
          <w:b/>
          <w:bCs/>
          <w:sz w:val="20"/>
        </w:rPr>
        <w:t>7</w:t>
      </w:r>
      <w:r w:rsidR="00E463A1">
        <w:rPr>
          <w:rFonts w:ascii="Calibri" w:hAnsi="Calibri" w:cs="Calibri"/>
          <w:b/>
          <w:bCs/>
          <w:sz w:val="20"/>
        </w:rPr>
        <w:t>5</w:t>
      </w:r>
      <w:r w:rsidR="007B5D5A">
        <w:rPr>
          <w:rFonts w:ascii="Calibri" w:hAnsi="Calibri" w:cs="Calibri"/>
          <w:b/>
          <w:bCs/>
          <w:sz w:val="20"/>
        </w:rPr>
        <w:t xml:space="preserve"> %</w:t>
      </w:r>
      <w:r w:rsidR="00FF5794">
        <w:rPr>
          <w:rFonts w:ascii="Calibri" w:hAnsi="Calibri" w:cs="Calibri"/>
          <w:b/>
          <w:bCs/>
          <w:sz w:val="20"/>
        </w:rPr>
        <w:t>.</w:t>
      </w:r>
      <w:r w:rsidR="00A071F3">
        <w:rPr>
          <w:rFonts w:ascii="Calibri" w:hAnsi="Calibri" w:cs="Calibri"/>
          <w:b/>
          <w:bCs/>
          <w:sz w:val="20"/>
        </w:rPr>
        <w:t xml:space="preserve"> </w:t>
      </w:r>
      <w:r w:rsidR="00A071F3" w:rsidRPr="00B7479B">
        <w:rPr>
          <w:rFonts w:ascii="Calibri" w:hAnsi="Calibri" w:cs="Calibri"/>
          <w:sz w:val="20"/>
        </w:rPr>
        <w:t>P</w:t>
      </w:r>
      <w:r w:rsidR="007B5D5A" w:rsidRPr="00B7479B">
        <w:rPr>
          <w:rFonts w:ascii="Calibri" w:hAnsi="Calibri" w:cs="Calibri"/>
          <w:sz w:val="20"/>
        </w:rPr>
        <w:t>odle</w:t>
      </w:r>
      <w:r w:rsidR="00A071F3" w:rsidRPr="00B7479B">
        <w:rPr>
          <w:rFonts w:ascii="Calibri" w:hAnsi="Calibri" w:cs="Calibri"/>
          <w:sz w:val="20"/>
        </w:rPr>
        <w:t xml:space="preserve"> </w:t>
      </w:r>
      <w:r w:rsidR="00720B0E">
        <w:rPr>
          <w:rFonts w:ascii="Calibri" w:hAnsi="Calibri" w:cs="Calibri"/>
          <w:sz w:val="20"/>
        </w:rPr>
        <w:t>poslední prognózy ČNB by mohly jít úrokové sazby dále nahoru, což podporuj</w:t>
      </w:r>
      <w:r w:rsidR="00C05857">
        <w:rPr>
          <w:rFonts w:ascii="Calibri" w:hAnsi="Calibri" w:cs="Calibri"/>
          <w:sz w:val="20"/>
        </w:rPr>
        <w:t>í</w:t>
      </w:r>
      <w:r w:rsidR="00720B0E">
        <w:rPr>
          <w:rFonts w:ascii="Calibri" w:hAnsi="Calibri" w:cs="Calibri"/>
          <w:sz w:val="20"/>
        </w:rPr>
        <w:t xml:space="preserve"> i </w:t>
      </w:r>
      <w:r w:rsidR="00C05857">
        <w:rPr>
          <w:rFonts w:ascii="Calibri" w:hAnsi="Calibri" w:cs="Calibri"/>
          <w:sz w:val="20"/>
        </w:rPr>
        <w:t xml:space="preserve">dále sílící </w:t>
      </w:r>
      <w:r w:rsidR="00720B0E">
        <w:rPr>
          <w:rFonts w:ascii="Calibri" w:hAnsi="Calibri" w:cs="Calibri"/>
          <w:sz w:val="20"/>
        </w:rPr>
        <w:t>proinflační tlaky. Prognostický panel tak předpokládá koncem června další zvýšení úrokových sazeb.</w:t>
      </w:r>
      <w:r w:rsidR="00892903">
        <w:rPr>
          <w:rFonts w:ascii="Calibri" w:hAnsi="Calibri" w:cs="Calibri"/>
          <w:sz w:val="20"/>
        </w:rPr>
        <w:t xml:space="preserve"> </w:t>
      </w:r>
      <w:r w:rsidR="00507B3C">
        <w:rPr>
          <w:rFonts w:ascii="Calibri" w:hAnsi="Calibri" w:cs="Calibri"/>
          <w:sz w:val="20"/>
        </w:rPr>
        <w:t xml:space="preserve">Prozatím </w:t>
      </w:r>
      <w:r w:rsidR="0011497E">
        <w:rPr>
          <w:rFonts w:ascii="Calibri" w:hAnsi="Calibri" w:cs="Calibri"/>
          <w:sz w:val="20"/>
        </w:rPr>
        <w:t xml:space="preserve">čeká </w:t>
      </w:r>
      <w:r w:rsidR="00507B3C">
        <w:rPr>
          <w:rFonts w:ascii="Calibri" w:hAnsi="Calibri" w:cs="Calibri"/>
          <w:sz w:val="20"/>
        </w:rPr>
        <w:t>koncem letošního r</w:t>
      </w:r>
      <w:r w:rsidR="00851DC6">
        <w:rPr>
          <w:rFonts w:ascii="Calibri" w:hAnsi="Calibri" w:cs="Calibri"/>
          <w:sz w:val="20"/>
        </w:rPr>
        <w:t>o</w:t>
      </w:r>
      <w:r w:rsidR="00507B3C">
        <w:rPr>
          <w:rFonts w:ascii="Calibri" w:hAnsi="Calibri" w:cs="Calibri"/>
          <w:sz w:val="20"/>
        </w:rPr>
        <w:t>ku základní sazbu Č</w:t>
      </w:r>
      <w:r w:rsidR="00851DC6">
        <w:rPr>
          <w:rFonts w:ascii="Calibri" w:hAnsi="Calibri" w:cs="Calibri"/>
          <w:sz w:val="20"/>
        </w:rPr>
        <w:t>NB</w:t>
      </w:r>
      <w:r w:rsidR="00507B3C">
        <w:rPr>
          <w:rFonts w:ascii="Calibri" w:hAnsi="Calibri" w:cs="Calibri"/>
          <w:sz w:val="20"/>
        </w:rPr>
        <w:t xml:space="preserve"> na úrovni 6  % a příští rok ve výši 4 %</w:t>
      </w:r>
      <w:r w:rsidR="00943FFA">
        <w:rPr>
          <w:rFonts w:ascii="Calibri" w:hAnsi="Calibri" w:cs="Calibri"/>
          <w:sz w:val="20"/>
        </w:rPr>
        <w:t>. Směřování měnové politiky ČNB však může být od druhé poloviny roku ovlivněno také změnami v bankovní radě ČNB.</w:t>
      </w:r>
    </w:p>
    <w:p w14:paraId="64FCD3DA" w14:textId="77777777" w:rsidR="007B17AD" w:rsidRDefault="007B17AD" w:rsidP="00B941DB">
      <w:pPr>
        <w:rPr>
          <w:rFonts w:ascii="Calibri" w:hAnsi="Calibri" w:cs="Calibri"/>
          <w:sz w:val="20"/>
        </w:rPr>
      </w:pPr>
    </w:p>
    <w:p w14:paraId="7983F7BA" w14:textId="2CDBCD67" w:rsidR="0074441D" w:rsidRDefault="007B17AD" w:rsidP="00B941DB">
      <w:pPr>
        <w:rPr>
          <w:rFonts w:ascii="Calibri" w:hAnsi="Calibri" w:cs="Calibri"/>
          <w:sz w:val="20"/>
        </w:rPr>
      </w:pPr>
      <w:r w:rsidRPr="007D1A1C">
        <w:rPr>
          <w:rFonts w:ascii="Calibri" w:hAnsi="Calibri" w:cs="Calibri"/>
          <w:b/>
          <w:bCs/>
          <w:sz w:val="20"/>
        </w:rPr>
        <w:t>Navzdory</w:t>
      </w:r>
      <w:r w:rsidR="00A87E96">
        <w:rPr>
          <w:rFonts w:ascii="Calibri" w:hAnsi="Calibri" w:cs="Calibri"/>
          <w:b/>
          <w:bCs/>
          <w:sz w:val="20"/>
        </w:rPr>
        <w:t xml:space="preserve"> citelnému</w:t>
      </w:r>
      <w:r w:rsidRPr="007D1A1C">
        <w:rPr>
          <w:rFonts w:ascii="Calibri" w:hAnsi="Calibri" w:cs="Calibri"/>
          <w:b/>
          <w:bCs/>
          <w:sz w:val="20"/>
        </w:rPr>
        <w:t xml:space="preserve"> růstu úrokových sazeb</w:t>
      </w:r>
      <w:r w:rsidR="00FF5794">
        <w:rPr>
          <w:rFonts w:ascii="Calibri" w:hAnsi="Calibri" w:cs="Calibri"/>
          <w:b/>
          <w:bCs/>
          <w:sz w:val="20"/>
        </w:rPr>
        <w:t xml:space="preserve"> </w:t>
      </w:r>
      <w:r w:rsidR="00A87E96">
        <w:rPr>
          <w:rFonts w:ascii="Calibri" w:hAnsi="Calibri" w:cs="Calibri"/>
          <w:b/>
          <w:bCs/>
          <w:sz w:val="20"/>
        </w:rPr>
        <w:t xml:space="preserve">a </w:t>
      </w:r>
      <w:r w:rsidR="00572DA2">
        <w:rPr>
          <w:rFonts w:ascii="Calibri" w:hAnsi="Calibri" w:cs="Calibri"/>
          <w:b/>
          <w:bCs/>
          <w:sz w:val="20"/>
        </w:rPr>
        <w:t xml:space="preserve">větší </w:t>
      </w:r>
      <w:r w:rsidR="00A87E96">
        <w:rPr>
          <w:rFonts w:ascii="Calibri" w:hAnsi="Calibri" w:cs="Calibri"/>
          <w:b/>
          <w:bCs/>
          <w:sz w:val="20"/>
        </w:rPr>
        <w:t xml:space="preserve"> atraktivitě koruny v očích zahraničních investorů </w:t>
      </w:r>
      <w:r w:rsidR="00FF5794">
        <w:rPr>
          <w:rFonts w:ascii="Calibri" w:hAnsi="Calibri" w:cs="Calibri"/>
          <w:b/>
          <w:bCs/>
          <w:sz w:val="20"/>
        </w:rPr>
        <w:t>prognostický</w:t>
      </w:r>
      <w:r w:rsidRPr="007D1A1C">
        <w:rPr>
          <w:rFonts w:ascii="Calibri" w:hAnsi="Calibri" w:cs="Calibri"/>
          <w:b/>
          <w:bCs/>
          <w:sz w:val="20"/>
        </w:rPr>
        <w:t xml:space="preserve"> panel ČBA nepředpokládá výraznější posílení koruny. </w:t>
      </w:r>
      <w:r w:rsidR="00A87E96">
        <w:rPr>
          <w:rFonts w:ascii="Calibri" w:hAnsi="Calibri" w:cs="Calibri"/>
          <w:sz w:val="20"/>
        </w:rPr>
        <w:t>Koncem let</w:t>
      </w:r>
      <w:r w:rsidR="00FD4088">
        <w:rPr>
          <w:rFonts w:ascii="Calibri" w:hAnsi="Calibri" w:cs="Calibri"/>
          <w:sz w:val="20"/>
        </w:rPr>
        <w:t>o</w:t>
      </w:r>
      <w:r w:rsidR="00A87E96">
        <w:rPr>
          <w:rFonts w:ascii="Calibri" w:hAnsi="Calibri" w:cs="Calibri"/>
          <w:sz w:val="20"/>
        </w:rPr>
        <w:t>šního roku by se měla koruna dle konsen</w:t>
      </w:r>
      <w:r w:rsidR="00BA4F26">
        <w:rPr>
          <w:rFonts w:ascii="Calibri" w:hAnsi="Calibri" w:cs="Calibri"/>
          <w:sz w:val="20"/>
        </w:rPr>
        <w:t>z</w:t>
      </w:r>
      <w:r w:rsidR="00A87E96">
        <w:rPr>
          <w:rFonts w:ascii="Calibri" w:hAnsi="Calibri" w:cs="Calibri"/>
          <w:sz w:val="20"/>
        </w:rPr>
        <w:t>u pohybovat kolem</w:t>
      </w:r>
      <w:r w:rsidR="00FD4088">
        <w:rPr>
          <w:rFonts w:ascii="Calibri" w:hAnsi="Calibri" w:cs="Calibri"/>
          <w:sz w:val="20"/>
        </w:rPr>
        <w:t xml:space="preserve"> úrovně</w:t>
      </w:r>
      <w:r w:rsidR="00A87E96">
        <w:rPr>
          <w:rFonts w:ascii="Calibri" w:hAnsi="Calibri" w:cs="Calibri"/>
          <w:sz w:val="20"/>
        </w:rPr>
        <w:t xml:space="preserve"> 24,3 Kč za euro a v roce </w:t>
      </w:r>
      <w:r w:rsidR="00FD4088">
        <w:rPr>
          <w:rFonts w:ascii="Calibri" w:hAnsi="Calibri" w:cs="Calibri"/>
          <w:sz w:val="20"/>
        </w:rPr>
        <w:t>příštím</w:t>
      </w:r>
      <w:r w:rsidR="00A87E96">
        <w:rPr>
          <w:rFonts w:ascii="Calibri" w:hAnsi="Calibri" w:cs="Calibri"/>
          <w:sz w:val="20"/>
        </w:rPr>
        <w:t xml:space="preserve"> u 24 Kč za euro s tím, že nejoptimističtější odhad čeká korunu v závěru příštího roku u hranice 23,</w:t>
      </w:r>
      <w:r w:rsidR="00851DC6">
        <w:rPr>
          <w:rFonts w:ascii="Calibri" w:hAnsi="Calibri" w:cs="Calibri"/>
          <w:sz w:val="20"/>
        </w:rPr>
        <w:t>3</w:t>
      </w:r>
      <w:r w:rsidR="00A87E96">
        <w:rPr>
          <w:rFonts w:ascii="Calibri" w:hAnsi="Calibri" w:cs="Calibri"/>
          <w:sz w:val="20"/>
        </w:rPr>
        <w:t xml:space="preserve"> Kč za euro. </w:t>
      </w:r>
      <w:r w:rsidR="00851DC6">
        <w:rPr>
          <w:rFonts w:ascii="Calibri" w:hAnsi="Calibri" w:cs="Calibri"/>
          <w:sz w:val="20"/>
        </w:rPr>
        <w:t>Naopak mezi ekonomy zaznívá riziko možného oslabování koruny z titulu slabšího ekonomického růstu a výrazného deficitu zahraničního obchodu způsobeného nepříznivým vývojem směnných relací, tj. zejména citelným zdražením dovážených energetických komodit. V tomto ohledu pak může mít na kur</w:t>
      </w:r>
      <w:r w:rsidR="00943FFA">
        <w:rPr>
          <w:rFonts w:ascii="Calibri" w:hAnsi="Calibri" w:cs="Calibri"/>
          <w:sz w:val="20"/>
        </w:rPr>
        <w:t>z</w:t>
      </w:r>
      <w:r w:rsidR="00851DC6">
        <w:rPr>
          <w:rFonts w:ascii="Calibri" w:hAnsi="Calibri" w:cs="Calibri"/>
          <w:sz w:val="20"/>
        </w:rPr>
        <w:t xml:space="preserve"> dopad již </w:t>
      </w:r>
      <w:r w:rsidR="00943FFA">
        <w:rPr>
          <w:rFonts w:ascii="Calibri" w:hAnsi="Calibri" w:cs="Calibri"/>
          <w:sz w:val="20"/>
        </w:rPr>
        <w:t>případná změna v dosavadním směřování politiky ČNB, jelikož kurz koruny je citlivý na očekávání trhu ohledně vývoje úrokových sazeb.</w:t>
      </w:r>
      <w:r w:rsidR="00851DC6">
        <w:rPr>
          <w:rFonts w:ascii="Calibri" w:hAnsi="Calibri" w:cs="Calibri"/>
          <w:sz w:val="20"/>
        </w:rPr>
        <w:t xml:space="preserve"> </w:t>
      </w:r>
      <w:r w:rsidR="008A1BEE" w:rsidRPr="008A1BEE">
        <w:rPr>
          <w:rFonts w:ascii="Calibri" w:hAnsi="Calibri" w:cs="Calibri"/>
          <w:sz w:val="20"/>
        </w:rPr>
        <w:t>Dalším faktorem bude určitě i přetrvávající nejistota ohledně dalšího vývoje válečného konfliktu na Ukrajině, která nahlodává důvěru</w:t>
      </w:r>
      <w:r w:rsidR="008A1BEE">
        <w:rPr>
          <w:rFonts w:ascii="Calibri" w:hAnsi="Calibri" w:cs="Calibri"/>
          <w:sz w:val="20"/>
        </w:rPr>
        <w:t xml:space="preserve"> investorů vůči celému regionu.</w:t>
      </w:r>
    </w:p>
    <w:p w14:paraId="5FE4C93C" w14:textId="77777777" w:rsidR="00B7479B" w:rsidRPr="00FD4088" w:rsidRDefault="00B7479B" w:rsidP="00B941DB">
      <w:pPr>
        <w:rPr>
          <w:rFonts w:ascii="Calibri" w:hAnsi="Calibri" w:cs="Calibri"/>
          <w:b/>
          <w:color w:val="13576B"/>
          <w:sz w:val="22"/>
          <w:szCs w:val="22"/>
        </w:rPr>
      </w:pPr>
    </w:p>
    <w:p w14:paraId="17B9ABDD" w14:textId="50F9B9F5" w:rsidR="006C6CFF" w:rsidRPr="00DD4A8E" w:rsidRDefault="00943FFA" w:rsidP="00FD4088">
      <w:pPr>
        <w:rPr>
          <w:rFonts w:ascii="Calibri" w:hAnsi="Calibri" w:cs="Calibri"/>
          <w:b/>
          <w:sz w:val="22"/>
          <w:szCs w:val="22"/>
        </w:rPr>
      </w:pPr>
      <w:r>
        <w:rPr>
          <w:rFonts w:ascii="Calibri" w:hAnsi="Calibri" w:cs="Calibri"/>
          <w:b/>
          <w:color w:val="13576B"/>
          <w:sz w:val="22"/>
          <w:szCs w:val="22"/>
        </w:rPr>
        <w:t>Konsolidace veřejných financí nebude z důvodu mimořádných okolností příliš rychlá</w:t>
      </w:r>
    </w:p>
    <w:p w14:paraId="3701BD55" w14:textId="09FEFD78" w:rsidR="00DB46CC" w:rsidRDefault="00B87C49" w:rsidP="00247943">
      <w:pPr>
        <w:rPr>
          <w:rFonts w:ascii="Calibri" w:hAnsi="Calibri" w:cs="Calibri"/>
          <w:sz w:val="20"/>
        </w:rPr>
      </w:pPr>
      <w:r w:rsidRPr="00C15C17">
        <w:rPr>
          <w:noProof/>
          <w:sz w:val="20"/>
        </w:rPr>
        <mc:AlternateContent>
          <mc:Choice Requires="wps">
            <w:drawing>
              <wp:anchor distT="45720" distB="45720" distL="114300" distR="114300" simplePos="0" relativeHeight="251668480" behindDoc="0" locked="0" layoutInCell="1" allowOverlap="1" wp14:anchorId="5D2C25A2" wp14:editId="188A4942">
                <wp:simplePos x="0" y="0"/>
                <wp:positionH relativeFrom="margin">
                  <wp:align>right</wp:align>
                </wp:positionH>
                <wp:positionV relativeFrom="paragraph">
                  <wp:posOffset>920366</wp:posOffset>
                </wp:positionV>
                <wp:extent cx="6461760" cy="723569"/>
                <wp:effectExtent l="0" t="0" r="15240" b="1968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723569"/>
                        </a:xfrm>
                        <a:prstGeom prst="rect">
                          <a:avLst/>
                        </a:prstGeom>
                        <a:solidFill>
                          <a:srgbClr val="FFFFFF"/>
                        </a:solidFill>
                        <a:ln w="9525">
                          <a:solidFill>
                            <a:srgbClr val="000000"/>
                          </a:solidFill>
                          <a:miter lim="800000"/>
                          <a:headEnd/>
                          <a:tailEnd/>
                        </a:ln>
                      </wps:spPr>
                      <wps:txbx>
                        <w:txbxContent>
                          <w:p w14:paraId="79E58462" w14:textId="77777777" w:rsidR="00B20BCD" w:rsidRPr="00895ED5" w:rsidRDefault="00B20BCD" w:rsidP="00B20BCD">
                            <w:pPr>
                              <w:rPr>
                                <w:rFonts w:ascii="Calibri" w:hAnsi="Calibri" w:cs="Calibri"/>
                                <w:b/>
                                <w:bCs/>
                                <w:sz w:val="20"/>
                              </w:rPr>
                            </w:pPr>
                            <w:r>
                              <w:rPr>
                                <w:rFonts w:ascii="Calibri" w:hAnsi="Calibri" w:cs="Calibri"/>
                                <w:b/>
                                <w:bCs/>
                                <w:sz w:val="20"/>
                              </w:rPr>
                              <w:t xml:space="preserve">Jaromír </w:t>
                            </w:r>
                            <w:r w:rsidRPr="00895ED5">
                              <w:rPr>
                                <w:rFonts w:ascii="Calibri" w:hAnsi="Calibri" w:cs="Calibri"/>
                                <w:b/>
                                <w:bCs/>
                                <w:sz w:val="20"/>
                              </w:rPr>
                              <w:t>Šindel, hlavní ekonom Citibank:</w:t>
                            </w:r>
                          </w:p>
                          <w:p w14:paraId="32CCDFE0" w14:textId="17BD5DE1" w:rsidR="001802DE" w:rsidRPr="00F37DC9" w:rsidRDefault="00EE53AB" w:rsidP="00EE53AB">
                            <w:pPr>
                              <w:rPr>
                                <w:rFonts w:ascii="Calibri" w:hAnsi="Calibri" w:cs="Calibri"/>
                                <w:i/>
                                <w:iCs/>
                              </w:rPr>
                            </w:pPr>
                            <w:r w:rsidRPr="00EE53AB">
                              <w:rPr>
                                <w:rFonts w:ascii="Calibri" w:hAnsi="Calibri" w:cs="Calibri"/>
                                <w:i/>
                                <w:iCs/>
                                <w:sz w:val="20"/>
                              </w:rPr>
                              <w:t>„Letošní inflace přináší pro vládu a centrální banku jednu z největších výzev v naší moderní historii a po dlouhé době nám připomíná, že boj centrální banky s inflací může být obtížnější než boj s deflací. Potřebná střídmost fiskální politiky a energetická krize pravděpodobně sníží politický kapitál a zdroje pro tolik potřebné strukturální reformy.”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C25A2" id="Textové pole 3" o:spid="_x0000_s1028" type="#_x0000_t202" style="position:absolute;left:0;text-align:left;margin-left:457.6pt;margin-top:72.45pt;width:508.8pt;height:56.9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">
                <v:textbox>
                  <w:txbxContent>
                    <w:p w14:paraId="79E58462" w14:textId="77777777" w:rsidR="00B20BCD" w:rsidRPr="00895ED5" w:rsidRDefault="00B20BCD" w:rsidP="00B20BCD">
                      <w:pPr>
                        <w:rPr>
                          <w:rFonts w:ascii="Calibri" w:hAnsi="Calibri" w:cs="Calibri"/>
                          <w:b/>
                          <w:bCs/>
                          <w:sz w:val="20"/>
                        </w:rPr>
                      </w:pPr>
                      <w:r>
                        <w:rPr>
                          <w:rFonts w:ascii="Calibri" w:hAnsi="Calibri" w:cs="Calibri"/>
                          <w:b/>
                          <w:bCs/>
                          <w:sz w:val="20"/>
                        </w:rPr>
                        <w:t xml:space="preserve">Jaromír </w:t>
                      </w:r>
                      <w:r w:rsidRPr="00895ED5">
                        <w:rPr>
                          <w:rFonts w:ascii="Calibri" w:hAnsi="Calibri" w:cs="Calibri"/>
                          <w:b/>
                          <w:bCs/>
                          <w:sz w:val="20"/>
                        </w:rPr>
                        <w:t>Šindel, hlavní ekonom Citibank:</w:t>
                      </w:r>
                    </w:p>
                    <w:p w14:paraId="32CCDFE0" w14:textId="17BD5DE1" w:rsidR="001802DE" w:rsidRPr="00F37DC9" w:rsidRDefault="00EE53AB" w:rsidP="00EE53AB">
                      <w:pPr>
                        <w:rPr>
                          <w:rFonts w:ascii="Calibri" w:hAnsi="Calibri" w:cs="Calibri"/>
                          <w:i/>
                          <w:iCs/>
                        </w:rPr>
                      </w:pPr>
                      <w:r w:rsidRPr="00EE53AB">
                        <w:rPr>
                          <w:rFonts w:ascii="Calibri" w:hAnsi="Calibri" w:cs="Calibri"/>
                          <w:i/>
                          <w:iCs/>
                          <w:sz w:val="20"/>
                        </w:rPr>
                        <w:t>„Letošní inflace přináší pro vládu a centrální banku jednu z největších výzev v naší moderní historii a po dlouhé době nám připomíná, že boj centrální banky s inflací může být obtížnější než boj s deflací. Potřebná střídmost fiskální politiky a energetická krize pravděpodobně sníží politický kapitál a zdroje pro tolik potřebné strukturální reformy.”</w:t>
                      </w:r>
                    </w:p>
                  </w:txbxContent>
                </v:textbox>
                <w10:wrap type="square" anchorx="margin"/>
              </v:shape>
            </w:pict>
          </mc:Fallback>
        </mc:AlternateContent>
      </w:r>
      <w:r w:rsidR="008C4379">
        <w:rPr>
          <w:rFonts w:ascii="Calibri" w:hAnsi="Calibri" w:cs="Calibri"/>
          <w:sz w:val="20"/>
        </w:rPr>
        <w:t>Deficit hospodaření</w:t>
      </w:r>
      <w:r w:rsidR="00124A05">
        <w:rPr>
          <w:rFonts w:ascii="Calibri" w:hAnsi="Calibri" w:cs="Calibri"/>
          <w:sz w:val="20"/>
        </w:rPr>
        <w:t xml:space="preserve"> státu</w:t>
      </w:r>
      <w:r w:rsidR="008C4379">
        <w:rPr>
          <w:rFonts w:ascii="Calibri" w:hAnsi="Calibri" w:cs="Calibri"/>
          <w:sz w:val="20"/>
        </w:rPr>
        <w:t xml:space="preserve"> pro letošní rok odhaduje prognóza ČBA na </w:t>
      </w:r>
      <w:r w:rsidR="008D6C27">
        <w:rPr>
          <w:rFonts w:ascii="Calibri" w:hAnsi="Calibri" w:cs="Calibri"/>
          <w:sz w:val="20"/>
        </w:rPr>
        <w:t>4,</w:t>
      </w:r>
      <w:r w:rsidR="00062DC6">
        <w:rPr>
          <w:rFonts w:ascii="Calibri" w:hAnsi="Calibri" w:cs="Calibri"/>
          <w:sz w:val="20"/>
        </w:rPr>
        <w:t>9</w:t>
      </w:r>
      <w:r w:rsidR="008C4379">
        <w:rPr>
          <w:rFonts w:ascii="Calibri" w:hAnsi="Calibri" w:cs="Calibri"/>
          <w:sz w:val="20"/>
        </w:rPr>
        <w:t xml:space="preserve"> % HDP</w:t>
      </w:r>
      <w:r w:rsidR="00062DC6">
        <w:rPr>
          <w:rFonts w:ascii="Calibri" w:hAnsi="Calibri" w:cs="Calibri"/>
          <w:sz w:val="20"/>
        </w:rPr>
        <w:t>, což je oproti předchozí prognóze zhoršení následkem nepříznivých důsledků války na Ukrajině. Ačkoli doposud inkaso daňových příjmů překvapovalo spíše pozitivně, konsolidace veřejných financí bude vzhledem k mimořádným okolnostem probíhat pomaleji</w:t>
      </w:r>
      <w:r w:rsidR="00943FFA">
        <w:rPr>
          <w:rFonts w:ascii="Calibri" w:hAnsi="Calibri" w:cs="Calibri"/>
          <w:sz w:val="20"/>
        </w:rPr>
        <w:t xml:space="preserve">, jelikož bude přinášet řadu mimořádných výdajů. </w:t>
      </w:r>
      <w:r w:rsidR="00062DC6">
        <w:rPr>
          <w:rFonts w:ascii="Calibri" w:hAnsi="Calibri" w:cs="Calibri"/>
          <w:sz w:val="20"/>
        </w:rPr>
        <w:t>Celkové zadlužení veřejného sektoru</w:t>
      </w:r>
      <w:r w:rsidR="0005108F">
        <w:rPr>
          <w:rFonts w:ascii="Calibri" w:hAnsi="Calibri" w:cs="Calibri"/>
          <w:sz w:val="20"/>
        </w:rPr>
        <w:t xml:space="preserve"> se tak v příštím roce dostane dle mediánu odhadů </w:t>
      </w:r>
      <w:r w:rsidR="00062DC6">
        <w:rPr>
          <w:rFonts w:ascii="Calibri" w:hAnsi="Calibri" w:cs="Calibri"/>
          <w:sz w:val="20"/>
        </w:rPr>
        <w:t xml:space="preserve">k 45 % HDP. </w:t>
      </w:r>
    </w:p>
    <w:p w14:paraId="6BCE922E" w14:textId="6DB476D5" w:rsidR="00947BA5" w:rsidRDefault="00947BA5" w:rsidP="00247943">
      <w:pPr>
        <w:rPr>
          <w:rFonts w:ascii="Calibri" w:hAnsi="Calibri" w:cs="Calibri"/>
          <w:sz w:val="20"/>
        </w:rPr>
      </w:pPr>
    </w:p>
    <w:p w14:paraId="3F3FC1CA" w14:textId="77777777" w:rsidR="006A00DF" w:rsidRPr="00DD4A8E" w:rsidRDefault="006A00DF" w:rsidP="00247943">
      <w:pPr>
        <w:rPr>
          <w:rFonts w:ascii="Calibri" w:hAnsi="Calibri" w:cs="Calibri"/>
          <w:sz w:val="20"/>
        </w:rPr>
      </w:pPr>
    </w:p>
    <w:p w14:paraId="6A2F513C" w14:textId="67393220" w:rsidR="002D12BD" w:rsidRPr="00DD4A8E" w:rsidRDefault="00082CD7" w:rsidP="00FD4088">
      <w:pPr>
        <w:rPr>
          <w:rFonts w:ascii="Calibri" w:hAnsi="Calibri" w:cs="Calibri"/>
          <w:b/>
          <w:color w:val="13576B"/>
          <w:sz w:val="22"/>
          <w:szCs w:val="22"/>
        </w:rPr>
      </w:pPr>
      <w:r>
        <w:rPr>
          <w:rFonts w:ascii="Calibri" w:hAnsi="Calibri" w:cs="Calibri"/>
          <w:b/>
          <w:color w:val="13576B"/>
          <w:sz w:val="22"/>
          <w:szCs w:val="22"/>
        </w:rPr>
        <w:t>Korporátní úvěry by měly příští rok zrychlit</w:t>
      </w:r>
    </w:p>
    <w:p w14:paraId="7E571DDB" w14:textId="152C5D2D" w:rsidR="00F37DC9" w:rsidRPr="00DD4A8E" w:rsidRDefault="00587061" w:rsidP="00B4285D">
      <w:pPr>
        <w:rPr>
          <w:rFonts w:ascii="Calibri" w:hAnsi="Calibri" w:cs="Calibri"/>
          <w:szCs w:val="18"/>
        </w:rPr>
      </w:pPr>
      <w:r w:rsidRPr="00404CED">
        <w:rPr>
          <w:rFonts w:ascii="Calibri" w:hAnsi="Calibri" w:cs="Calibri"/>
          <w:sz w:val="20"/>
        </w:rPr>
        <w:t>Dynamika růstu</w:t>
      </w:r>
      <w:r w:rsidR="007E37FD" w:rsidRPr="00404CED">
        <w:rPr>
          <w:rFonts w:ascii="Calibri" w:hAnsi="Calibri" w:cs="Calibri"/>
          <w:sz w:val="20"/>
        </w:rPr>
        <w:t xml:space="preserve"> úvěrů bude letos ovlivněna mimořádně nejistou ekonomickou situací</w:t>
      </w:r>
      <w:r w:rsidR="00404CED">
        <w:rPr>
          <w:rFonts w:ascii="Calibri" w:hAnsi="Calibri" w:cs="Calibri"/>
          <w:sz w:val="20"/>
        </w:rPr>
        <w:t xml:space="preserve"> a prostředím vysokých úrokových sazeb. Po mimořádně silném hypotečním boomu v 2021 tak lze pro letošní rok očekávat citelné zpomalení objemu nově poskytnutých hypoték, což předznamenávají již zveřejněná data za první čtvrtletí letošního roku. Od dubn</w:t>
      </w:r>
      <w:r w:rsidR="00572DA2">
        <w:rPr>
          <w:rFonts w:ascii="Calibri" w:hAnsi="Calibri" w:cs="Calibri"/>
          <w:sz w:val="20"/>
        </w:rPr>
        <w:t>a</w:t>
      </w:r>
      <w:r w:rsidR="00404CED">
        <w:rPr>
          <w:rFonts w:ascii="Calibri" w:hAnsi="Calibri" w:cs="Calibri"/>
          <w:sz w:val="20"/>
        </w:rPr>
        <w:t xml:space="preserve"> pak začala platit přísnější mak</w:t>
      </w:r>
      <w:r w:rsidR="005A7E70">
        <w:rPr>
          <w:rFonts w:ascii="Calibri" w:hAnsi="Calibri" w:cs="Calibri"/>
          <w:sz w:val="20"/>
        </w:rPr>
        <w:t>r</w:t>
      </w:r>
      <w:r w:rsidR="00404CED">
        <w:rPr>
          <w:rFonts w:ascii="Calibri" w:hAnsi="Calibri" w:cs="Calibri"/>
          <w:sz w:val="20"/>
        </w:rPr>
        <w:t>o</w:t>
      </w:r>
      <w:r w:rsidR="00572DA2">
        <w:rPr>
          <w:rFonts w:ascii="Calibri" w:hAnsi="Calibri" w:cs="Calibri"/>
          <w:sz w:val="20"/>
        </w:rPr>
        <w:t>o</w:t>
      </w:r>
      <w:r w:rsidR="00AD4CC5">
        <w:rPr>
          <w:rFonts w:ascii="Calibri" w:hAnsi="Calibri" w:cs="Calibri"/>
          <w:sz w:val="20"/>
        </w:rPr>
        <w:t xml:space="preserve">bezřetnostní </w:t>
      </w:r>
      <w:r w:rsidR="00404CED">
        <w:rPr>
          <w:rFonts w:ascii="Calibri" w:hAnsi="Calibri" w:cs="Calibri"/>
          <w:sz w:val="20"/>
        </w:rPr>
        <w:t>pravidla</w:t>
      </w:r>
      <w:r w:rsidR="00AD4CC5">
        <w:rPr>
          <w:rFonts w:ascii="Calibri" w:hAnsi="Calibri" w:cs="Calibri"/>
          <w:sz w:val="20"/>
        </w:rPr>
        <w:t xml:space="preserve"> ČNB</w:t>
      </w:r>
      <w:r w:rsidR="00404CED">
        <w:rPr>
          <w:rFonts w:ascii="Calibri" w:hAnsi="Calibri" w:cs="Calibri"/>
          <w:sz w:val="20"/>
        </w:rPr>
        <w:t xml:space="preserve"> pro poskytování hypoték, což objemy hypoték dle předběžných čísel dále</w:t>
      </w:r>
      <w:r w:rsidR="00AD4CC5">
        <w:rPr>
          <w:rFonts w:ascii="Calibri" w:hAnsi="Calibri" w:cs="Calibri"/>
          <w:sz w:val="20"/>
        </w:rPr>
        <w:t xml:space="preserve"> poměrně citelně</w:t>
      </w:r>
      <w:r w:rsidR="00404CED">
        <w:rPr>
          <w:rFonts w:ascii="Calibri" w:hAnsi="Calibri" w:cs="Calibri"/>
          <w:sz w:val="20"/>
        </w:rPr>
        <w:t xml:space="preserve"> zasáhne. </w:t>
      </w:r>
      <w:r w:rsidR="00AD4CC5">
        <w:rPr>
          <w:rFonts w:ascii="Calibri" w:hAnsi="Calibri" w:cs="Calibri"/>
          <w:sz w:val="20"/>
        </w:rPr>
        <w:t xml:space="preserve">Korporátní úvěry budou reagovat na vyšší potřebu provozního financování, na současnou situaci vysokých korunových úrokových sazeb pak část firemního sektoru reaguje přechodem na </w:t>
      </w:r>
      <w:proofErr w:type="spellStart"/>
      <w:r w:rsidR="00AD4CC5">
        <w:rPr>
          <w:rFonts w:ascii="Calibri" w:hAnsi="Calibri" w:cs="Calibri"/>
          <w:sz w:val="20"/>
        </w:rPr>
        <w:t>cizoměnové</w:t>
      </w:r>
      <w:proofErr w:type="spellEnd"/>
      <w:r w:rsidR="00AD4CC5">
        <w:rPr>
          <w:rFonts w:ascii="Calibri" w:hAnsi="Calibri" w:cs="Calibri"/>
          <w:sz w:val="20"/>
        </w:rPr>
        <w:t xml:space="preserve"> financování. Podíl </w:t>
      </w:r>
      <w:proofErr w:type="spellStart"/>
      <w:r w:rsidR="00AD4CC5">
        <w:rPr>
          <w:rFonts w:ascii="Calibri" w:hAnsi="Calibri" w:cs="Calibri"/>
          <w:sz w:val="20"/>
        </w:rPr>
        <w:t>cizoměnových</w:t>
      </w:r>
      <w:proofErr w:type="spellEnd"/>
      <w:r w:rsidR="00AD4CC5">
        <w:rPr>
          <w:rFonts w:ascii="Calibri" w:hAnsi="Calibri" w:cs="Calibri"/>
          <w:sz w:val="20"/>
        </w:rPr>
        <w:t xml:space="preserve"> úvěrů n</w:t>
      </w:r>
      <w:r w:rsidR="005A7E70">
        <w:rPr>
          <w:rFonts w:ascii="Calibri" w:hAnsi="Calibri" w:cs="Calibri"/>
          <w:sz w:val="20"/>
        </w:rPr>
        <w:t>a</w:t>
      </w:r>
      <w:r w:rsidR="00AD4CC5">
        <w:rPr>
          <w:rFonts w:ascii="Calibri" w:hAnsi="Calibri" w:cs="Calibri"/>
          <w:sz w:val="20"/>
        </w:rPr>
        <w:t xml:space="preserve"> celkových úvěrech </w:t>
      </w:r>
      <w:r w:rsidR="00336B96">
        <w:rPr>
          <w:rFonts w:ascii="Calibri" w:hAnsi="Calibri" w:cs="Calibri"/>
          <w:sz w:val="20"/>
        </w:rPr>
        <w:t xml:space="preserve">bank </w:t>
      </w:r>
      <w:r w:rsidR="00AD4CC5">
        <w:rPr>
          <w:rFonts w:ascii="Calibri" w:hAnsi="Calibri" w:cs="Calibri"/>
          <w:sz w:val="20"/>
        </w:rPr>
        <w:t xml:space="preserve">poskytnutých nefinančním podnikům tak postupně roste a v březnu dosáhl dosavadního historického maxima </w:t>
      </w:r>
      <w:r w:rsidR="005A7E70">
        <w:rPr>
          <w:rFonts w:ascii="Calibri" w:hAnsi="Calibri" w:cs="Calibri"/>
          <w:sz w:val="20"/>
        </w:rPr>
        <w:t>mírně pod 40% hranicí.</w:t>
      </w:r>
    </w:p>
    <w:p w14:paraId="76A4FED4" w14:textId="734CDE40" w:rsidR="007D666C" w:rsidRPr="00DD4A8E" w:rsidRDefault="007D666C" w:rsidP="00635F63">
      <w:pPr>
        <w:rPr>
          <w:rFonts w:ascii="Calibri" w:hAnsi="Calibri" w:cs="Calibri"/>
          <w:b/>
          <w:color w:val="007E79"/>
          <w:sz w:val="20"/>
        </w:rPr>
      </w:pPr>
    </w:p>
    <w:p w14:paraId="0FC19613" w14:textId="2C424095" w:rsidR="00C93158" w:rsidRDefault="00C93158" w:rsidP="00B4285D">
      <w:pPr>
        <w:rPr>
          <w:rFonts w:ascii="Calibri" w:hAnsi="Calibri" w:cs="Calibri"/>
          <w:b/>
          <w:color w:val="13576B"/>
          <w:sz w:val="22"/>
          <w:szCs w:val="22"/>
        </w:rPr>
      </w:pPr>
      <w:r w:rsidRPr="00AD0B10">
        <w:rPr>
          <w:rFonts w:ascii="Calibri" w:hAnsi="Calibri" w:cs="Calibri"/>
          <w:b/>
          <w:color w:val="13576B"/>
          <w:sz w:val="22"/>
          <w:szCs w:val="22"/>
        </w:rPr>
        <w:t>Makroekonomická prognóza ČBA v</w:t>
      </w:r>
      <w:r w:rsidR="001642C0">
        <w:rPr>
          <w:rFonts w:ascii="Calibri" w:hAnsi="Calibri" w:cs="Calibri"/>
          <w:b/>
          <w:color w:val="13576B"/>
          <w:sz w:val="22"/>
          <w:szCs w:val="22"/>
        </w:rPr>
        <w:t> </w:t>
      </w:r>
      <w:r w:rsidRPr="00AD0B10">
        <w:rPr>
          <w:rFonts w:ascii="Calibri" w:hAnsi="Calibri" w:cs="Calibri"/>
          <w:b/>
          <w:color w:val="13576B"/>
          <w:sz w:val="22"/>
          <w:szCs w:val="22"/>
        </w:rPr>
        <w:t>číslech</w:t>
      </w:r>
    </w:p>
    <w:p w14:paraId="2BEBBAEE" w14:textId="77777777" w:rsidR="001642C0" w:rsidRPr="00AD0B10" w:rsidRDefault="001642C0" w:rsidP="00B4285D">
      <w:pPr>
        <w:rPr>
          <w:rFonts w:ascii="Calibri" w:hAnsi="Calibri" w:cs="Calibri"/>
          <w:b/>
          <w:color w:val="007E79"/>
          <w:sz w:val="22"/>
          <w:szCs w:val="22"/>
        </w:rPr>
      </w:pPr>
    </w:p>
    <w:tbl>
      <w:tblPr>
        <w:tblW w:w="8380" w:type="dxa"/>
        <w:tblCellMar>
          <w:left w:w="70" w:type="dxa"/>
          <w:right w:w="70" w:type="dxa"/>
        </w:tblCellMar>
        <w:tblLook w:val="04A0" w:firstRow="1" w:lastRow="0" w:firstColumn="1" w:lastColumn="0" w:noHBand="0" w:noVBand="1"/>
      </w:tblPr>
      <w:tblGrid>
        <w:gridCol w:w="5160"/>
        <w:gridCol w:w="1180"/>
        <w:gridCol w:w="1020"/>
        <w:gridCol w:w="1020"/>
      </w:tblGrid>
      <w:tr w:rsidR="00151610" w:rsidRPr="00151610" w14:paraId="6A5A9731" w14:textId="77777777" w:rsidTr="00151610">
        <w:trPr>
          <w:trHeight w:val="225"/>
        </w:trPr>
        <w:tc>
          <w:tcPr>
            <w:tcW w:w="5160" w:type="dxa"/>
            <w:vMerge w:val="restart"/>
            <w:tcBorders>
              <w:top w:val="nil"/>
              <w:left w:val="nil"/>
              <w:bottom w:val="single" w:sz="8" w:space="0" w:color="FFFFFF"/>
              <w:right w:val="single" w:sz="8" w:space="0" w:color="FFFFFF"/>
            </w:tcBorders>
            <w:shd w:val="clear" w:color="000000" w:fill="13576B"/>
            <w:vAlign w:val="center"/>
            <w:hideMark/>
          </w:tcPr>
          <w:p w14:paraId="334A98C2" w14:textId="77777777" w:rsidR="00151610" w:rsidRPr="00151610" w:rsidRDefault="00151610" w:rsidP="00151610">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Ukazatel</w:t>
            </w:r>
          </w:p>
        </w:tc>
        <w:tc>
          <w:tcPr>
            <w:tcW w:w="1180" w:type="dxa"/>
            <w:tcBorders>
              <w:top w:val="nil"/>
              <w:left w:val="nil"/>
              <w:bottom w:val="nil"/>
              <w:right w:val="single" w:sz="8" w:space="0" w:color="FFFFFF"/>
            </w:tcBorders>
            <w:shd w:val="clear" w:color="000000" w:fill="13576B"/>
            <w:vAlign w:val="center"/>
            <w:hideMark/>
          </w:tcPr>
          <w:p w14:paraId="4FD317BA" w14:textId="77777777" w:rsidR="00151610" w:rsidRPr="00151610" w:rsidRDefault="00151610" w:rsidP="00151610">
            <w:pPr>
              <w:overflowPunct/>
              <w:autoSpaceDE/>
              <w:autoSpaceDN/>
              <w:adjustRightInd/>
              <w:jc w:val="center"/>
              <w:textAlignment w:val="auto"/>
              <w:rPr>
                <w:rFonts w:ascii="Calibri Light" w:hAnsi="Calibri Light" w:cs="Calibri Light"/>
                <w:b/>
                <w:bCs/>
                <w:color w:val="FFFFFF"/>
                <w:szCs w:val="18"/>
              </w:rPr>
            </w:pPr>
            <w:r w:rsidRPr="00151610">
              <w:rPr>
                <w:rFonts w:ascii="Calibri Light" w:hAnsi="Calibri Light" w:cs="Calibri Light"/>
                <w:b/>
                <w:bCs/>
                <w:color w:val="FFFFFF"/>
                <w:szCs w:val="18"/>
              </w:rPr>
              <w:t>2021</w:t>
            </w:r>
          </w:p>
        </w:tc>
        <w:tc>
          <w:tcPr>
            <w:tcW w:w="1020" w:type="dxa"/>
            <w:tcBorders>
              <w:top w:val="nil"/>
              <w:left w:val="nil"/>
              <w:bottom w:val="nil"/>
              <w:right w:val="single" w:sz="8" w:space="0" w:color="FFFFFF"/>
            </w:tcBorders>
            <w:shd w:val="clear" w:color="000000" w:fill="13576B"/>
            <w:vAlign w:val="center"/>
            <w:hideMark/>
          </w:tcPr>
          <w:p w14:paraId="70421ED2" w14:textId="77777777" w:rsidR="00151610" w:rsidRPr="00151610" w:rsidRDefault="00151610" w:rsidP="00151610">
            <w:pPr>
              <w:overflowPunct/>
              <w:autoSpaceDE/>
              <w:autoSpaceDN/>
              <w:adjustRightInd/>
              <w:jc w:val="center"/>
              <w:textAlignment w:val="auto"/>
              <w:rPr>
                <w:rFonts w:ascii="Calibri Light" w:hAnsi="Calibri Light" w:cs="Calibri Light"/>
                <w:b/>
                <w:bCs/>
                <w:color w:val="FFFFFF"/>
                <w:szCs w:val="18"/>
              </w:rPr>
            </w:pPr>
            <w:r w:rsidRPr="00151610">
              <w:rPr>
                <w:rFonts w:ascii="Calibri Light" w:hAnsi="Calibri Light" w:cs="Calibri Light"/>
                <w:b/>
                <w:bCs/>
                <w:color w:val="FFFFFF"/>
                <w:szCs w:val="18"/>
              </w:rPr>
              <w:t>2022</w:t>
            </w:r>
          </w:p>
        </w:tc>
        <w:tc>
          <w:tcPr>
            <w:tcW w:w="1020" w:type="dxa"/>
            <w:tcBorders>
              <w:top w:val="nil"/>
              <w:left w:val="nil"/>
              <w:bottom w:val="nil"/>
              <w:right w:val="single" w:sz="8" w:space="0" w:color="FFFFFF"/>
            </w:tcBorders>
            <w:shd w:val="clear" w:color="000000" w:fill="13576B"/>
            <w:vAlign w:val="center"/>
            <w:hideMark/>
          </w:tcPr>
          <w:p w14:paraId="33A55FD7" w14:textId="77777777" w:rsidR="00151610" w:rsidRPr="00151610" w:rsidRDefault="00151610" w:rsidP="00151610">
            <w:pPr>
              <w:overflowPunct/>
              <w:autoSpaceDE/>
              <w:autoSpaceDN/>
              <w:adjustRightInd/>
              <w:jc w:val="center"/>
              <w:textAlignment w:val="auto"/>
              <w:rPr>
                <w:rFonts w:ascii="Calibri Light" w:hAnsi="Calibri Light" w:cs="Calibri Light"/>
                <w:b/>
                <w:bCs/>
                <w:color w:val="FFFFFF"/>
                <w:szCs w:val="18"/>
              </w:rPr>
            </w:pPr>
            <w:r w:rsidRPr="00151610">
              <w:rPr>
                <w:rFonts w:ascii="Calibri Light" w:hAnsi="Calibri Light" w:cs="Calibri Light"/>
                <w:b/>
                <w:bCs/>
                <w:color w:val="FFFFFF"/>
                <w:szCs w:val="18"/>
              </w:rPr>
              <w:t>2023</w:t>
            </w:r>
          </w:p>
        </w:tc>
      </w:tr>
      <w:tr w:rsidR="00151610" w:rsidRPr="00151610" w14:paraId="031727FB" w14:textId="77777777" w:rsidTr="00151610">
        <w:trPr>
          <w:trHeight w:val="435"/>
        </w:trPr>
        <w:tc>
          <w:tcPr>
            <w:tcW w:w="5160" w:type="dxa"/>
            <w:vMerge/>
            <w:tcBorders>
              <w:top w:val="nil"/>
              <w:left w:val="nil"/>
              <w:bottom w:val="single" w:sz="8" w:space="0" w:color="FFFFFF"/>
              <w:right w:val="single" w:sz="8" w:space="0" w:color="FFFFFF"/>
            </w:tcBorders>
            <w:vAlign w:val="center"/>
            <w:hideMark/>
          </w:tcPr>
          <w:p w14:paraId="306715B5" w14:textId="77777777" w:rsidR="00151610" w:rsidRPr="00151610" w:rsidRDefault="00151610" w:rsidP="00151610">
            <w:pPr>
              <w:overflowPunct/>
              <w:autoSpaceDE/>
              <w:autoSpaceDN/>
              <w:adjustRightInd/>
              <w:jc w:val="left"/>
              <w:textAlignment w:val="auto"/>
              <w:rPr>
                <w:rFonts w:ascii="Calibri Light" w:hAnsi="Calibri Light" w:cs="Calibri Light"/>
                <w:b/>
                <w:bCs/>
                <w:color w:val="FFFFFF"/>
                <w:sz w:val="20"/>
              </w:rPr>
            </w:pPr>
          </w:p>
        </w:tc>
        <w:tc>
          <w:tcPr>
            <w:tcW w:w="1180" w:type="dxa"/>
            <w:tcBorders>
              <w:top w:val="nil"/>
              <w:left w:val="nil"/>
              <w:bottom w:val="single" w:sz="8" w:space="0" w:color="FFFFFF"/>
              <w:right w:val="single" w:sz="8" w:space="0" w:color="FFFFFF"/>
            </w:tcBorders>
            <w:shd w:val="clear" w:color="000000" w:fill="13576B"/>
            <w:vAlign w:val="center"/>
            <w:hideMark/>
          </w:tcPr>
          <w:p w14:paraId="7DB89199" w14:textId="77777777" w:rsidR="00151610" w:rsidRPr="00151610" w:rsidRDefault="00151610" w:rsidP="00151610">
            <w:pPr>
              <w:overflowPunct/>
              <w:autoSpaceDE/>
              <w:autoSpaceDN/>
              <w:adjustRightInd/>
              <w:jc w:val="center"/>
              <w:textAlignment w:val="auto"/>
              <w:rPr>
                <w:rFonts w:ascii="Calibri Light" w:hAnsi="Calibri Light" w:cs="Calibri Light"/>
                <w:b/>
                <w:bCs/>
                <w:color w:val="FFFFFF"/>
                <w:szCs w:val="18"/>
              </w:rPr>
            </w:pPr>
            <w:r w:rsidRPr="00151610">
              <w:rPr>
                <w:rFonts w:ascii="Calibri Light" w:hAnsi="Calibri Light" w:cs="Calibri Light"/>
                <w:b/>
                <w:bCs/>
                <w:color w:val="FFFFFF"/>
                <w:szCs w:val="18"/>
              </w:rPr>
              <w:t>(skutečnost)</w:t>
            </w:r>
          </w:p>
        </w:tc>
        <w:tc>
          <w:tcPr>
            <w:tcW w:w="1020" w:type="dxa"/>
            <w:tcBorders>
              <w:top w:val="nil"/>
              <w:left w:val="nil"/>
              <w:bottom w:val="single" w:sz="8" w:space="0" w:color="FFFFFF"/>
              <w:right w:val="single" w:sz="8" w:space="0" w:color="FFFFFF"/>
            </w:tcBorders>
            <w:shd w:val="clear" w:color="000000" w:fill="13576B"/>
            <w:vAlign w:val="center"/>
            <w:hideMark/>
          </w:tcPr>
          <w:p w14:paraId="2CB69A69" w14:textId="77777777" w:rsidR="00151610" w:rsidRPr="00151610" w:rsidRDefault="00151610" w:rsidP="00151610">
            <w:pPr>
              <w:overflowPunct/>
              <w:autoSpaceDE/>
              <w:autoSpaceDN/>
              <w:adjustRightInd/>
              <w:jc w:val="center"/>
              <w:textAlignment w:val="auto"/>
              <w:rPr>
                <w:rFonts w:ascii="Calibri Light" w:hAnsi="Calibri Light" w:cs="Calibri Light"/>
                <w:b/>
                <w:bCs/>
                <w:color w:val="FFFFFF"/>
                <w:szCs w:val="18"/>
              </w:rPr>
            </w:pPr>
            <w:r w:rsidRPr="00151610">
              <w:rPr>
                <w:rFonts w:ascii="Calibri Light" w:hAnsi="Calibri Light" w:cs="Calibri Light"/>
                <w:b/>
                <w:bCs/>
                <w:color w:val="FFFFFF"/>
                <w:szCs w:val="18"/>
              </w:rPr>
              <w:t>(prognóza)</w:t>
            </w:r>
          </w:p>
        </w:tc>
        <w:tc>
          <w:tcPr>
            <w:tcW w:w="1020" w:type="dxa"/>
            <w:tcBorders>
              <w:top w:val="nil"/>
              <w:left w:val="nil"/>
              <w:bottom w:val="single" w:sz="8" w:space="0" w:color="FFFFFF"/>
              <w:right w:val="single" w:sz="8" w:space="0" w:color="FFFFFF"/>
            </w:tcBorders>
            <w:shd w:val="clear" w:color="000000" w:fill="13576B"/>
            <w:vAlign w:val="center"/>
            <w:hideMark/>
          </w:tcPr>
          <w:p w14:paraId="744E837C" w14:textId="77777777" w:rsidR="00151610" w:rsidRPr="00151610" w:rsidRDefault="00151610" w:rsidP="00151610">
            <w:pPr>
              <w:overflowPunct/>
              <w:autoSpaceDE/>
              <w:autoSpaceDN/>
              <w:adjustRightInd/>
              <w:jc w:val="center"/>
              <w:textAlignment w:val="auto"/>
              <w:rPr>
                <w:rFonts w:ascii="Calibri Light" w:hAnsi="Calibri Light" w:cs="Calibri Light"/>
                <w:b/>
                <w:bCs/>
                <w:color w:val="FFFFFF"/>
                <w:szCs w:val="18"/>
              </w:rPr>
            </w:pPr>
            <w:r w:rsidRPr="00151610">
              <w:rPr>
                <w:rFonts w:ascii="Calibri Light" w:hAnsi="Calibri Light" w:cs="Calibri Light"/>
                <w:b/>
                <w:bCs/>
                <w:color w:val="FFFFFF"/>
                <w:szCs w:val="18"/>
              </w:rPr>
              <w:t>(prognóza)</w:t>
            </w:r>
          </w:p>
        </w:tc>
      </w:tr>
      <w:tr w:rsidR="0005108F" w:rsidRPr="00151610" w14:paraId="3EBCB1C2"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2A658C72"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reálného HDP (%)</w:t>
            </w:r>
          </w:p>
        </w:tc>
        <w:tc>
          <w:tcPr>
            <w:tcW w:w="1180" w:type="dxa"/>
            <w:tcBorders>
              <w:top w:val="nil"/>
              <w:left w:val="nil"/>
              <w:bottom w:val="nil"/>
              <w:right w:val="single" w:sz="4" w:space="0" w:color="FFFFFF"/>
            </w:tcBorders>
            <w:shd w:val="clear" w:color="000000" w:fill="D9D9D9"/>
            <w:noWrap/>
            <w:vAlign w:val="center"/>
            <w:hideMark/>
          </w:tcPr>
          <w:p w14:paraId="14C9B71A" w14:textId="67B5F9E3"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3,3</w:t>
            </w:r>
          </w:p>
        </w:tc>
        <w:tc>
          <w:tcPr>
            <w:tcW w:w="1020" w:type="dxa"/>
            <w:tcBorders>
              <w:top w:val="nil"/>
              <w:left w:val="nil"/>
              <w:bottom w:val="nil"/>
              <w:right w:val="single" w:sz="8" w:space="0" w:color="FFFFFF"/>
            </w:tcBorders>
            <w:shd w:val="clear" w:color="000000" w:fill="D9D9D9"/>
            <w:noWrap/>
            <w:vAlign w:val="center"/>
            <w:hideMark/>
          </w:tcPr>
          <w:p w14:paraId="19822814" w14:textId="00216DFC"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1,8</w:t>
            </w:r>
          </w:p>
        </w:tc>
        <w:tc>
          <w:tcPr>
            <w:tcW w:w="1020" w:type="dxa"/>
            <w:tcBorders>
              <w:top w:val="nil"/>
              <w:left w:val="nil"/>
              <w:bottom w:val="nil"/>
              <w:right w:val="single" w:sz="8" w:space="0" w:color="FFFFFF"/>
            </w:tcBorders>
            <w:shd w:val="clear" w:color="000000" w:fill="D9D9D9"/>
            <w:noWrap/>
            <w:vAlign w:val="center"/>
            <w:hideMark/>
          </w:tcPr>
          <w:p w14:paraId="3148539E" w14:textId="121B4682"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2,8</w:t>
            </w:r>
          </w:p>
        </w:tc>
      </w:tr>
      <w:tr w:rsidR="0005108F" w:rsidRPr="00151610" w14:paraId="373A5815"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67FC45C0" w14:textId="77777777" w:rsidR="0005108F" w:rsidRPr="00151610" w:rsidRDefault="0005108F" w:rsidP="0005108F">
            <w:pPr>
              <w:overflowPunct/>
              <w:autoSpaceDE/>
              <w:autoSpaceDN/>
              <w:adjustRightInd/>
              <w:ind w:firstLineChars="100" w:firstLine="201"/>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spotřeby domácností (%)</w:t>
            </w:r>
          </w:p>
        </w:tc>
        <w:tc>
          <w:tcPr>
            <w:tcW w:w="1180" w:type="dxa"/>
            <w:tcBorders>
              <w:top w:val="nil"/>
              <w:left w:val="nil"/>
              <w:bottom w:val="nil"/>
              <w:right w:val="single" w:sz="4" w:space="0" w:color="FFFFFF"/>
            </w:tcBorders>
            <w:shd w:val="clear" w:color="000000" w:fill="D9D9D9"/>
            <w:noWrap/>
            <w:vAlign w:val="center"/>
            <w:hideMark/>
          </w:tcPr>
          <w:p w14:paraId="540CD4A1" w14:textId="4FBEE2D5"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4,3</w:t>
            </w:r>
          </w:p>
        </w:tc>
        <w:tc>
          <w:tcPr>
            <w:tcW w:w="1020" w:type="dxa"/>
            <w:tcBorders>
              <w:top w:val="nil"/>
              <w:left w:val="nil"/>
              <w:bottom w:val="nil"/>
              <w:right w:val="single" w:sz="8" w:space="0" w:color="FFFFFF"/>
            </w:tcBorders>
            <w:shd w:val="clear" w:color="000000" w:fill="D9D9D9"/>
            <w:noWrap/>
            <w:vAlign w:val="center"/>
            <w:hideMark/>
          </w:tcPr>
          <w:p w14:paraId="0B460453" w14:textId="45F468AA"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1,1</w:t>
            </w:r>
          </w:p>
        </w:tc>
        <w:tc>
          <w:tcPr>
            <w:tcW w:w="1020" w:type="dxa"/>
            <w:tcBorders>
              <w:top w:val="nil"/>
              <w:left w:val="nil"/>
              <w:bottom w:val="nil"/>
              <w:right w:val="single" w:sz="8" w:space="0" w:color="FFFFFF"/>
            </w:tcBorders>
            <w:shd w:val="clear" w:color="000000" w:fill="D9D9D9"/>
            <w:noWrap/>
            <w:vAlign w:val="center"/>
            <w:hideMark/>
          </w:tcPr>
          <w:p w14:paraId="1820A3D8" w14:textId="1DFB6F29"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1,8</w:t>
            </w:r>
          </w:p>
        </w:tc>
      </w:tr>
      <w:tr w:rsidR="0005108F" w:rsidRPr="00151610" w14:paraId="73100024"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5451E376" w14:textId="77777777" w:rsidR="0005108F" w:rsidRPr="00151610" w:rsidRDefault="0005108F" w:rsidP="0005108F">
            <w:pPr>
              <w:overflowPunct/>
              <w:autoSpaceDE/>
              <w:autoSpaceDN/>
              <w:adjustRightInd/>
              <w:ind w:firstLineChars="100" w:firstLine="201"/>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vládní spotřeby (%)</w:t>
            </w:r>
          </w:p>
        </w:tc>
        <w:tc>
          <w:tcPr>
            <w:tcW w:w="1180" w:type="dxa"/>
            <w:tcBorders>
              <w:top w:val="nil"/>
              <w:left w:val="nil"/>
              <w:bottom w:val="nil"/>
              <w:right w:val="single" w:sz="4" w:space="0" w:color="FFFFFF"/>
            </w:tcBorders>
            <w:shd w:val="clear" w:color="000000" w:fill="D9D9D9"/>
            <w:noWrap/>
            <w:vAlign w:val="center"/>
            <w:hideMark/>
          </w:tcPr>
          <w:p w14:paraId="64900ACB" w14:textId="3DA21C2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3,0</w:t>
            </w:r>
          </w:p>
        </w:tc>
        <w:tc>
          <w:tcPr>
            <w:tcW w:w="1020" w:type="dxa"/>
            <w:tcBorders>
              <w:top w:val="nil"/>
              <w:left w:val="nil"/>
              <w:bottom w:val="nil"/>
              <w:right w:val="single" w:sz="8" w:space="0" w:color="FFFFFF"/>
            </w:tcBorders>
            <w:shd w:val="clear" w:color="000000" w:fill="D9D9D9"/>
            <w:noWrap/>
            <w:vAlign w:val="center"/>
            <w:hideMark/>
          </w:tcPr>
          <w:p w14:paraId="04FB014A" w14:textId="46CC094E"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2,0</w:t>
            </w:r>
          </w:p>
        </w:tc>
        <w:tc>
          <w:tcPr>
            <w:tcW w:w="1020" w:type="dxa"/>
            <w:tcBorders>
              <w:top w:val="nil"/>
              <w:left w:val="nil"/>
              <w:bottom w:val="nil"/>
              <w:right w:val="single" w:sz="8" w:space="0" w:color="FFFFFF"/>
            </w:tcBorders>
            <w:shd w:val="clear" w:color="000000" w:fill="D9D9D9"/>
            <w:noWrap/>
            <w:vAlign w:val="center"/>
            <w:hideMark/>
          </w:tcPr>
          <w:p w14:paraId="2C6D2ACF" w14:textId="0668ED80"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1,5</w:t>
            </w:r>
          </w:p>
        </w:tc>
      </w:tr>
      <w:tr w:rsidR="0005108F" w:rsidRPr="00151610" w14:paraId="1649778A"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47E26714" w14:textId="77777777" w:rsidR="0005108F" w:rsidRPr="00151610" w:rsidRDefault="0005108F" w:rsidP="0005108F">
            <w:pPr>
              <w:overflowPunct/>
              <w:autoSpaceDE/>
              <w:autoSpaceDN/>
              <w:adjustRightInd/>
              <w:ind w:firstLineChars="100" w:firstLine="201"/>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investic (bez zásob, %)</w:t>
            </w:r>
          </w:p>
        </w:tc>
        <w:tc>
          <w:tcPr>
            <w:tcW w:w="1180" w:type="dxa"/>
            <w:tcBorders>
              <w:top w:val="nil"/>
              <w:left w:val="nil"/>
              <w:bottom w:val="nil"/>
              <w:right w:val="single" w:sz="4" w:space="0" w:color="FFFFFF"/>
            </w:tcBorders>
            <w:shd w:val="clear" w:color="000000" w:fill="D9D9D9"/>
            <w:noWrap/>
            <w:vAlign w:val="center"/>
            <w:hideMark/>
          </w:tcPr>
          <w:p w14:paraId="539949CC" w14:textId="01BF0F0F"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0,6</w:t>
            </w:r>
          </w:p>
        </w:tc>
        <w:tc>
          <w:tcPr>
            <w:tcW w:w="1020" w:type="dxa"/>
            <w:tcBorders>
              <w:top w:val="nil"/>
              <w:left w:val="nil"/>
              <w:bottom w:val="nil"/>
              <w:right w:val="single" w:sz="8" w:space="0" w:color="FFFFFF"/>
            </w:tcBorders>
            <w:shd w:val="clear" w:color="000000" w:fill="D9D9D9"/>
            <w:noWrap/>
            <w:vAlign w:val="center"/>
            <w:hideMark/>
          </w:tcPr>
          <w:p w14:paraId="3AB107A7" w14:textId="4604B93E"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2,6</w:t>
            </w:r>
          </w:p>
        </w:tc>
        <w:tc>
          <w:tcPr>
            <w:tcW w:w="1020" w:type="dxa"/>
            <w:tcBorders>
              <w:top w:val="nil"/>
              <w:left w:val="nil"/>
              <w:bottom w:val="nil"/>
              <w:right w:val="single" w:sz="8" w:space="0" w:color="FFFFFF"/>
            </w:tcBorders>
            <w:shd w:val="clear" w:color="000000" w:fill="D9D9D9"/>
            <w:noWrap/>
            <w:vAlign w:val="center"/>
            <w:hideMark/>
          </w:tcPr>
          <w:p w14:paraId="347F64C4" w14:textId="37981C1E"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4,0</w:t>
            </w:r>
          </w:p>
        </w:tc>
      </w:tr>
      <w:tr w:rsidR="0005108F" w:rsidRPr="00151610" w14:paraId="00DF79EA"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1B7BB5C9" w14:textId="77777777" w:rsidR="0005108F" w:rsidRPr="00151610" w:rsidRDefault="0005108F" w:rsidP="0005108F">
            <w:pPr>
              <w:overflowPunct/>
              <w:autoSpaceDE/>
              <w:autoSpaceDN/>
              <w:adjustRightInd/>
              <w:ind w:firstLineChars="100" w:firstLine="201"/>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 xml:space="preserve">Růst vývozů (%) </w:t>
            </w:r>
          </w:p>
        </w:tc>
        <w:tc>
          <w:tcPr>
            <w:tcW w:w="1180" w:type="dxa"/>
            <w:tcBorders>
              <w:top w:val="nil"/>
              <w:left w:val="nil"/>
              <w:bottom w:val="nil"/>
              <w:right w:val="single" w:sz="4" w:space="0" w:color="FFFFFF"/>
            </w:tcBorders>
            <w:shd w:val="clear" w:color="000000" w:fill="D9D9D9"/>
            <w:noWrap/>
            <w:vAlign w:val="center"/>
            <w:hideMark/>
          </w:tcPr>
          <w:p w14:paraId="73F9B2E3" w14:textId="569DE680"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5,0</w:t>
            </w:r>
          </w:p>
        </w:tc>
        <w:tc>
          <w:tcPr>
            <w:tcW w:w="1020" w:type="dxa"/>
            <w:tcBorders>
              <w:top w:val="nil"/>
              <w:left w:val="nil"/>
              <w:bottom w:val="nil"/>
              <w:right w:val="single" w:sz="8" w:space="0" w:color="FFFFFF"/>
            </w:tcBorders>
            <w:shd w:val="clear" w:color="000000" w:fill="D9D9D9"/>
            <w:noWrap/>
            <w:vAlign w:val="center"/>
            <w:hideMark/>
          </w:tcPr>
          <w:p w14:paraId="4D50AA9F" w14:textId="67A5A2E7"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1,0</w:t>
            </w:r>
          </w:p>
        </w:tc>
        <w:tc>
          <w:tcPr>
            <w:tcW w:w="1020" w:type="dxa"/>
            <w:tcBorders>
              <w:top w:val="nil"/>
              <w:left w:val="nil"/>
              <w:bottom w:val="nil"/>
              <w:right w:val="single" w:sz="8" w:space="0" w:color="FFFFFF"/>
            </w:tcBorders>
            <w:shd w:val="clear" w:color="000000" w:fill="D9D9D9"/>
            <w:noWrap/>
            <w:vAlign w:val="center"/>
            <w:hideMark/>
          </w:tcPr>
          <w:p w14:paraId="2AAE6EDA" w14:textId="110B6D62"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4,1</w:t>
            </w:r>
          </w:p>
        </w:tc>
      </w:tr>
      <w:tr w:rsidR="0005108F" w:rsidRPr="00151610" w14:paraId="14F40AF6" w14:textId="77777777" w:rsidTr="00151610">
        <w:trPr>
          <w:trHeight w:val="270"/>
        </w:trPr>
        <w:tc>
          <w:tcPr>
            <w:tcW w:w="5160" w:type="dxa"/>
            <w:tcBorders>
              <w:top w:val="nil"/>
              <w:left w:val="nil"/>
              <w:bottom w:val="single" w:sz="8" w:space="0" w:color="FFFFFF"/>
              <w:right w:val="single" w:sz="8" w:space="0" w:color="FFFFFF"/>
            </w:tcBorders>
            <w:shd w:val="clear" w:color="000000" w:fill="13576B"/>
            <w:vAlign w:val="center"/>
            <w:hideMark/>
          </w:tcPr>
          <w:p w14:paraId="1854BBE2" w14:textId="77777777" w:rsidR="0005108F" w:rsidRPr="00151610" w:rsidRDefault="0005108F" w:rsidP="0005108F">
            <w:pPr>
              <w:overflowPunct/>
              <w:autoSpaceDE/>
              <w:autoSpaceDN/>
              <w:adjustRightInd/>
              <w:ind w:firstLineChars="100" w:firstLine="201"/>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dovozů (%)</w:t>
            </w:r>
          </w:p>
        </w:tc>
        <w:tc>
          <w:tcPr>
            <w:tcW w:w="1180" w:type="dxa"/>
            <w:tcBorders>
              <w:top w:val="nil"/>
              <w:left w:val="nil"/>
              <w:bottom w:val="single" w:sz="8" w:space="0" w:color="FFFFFF"/>
              <w:right w:val="single" w:sz="4" w:space="0" w:color="FFFFFF"/>
            </w:tcBorders>
            <w:shd w:val="clear" w:color="000000" w:fill="D9D9D9"/>
            <w:noWrap/>
            <w:vAlign w:val="center"/>
            <w:hideMark/>
          </w:tcPr>
          <w:p w14:paraId="05B89796" w14:textId="2C1D3ACC"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11,4</w:t>
            </w:r>
          </w:p>
        </w:tc>
        <w:tc>
          <w:tcPr>
            <w:tcW w:w="1020" w:type="dxa"/>
            <w:tcBorders>
              <w:top w:val="nil"/>
              <w:left w:val="nil"/>
              <w:bottom w:val="single" w:sz="8" w:space="0" w:color="FFFFFF"/>
              <w:right w:val="single" w:sz="8" w:space="0" w:color="FFFFFF"/>
            </w:tcBorders>
            <w:shd w:val="clear" w:color="000000" w:fill="D9D9D9"/>
            <w:noWrap/>
            <w:vAlign w:val="center"/>
            <w:hideMark/>
          </w:tcPr>
          <w:p w14:paraId="159C033D" w14:textId="66813D43"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1,4</w:t>
            </w:r>
          </w:p>
        </w:tc>
        <w:tc>
          <w:tcPr>
            <w:tcW w:w="1020" w:type="dxa"/>
            <w:tcBorders>
              <w:top w:val="nil"/>
              <w:left w:val="nil"/>
              <w:bottom w:val="single" w:sz="8" w:space="0" w:color="FFFFFF"/>
              <w:right w:val="single" w:sz="8" w:space="0" w:color="FFFFFF"/>
            </w:tcBorders>
            <w:shd w:val="clear" w:color="000000" w:fill="D9D9D9"/>
            <w:noWrap/>
            <w:vAlign w:val="center"/>
            <w:hideMark/>
          </w:tcPr>
          <w:p w14:paraId="1D34FDA9" w14:textId="41D262F8"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3,9</w:t>
            </w:r>
          </w:p>
        </w:tc>
      </w:tr>
      <w:tr w:rsidR="0005108F" w:rsidRPr="00151610" w14:paraId="71BEC3D6"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715530EE"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Míra inflace: CPI (%) průměr</w:t>
            </w:r>
          </w:p>
        </w:tc>
        <w:tc>
          <w:tcPr>
            <w:tcW w:w="1180" w:type="dxa"/>
            <w:tcBorders>
              <w:top w:val="nil"/>
              <w:left w:val="nil"/>
              <w:bottom w:val="nil"/>
              <w:right w:val="single" w:sz="4" w:space="0" w:color="FFFFFF"/>
            </w:tcBorders>
            <w:shd w:val="clear" w:color="000000" w:fill="D9D9D9"/>
            <w:noWrap/>
            <w:vAlign w:val="center"/>
            <w:hideMark/>
          </w:tcPr>
          <w:p w14:paraId="6C430D70" w14:textId="057980F8"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3,8</w:t>
            </w:r>
          </w:p>
        </w:tc>
        <w:tc>
          <w:tcPr>
            <w:tcW w:w="1020" w:type="dxa"/>
            <w:tcBorders>
              <w:top w:val="nil"/>
              <w:left w:val="nil"/>
              <w:bottom w:val="nil"/>
              <w:right w:val="single" w:sz="8" w:space="0" w:color="FFFFFF"/>
            </w:tcBorders>
            <w:shd w:val="clear" w:color="000000" w:fill="D9D9D9"/>
            <w:noWrap/>
            <w:vAlign w:val="center"/>
            <w:hideMark/>
          </w:tcPr>
          <w:p w14:paraId="6367645E" w14:textId="61EB079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12,4</w:t>
            </w:r>
          </w:p>
        </w:tc>
        <w:tc>
          <w:tcPr>
            <w:tcW w:w="1020" w:type="dxa"/>
            <w:tcBorders>
              <w:top w:val="nil"/>
              <w:left w:val="nil"/>
              <w:bottom w:val="nil"/>
              <w:right w:val="single" w:sz="8" w:space="0" w:color="FFFFFF"/>
            </w:tcBorders>
            <w:shd w:val="clear" w:color="000000" w:fill="D9D9D9"/>
            <w:noWrap/>
            <w:vAlign w:val="center"/>
            <w:hideMark/>
          </w:tcPr>
          <w:p w14:paraId="10824C88" w14:textId="75DB4CC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4,5</w:t>
            </w:r>
          </w:p>
        </w:tc>
      </w:tr>
      <w:tr w:rsidR="0005108F" w:rsidRPr="00151610" w14:paraId="60C41DC3"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3E6BDF0E"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Míra inflace: CPI (%) konec roku</w:t>
            </w:r>
          </w:p>
        </w:tc>
        <w:tc>
          <w:tcPr>
            <w:tcW w:w="1180" w:type="dxa"/>
            <w:tcBorders>
              <w:top w:val="nil"/>
              <w:left w:val="nil"/>
              <w:bottom w:val="nil"/>
              <w:right w:val="single" w:sz="4" w:space="0" w:color="FFFFFF"/>
            </w:tcBorders>
            <w:shd w:val="clear" w:color="000000" w:fill="D9D9D9"/>
            <w:noWrap/>
            <w:vAlign w:val="center"/>
            <w:hideMark/>
          </w:tcPr>
          <w:p w14:paraId="4B58EEBB" w14:textId="1096C1DB"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6,6</w:t>
            </w:r>
          </w:p>
        </w:tc>
        <w:tc>
          <w:tcPr>
            <w:tcW w:w="1020" w:type="dxa"/>
            <w:tcBorders>
              <w:top w:val="nil"/>
              <w:left w:val="nil"/>
              <w:bottom w:val="nil"/>
              <w:right w:val="single" w:sz="8" w:space="0" w:color="FFFFFF"/>
            </w:tcBorders>
            <w:shd w:val="clear" w:color="000000" w:fill="D9D9D9"/>
            <w:noWrap/>
            <w:vAlign w:val="center"/>
            <w:hideMark/>
          </w:tcPr>
          <w:p w14:paraId="2DCB6330" w14:textId="0D780D39"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11,9</w:t>
            </w:r>
          </w:p>
        </w:tc>
        <w:tc>
          <w:tcPr>
            <w:tcW w:w="1020" w:type="dxa"/>
            <w:tcBorders>
              <w:top w:val="nil"/>
              <w:left w:val="nil"/>
              <w:bottom w:val="nil"/>
              <w:right w:val="single" w:sz="8" w:space="0" w:color="FFFFFF"/>
            </w:tcBorders>
            <w:shd w:val="clear" w:color="000000" w:fill="D9D9D9"/>
            <w:noWrap/>
            <w:vAlign w:val="center"/>
            <w:hideMark/>
          </w:tcPr>
          <w:p w14:paraId="6EA8E773" w14:textId="001177CE"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2,9</w:t>
            </w:r>
          </w:p>
        </w:tc>
      </w:tr>
      <w:tr w:rsidR="0005108F" w:rsidRPr="00151610" w14:paraId="700C39E2"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5EB6ACC3"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Podíl nezaměstnaných osob (MPSV): průměr (%)</w:t>
            </w:r>
          </w:p>
        </w:tc>
        <w:tc>
          <w:tcPr>
            <w:tcW w:w="1180" w:type="dxa"/>
            <w:tcBorders>
              <w:top w:val="nil"/>
              <w:left w:val="nil"/>
              <w:bottom w:val="nil"/>
              <w:right w:val="single" w:sz="4" w:space="0" w:color="FFFFFF"/>
            </w:tcBorders>
            <w:shd w:val="clear" w:color="000000" w:fill="D9D9D9"/>
            <w:noWrap/>
            <w:vAlign w:val="center"/>
            <w:hideMark/>
          </w:tcPr>
          <w:p w14:paraId="210E9666" w14:textId="2EB9D5C3"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3,8</w:t>
            </w:r>
          </w:p>
        </w:tc>
        <w:tc>
          <w:tcPr>
            <w:tcW w:w="1020" w:type="dxa"/>
            <w:tcBorders>
              <w:top w:val="nil"/>
              <w:left w:val="nil"/>
              <w:bottom w:val="nil"/>
              <w:right w:val="single" w:sz="8" w:space="0" w:color="FFFFFF"/>
            </w:tcBorders>
            <w:shd w:val="clear" w:color="000000" w:fill="D9D9D9"/>
            <w:noWrap/>
            <w:vAlign w:val="center"/>
            <w:hideMark/>
          </w:tcPr>
          <w:p w14:paraId="47AC8D90" w14:textId="01E372D0"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3,4</w:t>
            </w:r>
          </w:p>
        </w:tc>
        <w:tc>
          <w:tcPr>
            <w:tcW w:w="1020" w:type="dxa"/>
            <w:tcBorders>
              <w:top w:val="nil"/>
              <w:left w:val="nil"/>
              <w:bottom w:val="nil"/>
              <w:right w:val="single" w:sz="8" w:space="0" w:color="FFFFFF"/>
            </w:tcBorders>
            <w:shd w:val="clear" w:color="000000" w:fill="D9D9D9"/>
            <w:noWrap/>
            <w:vAlign w:val="center"/>
            <w:hideMark/>
          </w:tcPr>
          <w:p w14:paraId="41BFA43B" w14:textId="73B120F7"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3,3</w:t>
            </w:r>
          </w:p>
        </w:tc>
      </w:tr>
      <w:tr w:rsidR="0005108F" w:rsidRPr="00151610" w14:paraId="0112252E"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201573C3"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Průměrná nominální mzda (růst v %)</w:t>
            </w:r>
          </w:p>
        </w:tc>
        <w:tc>
          <w:tcPr>
            <w:tcW w:w="1180" w:type="dxa"/>
            <w:tcBorders>
              <w:top w:val="nil"/>
              <w:left w:val="nil"/>
              <w:bottom w:val="nil"/>
              <w:right w:val="single" w:sz="4" w:space="0" w:color="FFFFFF"/>
            </w:tcBorders>
            <w:shd w:val="clear" w:color="000000" w:fill="D9D9D9"/>
            <w:noWrap/>
            <w:vAlign w:val="center"/>
            <w:hideMark/>
          </w:tcPr>
          <w:p w14:paraId="7206BF9A" w14:textId="62B6A29F"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6,1</w:t>
            </w:r>
          </w:p>
        </w:tc>
        <w:tc>
          <w:tcPr>
            <w:tcW w:w="1020" w:type="dxa"/>
            <w:tcBorders>
              <w:top w:val="nil"/>
              <w:left w:val="nil"/>
              <w:bottom w:val="nil"/>
              <w:right w:val="single" w:sz="8" w:space="0" w:color="FFFFFF"/>
            </w:tcBorders>
            <w:shd w:val="clear" w:color="000000" w:fill="D9D9D9"/>
            <w:noWrap/>
            <w:vAlign w:val="center"/>
            <w:hideMark/>
          </w:tcPr>
          <w:p w14:paraId="07F166E4" w14:textId="221D82D7"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6,3</w:t>
            </w:r>
          </w:p>
        </w:tc>
        <w:tc>
          <w:tcPr>
            <w:tcW w:w="1020" w:type="dxa"/>
            <w:tcBorders>
              <w:top w:val="nil"/>
              <w:left w:val="nil"/>
              <w:bottom w:val="nil"/>
              <w:right w:val="single" w:sz="8" w:space="0" w:color="FFFFFF"/>
            </w:tcBorders>
            <w:shd w:val="clear" w:color="000000" w:fill="D9D9D9"/>
            <w:noWrap/>
            <w:vAlign w:val="center"/>
            <w:hideMark/>
          </w:tcPr>
          <w:p w14:paraId="5304FAB0" w14:textId="35421963"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6,0</w:t>
            </w:r>
          </w:p>
        </w:tc>
      </w:tr>
      <w:tr w:rsidR="0005108F" w:rsidRPr="00151610" w14:paraId="229C17B3" w14:textId="77777777" w:rsidTr="00151610">
        <w:trPr>
          <w:trHeight w:val="270"/>
        </w:trPr>
        <w:tc>
          <w:tcPr>
            <w:tcW w:w="5160" w:type="dxa"/>
            <w:tcBorders>
              <w:top w:val="nil"/>
              <w:left w:val="nil"/>
              <w:bottom w:val="single" w:sz="8" w:space="0" w:color="FFFFFF"/>
              <w:right w:val="single" w:sz="8" w:space="0" w:color="FFFFFF"/>
            </w:tcBorders>
            <w:shd w:val="clear" w:color="000000" w:fill="13576B"/>
            <w:vAlign w:val="center"/>
            <w:hideMark/>
          </w:tcPr>
          <w:p w14:paraId="30291720"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Průměrná reálná mzda (%)</w:t>
            </w:r>
          </w:p>
        </w:tc>
        <w:tc>
          <w:tcPr>
            <w:tcW w:w="1180" w:type="dxa"/>
            <w:tcBorders>
              <w:top w:val="nil"/>
              <w:left w:val="nil"/>
              <w:bottom w:val="single" w:sz="8" w:space="0" w:color="FFFFFF"/>
              <w:right w:val="single" w:sz="4" w:space="0" w:color="FFFFFF"/>
            </w:tcBorders>
            <w:shd w:val="clear" w:color="000000" w:fill="D9D9D9"/>
            <w:noWrap/>
            <w:vAlign w:val="center"/>
            <w:hideMark/>
          </w:tcPr>
          <w:p w14:paraId="3368F00F" w14:textId="55581B74"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2,3</w:t>
            </w:r>
          </w:p>
        </w:tc>
        <w:tc>
          <w:tcPr>
            <w:tcW w:w="1020" w:type="dxa"/>
            <w:tcBorders>
              <w:top w:val="nil"/>
              <w:left w:val="nil"/>
              <w:bottom w:val="single" w:sz="8" w:space="0" w:color="FFFFFF"/>
              <w:right w:val="single" w:sz="8" w:space="0" w:color="FFFFFF"/>
            </w:tcBorders>
            <w:shd w:val="clear" w:color="000000" w:fill="D9D9D9"/>
            <w:noWrap/>
            <w:vAlign w:val="center"/>
            <w:hideMark/>
          </w:tcPr>
          <w:p w14:paraId="5BCE2EBA" w14:textId="27BDF1D2"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-6,1</w:t>
            </w:r>
          </w:p>
        </w:tc>
        <w:tc>
          <w:tcPr>
            <w:tcW w:w="1020" w:type="dxa"/>
            <w:tcBorders>
              <w:top w:val="nil"/>
              <w:left w:val="nil"/>
              <w:bottom w:val="single" w:sz="8" w:space="0" w:color="FFFFFF"/>
              <w:right w:val="single" w:sz="8" w:space="0" w:color="FFFFFF"/>
            </w:tcBorders>
            <w:shd w:val="clear" w:color="000000" w:fill="D9D9D9"/>
            <w:noWrap/>
            <w:vAlign w:val="center"/>
            <w:hideMark/>
          </w:tcPr>
          <w:p w14:paraId="0FE36B67" w14:textId="47D7BB2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1,5</w:t>
            </w:r>
          </w:p>
        </w:tc>
      </w:tr>
      <w:tr w:rsidR="0005108F" w:rsidRPr="00151610" w14:paraId="3414CFBB"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5945FA3A"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Vládní deficit/přebytek (% HDP)</w:t>
            </w:r>
          </w:p>
        </w:tc>
        <w:tc>
          <w:tcPr>
            <w:tcW w:w="1180" w:type="dxa"/>
            <w:tcBorders>
              <w:top w:val="nil"/>
              <w:left w:val="nil"/>
              <w:bottom w:val="nil"/>
              <w:right w:val="single" w:sz="4" w:space="0" w:color="FFFFFF"/>
            </w:tcBorders>
            <w:shd w:val="clear" w:color="000000" w:fill="D9D9D9"/>
            <w:noWrap/>
            <w:vAlign w:val="center"/>
            <w:hideMark/>
          </w:tcPr>
          <w:p w14:paraId="6C9D78DB" w14:textId="7E692CE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-5,9</w:t>
            </w:r>
          </w:p>
        </w:tc>
        <w:tc>
          <w:tcPr>
            <w:tcW w:w="1020" w:type="dxa"/>
            <w:tcBorders>
              <w:top w:val="nil"/>
              <w:left w:val="nil"/>
              <w:bottom w:val="nil"/>
              <w:right w:val="single" w:sz="8" w:space="0" w:color="FFFFFF"/>
            </w:tcBorders>
            <w:shd w:val="clear" w:color="000000" w:fill="D9D9D9"/>
            <w:noWrap/>
            <w:vAlign w:val="center"/>
            <w:hideMark/>
          </w:tcPr>
          <w:p w14:paraId="70325813" w14:textId="5D50A69D"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-4,9</w:t>
            </w:r>
          </w:p>
        </w:tc>
        <w:tc>
          <w:tcPr>
            <w:tcW w:w="1020" w:type="dxa"/>
            <w:tcBorders>
              <w:top w:val="nil"/>
              <w:left w:val="nil"/>
              <w:bottom w:val="nil"/>
              <w:right w:val="single" w:sz="8" w:space="0" w:color="FFFFFF"/>
            </w:tcBorders>
            <w:shd w:val="clear" w:color="000000" w:fill="D9D9D9"/>
            <w:noWrap/>
            <w:vAlign w:val="center"/>
            <w:hideMark/>
          </w:tcPr>
          <w:p w14:paraId="5669CE1B" w14:textId="09A1D53A"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-3,7</w:t>
            </w:r>
          </w:p>
        </w:tc>
      </w:tr>
      <w:tr w:rsidR="0005108F" w:rsidRPr="00151610" w14:paraId="4A3DA0AF" w14:textId="77777777" w:rsidTr="00151610">
        <w:trPr>
          <w:trHeight w:val="270"/>
        </w:trPr>
        <w:tc>
          <w:tcPr>
            <w:tcW w:w="5160" w:type="dxa"/>
            <w:tcBorders>
              <w:top w:val="nil"/>
              <w:left w:val="nil"/>
              <w:bottom w:val="single" w:sz="8" w:space="0" w:color="FFFFFF"/>
              <w:right w:val="single" w:sz="8" w:space="0" w:color="FFFFFF"/>
            </w:tcBorders>
            <w:shd w:val="clear" w:color="000000" w:fill="13576B"/>
            <w:vAlign w:val="center"/>
            <w:hideMark/>
          </w:tcPr>
          <w:p w14:paraId="1D71FE52"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 xml:space="preserve">Vládní dluh (% HDP) </w:t>
            </w:r>
          </w:p>
        </w:tc>
        <w:tc>
          <w:tcPr>
            <w:tcW w:w="1180" w:type="dxa"/>
            <w:tcBorders>
              <w:top w:val="nil"/>
              <w:left w:val="nil"/>
              <w:bottom w:val="single" w:sz="8" w:space="0" w:color="FFFFFF"/>
              <w:right w:val="single" w:sz="4" w:space="0" w:color="FFFFFF"/>
            </w:tcBorders>
            <w:shd w:val="clear" w:color="000000" w:fill="D9D9D9"/>
            <w:noWrap/>
            <w:vAlign w:val="center"/>
            <w:hideMark/>
          </w:tcPr>
          <w:p w14:paraId="39364AE9" w14:textId="15694E04"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41,9</w:t>
            </w:r>
          </w:p>
        </w:tc>
        <w:tc>
          <w:tcPr>
            <w:tcW w:w="1020" w:type="dxa"/>
            <w:tcBorders>
              <w:top w:val="nil"/>
              <w:left w:val="nil"/>
              <w:bottom w:val="single" w:sz="8" w:space="0" w:color="FFFFFF"/>
              <w:right w:val="single" w:sz="8" w:space="0" w:color="FFFFFF"/>
            </w:tcBorders>
            <w:shd w:val="clear" w:color="000000" w:fill="D9D9D9"/>
            <w:noWrap/>
            <w:vAlign w:val="center"/>
            <w:hideMark/>
          </w:tcPr>
          <w:p w14:paraId="72E48C2E" w14:textId="29210FA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44,3</w:t>
            </w:r>
          </w:p>
        </w:tc>
        <w:tc>
          <w:tcPr>
            <w:tcW w:w="1020" w:type="dxa"/>
            <w:tcBorders>
              <w:top w:val="nil"/>
              <w:left w:val="nil"/>
              <w:bottom w:val="single" w:sz="8" w:space="0" w:color="FFFFFF"/>
              <w:right w:val="single" w:sz="8" w:space="0" w:color="FFFFFF"/>
            </w:tcBorders>
            <w:shd w:val="clear" w:color="000000" w:fill="D9D9D9"/>
            <w:noWrap/>
            <w:vAlign w:val="center"/>
            <w:hideMark/>
          </w:tcPr>
          <w:p w14:paraId="44E2C21D" w14:textId="0FF60464"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45,1</w:t>
            </w:r>
          </w:p>
        </w:tc>
      </w:tr>
      <w:tr w:rsidR="0005108F" w:rsidRPr="00151610" w14:paraId="4DFA4479"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394A44B9"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Základní sazba ČNB 2T REPO (%): konec období</w:t>
            </w:r>
          </w:p>
        </w:tc>
        <w:tc>
          <w:tcPr>
            <w:tcW w:w="1180" w:type="dxa"/>
            <w:tcBorders>
              <w:top w:val="nil"/>
              <w:left w:val="nil"/>
              <w:bottom w:val="nil"/>
              <w:right w:val="single" w:sz="4" w:space="0" w:color="FFFFFF"/>
            </w:tcBorders>
            <w:shd w:val="clear" w:color="000000" w:fill="D9D9D9"/>
            <w:noWrap/>
            <w:vAlign w:val="center"/>
            <w:hideMark/>
          </w:tcPr>
          <w:p w14:paraId="713B3D4D" w14:textId="35966468"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3,75</w:t>
            </w:r>
          </w:p>
        </w:tc>
        <w:tc>
          <w:tcPr>
            <w:tcW w:w="1020" w:type="dxa"/>
            <w:tcBorders>
              <w:top w:val="nil"/>
              <w:left w:val="nil"/>
              <w:bottom w:val="nil"/>
              <w:right w:val="single" w:sz="8" w:space="0" w:color="FFFFFF"/>
            </w:tcBorders>
            <w:shd w:val="clear" w:color="000000" w:fill="D9D9D9"/>
            <w:noWrap/>
            <w:vAlign w:val="center"/>
            <w:hideMark/>
          </w:tcPr>
          <w:p w14:paraId="08ABB9D9" w14:textId="607D233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6,00</w:t>
            </w:r>
          </w:p>
        </w:tc>
        <w:tc>
          <w:tcPr>
            <w:tcW w:w="1020" w:type="dxa"/>
            <w:tcBorders>
              <w:top w:val="nil"/>
              <w:left w:val="nil"/>
              <w:bottom w:val="nil"/>
              <w:right w:val="single" w:sz="8" w:space="0" w:color="FFFFFF"/>
            </w:tcBorders>
            <w:shd w:val="clear" w:color="000000" w:fill="D9D9D9"/>
            <w:noWrap/>
            <w:vAlign w:val="center"/>
            <w:hideMark/>
          </w:tcPr>
          <w:p w14:paraId="3F056B83" w14:textId="6D9248E0"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4,00</w:t>
            </w:r>
          </w:p>
        </w:tc>
      </w:tr>
      <w:tr w:rsidR="0005108F" w:rsidRPr="00151610" w14:paraId="7043E140"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1521C587"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3M-PRIBOR (%): průměr</w:t>
            </w:r>
          </w:p>
        </w:tc>
        <w:tc>
          <w:tcPr>
            <w:tcW w:w="1180" w:type="dxa"/>
            <w:tcBorders>
              <w:top w:val="nil"/>
              <w:left w:val="nil"/>
              <w:bottom w:val="nil"/>
              <w:right w:val="single" w:sz="4" w:space="0" w:color="FFFFFF"/>
            </w:tcBorders>
            <w:shd w:val="clear" w:color="000000" w:fill="D9D9D9"/>
            <w:noWrap/>
            <w:vAlign w:val="center"/>
            <w:hideMark/>
          </w:tcPr>
          <w:p w14:paraId="4BA39147" w14:textId="1ED36B59"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1,13</w:t>
            </w:r>
          </w:p>
        </w:tc>
        <w:tc>
          <w:tcPr>
            <w:tcW w:w="1020" w:type="dxa"/>
            <w:tcBorders>
              <w:top w:val="nil"/>
              <w:left w:val="nil"/>
              <w:bottom w:val="nil"/>
              <w:right w:val="single" w:sz="8" w:space="0" w:color="FFFFFF"/>
            </w:tcBorders>
            <w:shd w:val="clear" w:color="000000" w:fill="D9D9D9"/>
            <w:noWrap/>
            <w:vAlign w:val="center"/>
            <w:hideMark/>
          </w:tcPr>
          <w:p w14:paraId="5D092456" w14:textId="74140F68"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5,90</w:t>
            </w:r>
          </w:p>
        </w:tc>
        <w:tc>
          <w:tcPr>
            <w:tcW w:w="1020" w:type="dxa"/>
            <w:tcBorders>
              <w:top w:val="nil"/>
              <w:left w:val="nil"/>
              <w:bottom w:val="nil"/>
              <w:right w:val="single" w:sz="8" w:space="0" w:color="FFFFFF"/>
            </w:tcBorders>
            <w:shd w:val="clear" w:color="000000" w:fill="D9D9D9"/>
            <w:noWrap/>
            <w:vAlign w:val="center"/>
            <w:hideMark/>
          </w:tcPr>
          <w:p w14:paraId="42C3E563" w14:textId="54047A0F"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5,40</w:t>
            </w:r>
          </w:p>
        </w:tc>
      </w:tr>
      <w:tr w:rsidR="0005108F" w:rsidRPr="00151610" w14:paraId="5FFD36EA" w14:textId="77777777" w:rsidTr="00151610">
        <w:trPr>
          <w:trHeight w:val="270"/>
        </w:trPr>
        <w:tc>
          <w:tcPr>
            <w:tcW w:w="5160" w:type="dxa"/>
            <w:tcBorders>
              <w:top w:val="nil"/>
              <w:left w:val="nil"/>
              <w:bottom w:val="single" w:sz="8" w:space="0" w:color="FFFFFF"/>
              <w:right w:val="single" w:sz="8" w:space="0" w:color="FFFFFF"/>
            </w:tcBorders>
            <w:shd w:val="clear" w:color="000000" w:fill="13576B"/>
            <w:vAlign w:val="center"/>
            <w:hideMark/>
          </w:tcPr>
          <w:p w14:paraId="77254FBB"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Základní sazba ECB (%): konec období</w:t>
            </w:r>
          </w:p>
        </w:tc>
        <w:tc>
          <w:tcPr>
            <w:tcW w:w="1180" w:type="dxa"/>
            <w:tcBorders>
              <w:top w:val="nil"/>
              <w:left w:val="nil"/>
              <w:bottom w:val="single" w:sz="8" w:space="0" w:color="FFFFFF"/>
              <w:right w:val="single" w:sz="4" w:space="0" w:color="FFFFFF"/>
            </w:tcBorders>
            <w:shd w:val="clear" w:color="000000" w:fill="D9D9D9"/>
            <w:noWrap/>
            <w:vAlign w:val="center"/>
            <w:hideMark/>
          </w:tcPr>
          <w:p w14:paraId="6D709FF5" w14:textId="788C6B4D"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0,00</w:t>
            </w:r>
          </w:p>
        </w:tc>
        <w:tc>
          <w:tcPr>
            <w:tcW w:w="1020" w:type="dxa"/>
            <w:tcBorders>
              <w:top w:val="nil"/>
              <w:left w:val="nil"/>
              <w:bottom w:val="single" w:sz="8" w:space="0" w:color="FFFFFF"/>
              <w:right w:val="single" w:sz="8" w:space="0" w:color="FFFFFF"/>
            </w:tcBorders>
            <w:shd w:val="clear" w:color="000000" w:fill="D9D9D9"/>
            <w:noWrap/>
            <w:vAlign w:val="center"/>
            <w:hideMark/>
          </w:tcPr>
          <w:p w14:paraId="14B570EB" w14:textId="3E510E2A"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0,50</w:t>
            </w:r>
          </w:p>
        </w:tc>
        <w:tc>
          <w:tcPr>
            <w:tcW w:w="1020" w:type="dxa"/>
            <w:tcBorders>
              <w:top w:val="nil"/>
              <w:left w:val="nil"/>
              <w:bottom w:val="single" w:sz="8" w:space="0" w:color="FFFFFF"/>
              <w:right w:val="single" w:sz="8" w:space="0" w:color="FFFFFF"/>
            </w:tcBorders>
            <w:shd w:val="clear" w:color="000000" w:fill="D9D9D9"/>
            <w:noWrap/>
            <w:vAlign w:val="center"/>
            <w:hideMark/>
          </w:tcPr>
          <w:p w14:paraId="0FB9A50A" w14:textId="012F0C3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1,00</w:t>
            </w:r>
          </w:p>
        </w:tc>
      </w:tr>
      <w:tr w:rsidR="0005108F" w:rsidRPr="00151610" w14:paraId="44868C71"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10309763"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Kurz CZK/EUR: průměr</w:t>
            </w:r>
          </w:p>
        </w:tc>
        <w:tc>
          <w:tcPr>
            <w:tcW w:w="1180" w:type="dxa"/>
            <w:tcBorders>
              <w:top w:val="nil"/>
              <w:left w:val="nil"/>
              <w:bottom w:val="nil"/>
              <w:right w:val="single" w:sz="4" w:space="0" w:color="FFFFFF"/>
            </w:tcBorders>
            <w:shd w:val="clear" w:color="000000" w:fill="D9D9D9"/>
            <w:noWrap/>
            <w:vAlign w:val="center"/>
            <w:hideMark/>
          </w:tcPr>
          <w:p w14:paraId="332C656A" w14:textId="40F539B5"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25,67</w:t>
            </w:r>
          </w:p>
        </w:tc>
        <w:tc>
          <w:tcPr>
            <w:tcW w:w="1020" w:type="dxa"/>
            <w:tcBorders>
              <w:top w:val="nil"/>
              <w:left w:val="nil"/>
              <w:bottom w:val="nil"/>
              <w:right w:val="single" w:sz="8" w:space="0" w:color="FFFFFF"/>
            </w:tcBorders>
            <w:shd w:val="clear" w:color="000000" w:fill="D9D9D9"/>
            <w:noWrap/>
            <w:vAlign w:val="center"/>
            <w:hideMark/>
          </w:tcPr>
          <w:p w14:paraId="493B730B" w14:textId="7AA68C33"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24,50</w:t>
            </w:r>
          </w:p>
        </w:tc>
        <w:tc>
          <w:tcPr>
            <w:tcW w:w="1020" w:type="dxa"/>
            <w:tcBorders>
              <w:top w:val="nil"/>
              <w:left w:val="nil"/>
              <w:bottom w:val="nil"/>
              <w:right w:val="single" w:sz="8" w:space="0" w:color="FFFFFF"/>
            </w:tcBorders>
            <w:shd w:val="clear" w:color="000000" w:fill="D9D9D9"/>
            <w:noWrap/>
            <w:vAlign w:val="center"/>
            <w:hideMark/>
          </w:tcPr>
          <w:p w14:paraId="08B9372E" w14:textId="36011033"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24,20</w:t>
            </w:r>
          </w:p>
        </w:tc>
      </w:tr>
      <w:tr w:rsidR="0005108F" w:rsidRPr="00151610" w14:paraId="56FF3C9F" w14:textId="77777777" w:rsidTr="00151610">
        <w:trPr>
          <w:trHeight w:val="270"/>
        </w:trPr>
        <w:tc>
          <w:tcPr>
            <w:tcW w:w="5160" w:type="dxa"/>
            <w:tcBorders>
              <w:top w:val="nil"/>
              <w:left w:val="nil"/>
              <w:bottom w:val="single" w:sz="8" w:space="0" w:color="FFFFFF"/>
              <w:right w:val="single" w:sz="8" w:space="0" w:color="FFFFFF"/>
            </w:tcBorders>
            <w:shd w:val="clear" w:color="000000" w:fill="13576B"/>
            <w:vAlign w:val="center"/>
            <w:hideMark/>
          </w:tcPr>
          <w:p w14:paraId="78C6B5BF"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Kurz CZK/EUR: konec roku</w:t>
            </w:r>
          </w:p>
        </w:tc>
        <w:tc>
          <w:tcPr>
            <w:tcW w:w="1180" w:type="dxa"/>
            <w:tcBorders>
              <w:top w:val="nil"/>
              <w:left w:val="nil"/>
              <w:bottom w:val="single" w:sz="8" w:space="0" w:color="FFFFFF"/>
              <w:right w:val="single" w:sz="4" w:space="0" w:color="FFFFFF"/>
            </w:tcBorders>
            <w:shd w:val="clear" w:color="000000" w:fill="D9D9D9"/>
            <w:noWrap/>
            <w:vAlign w:val="center"/>
            <w:hideMark/>
          </w:tcPr>
          <w:p w14:paraId="7A375366" w14:textId="19E974B7"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24,89</w:t>
            </w:r>
          </w:p>
        </w:tc>
        <w:tc>
          <w:tcPr>
            <w:tcW w:w="1020" w:type="dxa"/>
            <w:tcBorders>
              <w:top w:val="nil"/>
              <w:left w:val="nil"/>
              <w:bottom w:val="single" w:sz="8" w:space="0" w:color="FFFFFF"/>
              <w:right w:val="single" w:sz="8" w:space="0" w:color="FFFFFF"/>
            </w:tcBorders>
            <w:shd w:val="clear" w:color="000000" w:fill="D9D9D9"/>
            <w:noWrap/>
            <w:vAlign w:val="center"/>
            <w:hideMark/>
          </w:tcPr>
          <w:p w14:paraId="3787695D" w14:textId="2C51BF8C"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24,30</w:t>
            </w:r>
          </w:p>
        </w:tc>
        <w:tc>
          <w:tcPr>
            <w:tcW w:w="1020" w:type="dxa"/>
            <w:tcBorders>
              <w:top w:val="nil"/>
              <w:left w:val="nil"/>
              <w:bottom w:val="single" w:sz="8" w:space="0" w:color="FFFFFF"/>
              <w:right w:val="single" w:sz="8" w:space="0" w:color="FFFFFF"/>
            </w:tcBorders>
            <w:shd w:val="clear" w:color="000000" w:fill="D9D9D9"/>
            <w:noWrap/>
            <w:vAlign w:val="center"/>
            <w:hideMark/>
          </w:tcPr>
          <w:p w14:paraId="60E1F19F" w14:textId="226C4797"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24,10</w:t>
            </w:r>
          </w:p>
        </w:tc>
      </w:tr>
      <w:tr w:rsidR="0005108F" w:rsidRPr="00151610" w14:paraId="68263BEB" w14:textId="77777777" w:rsidTr="00151610">
        <w:trPr>
          <w:trHeight w:val="270"/>
        </w:trPr>
        <w:tc>
          <w:tcPr>
            <w:tcW w:w="5160" w:type="dxa"/>
            <w:tcBorders>
              <w:top w:val="nil"/>
              <w:left w:val="single" w:sz="8" w:space="0" w:color="FFFFFF"/>
              <w:bottom w:val="nil"/>
              <w:right w:val="single" w:sz="8" w:space="0" w:color="FFFFFF"/>
            </w:tcBorders>
            <w:shd w:val="clear" w:color="000000" w:fill="13576B"/>
            <w:vAlign w:val="center"/>
            <w:hideMark/>
          </w:tcPr>
          <w:p w14:paraId="18C59421"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reálného HDP v eurozóně (%)</w:t>
            </w:r>
          </w:p>
        </w:tc>
        <w:tc>
          <w:tcPr>
            <w:tcW w:w="1180" w:type="dxa"/>
            <w:tcBorders>
              <w:top w:val="nil"/>
              <w:left w:val="nil"/>
              <w:bottom w:val="nil"/>
              <w:right w:val="single" w:sz="4" w:space="0" w:color="FFFFFF"/>
            </w:tcBorders>
            <w:shd w:val="clear" w:color="000000" w:fill="D9D9D9"/>
            <w:noWrap/>
            <w:vAlign w:val="center"/>
            <w:hideMark/>
          </w:tcPr>
          <w:p w14:paraId="6ED06CD5" w14:textId="28F20DB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5,2</w:t>
            </w:r>
          </w:p>
        </w:tc>
        <w:tc>
          <w:tcPr>
            <w:tcW w:w="1020" w:type="dxa"/>
            <w:tcBorders>
              <w:top w:val="nil"/>
              <w:left w:val="nil"/>
              <w:bottom w:val="nil"/>
              <w:right w:val="single" w:sz="8" w:space="0" w:color="FFFFFF"/>
            </w:tcBorders>
            <w:shd w:val="clear" w:color="000000" w:fill="D9D9D9"/>
            <w:noWrap/>
            <w:vAlign w:val="center"/>
            <w:hideMark/>
          </w:tcPr>
          <w:p w14:paraId="4CEC2615" w14:textId="1259086E"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2,4</w:t>
            </w:r>
          </w:p>
        </w:tc>
        <w:tc>
          <w:tcPr>
            <w:tcW w:w="1020" w:type="dxa"/>
            <w:tcBorders>
              <w:top w:val="nil"/>
              <w:left w:val="nil"/>
              <w:bottom w:val="nil"/>
              <w:right w:val="single" w:sz="8" w:space="0" w:color="FFFFFF"/>
            </w:tcBorders>
            <w:shd w:val="clear" w:color="000000" w:fill="D9D9D9"/>
            <w:noWrap/>
            <w:vAlign w:val="center"/>
            <w:hideMark/>
          </w:tcPr>
          <w:p w14:paraId="1A7DD377" w14:textId="65AEC7C7"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2,1</w:t>
            </w:r>
          </w:p>
        </w:tc>
      </w:tr>
      <w:tr w:rsidR="0005108F" w:rsidRPr="00151610" w14:paraId="4EE1A552" w14:textId="77777777" w:rsidTr="00151610">
        <w:trPr>
          <w:trHeight w:val="270"/>
        </w:trPr>
        <w:tc>
          <w:tcPr>
            <w:tcW w:w="5160" w:type="dxa"/>
            <w:tcBorders>
              <w:top w:val="nil"/>
              <w:left w:val="nil"/>
              <w:bottom w:val="single" w:sz="8" w:space="0" w:color="FFFFFF"/>
              <w:right w:val="single" w:sz="8" w:space="0" w:color="FFFFFF"/>
            </w:tcBorders>
            <w:shd w:val="clear" w:color="000000" w:fill="13576B"/>
            <w:vAlign w:val="center"/>
            <w:hideMark/>
          </w:tcPr>
          <w:p w14:paraId="1DD58F59"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Ceny ropy (USD za barel): brent průměr</w:t>
            </w:r>
          </w:p>
        </w:tc>
        <w:tc>
          <w:tcPr>
            <w:tcW w:w="1180" w:type="dxa"/>
            <w:tcBorders>
              <w:top w:val="nil"/>
              <w:left w:val="nil"/>
              <w:bottom w:val="single" w:sz="8" w:space="0" w:color="FFFFFF"/>
              <w:right w:val="single" w:sz="4" w:space="0" w:color="FFFFFF"/>
            </w:tcBorders>
            <w:shd w:val="clear" w:color="000000" w:fill="D9D9D9"/>
            <w:noWrap/>
            <w:vAlign w:val="center"/>
            <w:hideMark/>
          </w:tcPr>
          <w:p w14:paraId="24E90F2B" w14:textId="50E64EAB"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71</w:t>
            </w:r>
          </w:p>
        </w:tc>
        <w:tc>
          <w:tcPr>
            <w:tcW w:w="1020" w:type="dxa"/>
            <w:tcBorders>
              <w:top w:val="nil"/>
              <w:left w:val="nil"/>
              <w:bottom w:val="single" w:sz="8" w:space="0" w:color="FFFFFF"/>
              <w:right w:val="single" w:sz="8" w:space="0" w:color="FFFFFF"/>
            </w:tcBorders>
            <w:shd w:val="clear" w:color="000000" w:fill="D9D9D9"/>
            <w:noWrap/>
            <w:vAlign w:val="center"/>
            <w:hideMark/>
          </w:tcPr>
          <w:p w14:paraId="1BF7A330" w14:textId="6AB6571E"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104</w:t>
            </w:r>
          </w:p>
        </w:tc>
        <w:tc>
          <w:tcPr>
            <w:tcW w:w="1020" w:type="dxa"/>
            <w:tcBorders>
              <w:top w:val="nil"/>
              <w:left w:val="nil"/>
              <w:bottom w:val="single" w:sz="8" w:space="0" w:color="FFFFFF"/>
              <w:right w:val="single" w:sz="8" w:space="0" w:color="FFFFFF"/>
            </w:tcBorders>
            <w:shd w:val="clear" w:color="000000" w:fill="D9D9D9"/>
            <w:noWrap/>
            <w:vAlign w:val="center"/>
            <w:hideMark/>
          </w:tcPr>
          <w:p w14:paraId="063C359E" w14:textId="56C86A5A"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92</w:t>
            </w:r>
          </w:p>
        </w:tc>
      </w:tr>
      <w:tr w:rsidR="0005108F" w:rsidRPr="00151610" w14:paraId="7FBF5713"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41901A19"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bankovních úvěrů klientských (%)</w:t>
            </w:r>
          </w:p>
        </w:tc>
        <w:tc>
          <w:tcPr>
            <w:tcW w:w="1180" w:type="dxa"/>
            <w:tcBorders>
              <w:top w:val="nil"/>
              <w:left w:val="nil"/>
              <w:bottom w:val="nil"/>
              <w:right w:val="single" w:sz="4" w:space="0" w:color="FFFFFF"/>
            </w:tcBorders>
            <w:shd w:val="clear" w:color="000000" w:fill="D9D9D9"/>
            <w:noWrap/>
            <w:vAlign w:val="center"/>
            <w:hideMark/>
          </w:tcPr>
          <w:p w14:paraId="50460CB8" w14:textId="2B55F5F3"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5,4</w:t>
            </w:r>
          </w:p>
        </w:tc>
        <w:tc>
          <w:tcPr>
            <w:tcW w:w="1020" w:type="dxa"/>
            <w:tcBorders>
              <w:top w:val="nil"/>
              <w:left w:val="nil"/>
              <w:bottom w:val="nil"/>
              <w:right w:val="single" w:sz="8" w:space="0" w:color="FFFFFF"/>
            </w:tcBorders>
            <w:shd w:val="clear" w:color="000000" w:fill="D9D9D9"/>
            <w:noWrap/>
            <w:vAlign w:val="center"/>
            <w:hideMark/>
          </w:tcPr>
          <w:p w14:paraId="2A62CE4E" w14:textId="12CC68D1"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4,7</w:t>
            </w:r>
          </w:p>
        </w:tc>
        <w:tc>
          <w:tcPr>
            <w:tcW w:w="1020" w:type="dxa"/>
            <w:tcBorders>
              <w:top w:val="nil"/>
              <w:left w:val="nil"/>
              <w:bottom w:val="nil"/>
              <w:right w:val="single" w:sz="8" w:space="0" w:color="FFFFFF"/>
            </w:tcBorders>
            <w:shd w:val="clear" w:color="000000" w:fill="D9D9D9"/>
            <w:noWrap/>
            <w:vAlign w:val="center"/>
            <w:hideMark/>
          </w:tcPr>
          <w:p w14:paraId="2B91498C" w14:textId="462379D5"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4,8</w:t>
            </w:r>
          </w:p>
        </w:tc>
      </w:tr>
      <w:tr w:rsidR="0005108F" w:rsidRPr="00151610" w14:paraId="2F5C9E33"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6A7C5E39"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bankovních úvěrů domácnostem (%)</w:t>
            </w:r>
          </w:p>
        </w:tc>
        <w:tc>
          <w:tcPr>
            <w:tcW w:w="1180" w:type="dxa"/>
            <w:tcBorders>
              <w:top w:val="nil"/>
              <w:left w:val="nil"/>
              <w:bottom w:val="nil"/>
              <w:right w:val="single" w:sz="4" w:space="0" w:color="FFFFFF"/>
            </w:tcBorders>
            <w:shd w:val="clear" w:color="000000" w:fill="D9D9D9"/>
            <w:noWrap/>
            <w:vAlign w:val="center"/>
            <w:hideMark/>
          </w:tcPr>
          <w:p w14:paraId="4037A752" w14:textId="27785705"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8,6</w:t>
            </w:r>
          </w:p>
        </w:tc>
        <w:tc>
          <w:tcPr>
            <w:tcW w:w="1020" w:type="dxa"/>
            <w:tcBorders>
              <w:top w:val="nil"/>
              <w:left w:val="nil"/>
              <w:bottom w:val="nil"/>
              <w:right w:val="single" w:sz="8" w:space="0" w:color="FFFFFF"/>
            </w:tcBorders>
            <w:shd w:val="clear" w:color="000000" w:fill="D9D9D9"/>
            <w:noWrap/>
            <w:vAlign w:val="center"/>
            <w:hideMark/>
          </w:tcPr>
          <w:p w14:paraId="321ABCDF" w14:textId="2F59472D"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7,0</w:t>
            </w:r>
          </w:p>
        </w:tc>
        <w:tc>
          <w:tcPr>
            <w:tcW w:w="1020" w:type="dxa"/>
            <w:tcBorders>
              <w:top w:val="nil"/>
              <w:left w:val="nil"/>
              <w:bottom w:val="nil"/>
              <w:right w:val="single" w:sz="8" w:space="0" w:color="FFFFFF"/>
            </w:tcBorders>
            <w:shd w:val="clear" w:color="000000" w:fill="D9D9D9"/>
            <w:noWrap/>
            <w:vAlign w:val="center"/>
            <w:hideMark/>
          </w:tcPr>
          <w:p w14:paraId="46CC86CF" w14:textId="652429B3"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4,8</w:t>
            </w:r>
          </w:p>
        </w:tc>
      </w:tr>
      <w:tr w:rsidR="0005108F" w:rsidRPr="00151610" w14:paraId="57E698B5" w14:textId="77777777" w:rsidTr="00151610">
        <w:trPr>
          <w:trHeight w:val="270"/>
        </w:trPr>
        <w:tc>
          <w:tcPr>
            <w:tcW w:w="5160" w:type="dxa"/>
            <w:tcBorders>
              <w:top w:val="nil"/>
              <w:left w:val="nil"/>
              <w:bottom w:val="nil"/>
              <w:right w:val="single" w:sz="8" w:space="0" w:color="FFFFFF"/>
            </w:tcBorders>
            <w:shd w:val="clear" w:color="000000" w:fill="13576B"/>
            <w:vAlign w:val="center"/>
            <w:hideMark/>
          </w:tcPr>
          <w:p w14:paraId="0F2DCCB1"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bankovních úvěrů (nefinančním) podnikům (%)</w:t>
            </w:r>
          </w:p>
        </w:tc>
        <w:tc>
          <w:tcPr>
            <w:tcW w:w="1180" w:type="dxa"/>
            <w:tcBorders>
              <w:top w:val="nil"/>
              <w:left w:val="nil"/>
              <w:bottom w:val="nil"/>
              <w:right w:val="single" w:sz="4" w:space="0" w:color="FFFFFF"/>
            </w:tcBorders>
            <w:shd w:val="clear" w:color="000000" w:fill="D9D9D9"/>
            <w:noWrap/>
            <w:vAlign w:val="center"/>
            <w:hideMark/>
          </w:tcPr>
          <w:p w14:paraId="6B1264AF" w14:textId="11C560EC"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0,8</w:t>
            </w:r>
          </w:p>
        </w:tc>
        <w:tc>
          <w:tcPr>
            <w:tcW w:w="1020" w:type="dxa"/>
            <w:tcBorders>
              <w:top w:val="nil"/>
              <w:left w:val="nil"/>
              <w:bottom w:val="nil"/>
              <w:right w:val="single" w:sz="8" w:space="0" w:color="FFFFFF"/>
            </w:tcBorders>
            <w:shd w:val="clear" w:color="000000" w:fill="D9D9D9"/>
            <w:noWrap/>
            <w:vAlign w:val="center"/>
            <w:hideMark/>
          </w:tcPr>
          <w:p w14:paraId="3BAD8B3B" w14:textId="6C4ADADF"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3,8</w:t>
            </w:r>
          </w:p>
        </w:tc>
        <w:tc>
          <w:tcPr>
            <w:tcW w:w="1020" w:type="dxa"/>
            <w:tcBorders>
              <w:top w:val="nil"/>
              <w:left w:val="nil"/>
              <w:bottom w:val="nil"/>
              <w:right w:val="single" w:sz="8" w:space="0" w:color="FFFFFF"/>
            </w:tcBorders>
            <w:shd w:val="clear" w:color="000000" w:fill="D9D9D9"/>
            <w:noWrap/>
            <w:vAlign w:val="center"/>
            <w:hideMark/>
          </w:tcPr>
          <w:p w14:paraId="0BC32171" w14:textId="4A078CB7"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4,3</w:t>
            </w:r>
          </w:p>
        </w:tc>
      </w:tr>
      <w:tr w:rsidR="0005108F" w:rsidRPr="00151610" w14:paraId="136D0081" w14:textId="77777777" w:rsidTr="00151610">
        <w:trPr>
          <w:trHeight w:val="270"/>
        </w:trPr>
        <w:tc>
          <w:tcPr>
            <w:tcW w:w="5160" w:type="dxa"/>
            <w:tcBorders>
              <w:top w:val="nil"/>
              <w:left w:val="single" w:sz="8" w:space="0" w:color="FFFFFF"/>
              <w:bottom w:val="single" w:sz="8" w:space="0" w:color="FFFFFF"/>
              <w:right w:val="single" w:sz="8" w:space="0" w:color="FFFFFF"/>
            </w:tcBorders>
            <w:shd w:val="clear" w:color="000000" w:fill="13576B"/>
            <w:vAlign w:val="center"/>
            <w:hideMark/>
          </w:tcPr>
          <w:p w14:paraId="447D3B7C" w14:textId="77777777" w:rsidR="0005108F" w:rsidRPr="00151610" w:rsidRDefault="0005108F" w:rsidP="0005108F">
            <w:pPr>
              <w:overflowPunct/>
              <w:autoSpaceDE/>
              <w:autoSpaceDN/>
              <w:adjustRightInd/>
              <w:jc w:val="left"/>
              <w:textAlignment w:val="auto"/>
              <w:rPr>
                <w:rFonts w:ascii="Calibri Light" w:hAnsi="Calibri Light" w:cs="Calibri Light"/>
                <w:b/>
                <w:bCs/>
                <w:color w:val="FFFFFF"/>
                <w:sz w:val="20"/>
              </w:rPr>
            </w:pPr>
            <w:r w:rsidRPr="00151610">
              <w:rPr>
                <w:rFonts w:ascii="Calibri Light" w:hAnsi="Calibri Light" w:cs="Calibri Light"/>
                <w:b/>
                <w:bCs/>
                <w:color w:val="FFFFFF"/>
                <w:sz w:val="20"/>
              </w:rPr>
              <w:t>Růst bankovních vkladů klientských celkem (%)</w:t>
            </w:r>
          </w:p>
        </w:tc>
        <w:tc>
          <w:tcPr>
            <w:tcW w:w="1180" w:type="dxa"/>
            <w:tcBorders>
              <w:top w:val="nil"/>
              <w:left w:val="nil"/>
              <w:bottom w:val="single" w:sz="8" w:space="0" w:color="FFFFFF"/>
              <w:right w:val="single" w:sz="4" w:space="0" w:color="FFFFFF"/>
            </w:tcBorders>
            <w:shd w:val="clear" w:color="000000" w:fill="D9D9D9"/>
            <w:noWrap/>
            <w:vAlign w:val="center"/>
            <w:hideMark/>
          </w:tcPr>
          <w:p w14:paraId="135FD4D3" w14:textId="1B6FBE0E" w:rsidR="0005108F" w:rsidRPr="00151610" w:rsidRDefault="0005108F" w:rsidP="0005108F">
            <w:pPr>
              <w:overflowPunct/>
              <w:autoSpaceDE/>
              <w:autoSpaceDN/>
              <w:adjustRightInd/>
              <w:jc w:val="center"/>
              <w:textAlignment w:val="auto"/>
              <w:rPr>
                <w:rFonts w:ascii="Calibri Light" w:hAnsi="Calibri Light" w:cs="Calibri Light"/>
                <w:color w:val="13576B"/>
                <w:sz w:val="20"/>
              </w:rPr>
            </w:pPr>
            <w:r>
              <w:rPr>
                <w:rFonts w:ascii="Calibri Light" w:hAnsi="Calibri Light" w:cs="Calibri Light"/>
                <w:color w:val="13576B"/>
                <w:sz w:val="20"/>
              </w:rPr>
              <w:t>8,8</w:t>
            </w:r>
          </w:p>
        </w:tc>
        <w:tc>
          <w:tcPr>
            <w:tcW w:w="1020" w:type="dxa"/>
            <w:tcBorders>
              <w:top w:val="nil"/>
              <w:left w:val="nil"/>
              <w:bottom w:val="single" w:sz="8" w:space="0" w:color="FFFFFF"/>
              <w:right w:val="single" w:sz="4" w:space="0" w:color="FFFFFF"/>
            </w:tcBorders>
            <w:shd w:val="clear" w:color="000000" w:fill="D9D9D9"/>
            <w:noWrap/>
            <w:vAlign w:val="center"/>
            <w:hideMark/>
          </w:tcPr>
          <w:p w14:paraId="5E744EC9" w14:textId="70EEABE6"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6,1</w:t>
            </w:r>
          </w:p>
        </w:tc>
        <w:tc>
          <w:tcPr>
            <w:tcW w:w="1020" w:type="dxa"/>
            <w:tcBorders>
              <w:top w:val="nil"/>
              <w:left w:val="nil"/>
              <w:bottom w:val="single" w:sz="8" w:space="0" w:color="FFFFFF"/>
              <w:right w:val="single" w:sz="8" w:space="0" w:color="FFFFFF"/>
            </w:tcBorders>
            <w:shd w:val="clear" w:color="000000" w:fill="D9D9D9"/>
            <w:noWrap/>
            <w:vAlign w:val="center"/>
            <w:hideMark/>
          </w:tcPr>
          <w:p w14:paraId="2EFF4E56" w14:textId="7BCF40FB" w:rsidR="0005108F" w:rsidRPr="00151610" w:rsidRDefault="0005108F" w:rsidP="0005108F">
            <w:pPr>
              <w:overflowPunct/>
              <w:autoSpaceDE/>
              <w:autoSpaceDN/>
              <w:adjustRightInd/>
              <w:jc w:val="center"/>
              <w:textAlignment w:val="auto"/>
              <w:rPr>
                <w:rFonts w:ascii="Calibri Light" w:hAnsi="Calibri Light" w:cs="Calibri Light"/>
                <w:color w:val="FF0000"/>
                <w:sz w:val="20"/>
              </w:rPr>
            </w:pPr>
            <w:r>
              <w:rPr>
                <w:rFonts w:ascii="Calibri Light" w:hAnsi="Calibri Light" w:cs="Calibri Light"/>
                <w:color w:val="FF0000"/>
                <w:sz w:val="20"/>
              </w:rPr>
              <w:t>5,5</w:t>
            </w:r>
          </w:p>
        </w:tc>
      </w:tr>
    </w:tbl>
    <w:p w14:paraId="10A71CAA" w14:textId="512CA3A1" w:rsidR="00C93158" w:rsidRPr="00F37DC9" w:rsidRDefault="00C93158" w:rsidP="00B4285D">
      <w:pPr>
        <w:rPr>
          <w:rFonts w:ascii="Calibri" w:hAnsi="Calibri" w:cs="Calibri"/>
          <w:sz w:val="20"/>
          <w:szCs w:val="18"/>
        </w:rPr>
      </w:pPr>
    </w:p>
    <w:p w14:paraId="7561C03E" w14:textId="59DCA31F" w:rsidR="00F37DC9" w:rsidRDefault="003161ED" w:rsidP="00B4285D">
      <w:pPr>
        <w:rPr>
          <w:rFonts w:ascii="Calibri" w:eastAsiaTheme="minorEastAsia" w:hAnsi="Calibri" w:cs="Calibri"/>
        </w:rPr>
      </w:pPr>
      <w:r w:rsidRPr="00C9674F">
        <w:rPr>
          <w:noProof/>
          <w:sz w:val="16"/>
          <w:szCs w:val="16"/>
        </w:rPr>
        <mc:AlternateContent>
          <mc:Choice Requires="wps">
            <w:drawing>
              <wp:anchor distT="0" distB="0" distL="114300" distR="114300" simplePos="0" relativeHeight="251662336" behindDoc="1" locked="0" layoutInCell="1" hidden="0" allowOverlap="1" wp14:anchorId="3801A402" wp14:editId="0E1DFF0B">
                <wp:simplePos x="0" y="0"/>
                <wp:positionH relativeFrom="margin">
                  <wp:align>right</wp:align>
                </wp:positionH>
                <wp:positionV relativeFrom="paragraph">
                  <wp:posOffset>13005</wp:posOffset>
                </wp:positionV>
                <wp:extent cx="6476365" cy="1155939"/>
                <wp:effectExtent l="0" t="0" r="635" b="6350"/>
                <wp:wrapNone/>
                <wp:docPr id="4" name="Obdélník 4"/>
                <wp:cNvGraphicFramePr/>
                <a:graphic xmlns:a="http://schemas.openxmlformats.org/drawingml/2006/main">
                  <a:graphicData uri="http://schemas.microsoft.com/office/word/2010/wordprocessingShape">
                    <wps:wsp>
                      <wps:cNvSpPr/>
                      <wps:spPr>
                        <a:xfrm>
                          <a:off x="0" y="0"/>
                          <a:ext cx="6476365" cy="11559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13D1E" w14:textId="77777777" w:rsidR="00F37DC9" w:rsidRPr="00F37DC9" w:rsidRDefault="00F37DC9" w:rsidP="00F37DC9">
                            <w:pPr>
                              <w:spacing w:line="276" w:lineRule="auto"/>
                              <w:rPr>
                                <w:rFonts w:ascii="Calibri" w:hAnsi="Calibri" w:cs="Calibri"/>
                                <w:b/>
                                <w:color w:val="FFFFFF" w:themeColor="background1"/>
                                <w:szCs w:val="18"/>
                              </w:rPr>
                            </w:pPr>
                            <w:r w:rsidRPr="00F37DC9">
                              <w:rPr>
                                <w:rFonts w:ascii="Calibri" w:hAnsi="Calibri" w:cs="Calibri"/>
                                <w:b/>
                                <w:color w:val="FFFFFF" w:themeColor="background1"/>
                                <w:szCs w:val="18"/>
                              </w:rPr>
                              <w:t xml:space="preserve">O prognóze ČBA </w:t>
                            </w:r>
                          </w:p>
                          <w:p w14:paraId="04BF716D" w14:textId="3302BA22" w:rsidR="00EE7B05" w:rsidRPr="00F37DC9" w:rsidRDefault="00EE7B05" w:rsidP="00EE7B05">
                            <w:pPr>
                              <w:spacing w:line="276" w:lineRule="auto"/>
                              <w:ind w:left="28" w:hanging="28"/>
                              <w:rPr>
                                <w:rFonts w:ascii="Calibri" w:hAnsi="Calibri" w:cs="Calibri"/>
                                <w:szCs w:val="18"/>
                              </w:rPr>
                            </w:pPr>
                            <w:r w:rsidRPr="00F37DC9">
                              <w:rPr>
                                <w:rFonts w:ascii="Calibri" w:hAnsi="Calibri" w:cs="Calibri"/>
                                <w:szCs w:val="18"/>
                              </w:rPr>
                              <w:t xml:space="preserve">Tato prognóza vznikla na základě </w:t>
                            </w:r>
                            <w:r w:rsidRPr="00272A8E">
                              <w:rPr>
                                <w:rFonts w:ascii="Calibri" w:hAnsi="Calibri" w:cs="Calibri"/>
                                <w:szCs w:val="18"/>
                              </w:rPr>
                              <w:t xml:space="preserve">příspěvků analytiků </w:t>
                            </w:r>
                            <w:r w:rsidR="005A7E70">
                              <w:rPr>
                                <w:rFonts w:ascii="Calibri" w:hAnsi="Calibri" w:cs="Calibri"/>
                                <w:szCs w:val="18"/>
                              </w:rPr>
                              <w:t>9</w:t>
                            </w:r>
                            <w:r w:rsidRPr="00272A8E">
                              <w:rPr>
                                <w:rFonts w:ascii="Calibri" w:hAnsi="Calibri" w:cs="Calibri"/>
                                <w:szCs w:val="18"/>
                              </w:rPr>
                              <w:t xml:space="preserve"> členských bank ČBA: Petr Dufek (</w:t>
                            </w:r>
                            <w:r w:rsidR="005A7E70">
                              <w:rPr>
                                <w:rFonts w:ascii="Calibri" w:hAnsi="Calibri" w:cs="Calibri"/>
                                <w:szCs w:val="18"/>
                              </w:rPr>
                              <w:t>hlavní ekonom</w:t>
                            </w:r>
                            <w:r w:rsidR="00675820">
                              <w:rPr>
                                <w:rFonts w:ascii="Calibri" w:hAnsi="Calibri" w:cs="Calibri"/>
                                <w:szCs w:val="18"/>
                              </w:rPr>
                              <w:t>,</w:t>
                            </w:r>
                            <w:r w:rsidR="005A7E70">
                              <w:rPr>
                                <w:rFonts w:ascii="Calibri" w:hAnsi="Calibri" w:cs="Calibri"/>
                                <w:szCs w:val="18"/>
                              </w:rPr>
                              <w:t xml:space="preserve"> Banka CREDITAS</w:t>
                            </w:r>
                            <w:r w:rsidRPr="00272A8E">
                              <w:rPr>
                                <w:rFonts w:ascii="Calibri" w:hAnsi="Calibri" w:cs="Calibri"/>
                                <w:szCs w:val="18"/>
                              </w:rPr>
                              <w:t>),</w:t>
                            </w:r>
                            <w:r>
                              <w:rPr>
                                <w:rFonts w:ascii="Calibri" w:hAnsi="Calibri" w:cs="Calibri"/>
                                <w:szCs w:val="18"/>
                              </w:rPr>
                              <w:t xml:space="preserve"> </w:t>
                            </w:r>
                            <w:r w:rsidR="005A7E70">
                              <w:rPr>
                                <w:rFonts w:ascii="Calibri" w:hAnsi="Calibri" w:cs="Calibri"/>
                                <w:szCs w:val="18"/>
                              </w:rPr>
                              <w:t>Jan Bureš</w:t>
                            </w:r>
                            <w:r w:rsidR="005A7E70" w:rsidRPr="00272A8E">
                              <w:rPr>
                                <w:rFonts w:ascii="Calibri" w:hAnsi="Calibri" w:cs="Calibri"/>
                                <w:szCs w:val="18"/>
                              </w:rPr>
                              <w:t xml:space="preserve"> (ekonomický analytik ČSOB),</w:t>
                            </w:r>
                            <w:r w:rsidR="005A7E70">
                              <w:rPr>
                                <w:rFonts w:ascii="Calibri" w:hAnsi="Calibri" w:cs="Calibri"/>
                                <w:szCs w:val="18"/>
                              </w:rPr>
                              <w:t xml:space="preserve"> </w:t>
                            </w:r>
                            <w:r w:rsidRPr="00272A8E">
                              <w:rPr>
                                <w:rFonts w:ascii="Calibri" w:hAnsi="Calibri" w:cs="Calibri"/>
                                <w:szCs w:val="18"/>
                              </w:rPr>
                              <w:t>Petr Gapko (hlavní ekonom</w:t>
                            </w:r>
                            <w:r w:rsidR="00675820">
                              <w:rPr>
                                <w:rFonts w:ascii="Calibri" w:hAnsi="Calibri" w:cs="Calibri"/>
                                <w:szCs w:val="18"/>
                              </w:rPr>
                              <w:t>,</w:t>
                            </w:r>
                            <w:r w:rsidRPr="00272A8E">
                              <w:rPr>
                                <w:rFonts w:ascii="Calibri" w:hAnsi="Calibri" w:cs="Calibri"/>
                                <w:szCs w:val="18"/>
                              </w:rPr>
                              <w:t xml:space="preserve"> M</w:t>
                            </w:r>
                            <w:r>
                              <w:rPr>
                                <w:rFonts w:ascii="Calibri" w:hAnsi="Calibri" w:cs="Calibri"/>
                                <w:szCs w:val="18"/>
                              </w:rPr>
                              <w:t xml:space="preserve">ONETA </w:t>
                            </w:r>
                            <w:r w:rsidRPr="00272A8E">
                              <w:rPr>
                                <w:rFonts w:ascii="Calibri" w:hAnsi="Calibri" w:cs="Calibri"/>
                                <w:szCs w:val="18"/>
                              </w:rPr>
                              <w:t>M</w:t>
                            </w:r>
                            <w:r>
                              <w:rPr>
                                <w:rFonts w:ascii="Calibri" w:hAnsi="Calibri" w:cs="Calibri"/>
                                <w:szCs w:val="18"/>
                              </w:rPr>
                              <w:t xml:space="preserve">oney </w:t>
                            </w:r>
                            <w:r w:rsidRPr="00272A8E">
                              <w:rPr>
                                <w:rFonts w:ascii="Calibri" w:hAnsi="Calibri" w:cs="Calibri"/>
                                <w:szCs w:val="18"/>
                              </w:rPr>
                              <w:t>B</w:t>
                            </w:r>
                            <w:r>
                              <w:rPr>
                                <w:rFonts w:ascii="Calibri" w:hAnsi="Calibri" w:cs="Calibri"/>
                                <w:szCs w:val="18"/>
                              </w:rPr>
                              <w:t>ank</w:t>
                            </w:r>
                            <w:r w:rsidRPr="00272A8E">
                              <w:rPr>
                                <w:rFonts w:ascii="Calibri" w:hAnsi="Calibri" w:cs="Calibri"/>
                                <w:szCs w:val="18"/>
                              </w:rPr>
                              <w:t>)</w:t>
                            </w:r>
                            <w:r>
                              <w:rPr>
                                <w:rFonts w:ascii="Calibri" w:hAnsi="Calibri" w:cs="Calibri"/>
                                <w:szCs w:val="18"/>
                              </w:rPr>
                              <w:t>,</w:t>
                            </w:r>
                            <w:r w:rsidRPr="00272A8E">
                              <w:rPr>
                                <w:rFonts w:ascii="Calibri" w:hAnsi="Calibri" w:cs="Calibri"/>
                                <w:szCs w:val="18"/>
                              </w:rPr>
                              <w:t xml:space="preserve"> </w:t>
                            </w:r>
                            <w:r w:rsidR="005A7E70" w:rsidRPr="005A7E70">
                              <w:rPr>
                                <w:rFonts w:ascii="Calibri" w:hAnsi="Calibri" w:cs="Calibri"/>
                                <w:szCs w:val="18"/>
                              </w:rPr>
                              <w:t xml:space="preserve">David Vagenknecht </w:t>
                            </w:r>
                            <w:r w:rsidRPr="00272A8E">
                              <w:rPr>
                                <w:rFonts w:ascii="Calibri" w:hAnsi="Calibri" w:cs="Calibri"/>
                                <w:szCs w:val="18"/>
                              </w:rPr>
                              <w:t>(</w:t>
                            </w:r>
                            <w:r w:rsidR="005A7E70">
                              <w:rPr>
                                <w:rFonts w:ascii="Calibri" w:hAnsi="Calibri" w:cs="Calibri"/>
                                <w:szCs w:val="18"/>
                              </w:rPr>
                              <w:t>ekonomický analytik</w:t>
                            </w:r>
                            <w:r w:rsidRPr="00272A8E">
                              <w:rPr>
                                <w:rFonts w:ascii="Calibri" w:hAnsi="Calibri" w:cs="Calibri"/>
                                <w:szCs w:val="18"/>
                              </w:rPr>
                              <w:t xml:space="preserve"> </w:t>
                            </w:r>
                            <w:r>
                              <w:rPr>
                                <w:rFonts w:ascii="Calibri" w:hAnsi="Calibri" w:cs="Calibri"/>
                                <w:szCs w:val="18"/>
                              </w:rPr>
                              <w:t>R</w:t>
                            </w:r>
                            <w:r w:rsidRPr="00272A8E">
                              <w:rPr>
                                <w:rFonts w:ascii="Calibri" w:hAnsi="Calibri" w:cs="Calibri"/>
                                <w:szCs w:val="18"/>
                              </w:rPr>
                              <w:t>aiffeisenbank), Michal Skořepa (makroekonomický analytik Č</w:t>
                            </w:r>
                            <w:r>
                              <w:rPr>
                                <w:rFonts w:ascii="Calibri" w:hAnsi="Calibri" w:cs="Calibri"/>
                                <w:szCs w:val="18"/>
                              </w:rPr>
                              <w:t>eské spořitelny</w:t>
                            </w:r>
                            <w:r w:rsidRPr="00272A8E">
                              <w:rPr>
                                <w:rFonts w:ascii="Calibri" w:hAnsi="Calibri" w:cs="Calibri"/>
                                <w:szCs w:val="18"/>
                              </w:rPr>
                              <w:t>)</w:t>
                            </w:r>
                            <w:r>
                              <w:rPr>
                                <w:rFonts w:ascii="Calibri" w:hAnsi="Calibri" w:cs="Calibri"/>
                                <w:szCs w:val="18"/>
                              </w:rPr>
                              <w:t>,</w:t>
                            </w:r>
                            <w:r w:rsidRPr="002B793C">
                              <w:rPr>
                                <w:rFonts w:ascii="Calibri" w:hAnsi="Calibri" w:cs="Calibri"/>
                                <w:szCs w:val="18"/>
                              </w:rPr>
                              <w:t xml:space="preserve"> </w:t>
                            </w:r>
                            <w:r w:rsidRPr="00272A8E">
                              <w:rPr>
                                <w:rFonts w:ascii="Calibri" w:hAnsi="Calibri" w:cs="Calibri"/>
                                <w:szCs w:val="18"/>
                              </w:rPr>
                              <w:t>Petr Sklenář (hlavní ekonom</w:t>
                            </w:r>
                            <w:r w:rsidR="00675820">
                              <w:rPr>
                                <w:rFonts w:ascii="Calibri" w:hAnsi="Calibri" w:cs="Calibri"/>
                                <w:szCs w:val="18"/>
                              </w:rPr>
                              <w:t>,</w:t>
                            </w:r>
                            <w:r w:rsidRPr="00272A8E">
                              <w:rPr>
                                <w:rFonts w:ascii="Calibri" w:hAnsi="Calibri" w:cs="Calibri"/>
                                <w:szCs w:val="18"/>
                              </w:rPr>
                              <w:t xml:space="preserve"> J&amp;T Bank)</w:t>
                            </w:r>
                            <w:r>
                              <w:rPr>
                                <w:rFonts w:ascii="Calibri" w:hAnsi="Calibri" w:cs="Calibri"/>
                                <w:szCs w:val="18"/>
                              </w:rPr>
                              <w:t xml:space="preserve">, Pavel Sobíšek (hlavní ekonom, UniCredit Bank), </w:t>
                            </w:r>
                            <w:r w:rsidRPr="00272A8E">
                              <w:rPr>
                                <w:rFonts w:ascii="Calibri" w:hAnsi="Calibri" w:cs="Calibri"/>
                                <w:szCs w:val="18"/>
                              </w:rPr>
                              <w:t xml:space="preserve">Jaromír Šindel (hlavní </w:t>
                            </w:r>
                            <w:r w:rsidRPr="00201191">
                              <w:rPr>
                                <w:rFonts w:ascii="Calibri" w:hAnsi="Calibri" w:cs="Calibri"/>
                                <w:color w:val="FFFFFF" w:themeColor="background1"/>
                                <w:szCs w:val="18"/>
                              </w:rPr>
                              <w:t>ekonom</w:t>
                            </w:r>
                            <w:r w:rsidRPr="00272A8E">
                              <w:rPr>
                                <w:rFonts w:ascii="Calibri" w:hAnsi="Calibri" w:cs="Calibri"/>
                                <w:szCs w:val="18"/>
                              </w:rPr>
                              <w:t xml:space="preserve"> Citibank),</w:t>
                            </w:r>
                            <w:r>
                              <w:rPr>
                                <w:rFonts w:ascii="Calibri" w:hAnsi="Calibri" w:cs="Calibri"/>
                                <w:szCs w:val="18"/>
                              </w:rPr>
                              <w:t xml:space="preserve"> </w:t>
                            </w:r>
                            <w:r w:rsidRPr="00272A8E">
                              <w:rPr>
                                <w:rFonts w:ascii="Calibri" w:hAnsi="Calibri" w:cs="Calibri"/>
                                <w:szCs w:val="18"/>
                              </w:rPr>
                              <w:t>Jan Vejmělek (hlavní ekonom K</w:t>
                            </w:r>
                            <w:r>
                              <w:rPr>
                                <w:rFonts w:ascii="Calibri" w:hAnsi="Calibri" w:cs="Calibri"/>
                                <w:szCs w:val="18"/>
                              </w:rPr>
                              <w:t>omerční banky</w:t>
                            </w:r>
                            <w:r w:rsidRPr="00272A8E">
                              <w:rPr>
                                <w:rFonts w:ascii="Calibri" w:hAnsi="Calibri" w:cs="Calibri"/>
                                <w:szCs w:val="18"/>
                              </w:rPr>
                              <w:t>)</w:t>
                            </w:r>
                            <w:r>
                              <w:rPr>
                                <w:rFonts w:ascii="Calibri" w:hAnsi="Calibri" w:cs="Calibri"/>
                                <w:szCs w:val="18"/>
                              </w:rPr>
                              <w:t>.</w:t>
                            </w:r>
                            <w:r w:rsidRPr="00272A8E">
                              <w:rPr>
                                <w:rFonts w:ascii="Calibri" w:hAnsi="Calibri" w:cs="Calibri"/>
                                <w:szCs w:val="18"/>
                              </w:rPr>
                              <w:t xml:space="preserve"> Za ČBA se na tvorbě</w:t>
                            </w:r>
                            <w:r w:rsidRPr="00F37DC9">
                              <w:rPr>
                                <w:rFonts w:ascii="Calibri" w:hAnsi="Calibri" w:cs="Calibri"/>
                                <w:szCs w:val="18"/>
                              </w:rPr>
                              <w:t xml:space="preserve"> prognózy podíl</w:t>
                            </w:r>
                            <w:r>
                              <w:rPr>
                                <w:rFonts w:ascii="Calibri" w:hAnsi="Calibri" w:cs="Calibri"/>
                                <w:szCs w:val="18"/>
                              </w:rPr>
                              <w:t>eli</w:t>
                            </w:r>
                            <w:r w:rsidRPr="00F37DC9">
                              <w:rPr>
                                <w:rFonts w:ascii="Calibri" w:hAnsi="Calibri" w:cs="Calibri"/>
                                <w:szCs w:val="18"/>
                              </w:rPr>
                              <w:t xml:space="preserve"> </w:t>
                            </w:r>
                            <w:r>
                              <w:rPr>
                                <w:rFonts w:ascii="Calibri" w:hAnsi="Calibri" w:cs="Calibri"/>
                                <w:szCs w:val="18"/>
                              </w:rPr>
                              <w:t xml:space="preserve">Jakub Seidler a </w:t>
                            </w:r>
                            <w:r w:rsidRPr="00F37DC9">
                              <w:rPr>
                                <w:rFonts w:ascii="Calibri" w:hAnsi="Calibri" w:cs="Calibri"/>
                                <w:szCs w:val="18"/>
                              </w:rPr>
                              <w:t>Miroslav Zámečník.</w:t>
                            </w:r>
                          </w:p>
                          <w:p w14:paraId="77C1A42D" w14:textId="77777777" w:rsidR="00F37DC9" w:rsidRPr="00A55BDD" w:rsidRDefault="00F37DC9" w:rsidP="00F37DC9">
                            <w:pPr>
                              <w:spacing w:line="276" w:lineRule="auto"/>
                              <w:ind w:left="28" w:hanging="28"/>
                              <w:jc w:val="left"/>
                              <w:rPr>
                                <w:sz w:val="16"/>
                                <w:szCs w:val="16"/>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A402" id="Obdélník 4" o:spid="_x0000_s1029" style="position:absolute;left:0;text-align:left;margin-left:458.75pt;margin-top:1pt;width:509.95pt;height:91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" fillcolor="#bfbfbf [2412]" stroked="f" strokeweight="1pt">
                <v:textbox inset="3mm,3mm,3mm,3mm">
                  <w:txbxContent>
                    <w:p w14:paraId="7E313D1E" w14:textId="77777777" w:rsidR="00F37DC9" w:rsidRPr="00F37DC9" w:rsidRDefault="00F37DC9" w:rsidP="00F37DC9">
                      <w:pPr>
                        <w:spacing w:line="276" w:lineRule="auto"/>
                        <w:rPr>
                          <w:rFonts w:ascii="Calibri" w:hAnsi="Calibri" w:cs="Calibri"/>
                          <w:b/>
                          <w:color w:val="FFFFFF" w:themeColor="background1"/>
                          <w:szCs w:val="18"/>
                        </w:rPr>
                      </w:pPr>
                      <w:r w:rsidRPr="00F37DC9">
                        <w:rPr>
                          <w:rFonts w:ascii="Calibri" w:hAnsi="Calibri" w:cs="Calibri"/>
                          <w:b/>
                          <w:color w:val="FFFFFF" w:themeColor="background1"/>
                          <w:szCs w:val="18"/>
                        </w:rPr>
                        <w:t xml:space="preserve">O prognóze ČBA </w:t>
                      </w:r>
                    </w:p>
                    <w:p w14:paraId="04BF716D" w14:textId="3302BA22" w:rsidR="00EE7B05" w:rsidRPr="00F37DC9" w:rsidRDefault="00EE7B05" w:rsidP="00EE7B05">
                      <w:pPr>
                        <w:spacing w:line="276" w:lineRule="auto"/>
                        <w:ind w:left="28" w:hanging="28"/>
                        <w:rPr>
                          <w:rFonts w:ascii="Calibri" w:hAnsi="Calibri" w:cs="Calibri"/>
                          <w:szCs w:val="18"/>
                        </w:rPr>
                      </w:pPr>
                      <w:r w:rsidRPr="00F37DC9">
                        <w:rPr>
                          <w:rFonts w:ascii="Calibri" w:hAnsi="Calibri" w:cs="Calibri"/>
                          <w:szCs w:val="18"/>
                        </w:rPr>
                        <w:t xml:space="preserve">Tato prognóza vznikla na základě </w:t>
                      </w:r>
                      <w:r w:rsidRPr="00272A8E">
                        <w:rPr>
                          <w:rFonts w:ascii="Calibri" w:hAnsi="Calibri" w:cs="Calibri"/>
                          <w:szCs w:val="18"/>
                        </w:rPr>
                        <w:t xml:space="preserve">příspěvků analytiků </w:t>
                      </w:r>
                      <w:r w:rsidR="005A7E70">
                        <w:rPr>
                          <w:rFonts w:ascii="Calibri" w:hAnsi="Calibri" w:cs="Calibri"/>
                          <w:szCs w:val="18"/>
                        </w:rPr>
                        <w:t>9</w:t>
                      </w:r>
                      <w:r w:rsidRPr="00272A8E">
                        <w:rPr>
                          <w:rFonts w:ascii="Calibri" w:hAnsi="Calibri" w:cs="Calibri"/>
                          <w:szCs w:val="18"/>
                        </w:rPr>
                        <w:t xml:space="preserve"> členských bank ČBA: Petr Dufek (</w:t>
                      </w:r>
                      <w:r w:rsidR="005A7E70">
                        <w:rPr>
                          <w:rFonts w:ascii="Calibri" w:hAnsi="Calibri" w:cs="Calibri"/>
                          <w:szCs w:val="18"/>
                        </w:rPr>
                        <w:t>hlavní ekonom</w:t>
                      </w:r>
                      <w:r w:rsidR="00675820">
                        <w:rPr>
                          <w:rFonts w:ascii="Calibri" w:hAnsi="Calibri" w:cs="Calibri"/>
                          <w:szCs w:val="18"/>
                        </w:rPr>
                        <w:t>,</w:t>
                      </w:r>
                      <w:r w:rsidR="005A7E70">
                        <w:rPr>
                          <w:rFonts w:ascii="Calibri" w:hAnsi="Calibri" w:cs="Calibri"/>
                          <w:szCs w:val="18"/>
                        </w:rPr>
                        <w:t xml:space="preserve"> Banka CREDITAS</w:t>
                      </w:r>
                      <w:r w:rsidRPr="00272A8E">
                        <w:rPr>
                          <w:rFonts w:ascii="Calibri" w:hAnsi="Calibri" w:cs="Calibri"/>
                          <w:szCs w:val="18"/>
                        </w:rPr>
                        <w:t>),</w:t>
                      </w:r>
                      <w:r>
                        <w:rPr>
                          <w:rFonts w:ascii="Calibri" w:hAnsi="Calibri" w:cs="Calibri"/>
                          <w:szCs w:val="18"/>
                        </w:rPr>
                        <w:t xml:space="preserve"> </w:t>
                      </w:r>
                      <w:r w:rsidR="005A7E70">
                        <w:rPr>
                          <w:rFonts w:ascii="Calibri" w:hAnsi="Calibri" w:cs="Calibri"/>
                          <w:szCs w:val="18"/>
                        </w:rPr>
                        <w:t>Jan Bureš</w:t>
                      </w:r>
                      <w:r w:rsidR="005A7E70" w:rsidRPr="00272A8E">
                        <w:rPr>
                          <w:rFonts w:ascii="Calibri" w:hAnsi="Calibri" w:cs="Calibri"/>
                          <w:szCs w:val="18"/>
                        </w:rPr>
                        <w:t xml:space="preserve"> (ekonomický analytik ČSOB),</w:t>
                      </w:r>
                      <w:r w:rsidR="005A7E70">
                        <w:rPr>
                          <w:rFonts w:ascii="Calibri" w:hAnsi="Calibri" w:cs="Calibri"/>
                          <w:szCs w:val="18"/>
                        </w:rPr>
                        <w:t xml:space="preserve"> </w:t>
                      </w:r>
                      <w:r w:rsidRPr="00272A8E">
                        <w:rPr>
                          <w:rFonts w:ascii="Calibri" w:hAnsi="Calibri" w:cs="Calibri"/>
                          <w:szCs w:val="18"/>
                        </w:rPr>
                        <w:t>Petr Gapko (hlavní ekonom</w:t>
                      </w:r>
                      <w:r w:rsidR="00675820">
                        <w:rPr>
                          <w:rFonts w:ascii="Calibri" w:hAnsi="Calibri" w:cs="Calibri"/>
                          <w:szCs w:val="18"/>
                        </w:rPr>
                        <w:t>,</w:t>
                      </w:r>
                      <w:r w:rsidRPr="00272A8E">
                        <w:rPr>
                          <w:rFonts w:ascii="Calibri" w:hAnsi="Calibri" w:cs="Calibri"/>
                          <w:szCs w:val="18"/>
                        </w:rPr>
                        <w:t xml:space="preserve"> M</w:t>
                      </w:r>
                      <w:r>
                        <w:rPr>
                          <w:rFonts w:ascii="Calibri" w:hAnsi="Calibri" w:cs="Calibri"/>
                          <w:szCs w:val="18"/>
                        </w:rPr>
                        <w:t xml:space="preserve">ONETA </w:t>
                      </w:r>
                      <w:r w:rsidRPr="00272A8E">
                        <w:rPr>
                          <w:rFonts w:ascii="Calibri" w:hAnsi="Calibri" w:cs="Calibri"/>
                          <w:szCs w:val="18"/>
                        </w:rPr>
                        <w:t>M</w:t>
                      </w:r>
                      <w:r>
                        <w:rPr>
                          <w:rFonts w:ascii="Calibri" w:hAnsi="Calibri" w:cs="Calibri"/>
                          <w:szCs w:val="18"/>
                        </w:rPr>
                        <w:t xml:space="preserve">oney </w:t>
                      </w:r>
                      <w:r w:rsidRPr="00272A8E">
                        <w:rPr>
                          <w:rFonts w:ascii="Calibri" w:hAnsi="Calibri" w:cs="Calibri"/>
                          <w:szCs w:val="18"/>
                        </w:rPr>
                        <w:t>B</w:t>
                      </w:r>
                      <w:r>
                        <w:rPr>
                          <w:rFonts w:ascii="Calibri" w:hAnsi="Calibri" w:cs="Calibri"/>
                          <w:szCs w:val="18"/>
                        </w:rPr>
                        <w:t>ank</w:t>
                      </w:r>
                      <w:r w:rsidRPr="00272A8E">
                        <w:rPr>
                          <w:rFonts w:ascii="Calibri" w:hAnsi="Calibri" w:cs="Calibri"/>
                          <w:szCs w:val="18"/>
                        </w:rPr>
                        <w:t>)</w:t>
                      </w:r>
                      <w:r>
                        <w:rPr>
                          <w:rFonts w:ascii="Calibri" w:hAnsi="Calibri" w:cs="Calibri"/>
                          <w:szCs w:val="18"/>
                        </w:rPr>
                        <w:t>,</w:t>
                      </w:r>
                      <w:r w:rsidRPr="00272A8E">
                        <w:rPr>
                          <w:rFonts w:ascii="Calibri" w:hAnsi="Calibri" w:cs="Calibri"/>
                          <w:szCs w:val="18"/>
                        </w:rPr>
                        <w:t xml:space="preserve"> </w:t>
                      </w:r>
                      <w:r w:rsidR="005A7E70" w:rsidRPr="005A7E70">
                        <w:rPr>
                          <w:rFonts w:ascii="Calibri" w:hAnsi="Calibri" w:cs="Calibri"/>
                          <w:szCs w:val="18"/>
                        </w:rPr>
                        <w:t xml:space="preserve">David Vagenknecht </w:t>
                      </w:r>
                      <w:r w:rsidRPr="00272A8E">
                        <w:rPr>
                          <w:rFonts w:ascii="Calibri" w:hAnsi="Calibri" w:cs="Calibri"/>
                          <w:szCs w:val="18"/>
                        </w:rPr>
                        <w:t>(</w:t>
                      </w:r>
                      <w:r w:rsidR="005A7E70">
                        <w:rPr>
                          <w:rFonts w:ascii="Calibri" w:hAnsi="Calibri" w:cs="Calibri"/>
                          <w:szCs w:val="18"/>
                        </w:rPr>
                        <w:t>ekonomický analytik</w:t>
                      </w:r>
                      <w:r w:rsidRPr="00272A8E">
                        <w:rPr>
                          <w:rFonts w:ascii="Calibri" w:hAnsi="Calibri" w:cs="Calibri"/>
                          <w:szCs w:val="18"/>
                        </w:rPr>
                        <w:t xml:space="preserve"> </w:t>
                      </w:r>
                      <w:r>
                        <w:rPr>
                          <w:rFonts w:ascii="Calibri" w:hAnsi="Calibri" w:cs="Calibri"/>
                          <w:szCs w:val="18"/>
                        </w:rPr>
                        <w:t>R</w:t>
                      </w:r>
                      <w:r w:rsidRPr="00272A8E">
                        <w:rPr>
                          <w:rFonts w:ascii="Calibri" w:hAnsi="Calibri" w:cs="Calibri"/>
                          <w:szCs w:val="18"/>
                        </w:rPr>
                        <w:t>aiffeisenbank), Michal Skořepa (makroekonomický analytik Č</w:t>
                      </w:r>
                      <w:r>
                        <w:rPr>
                          <w:rFonts w:ascii="Calibri" w:hAnsi="Calibri" w:cs="Calibri"/>
                          <w:szCs w:val="18"/>
                        </w:rPr>
                        <w:t>eské spořitelny</w:t>
                      </w:r>
                      <w:r w:rsidRPr="00272A8E">
                        <w:rPr>
                          <w:rFonts w:ascii="Calibri" w:hAnsi="Calibri" w:cs="Calibri"/>
                          <w:szCs w:val="18"/>
                        </w:rPr>
                        <w:t>)</w:t>
                      </w:r>
                      <w:r>
                        <w:rPr>
                          <w:rFonts w:ascii="Calibri" w:hAnsi="Calibri" w:cs="Calibri"/>
                          <w:szCs w:val="18"/>
                        </w:rPr>
                        <w:t>,</w:t>
                      </w:r>
                      <w:r w:rsidRPr="002B793C">
                        <w:rPr>
                          <w:rFonts w:ascii="Calibri" w:hAnsi="Calibri" w:cs="Calibri"/>
                          <w:szCs w:val="18"/>
                        </w:rPr>
                        <w:t xml:space="preserve"> </w:t>
                      </w:r>
                      <w:r w:rsidRPr="00272A8E">
                        <w:rPr>
                          <w:rFonts w:ascii="Calibri" w:hAnsi="Calibri" w:cs="Calibri"/>
                          <w:szCs w:val="18"/>
                        </w:rPr>
                        <w:t>Petr Sklenář (hlavní ekonom</w:t>
                      </w:r>
                      <w:r w:rsidR="00675820">
                        <w:rPr>
                          <w:rFonts w:ascii="Calibri" w:hAnsi="Calibri" w:cs="Calibri"/>
                          <w:szCs w:val="18"/>
                        </w:rPr>
                        <w:t>,</w:t>
                      </w:r>
                      <w:r w:rsidRPr="00272A8E">
                        <w:rPr>
                          <w:rFonts w:ascii="Calibri" w:hAnsi="Calibri" w:cs="Calibri"/>
                          <w:szCs w:val="18"/>
                        </w:rPr>
                        <w:t xml:space="preserve"> J&amp;T Bank)</w:t>
                      </w:r>
                      <w:r>
                        <w:rPr>
                          <w:rFonts w:ascii="Calibri" w:hAnsi="Calibri" w:cs="Calibri"/>
                          <w:szCs w:val="18"/>
                        </w:rPr>
                        <w:t xml:space="preserve">, Pavel Sobíšek (hlavní ekonom, UniCredit Bank), </w:t>
                      </w:r>
                      <w:r w:rsidRPr="00272A8E">
                        <w:rPr>
                          <w:rFonts w:ascii="Calibri" w:hAnsi="Calibri" w:cs="Calibri"/>
                          <w:szCs w:val="18"/>
                        </w:rPr>
                        <w:t xml:space="preserve">Jaromír Šindel (hlavní </w:t>
                      </w:r>
                      <w:r w:rsidRPr="00201191">
                        <w:rPr>
                          <w:rFonts w:ascii="Calibri" w:hAnsi="Calibri" w:cs="Calibri"/>
                          <w:color w:val="FFFFFF" w:themeColor="background1"/>
                          <w:szCs w:val="18"/>
                        </w:rPr>
                        <w:t>ekonom</w:t>
                      </w:r>
                      <w:r w:rsidRPr="00272A8E">
                        <w:rPr>
                          <w:rFonts w:ascii="Calibri" w:hAnsi="Calibri" w:cs="Calibri"/>
                          <w:szCs w:val="18"/>
                        </w:rPr>
                        <w:t xml:space="preserve"> Citibank),</w:t>
                      </w:r>
                      <w:r>
                        <w:rPr>
                          <w:rFonts w:ascii="Calibri" w:hAnsi="Calibri" w:cs="Calibri"/>
                          <w:szCs w:val="18"/>
                        </w:rPr>
                        <w:t xml:space="preserve"> </w:t>
                      </w:r>
                      <w:r w:rsidRPr="00272A8E">
                        <w:rPr>
                          <w:rFonts w:ascii="Calibri" w:hAnsi="Calibri" w:cs="Calibri"/>
                          <w:szCs w:val="18"/>
                        </w:rPr>
                        <w:t>Jan Vejmělek (hlavní ekonom K</w:t>
                      </w:r>
                      <w:r>
                        <w:rPr>
                          <w:rFonts w:ascii="Calibri" w:hAnsi="Calibri" w:cs="Calibri"/>
                          <w:szCs w:val="18"/>
                        </w:rPr>
                        <w:t>omerční banky</w:t>
                      </w:r>
                      <w:r w:rsidRPr="00272A8E">
                        <w:rPr>
                          <w:rFonts w:ascii="Calibri" w:hAnsi="Calibri" w:cs="Calibri"/>
                          <w:szCs w:val="18"/>
                        </w:rPr>
                        <w:t>)</w:t>
                      </w:r>
                      <w:r>
                        <w:rPr>
                          <w:rFonts w:ascii="Calibri" w:hAnsi="Calibri" w:cs="Calibri"/>
                          <w:szCs w:val="18"/>
                        </w:rPr>
                        <w:t>.</w:t>
                      </w:r>
                      <w:r w:rsidRPr="00272A8E">
                        <w:rPr>
                          <w:rFonts w:ascii="Calibri" w:hAnsi="Calibri" w:cs="Calibri"/>
                          <w:szCs w:val="18"/>
                        </w:rPr>
                        <w:t xml:space="preserve"> Za ČBA se na tvorbě</w:t>
                      </w:r>
                      <w:r w:rsidRPr="00F37DC9">
                        <w:rPr>
                          <w:rFonts w:ascii="Calibri" w:hAnsi="Calibri" w:cs="Calibri"/>
                          <w:szCs w:val="18"/>
                        </w:rPr>
                        <w:t xml:space="preserve"> prognózy podíl</w:t>
                      </w:r>
                      <w:r>
                        <w:rPr>
                          <w:rFonts w:ascii="Calibri" w:hAnsi="Calibri" w:cs="Calibri"/>
                          <w:szCs w:val="18"/>
                        </w:rPr>
                        <w:t>eli</w:t>
                      </w:r>
                      <w:r w:rsidRPr="00F37DC9">
                        <w:rPr>
                          <w:rFonts w:ascii="Calibri" w:hAnsi="Calibri" w:cs="Calibri"/>
                          <w:szCs w:val="18"/>
                        </w:rPr>
                        <w:t xml:space="preserve"> </w:t>
                      </w:r>
                      <w:r>
                        <w:rPr>
                          <w:rFonts w:ascii="Calibri" w:hAnsi="Calibri" w:cs="Calibri"/>
                          <w:szCs w:val="18"/>
                        </w:rPr>
                        <w:t xml:space="preserve">Jakub Seidler a </w:t>
                      </w:r>
                      <w:r w:rsidRPr="00F37DC9">
                        <w:rPr>
                          <w:rFonts w:ascii="Calibri" w:hAnsi="Calibri" w:cs="Calibri"/>
                          <w:szCs w:val="18"/>
                        </w:rPr>
                        <w:t>Miroslav Zámečník.</w:t>
                      </w:r>
                    </w:p>
                    <w:p w14:paraId="77C1A42D" w14:textId="77777777" w:rsidR="00F37DC9" w:rsidRPr="00A55BDD" w:rsidRDefault="00F37DC9" w:rsidP="00F37DC9">
                      <w:pPr>
                        <w:spacing w:line="276" w:lineRule="auto"/>
                        <w:ind w:left="28" w:hanging="28"/>
                        <w:jc w:val="left"/>
                        <w:rPr>
                          <w:sz w:val="16"/>
                          <w:szCs w:val="16"/>
                        </w:rPr>
                      </w:pPr>
                    </w:p>
                  </w:txbxContent>
                </v:textbox>
                <w10:wrap anchorx="margin"/>
              </v:rect>
            </w:pict>
          </mc:Fallback>
        </mc:AlternateContent>
      </w:r>
      <w:r w:rsidR="00165D62" w:rsidRPr="00F37DC9">
        <w:rPr>
          <w:rFonts w:ascii="Calibri" w:eastAsiaTheme="minorEastAsia" w:hAnsi="Calibri" w:cs="Calibri"/>
        </w:rPr>
        <w:tab/>
      </w:r>
    </w:p>
    <w:p w14:paraId="3A7CD80F" w14:textId="62799781" w:rsidR="001642C0" w:rsidRDefault="001642C0" w:rsidP="00B4285D">
      <w:pPr>
        <w:rPr>
          <w:rFonts w:ascii="Calibri" w:eastAsiaTheme="minorEastAsia" w:hAnsi="Calibri" w:cs="Calibri"/>
        </w:rPr>
      </w:pPr>
    </w:p>
    <w:p w14:paraId="6DB62AD1" w14:textId="5086AED3" w:rsidR="001642C0" w:rsidRDefault="001642C0" w:rsidP="00B4285D">
      <w:pPr>
        <w:rPr>
          <w:rFonts w:ascii="Calibri" w:eastAsiaTheme="minorEastAsia" w:hAnsi="Calibri" w:cs="Calibri"/>
        </w:rPr>
      </w:pPr>
    </w:p>
    <w:p w14:paraId="52E6141C" w14:textId="16E75886" w:rsidR="00F37DC9" w:rsidRDefault="00F37DC9" w:rsidP="00B4285D">
      <w:pPr>
        <w:rPr>
          <w:rFonts w:ascii="Calibri" w:eastAsiaTheme="minorEastAsia" w:hAnsi="Calibri" w:cs="Calibri"/>
        </w:rPr>
      </w:pPr>
    </w:p>
    <w:p w14:paraId="59DD5F85" w14:textId="14AD5D2F" w:rsidR="00F37DC9" w:rsidRDefault="00F37DC9" w:rsidP="00B4285D">
      <w:pPr>
        <w:rPr>
          <w:rFonts w:ascii="Calibri" w:eastAsiaTheme="minorEastAsia" w:hAnsi="Calibri" w:cs="Calibri"/>
        </w:rPr>
      </w:pPr>
    </w:p>
    <w:p w14:paraId="333F07F6" w14:textId="217C26C9" w:rsidR="00F37DC9" w:rsidRDefault="00F37DC9" w:rsidP="00B4285D">
      <w:pPr>
        <w:rPr>
          <w:rFonts w:ascii="Calibri" w:eastAsiaTheme="minorEastAsia" w:hAnsi="Calibri" w:cs="Calibri"/>
        </w:rPr>
      </w:pPr>
    </w:p>
    <w:p w14:paraId="5ACD7EBC" w14:textId="267566DC" w:rsidR="00F37DC9" w:rsidRDefault="00F37DC9" w:rsidP="00272A8E">
      <w:pPr>
        <w:tabs>
          <w:tab w:val="left" w:pos="2532"/>
        </w:tabs>
        <w:rPr>
          <w:rFonts w:ascii="Calibri" w:eastAsiaTheme="minorEastAsia" w:hAnsi="Calibri" w:cs="Calibri"/>
        </w:rPr>
      </w:pPr>
    </w:p>
    <w:p w14:paraId="5A7B51B7" w14:textId="5EE8DE77" w:rsidR="00F37DC9" w:rsidRDefault="00F37DC9" w:rsidP="00B4285D">
      <w:pPr>
        <w:rPr>
          <w:rFonts w:ascii="Calibri" w:eastAsiaTheme="minorEastAsia" w:hAnsi="Calibri" w:cs="Calibri"/>
        </w:rPr>
      </w:pPr>
    </w:p>
    <w:p w14:paraId="77090A9B" w14:textId="77777777" w:rsidR="00F37DC9" w:rsidRDefault="00F37DC9" w:rsidP="00B4285D">
      <w:pPr>
        <w:rPr>
          <w:rFonts w:ascii="Calibri" w:eastAsiaTheme="minorEastAsia" w:hAnsi="Calibri" w:cs="Calibri"/>
        </w:rPr>
      </w:pPr>
    </w:p>
    <w:p w14:paraId="1AE6FC8E" w14:textId="73FD6684" w:rsidR="005C1943" w:rsidRPr="00F37DC9" w:rsidRDefault="00F37DC9" w:rsidP="00B4285D">
      <w:pPr>
        <w:rPr>
          <w:rFonts w:ascii="Calibri" w:eastAsiaTheme="minorEastAsia" w:hAnsi="Calibri" w:cs="Calibri"/>
        </w:rPr>
      </w:pPr>
      <w:r w:rsidRPr="00F37DC9">
        <w:rPr>
          <w:rFonts w:ascii="Calibri" w:eastAsiaTheme="minorEastAsia" w:hAnsi="Calibri" w:cs="Calibri"/>
          <w:noProof/>
          <w:lang w:val="en-GB" w:eastAsia="en-GB"/>
        </w:rPr>
        <w:lastRenderedPageBreak/>
        <mc:AlternateContent>
          <mc:Choice Requires="wps">
            <w:drawing>
              <wp:anchor distT="0" distB="0" distL="114300" distR="114300" simplePos="0" relativeHeight="251660288" behindDoc="0" locked="0" layoutInCell="1" allowOverlap="1" wp14:anchorId="351A5361" wp14:editId="5BD7F50B">
                <wp:simplePos x="0" y="0"/>
                <wp:positionH relativeFrom="margin">
                  <wp:posOffset>4288790</wp:posOffset>
                </wp:positionH>
                <wp:positionV relativeFrom="paragraph">
                  <wp:posOffset>364490</wp:posOffset>
                </wp:positionV>
                <wp:extent cx="2181225" cy="1637665"/>
                <wp:effectExtent l="0" t="0" r="9525" b="635"/>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637665"/>
                        </a:xfrm>
                        <a:prstGeom prst="rect">
                          <a:avLst/>
                        </a:prstGeom>
                        <a:solidFill>
                          <a:srgbClr val="1357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9C4B5" w14:textId="77777777" w:rsidR="00EE7B05" w:rsidRPr="00F37DC9" w:rsidRDefault="00EE7B05" w:rsidP="00EE7B05">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 xml:space="preserve">Další informace </w:t>
                            </w:r>
                          </w:p>
                          <w:p w14:paraId="0C8C1B04" w14:textId="77777777" w:rsidR="00EE7B05" w:rsidRPr="00F37DC9" w:rsidRDefault="00EE7B05" w:rsidP="00EE7B05">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obdržíte na adrese:</w:t>
                            </w:r>
                          </w:p>
                          <w:p w14:paraId="75F511F6" w14:textId="77777777" w:rsidR="00EE7B05" w:rsidRPr="00F37DC9" w:rsidRDefault="00EE7B05" w:rsidP="00EE7B05">
                            <w:pPr>
                              <w:spacing w:line="276" w:lineRule="auto"/>
                              <w:jc w:val="left"/>
                              <w:rPr>
                                <w:rFonts w:ascii="Calibri" w:hAnsi="Calibri" w:cs="Calibri"/>
                                <w:b/>
                                <w:szCs w:val="18"/>
                              </w:rPr>
                            </w:pPr>
                          </w:p>
                          <w:p w14:paraId="55BEFC55" w14:textId="77777777" w:rsidR="00EE7B05" w:rsidRPr="00F37DC9" w:rsidRDefault="00EE7B05" w:rsidP="00EE7B05">
                            <w:pPr>
                              <w:spacing w:line="276" w:lineRule="auto"/>
                              <w:jc w:val="left"/>
                              <w:rPr>
                                <w:rFonts w:ascii="Calibri" w:hAnsi="Calibri" w:cs="Calibri"/>
                                <w:noProof/>
                                <w:szCs w:val="18"/>
                              </w:rPr>
                            </w:pPr>
                            <w:r>
                              <w:rPr>
                                <w:rFonts w:ascii="Calibri" w:hAnsi="Calibri" w:cs="Calibri"/>
                                <w:noProof/>
                                <w:szCs w:val="18"/>
                              </w:rPr>
                              <w:t xml:space="preserve">Radek Šalša </w:t>
                            </w:r>
                          </w:p>
                          <w:p w14:paraId="1AE32D5C" w14:textId="77777777" w:rsidR="00EE7B05" w:rsidRPr="00F37DC9" w:rsidRDefault="00EE7B05" w:rsidP="00EE7B05">
                            <w:pPr>
                              <w:spacing w:line="276" w:lineRule="auto"/>
                              <w:jc w:val="left"/>
                              <w:rPr>
                                <w:rFonts w:ascii="Calibri" w:hAnsi="Calibri" w:cs="Calibri"/>
                                <w:szCs w:val="18"/>
                              </w:rPr>
                            </w:pPr>
                            <w:r w:rsidRPr="00F37DC9">
                              <w:rPr>
                                <w:rFonts w:ascii="Calibri" w:hAnsi="Calibri" w:cs="Calibri"/>
                                <w:szCs w:val="18"/>
                              </w:rPr>
                              <w:t>PR a komunikace ČBA</w:t>
                            </w:r>
                          </w:p>
                          <w:p w14:paraId="184FEC27" w14:textId="77777777" w:rsidR="00EE7B05" w:rsidRPr="00F37DC9" w:rsidRDefault="00EE7B05" w:rsidP="00EE7B05">
                            <w:pPr>
                              <w:spacing w:line="276" w:lineRule="auto"/>
                              <w:jc w:val="left"/>
                              <w:rPr>
                                <w:rFonts w:ascii="Calibri" w:hAnsi="Calibri" w:cs="Calibri"/>
                                <w:szCs w:val="18"/>
                              </w:rPr>
                            </w:pPr>
                            <w:r>
                              <w:rPr>
                                <w:rFonts w:ascii="Calibri" w:hAnsi="Calibri" w:cs="Calibri"/>
                                <w:szCs w:val="18"/>
                              </w:rPr>
                              <w:t>radek.salsa</w:t>
                            </w:r>
                            <w:r w:rsidRPr="00F37DC9">
                              <w:rPr>
                                <w:rFonts w:ascii="Calibri" w:hAnsi="Calibri" w:cs="Calibri"/>
                                <w:szCs w:val="18"/>
                              </w:rPr>
                              <w:t>@cbaonline.cz</w:t>
                            </w:r>
                          </w:p>
                          <w:p w14:paraId="4D2363D1" w14:textId="77777777" w:rsidR="00EE7B05" w:rsidRDefault="00EE7B05" w:rsidP="00EE7B05">
                            <w:pPr>
                              <w:spacing w:line="276" w:lineRule="auto"/>
                              <w:jc w:val="left"/>
                            </w:pPr>
                            <w:r w:rsidRPr="00F37DC9">
                              <w:rPr>
                                <w:rFonts w:ascii="Calibri" w:hAnsi="Calibri" w:cs="Calibri"/>
                                <w:szCs w:val="18"/>
                              </w:rPr>
                              <w:t>tel: + 420</w:t>
                            </w:r>
                            <w:r>
                              <w:rPr>
                                <w:rFonts w:ascii="Calibri" w:hAnsi="Calibri" w:cs="Calibri"/>
                                <w:szCs w:val="18"/>
                              </w:rPr>
                              <w:t> 731 494 128</w:t>
                            </w:r>
                          </w:p>
                          <w:p w14:paraId="0808B31F" w14:textId="77777777" w:rsidR="00536B9B" w:rsidRDefault="00536B9B"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0" style="position:absolute;left:0;text-align:left;margin-left:337.7pt;margin-top:28.7pt;width:171.75pt;height:12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" fillcolor="#13576b" stroked="f" strokeweight="1pt">
                <v:textbox inset="3mm,3mm,3mm,3mm">
                  <w:txbxContent>
                    <w:p w14:paraId="39C9C4B5" w14:textId="77777777" w:rsidR="00EE7B05" w:rsidRPr="00F37DC9" w:rsidRDefault="00EE7B05" w:rsidP="00EE7B05">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 xml:space="preserve">Další informace </w:t>
                      </w:r>
                    </w:p>
                    <w:p w14:paraId="0C8C1B04" w14:textId="77777777" w:rsidR="00EE7B05" w:rsidRPr="00F37DC9" w:rsidRDefault="00EE7B05" w:rsidP="00EE7B05">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obdržíte na adrese:</w:t>
                      </w:r>
                    </w:p>
                    <w:p w14:paraId="75F511F6" w14:textId="77777777" w:rsidR="00EE7B05" w:rsidRPr="00F37DC9" w:rsidRDefault="00EE7B05" w:rsidP="00EE7B05">
                      <w:pPr>
                        <w:spacing w:line="276" w:lineRule="auto"/>
                        <w:jc w:val="left"/>
                        <w:rPr>
                          <w:rFonts w:ascii="Calibri" w:hAnsi="Calibri" w:cs="Calibri"/>
                          <w:b/>
                          <w:szCs w:val="18"/>
                        </w:rPr>
                      </w:pPr>
                    </w:p>
                    <w:p w14:paraId="55BEFC55" w14:textId="77777777" w:rsidR="00EE7B05" w:rsidRPr="00F37DC9" w:rsidRDefault="00EE7B05" w:rsidP="00EE7B05">
                      <w:pPr>
                        <w:spacing w:line="276" w:lineRule="auto"/>
                        <w:jc w:val="left"/>
                        <w:rPr>
                          <w:rFonts w:ascii="Calibri" w:hAnsi="Calibri" w:cs="Calibri"/>
                          <w:noProof/>
                          <w:szCs w:val="18"/>
                        </w:rPr>
                      </w:pPr>
                      <w:r>
                        <w:rPr>
                          <w:rFonts w:ascii="Calibri" w:hAnsi="Calibri" w:cs="Calibri"/>
                          <w:noProof/>
                          <w:szCs w:val="18"/>
                        </w:rPr>
                        <w:t xml:space="preserve">Radek Šalša </w:t>
                      </w:r>
                    </w:p>
                    <w:p w14:paraId="1AE32D5C" w14:textId="77777777" w:rsidR="00EE7B05" w:rsidRPr="00F37DC9" w:rsidRDefault="00EE7B05" w:rsidP="00EE7B05">
                      <w:pPr>
                        <w:spacing w:line="276" w:lineRule="auto"/>
                        <w:jc w:val="left"/>
                        <w:rPr>
                          <w:rFonts w:ascii="Calibri" w:hAnsi="Calibri" w:cs="Calibri"/>
                          <w:szCs w:val="18"/>
                        </w:rPr>
                      </w:pPr>
                      <w:r w:rsidRPr="00F37DC9">
                        <w:rPr>
                          <w:rFonts w:ascii="Calibri" w:hAnsi="Calibri" w:cs="Calibri"/>
                          <w:szCs w:val="18"/>
                        </w:rPr>
                        <w:t>PR a komunikace ČBA</w:t>
                      </w:r>
                    </w:p>
                    <w:p w14:paraId="184FEC27" w14:textId="77777777" w:rsidR="00EE7B05" w:rsidRPr="00F37DC9" w:rsidRDefault="00EE7B05" w:rsidP="00EE7B05">
                      <w:pPr>
                        <w:spacing w:line="276" w:lineRule="auto"/>
                        <w:jc w:val="left"/>
                        <w:rPr>
                          <w:rFonts w:ascii="Calibri" w:hAnsi="Calibri" w:cs="Calibri"/>
                          <w:szCs w:val="18"/>
                        </w:rPr>
                      </w:pPr>
                      <w:r>
                        <w:rPr>
                          <w:rFonts w:ascii="Calibri" w:hAnsi="Calibri" w:cs="Calibri"/>
                          <w:szCs w:val="18"/>
                        </w:rPr>
                        <w:t>radek.salsa</w:t>
                      </w:r>
                      <w:r w:rsidRPr="00F37DC9">
                        <w:rPr>
                          <w:rFonts w:ascii="Calibri" w:hAnsi="Calibri" w:cs="Calibri"/>
                          <w:szCs w:val="18"/>
                        </w:rPr>
                        <w:t>@cbaonline.cz</w:t>
                      </w:r>
                    </w:p>
                    <w:p w14:paraId="4D2363D1" w14:textId="77777777" w:rsidR="00EE7B05" w:rsidRDefault="00EE7B05" w:rsidP="00EE7B05">
                      <w:pPr>
                        <w:spacing w:line="276" w:lineRule="auto"/>
                        <w:jc w:val="left"/>
                      </w:pPr>
                      <w:r w:rsidRPr="00F37DC9">
                        <w:rPr>
                          <w:rFonts w:ascii="Calibri" w:hAnsi="Calibri" w:cs="Calibri"/>
                          <w:szCs w:val="18"/>
                        </w:rPr>
                        <w:t>tel: + 420</w:t>
                      </w:r>
                      <w:r>
                        <w:rPr>
                          <w:rFonts w:ascii="Calibri" w:hAnsi="Calibri" w:cs="Calibri"/>
                          <w:szCs w:val="18"/>
                        </w:rPr>
                        <w:t> 731 494 128</w:t>
                      </w:r>
                    </w:p>
                    <w:p w14:paraId="0808B31F" w14:textId="77777777" w:rsidR="00536B9B" w:rsidRDefault="00536B9B" w:rsidP="00044002">
                      <w:pPr>
                        <w:jc w:val="left"/>
                      </w:pPr>
                    </w:p>
                  </w:txbxContent>
                </v:textbox>
                <w10:wrap type="square" anchorx="margin"/>
              </v:rect>
            </w:pict>
          </mc:Fallback>
        </mc:AlternateContent>
      </w:r>
      <w:r w:rsidRPr="00F37DC9">
        <w:rPr>
          <w:rFonts w:ascii="Calibri" w:eastAsiaTheme="minorEastAsia" w:hAnsi="Calibri" w:cs="Calibri"/>
          <w:noProof/>
          <w:lang w:val="en-GB" w:eastAsia="en-GB"/>
        </w:rPr>
        <mc:AlternateContent>
          <mc:Choice Requires="wps">
            <w:drawing>
              <wp:anchor distT="0" distB="0" distL="114300" distR="114300" simplePos="0" relativeHeight="251659264" behindDoc="0" locked="0" layoutInCell="1" allowOverlap="1" wp14:anchorId="12989396" wp14:editId="036F4AF4">
                <wp:simplePos x="0" y="0"/>
                <wp:positionH relativeFrom="margin">
                  <wp:posOffset>0</wp:posOffset>
                </wp:positionH>
                <wp:positionV relativeFrom="paragraph">
                  <wp:posOffset>364490</wp:posOffset>
                </wp:positionV>
                <wp:extent cx="4229100" cy="1637665"/>
                <wp:effectExtent l="0" t="0" r="0" b="635"/>
                <wp:wrapSquare wrapText="bothSides"/>
                <wp:docPr id="199" name="Obdélník 199"/>
                <wp:cNvGraphicFramePr/>
                <a:graphic xmlns:a="http://schemas.openxmlformats.org/drawingml/2006/main">
                  <a:graphicData uri="http://schemas.microsoft.com/office/word/2010/wordprocessingShape">
                    <wps:wsp>
                      <wps:cNvSpPr/>
                      <wps:spPr>
                        <a:xfrm>
                          <a:off x="0" y="0"/>
                          <a:ext cx="4229100"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E64AF" w14:textId="77777777" w:rsidR="00EE7B05" w:rsidRPr="00F37DC9" w:rsidRDefault="00EE7B05" w:rsidP="00EE7B05">
                            <w:pPr>
                              <w:pStyle w:val="Standard"/>
                              <w:spacing w:line="276" w:lineRule="auto"/>
                              <w:jc w:val="left"/>
                              <w:rPr>
                                <w:rFonts w:ascii="Calibri" w:hAnsi="Calibri" w:cs="Calibri"/>
                                <w:b/>
                                <w:sz w:val="20"/>
                                <w:szCs w:val="18"/>
                              </w:rPr>
                            </w:pPr>
                            <w:r w:rsidRPr="00F37DC9">
                              <w:rPr>
                                <w:rFonts w:ascii="Calibri" w:hAnsi="Calibri" w:cs="Calibri"/>
                                <w:b/>
                                <w:sz w:val="20"/>
                                <w:szCs w:val="18"/>
                              </w:rPr>
                              <w:t>O České bankovní asociaci</w:t>
                            </w:r>
                          </w:p>
                          <w:p w14:paraId="0989858A" w14:textId="4FE5E2C4" w:rsidR="00EE7B05" w:rsidRPr="00F37DC9" w:rsidRDefault="00EE7B05" w:rsidP="00EE7B05">
                            <w:pPr>
                              <w:pStyle w:val="Standard"/>
                              <w:spacing w:line="276" w:lineRule="auto"/>
                              <w:ind w:left="28" w:hanging="28"/>
                              <w:jc w:val="left"/>
                              <w:rPr>
                                <w:rFonts w:ascii="Calibri" w:hAnsi="Calibri" w:cs="Calibri"/>
                                <w:szCs w:val="18"/>
                              </w:rPr>
                            </w:pPr>
                            <w:r w:rsidRPr="00F37DC9">
                              <w:rPr>
                                <w:rFonts w:ascii="Calibri" w:hAnsi="Calibri" w:cs="Calibri"/>
                                <w:szCs w:val="18"/>
                              </w:rPr>
                              <w:t>Česká bankovní asociace vznikla v roce 1990 a je dobrovolným sdružením právnických osob podnikajících v oblasti peněžnictví. V současné době sdružuje 3</w:t>
                            </w:r>
                            <w:r w:rsidR="008234BD">
                              <w:rPr>
                                <w:rFonts w:ascii="Calibri" w:hAnsi="Calibri" w:cs="Calibri"/>
                                <w:szCs w:val="18"/>
                              </w:rPr>
                              <w:t>4</w:t>
                            </w:r>
                            <w:r w:rsidRPr="00F37DC9">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F37DC9">
                              <w:rPr>
                                <w:rFonts w:ascii="Calibri" w:hAnsi="Calibri" w:cs="Calibri"/>
                                <w:i/>
                                <w:sz w:val="20"/>
                              </w:rPr>
                              <w:t> </w:t>
                            </w:r>
                            <w:r w:rsidRPr="00F37DC9">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w:t>
                            </w:r>
                            <w:r>
                              <w:rPr>
                                <w:rFonts w:ascii="Calibri" w:hAnsi="Calibri" w:cs="Calibri"/>
                                <w:szCs w:val="18"/>
                              </w:rPr>
                              <w:t xml:space="preserve"> a EMMI</w:t>
                            </w:r>
                            <w:r w:rsidRPr="00F37DC9">
                              <w:rPr>
                                <w:rFonts w:ascii="Calibri" w:hAnsi="Calibri" w:cs="Calibri"/>
                                <w:szCs w:val="18"/>
                              </w:rPr>
                              <w:t>.</w:t>
                            </w:r>
                          </w:p>
                          <w:p w14:paraId="51BDEFCD" w14:textId="3BB645BE" w:rsidR="00536B9B" w:rsidRPr="00F37DC9" w:rsidRDefault="00536B9B" w:rsidP="00044002">
                            <w:pPr>
                              <w:pStyle w:val="Standard"/>
                              <w:spacing w:line="276" w:lineRule="auto"/>
                              <w:ind w:left="28" w:hanging="28"/>
                              <w:jc w:val="left"/>
                              <w:rPr>
                                <w:rFonts w:ascii="Calibri" w:hAnsi="Calibri" w:cs="Calibri"/>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1" style="position:absolute;left:0;text-align:left;margin-left:0;margin-top:28.7pt;width:333pt;height:12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" fillcolor="#bfbfbf [2412]" stroked="f" strokeweight="1pt">
                <v:textbox inset="3mm,3mm,3mm,3mm">
                  <w:txbxContent>
                    <w:p w14:paraId="5A9E64AF" w14:textId="77777777" w:rsidR="00EE7B05" w:rsidRPr="00F37DC9" w:rsidRDefault="00EE7B05" w:rsidP="00EE7B05">
                      <w:pPr>
                        <w:pStyle w:val="Standard"/>
                        <w:spacing w:line="276" w:lineRule="auto"/>
                        <w:jc w:val="left"/>
                        <w:rPr>
                          <w:rFonts w:ascii="Calibri" w:hAnsi="Calibri" w:cs="Calibri"/>
                          <w:b/>
                          <w:sz w:val="20"/>
                          <w:szCs w:val="18"/>
                        </w:rPr>
                      </w:pPr>
                      <w:r w:rsidRPr="00F37DC9">
                        <w:rPr>
                          <w:rFonts w:ascii="Calibri" w:hAnsi="Calibri" w:cs="Calibri"/>
                          <w:b/>
                          <w:sz w:val="20"/>
                          <w:szCs w:val="18"/>
                        </w:rPr>
                        <w:t>O České bankovní asociaci</w:t>
                      </w:r>
                    </w:p>
                    <w:p w14:paraId="0989858A" w14:textId="4FE5E2C4" w:rsidR="00EE7B05" w:rsidRPr="00F37DC9" w:rsidRDefault="00EE7B05" w:rsidP="00EE7B05">
                      <w:pPr>
                        <w:pStyle w:val="Standard"/>
                        <w:spacing w:line="276" w:lineRule="auto"/>
                        <w:ind w:left="28" w:hanging="28"/>
                        <w:jc w:val="left"/>
                        <w:rPr>
                          <w:rFonts w:ascii="Calibri" w:hAnsi="Calibri" w:cs="Calibri"/>
                          <w:szCs w:val="18"/>
                        </w:rPr>
                      </w:pPr>
                      <w:r w:rsidRPr="00F37DC9">
                        <w:rPr>
                          <w:rFonts w:ascii="Calibri" w:hAnsi="Calibri" w:cs="Calibri"/>
                          <w:szCs w:val="18"/>
                        </w:rPr>
                        <w:t>Česká bankovní asociace vznikla v roce 1990 a je dobrovolným sdružením právnických osob podnikajících v oblasti peněžnictví. V současné době sdružuje 3</w:t>
                      </w:r>
                      <w:r w:rsidR="008234BD">
                        <w:rPr>
                          <w:rFonts w:ascii="Calibri" w:hAnsi="Calibri" w:cs="Calibri"/>
                          <w:szCs w:val="18"/>
                        </w:rPr>
                        <w:t>4</w:t>
                      </w:r>
                      <w:r w:rsidRPr="00F37DC9">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F37DC9">
                        <w:rPr>
                          <w:rFonts w:ascii="Calibri" w:hAnsi="Calibri" w:cs="Calibri"/>
                          <w:i/>
                          <w:sz w:val="20"/>
                        </w:rPr>
                        <w:t> </w:t>
                      </w:r>
                      <w:r w:rsidRPr="00F37DC9">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w:t>
                      </w:r>
                      <w:r>
                        <w:rPr>
                          <w:rFonts w:ascii="Calibri" w:hAnsi="Calibri" w:cs="Calibri"/>
                          <w:szCs w:val="18"/>
                        </w:rPr>
                        <w:t xml:space="preserve"> a EMMI</w:t>
                      </w:r>
                      <w:r w:rsidRPr="00F37DC9">
                        <w:rPr>
                          <w:rFonts w:ascii="Calibri" w:hAnsi="Calibri" w:cs="Calibri"/>
                          <w:szCs w:val="18"/>
                        </w:rPr>
                        <w:t>.</w:t>
                      </w:r>
                    </w:p>
                    <w:p w14:paraId="51BDEFCD" w14:textId="3BB645BE" w:rsidR="00536B9B" w:rsidRPr="00F37DC9" w:rsidRDefault="00536B9B" w:rsidP="00044002">
                      <w:pPr>
                        <w:pStyle w:val="Standard"/>
                        <w:spacing w:line="276" w:lineRule="auto"/>
                        <w:ind w:left="28" w:hanging="28"/>
                        <w:jc w:val="left"/>
                        <w:rPr>
                          <w:rFonts w:ascii="Calibri" w:hAnsi="Calibri" w:cs="Calibri"/>
                          <w:szCs w:val="18"/>
                        </w:rPr>
                      </w:pPr>
                    </w:p>
                  </w:txbxContent>
                </v:textbox>
                <w10:wrap type="square" anchorx="margin"/>
              </v:rect>
            </w:pict>
          </mc:Fallback>
        </mc:AlternateContent>
      </w:r>
    </w:p>
    <w:sectPr w:rsidR="005C1943" w:rsidRPr="00F37DC9" w:rsidSect="00EB6C50">
      <w:headerReference w:type="default" r:id="rId8"/>
      <w:footerReference w:type="default" r:id="rId9"/>
      <w:pgSz w:w="11906" w:h="16838"/>
      <w:pgMar w:top="2552" w:right="851" w:bottom="1418" w:left="85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A4E0" w14:textId="77777777" w:rsidR="00D72143" w:rsidRDefault="00D72143" w:rsidP="00F573F1">
      <w:r>
        <w:separator/>
      </w:r>
    </w:p>
  </w:endnote>
  <w:endnote w:type="continuationSeparator" w:id="0">
    <w:p w14:paraId="27A97265" w14:textId="77777777" w:rsidR="00D72143" w:rsidRDefault="00D72143" w:rsidP="00F573F1">
      <w:r>
        <w:continuationSeparator/>
      </w:r>
    </w:p>
  </w:endnote>
  <w:endnote w:type="continuationNotice" w:id="1">
    <w:p w14:paraId="659AD014" w14:textId="77777777" w:rsidR="00D72143" w:rsidRDefault="00D72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Cs w:val="18"/>
      </w:rPr>
      <w:id w:val="1149944182"/>
      <w:docPartObj>
        <w:docPartGallery w:val="Page Numbers (Bottom of Page)"/>
        <w:docPartUnique/>
      </w:docPartObj>
    </w:sdtPr>
    <w:sdtEndPr/>
    <w:sdtContent>
      <w:sdt>
        <w:sdtPr>
          <w:rPr>
            <w:rFonts w:ascii="Calibri" w:hAnsi="Calibri" w:cs="Calibri"/>
            <w:szCs w:val="18"/>
          </w:rPr>
          <w:id w:val="-1769616900"/>
          <w:docPartObj>
            <w:docPartGallery w:val="Page Numbers (Top of Page)"/>
            <w:docPartUnique/>
          </w:docPartObj>
        </w:sdtPr>
        <w:sdtEndPr/>
        <w:sdtContent>
          <w:p w14:paraId="7854F1F5" w14:textId="19327CD8" w:rsidR="00F37DC9" w:rsidRPr="00F37DC9" w:rsidRDefault="00F37DC9">
            <w:pPr>
              <w:pStyle w:val="Zpat"/>
              <w:jc w:val="right"/>
              <w:rPr>
                <w:rFonts w:ascii="Calibri" w:hAnsi="Calibri" w:cs="Calibri"/>
                <w:szCs w:val="18"/>
              </w:rPr>
            </w:pPr>
            <w:r w:rsidRPr="001E31AB">
              <w:rPr>
                <w:rFonts w:ascii="Calibri" w:hAnsi="Calibri"/>
                <w:noProof/>
                <w:szCs w:val="18"/>
              </w:rPr>
              <w:drawing>
                <wp:anchor distT="0" distB="0" distL="114300" distR="114300" simplePos="0" relativeHeight="251665408" behindDoc="0" locked="0" layoutInCell="1" allowOverlap="1" wp14:anchorId="40EC3339" wp14:editId="625B1AC4">
                  <wp:simplePos x="0" y="0"/>
                  <wp:positionH relativeFrom="column">
                    <wp:posOffset>-541020</wp:posOffset>
                  </wp:positionH>
                  <wp:positionV relativeFrom="paragraph">
                    <wp:posOffset>-137160</wp:posOffset>
                  </wp:positionV>
                  <wp:extent cx="3042285" cy="701040"/>
                  <wp:effectExtent l="0" t="0" r="571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DC9">
              <w:rPr>
                <w:rFonts w:ascii="Calibri" w:hAnsi="Calibri" w:cs="Calibri"/>
                <w:szCs w:val="18"/>
              </w:rPr>
              <w:t xml:space="preserve">Stránka </w:t>
            </w:r>
            <w:r w:rsidRPr="00F37DC9">
              <w:rPr>
                <w:rFonts w:ascii="Calibri" w:hAnsi="Calibri" w:cs="Calibri"/>
                <w:b/>
                <w:bCs/>
                <w:szCs w:val="18"/>
              </w:rPr>
              <w:fldChar w:fldCharType="begin"/>
            </w:r>
            <w:r w:rsidRPr="00F37DC9">
              <w:rPr>
                <w:rFonts w:ascii="Calibri" w:hAnsi="Calibri" w:cs="Calibri"/>
                <w:b/>
                <w:bCs/>
                <w:szCs w:val="18"/>
              </w:rPr>
              <w:instrText>PAGE</w:instrText>
            </w:r>
            <w:r w:rsidRPr="00F37DC9">
              <w:rPr>
                <w:rFonts w:ascii="Calibri" w:hAnsi="Calibri" w:cs="Calibri"/>
                <w:b/>
                <w:bCs/>
                <w:szCs w:val="18"/>
              </w:rPr>
              <w:fldChar w:fldCharType="separate"/>
            </w:r>
            <w:r w:rsidRPr="00F37DC9">
              <w:rPr>
                <w:rFonts w:ascii="Calibri" w:hAnsi="Calibri" w:cs="Calibri"/>
                <w:b/>
                <w:bCs/>
                <w:szCs w:val="18"/>
              </w:rPr>
              <w:t>2</w:t>
            </w:r>
            <w:r w:rsidRPr="00F37DC9">
              <w:rPr>
                <w:rFonts w:ascii="Calibri" w:hAnsi="Calibri" w:cs="Calibri"/>
                <w:b/>
                <w:bCs/>
                <w:szCs w:val="18"/>
              </w:rPr>
              <w:fldChar w:fldCharType="end"/>
            </w:r>
            <w:r w:rsidRPr="00F37DC9">
              <w:rPr>
                <w:rFonts w:ascii="Calibri" w:hAnsi="Calibri" w:cs="Calibri"/>
                <w:szCs w:val="18"/>
              </w:rPr>
              <w:t xml:space="preserve"> z </w:t>
            </w:r>
            <w:r w:rsidRPr="00F37DC9">
              <w:rPr>
                <w:rFonts w:ascii="Calibri" w:hAnsi="Calibri" w:cs="Calibri"/>
                <w:b/>
                <w:bCs/>
                <w:szCs w:val="18"/>
              </w:rPr>
              <w:fldChar w:fldCharType="begin"/>
            </w:r>
            <w:r w:rsidRPr="00F37DC9">
              <w:rPr>
                <w:rFonts w:ascii="Calibri" w:hAnsi="Calibri" w:cs="Calibri"/>
                <w:b/>
                <w:bCs/>
                <w:szCs w:val="18"/>
              </w:rPr>
              <w:instrText>NUMPAGES</w:instrText>
            </w:r>
            <w:r w:rsidRPr="00F37DC9">
              <w:rPr>
                <w:rFonts w:ascii="Calibri" w:hAnsi="Calibri" w:cs="Calibri"/>
                <w:b/>
                <w:bCs/>
                <w:szCs w:val="18"/>
              </w:rPr>
              <w:fldChar w:fldCharType="separate"/>
            </w:r>
            <w:r w:rsidRPr="00F37DC9">
              <w:rPr>
                <w:rFonts w:ascii="Calibri" w:hAnsi="Calibri" w:cs="Calibri"/>
                <w:b/>
                <w:bCs/>
                <w:szCs w:val="18"/>
              </w:rPr>
              <w:t>2</w:t>
            </w:r>
            <w:r w:rsidRPr="00F37DC9">
              <w:rPr>
                <w:rFonts w:ascii="Calibri" w:hAnsi="Calibri" w:cs="Calibri"/>
                <w:b/>
                <w:bCs/>
                <w:szCs w:val="18"/>
              </w:rPr>
              <w:fldChar w:fldCharType="end"/>
            </w:r>
          </w:p>
        </w:sdtContent>
      </w:sdt>
    </w:sdtContent>
  </w:sdt>
  <w:p w14:paraId="6B2FBE8E" w14:textId="77777777" w:rsidR="00536B9B" w:rsidRPr="00FB4A1C" w:rsidRDefault="00536B9B"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0011" w14:textId="77777777" w:rsidR="00D72143" w:rsidRDefault="00D72143" w:rsidP="00F573F1">
      <w:r>
        <w:separator/>
      </w:r>
    </w:p>
  </w:footnote>
  <w:footnote w:type="continuationSeparator" w:id="0">
    <w:p w14:paraId="16AACF3A" w14:textId="77777777" w:rsidR="00D72143" w:rsidRDefault="00D72143" w:rsidP="00F573F1">
      <w:r>
        <w:continuationSeparator/>
      </w:r>
    </w:p>
  </w:footnote>
  <w:footnote w:type="continuationNotice" w:id="1">
    <w:p w14:paraId="77C29B1D" w14:textId="77777777" w:rsidR="00D72143" w:rsidRDefault="00D72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6A72" w14:textId="2B5E0211" w:rsidR="00F37DC9" w:rsidRDefault="00F37DC9" w:rsidP="00F37DC9">
    <w:pPr>
      <w:pStyle w:val="Zhlav"/>
    </w:pPr>
    <w:r>
      <w:rPr>
        <w:noProof/>
      </w:rPr>
      <w:drawing>
        <wp:anchor distT="0" distB="0" distL="114300" distR="114300" simplePos="0" relativeHeight="251661312" behindDoc="0" locked="0" layoutInCell="1" allowOverlap="1" wp14:anchorId="12F98975" wp14:editId="270559D0">
          <wp:simplePos x="0" y="0"/>
          <wp:positionH relativeFrom="column">
            <wp:posOffset>-52705</wp:posOffset>
          </wp:positionH>
          <wp:positionV relativeFrom="paragraph">
            <wp:posOffset>29845</wp:posOffset>
          </wp:positionV>
          <wp:extent cx="2209800" cy="778510"/>
          <wp:effectExtent l="0" t="0" r="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4BA7D056" wp14:editId="7FF03F24">
          <wp:simplePos x="0" y="0"/>
          <wp:positionH relativeFrom="column">
            <wp:posOffset>3985895</wp:posOffset>
          </wp:positionH>
          <wp:positionV relativeFrom="paragraph">
            <wp:posOffset>-8255</wp:posOffset>
          </wp:positionV>
          <wp:extent cx="2943225" cy="243840"/>
          <wp:effectExtent l="0" t="0" r="9525" b="381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7EE12" w14:textId="1858ED77" w:rsidR="00F37DC9" w:rsidRDefault="00F37DC9">
    <w:pPr>
      <w:pStyle w:val="Zhlav"/>
    </w:pPr>
    <w:r w:rsidRPr="00F615BD">
      <w:rPr>
        <w:noProof/>
        <w:lang w:val="en-GB" w:eastAsia="en-GB"/>
      </w:rPr>
      <mc:AlternateContent>
        <mc:Choice Requires="wps">
          <w:drawing>
            <wp:anchor distT="45720" distB="45720" distL="114300" distR="114300" simplePos="0" relativeHeight="251659264" behindDoc="0" locked="0" layoutInCell="1" allowOverlap="1" wp14:anchorId="05CB3763" wp14:editId="7B257BF6">
              <wp:simplePos x="0" y="0"/>
              <wp:positionH relativeFrom="margin">
                <wp:posOffset>5289974</wp:posOffset>
              </wp:positionH>
              <wp:positionV relativeFrom="paragraph">
                <wp:posOffset>6985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49CD1CFE" w14:textId="77777777"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b/>
                              <w:color w:val="13576B"/>
                              <w:sz w:val="22"/>
                              <w:szCs w:val="24"/>
                            </w:rPr>
                            <w:t xml:space="preserve">TISKOVÁ ZPRÁVA </w:t>
                          </w:r>
                        </w:p>
                        <w:p w14:paraId="5CDE064D" w14:textId="403A3BED"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color w:val="13576B"/>
                              <w:sz w:val="22"/>
                              <w:szCs w:val="24"/>
                            </w:rPr>
                            <w:t>1</w:t>
                          </w:r>
                          <w:r w:rsidR="005024DC">
                            <w:rPr>
                              <w:rFonts w:ascii="Calibri" w:hAnsi="Calibri" w:cs="Calibri"/>
                              <w:color w:val="13576B"/>
                              <w:sz w:val="22"/>
                              <w:szCs w:val="24"/>
                            </w:rPr>
                            <w:t>2</w:t>
                          </w:r>
                          <w:r w:rsidRPr="00F37DC9">
                            <w:rPr>
                              <w:rFonts w:ascii="Calibri" w:hAnsi="Calibri" w:cs="Calibri"/>
                              <w:color w:val="13576B"/>
                              <w:sz w:val="22"/>
                              <w:szCs w:val="24"/>
                            </w:rPr>
                            <w:t xml:space="preserve">. </w:t>
                          </w:r>
                          <w:r w:rsidR="005024DC">
                            <w:rPr>
                              <w:rFonts w:ascii="Calibri" w:hAnsi="Calibri" w:cs="Calibri"/>
                              <w:color w:val="13576B"/>
                              <w:sz w:val="22"/>
                              <w:szCs w:val="24"/>
                            </w:rPr>
                            <w:t>5</w:t>
                          </w:r>
                          <w:r w:rsidRPr="00F37DC9">
                            <w:rPr>
                              <w:rFonts w:ascii="Calibri" w:hAnsi="Calibri" w:cs="Calibri"/>
                              <w:color w:val="13576B"/>
                              <w:sz w:val="22"/>
                              <w:szCs w:val="24"/>
                            </w:rPr>
                            <w:t>. 202</w:t>
                          </w:r>
                          <w:r w:rsidR="00DA347B">
                            <w:rPr>
                              <w:rFonts w:ascii="Calibri" w:hAnsi="Calibri" w:cs="Calibri"/>
                              <w:color w:val="13576B"/>
                              <w:sz w:val="22"/>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B3763" id="_x0000_t202" coordsize="21600,21600" o:spt="202" path="m,l,21600r21600,l21600,xe">
              <v:stroke joinstyle="miter"/>
              <v:path gradientshapeok="t" o:connecttype="rect"/>
            </v:shapetype>
            <v:shape id="_x0000_s1032" type="#_x0000_t202" style="position:absolute;left:0;text-align:left;margin-left:416.55pt;margin-top:.55pt;width:97.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" filled="f" stroked="f">
              <v:textbox style="mso-fit-shape-to-text:t">
                <w:txbxContent>
                  <w:p w14:paraId="49CD1CFE" w14:textId="77777777"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b/>
                        <w:color w:val="13576B"/>
                        <w:sz w:val="22"/>
                        <w:szCs w:val="24"/>
                      </w:rPr>
                      <w:t xml:space="preserve">TISKOVÁ ZPRÁVA </w:t>
                    </w:r>
                  </w:p>
                  <w:p w14:paraId="5CDE064D" w14:textId="403A3BED"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color w:val="13576B"/>
                        <w:sz w:val="22"/>
                        <w:szCs w:val="24"/>
                      </w:rPr>
                      <w:t>1</w:t>
                    </w:r>
                    <w:r w:rsidR="005024DC">
                      <w:rPr>
                        <w:rFonts w:ascii="Calibri" w:hAnsi="Calibri" w:cs="Calibri"/>
                        <w:color w:val="13576B"/>
                        <w:sz w:val="22"/>
                        <w:szCs w:val="24"/>
                      </w:rPr>
                      <w:t>2</w:t>
                    </w:r>
                    <w:r w:rsidRPr="00F37DC9">
                      <w:rPr>
                        <w:rFonts w:ascii="Calibri" w:hAnsi="Calibri" w:cs="Calibri"/>
                        <w:color w:val="13576B"/>
                        <w:sz w:val="22"/>
                        <w:szCs w:val="24"/>
                      </w:rPr>
                      <w:t xml:space="preserve">. </w:t>
                    </w:r>
                    <w:r w:rsidR="005024DC">
                      <w:rPr>
                        <w:rFonts w:ascii="Calibri" w:hAnsi="Calibri" w:cs="Calibri"/>
                        <w:color w:val="13576B"/>
                        <w:sz w:val="22"/>
                        <w:szCs w:val="24"/>
                      </w:rPr>
                      <w:t>5</w:t>
                    </w:r>
                    <w:r w:rsidRPr="00F37DC9">
                      <w:rPr>
                        <w:rFonts w:ascii="Calibri" w:hAnsi="Calibri" w:cs="Calibri"/>
                        <w:color w:val="13576B"/>
                        <w:sz w:val="22"/>
                        <w:szCs w:val="24"/>
                      </w:rPr>
                      <w:t>. 202</w:t>
                    </w:r>
                    <w:r w:rsidR="00DA347B">
                      <w:rPr>
                        <w:rFonts w:ascii="Calibri" w:hAnsi="Calibri" w:cs="Calibri"/>
                        <w:color w:val="13576B"/>
                        <w:sz w:val="22"/>
                        <w:szCs w:val="24"/>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8A7"/>
    <w:multiLevelType w:val="hybridMultilevel"/>
    <w:tmpl w:val="ADD42E08"/>
    <w:lvl w:ilvl="0" w:tplc="9B0CBF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15A72"/>
    <w:multiLevelType w:val="hybridMultilevel"/>
    <w:tmpl w:val="4222A8D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86F60"/>
    <w:multiLevelType w:val="hybridMultilevel"/>
    <w:tmpl w:val="3232EEBE"/>
    <w:lvl w:ilvl="0" w:tplc="491E84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8B2CEC"/>
    <w:multiLevelType w:val="hybridMultilevel"/>
    <w:tmpl w:val="FDB00238"/>
    <w:lvl w:ilvl="0" w:tplc="BD9EF866">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C57BCF"/>
    <w:multiLevelType w:val="hybridMultilevel"/>
    <w:tmpl w:val="3554269C"/>
    <w:lvl w:ilvl="0" w:tplc="F52C1D16">
      <w:numFmt w:val="bullet"/>
      <w:lvlText w:val="-"/>
      <w:lvlJc w:val="left"/>
      <w:pPr>
        <w:ind w:left="720" w:hanging="360"/>
      </w:pPr>
      <w:rPr>
        <w:rFonts w:ascii="Calibri" w:eastAsia="PMingLiU"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F3628E"/>
    <w:multiLevelType w:val="hybridMultilevel"/>
    <w:tmpl w:val="771602E6"/>
    <w:lvl w:ilvl="0" w:tplc="30548F9A">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9763A7"/>
    <w:multiLevelType w:val="hybridMultilevel"/>
    <w:tmpl w:val="F904BEEC"/>
    <w:lvl w:ilvl="0" w:tplc="E0A2536E">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FA73130"/>
    <w:multiLevelType w:val="hybridMultilevel"/>
    <w:tmpl w:val="65281904"/>
    <w:lvl w:ilvl="0" w:tplc="DF56ABD4">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26451B"/>
    <w:multiLevelType w:val="hybridMultilevel"/>
    <w:tmpl w:val="C1DEF65C"/>
    <w:lvl w:ilvl="0" w:tplc="0E7285A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14940737">
    <w:abstractNumId w:val="1"/>
  </w:num>
  <w:num w:numId="2" w16cid:durableId="1499075034">
    <w:abstractNumId w:val="2"/>
  </w:num>
  <w:num w:numId="3" w16cid:durableId="596252971">
    <w:abstractNumId w:val="10"/>
  </w:num>
  <w:num w:numId="4" w16cid:durableId="1526019144">
    <w:abstractNumId w:val="7"/>
  </w:num>
  <w:num w:numId="5" w16cid:durableId="351609294">
    <w:abstractNumId w:val="3"/>
  </w:num>
  <w:num w:numId="6" w16cid:durableId="583880798">
    <w:abstractNumId w:val="4"/>
  </w:num>
  <w:num w:numId="7" w16cid:durableId="689451705">
    <w:abstractNumId w:val="6"/>
  </w:num>
  <w:num w:numId="8" w16cid:durableId="118425037">
    <w:abstractNumId w:val="12"/>
  </w:num>
  <w:num w:numId="9" w16cid:durableId="149640712">
    <w:abstractNumId w:val="0"/>
  </w:num>
  <w:num w:numId="10" w16cid:durableId="917521297">
    <w:abstractNumId w:val="9"/>
  </w:num>
  <w:num w:numId="11" w16cid:durableId="49698678">
    <w:abstractNumId w:val="8"/>
  </w:num>
  <w:num w:numId="12" w16cid:durableId="651562751">
    <w:abstractNumId w:val="5"/>
  </w:num>
  <w:num w:numId="13" w16cid:durableId="1900969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0169"/>
    <w:rsid w:val="00001E30"/>
    <w:rsid w:val="00004B58"/>
    <w:rsid w:val="00006087"/>
    <w:rsid w:val="00014977"/>
    <w:rsid w:val="0001513F"/>
    <w:rsid w:val="000162B2"/>
    <w:rsid w:val="00017461"/>
    <w:rsid w:val="00017F00"/>
    <w:rsid w:val="00023000"/>
    <w:rsid w:val="00026596"/>
    <w:rsid w:val="000349D8"/>
    <w:rsid w:val="000366C2"/>
    <w:rsid w:val="00036DD3"/>
    <w:rsid w:val="000419CA"/>
    <w:rsid w:val="00044002"/>
    <w:rsid w:val="0005108F"/>
    <w:rsid w:val="00055376"/>
    <w:rsid w:val="00062A8A"/>
    <w:rsid w:val="00062DC6"/>
    <w:rsid w:val="00066333"/>
    <w:rsid w:val="0007096D"/>
    <w:rsid w:val="00071B9F"/>
    <w:rsid w:val="000766D5"/>
    <w:rsid w:val="0008238B"/>
    <w:rsid w:val="00082CD7"/>
    <w:rsid w:val="00082E1D"/>
    <w:rsid w:val="000831A0"/>
    <w:rsid w:val="0008323B"/>
    <w:rsid w:val="00087849"/>
    <w:rsid w:val="00087A3D"/>
    <w:rsid w:val="00092ACE"/>
    <w:rsid w:val="00097B97"/>
    <w:rsid w:val="000A086B"/>
    <w:rsid w:val="000A1E1A"/>
    <w:rsid w:val="000A1EA1"/>
    <w:rsid w:val="000A2EC0"/>
    <w:rsid w:val="000A337A"/>
    <w:rsid w:val="000A6730"/>
    <w:rsid w:val="000B1B0C"/>
    <w:rsid w:val="000B27C5"/>
    <w:rsid w:val="000B4814"/>
    <w:rsid w:val="000B6BEC"/>
    <w:rsid w:val="000C1155"/>
    <w:rsid w:val="000C1D98"/>
    <w:rsid w:val="000C552C"/>
    <w:rsid w:val="000C779F"/>
    <w:rsid w:val="000D12F8"/>
    <w:rsid w:val="000D1977"/>
    <w:rsid w:val="000D2B81"/>
    <w:rsid w:val="000D5D2B"/>
    <w:rsid w:val="000D7C38"/>
    <w:rsid w:val="000E1A02"/>
    <w:rsid w:val="000E1DF8"/>
    <w:rsid w:val="000E3A69"/>
    <w:rsid w:val="000E5E2A"/>
    <w:rsid w:val="000E7086"/>
    <w:rsid w:val="000F34A7"/>
    <w:rsid w:val="000F39C3"/>
    <w:rsid w:val="000F790F"/>
    <w:rsid w:val="00100481"/>
    <w:rsid w:val="00100B73"/>
    <w:rsid w:val="001045A6"/>
    <w:rsid w:val="00105C84"/>
    <w:rsid w:val="0010643C"/>
    <w:rsid w:val="0011443F"/>
    <w:rsid w:val="0011497E"/>
    <w:rsid w:val="00114D42"/>
    <w:rsid w:val="00115379"/>
    <w:rsid w:val="00115462"/>
    <w:rsid w:val="00120A0D"/>
    <w:rsid w:val="0012304F"/>
    <w:rsid w:val="00124A05"/>
    <w:rsid w:val="00125474"/>
    <w:rsid w:val="001262D3"/>
    <w:rsid w:val="00127A07"/>
    <w:rsid w:val="001362D6"/>
    <w:rsid w:val="00142834"/>
    <w:rsid w:val="00142FD3"/>
    <w:rsid w:val="00146670"/>
    <w:rsid w:val="00146F24"/>
    <w:rsid w:val="00147E43"/>
    <w:rsid w:val="00150BD1"/>
    <w:rsid w:val="00151610"/>
    <w:rsid w:val="00153D1F"/>
    <w:rsid w:val="00154824"/>
    <w:rsid w:val="00156D1E"/>
    <w:rsid w:val="00156EF2"/>
    <w:rsid w:val="001607D6"/>
    <w:rsid w:val="001613CA"/>
    <w:rsid w:val="001642C0"/>
    <w:rsid w:val="00164D55"/>
    <w:rsid w:val="00165D62"/>
    <w:rsid w:val="00166404"/>
    <w:rsid w:val="00174667"/>
    <w:rsid w:val="001802DE"/>
    <w:rsid w:val="001828E8"/>
    <w:rsid w:val="00186E9F"/>
    <w:rsid w:val="00187BEF"/>
    <w:rsid w:val="00190861"/>
    <w:rsid w:val="001914C2"/>
    <w:rsid w:val="00191CB2"/>
    <w:rsid w:val="00195399"/>
    <w:rsid w:val="00195C6D"/>
    <w:rsid w:val="001960B2"/>
    <w:rsid w:val="0019764B"/>
    <w:rsid w:val="001A3800"/>
    <w:rsid w:val="001A7E43"/>
    <w:rsid w:val="001B44EF"/>
    <w:rsid w:val="001B4FA1"/>
    <w:rsid w:val="001B5FE5"/>
    <w:rsid w:val="001B69C3"/>
    <w:rsid w:val="001B79B9"/>
    <w:rsid w:val="001C0DF4"/>
    <w:rsid w:val="001C2979"/>
    <w:rsid w:val="001C297A"/>
    <w:rsid w:val="001C576C"/>
    <w:rsid w:val="001C7F27"/>
    <w:rsid w:val="001D20AB"/>
    <w:rsid w:val="001D5BB9"/>
    <w:rsid w:val="001E4A94"/>
    <w:rsid w:val="001E4E51"/>
    <w:rsid w:val="001E6405"/>
    <w:rsid w:val="001E6A1E"/>
    <w:rsid w:val="001F783F"/>
    <w:rsid w:val="002050D0"/>
    <w:rsid w:val="002207A6"/>
    <w:rsid w:val="00221E42"/>
    <w:rsid w:val="00224038"/>
    <w:rsid w:val="00224284"/>
    <w:rsid w:val="00224F0E"/>
    <w:rsid w:val="002401B0"/>
    <w:rsid w:val="00242192"/>
    <w:rsid w:val="00244B0F"/>
    <w:rsid w:val="00245099"/>
    <w:rsid w:val="0024553D"/>
    <w:rsid w:val="00247943"/>
    <w:rsid w:val="002511A0"/>
    <w:rsid w:val="00251963"/>
    <w:rsid w:val="00254030"/>
    <w:rsid w:val="00261512"/>
    <w:rsid w:val="002624E9"/>
    <w:rsid w:val="002636B5"/>
    <w:rsid w:val="00263F96"/>
    <w:rsid w:val="00264F1B"/>
    <w:rsid w:val="00266E32"/>
    <w:rsid w:val="00267813"/>
    <w:rsid w:val="00267ACA"/>
    <w:rsid w:val="00272A8E"/>
    <w:rsid w:val="00273B83"/>
    <w:rsid w:val="0027402B"/>
    <w:rsid w:val="002878FD"/>
    <w:rsid w:val="002A2B40"/>
    <w:rsid w:val="002A7837"/>
    <w:rsid w:val="002B1A4A"/>
    <w:rsid w:val="002B273C"/>
    <w:rsid w:val="002B3725"/>
    <w:rsid w:val="002B5D56"/>
    <w:rsid w:val="002C063C"/>
    <w:rsid w:val="002C4547"/>
    <w:rsid w:val="002C4F14"/>
    <w:rsid w:val="002C5839"/>
    <w:rsid w:val="002C752B"/>
    <w:rsid w:val="002D12BD"/>
    <w:rsid w:val="002D1376"/>
    <w:rsid w:val="002D6B03"/>
    <w:rsid w:val="002E1078"/>
    <w:rsid w:val="002E18D7"/>
    <w:rsid w:val="002E39FF"/>
    <w:rsid w:val="002E3DF7"/>
    <w:rsid w:val="002E5008"/>
    <w:rsid w:val="002E732D"/>
    <w:rsid w:val="002E7CA6"/>
    <w:rsid w:val="002F3D6C"/>
    <w:rsid w:val="002F477C"/>
    <w:rsid w:val="002F6016"/>
    <w:rsid w:val="00302451"/>
    <w:rsid w:val="00302716"/>
    <w:rsid w:val="00303D8D"/>
    <w:rsid w:val="00304E17"/>
    <w:rsid w:val="00310201"/>
    <w:rsid w:val="00310D0B"/>
    <w:rsid w:val="003123D0"/>
    <w:rsid w:val="00312467"/>
    <w:rsid w:val="00315BAC"/>
    <w:rsid w:val="003161ED"/>
    <w:rsid w:val="00316A23"/>
    <w:rsid w:val="00320075"/>
    <w:rsid w:val="00320A31"/>
    <w:rsid w:val="003215CA"/>
    <w:rsid w:val="00324583"/>
    <w:rsid w:val="00325C91"/>
    <w:rsid w:val="00327407"/>
    <w:rsid w:val="00327E59"/>
    <w:rsid w:val="003305B2"/>
    <w:rsid w:val="00335332"/>
    <w:rsid w:val="003366D7"/>
    <w:rsid w:val="0033687A"/>
    <w:rsid w:val="00336B96"/>
    <w:rsid w:val="00337931"/>
    <w:rsid w:val="003401BC"/>
    <w:rsid w:val="00343CB8"/>
    <w:rsid w:val="00346FF6"/>
    <w:rsid w:val="00351068"/>
    <w:rsid w:val="00355435"/>
    <w:rsid w:val="0035571B"/>
    <w:rsid w:val="00356262"/>
    <w:rsid w:val="00360F61"/>
    <w:rsid w:val="00362759"/>
    <w:rsid w:val="00364050"/>
    <w:rsid w:val="00364371"/>
    <w:rsid w:val="0036442C"/>
    <w:rsid w:val="003654CD"/>
    <w:rsid w:val="00365B2D"/>
    <w:rsid w:val="003668D4"/>
    <w:rsid w:val="00367D3B"/>
    <w:rsid w:val="00367F9E"/>
    <w:rsid w:val="0037051A"/>
    <w:rsid w:val="00370F35"/>
    <w:rsid w:val="003713E7"/>
    <w:rsid w:val="003724E9"/>
    <w:rsid w:val="003727EB"/>
    <w:rsid w:val="0037353B"/>
    <w:rsid w:val="00373D9D"/>
    <w:rsid w:val="00380C99"/>
    <w:rsid w:val="00383E25"/>
    <w:rsid w:val="00391FA6"/>
    <w:rsid w:val="003947A8"/>
    <w:rsid w:val="003952ED"/>
    <w:rsid w:val="00395434"/>
    <w:rsid w:val="00395A5D"/>
    <w:rsid w:val="00397D2D"/>
    <w:rsid w:val="00397F9F"/>
    <w:rsid w:val="003A1647"/>
    <w:rsid w:val="003A2F89"/>
    <w:rsid w:val="003A30BE"/>
    <w:rsid w:val="003A5DED"/>
    <w:rsid w:val="003B61CD"/>
    <w:rsid w:val="003C3D7F"/>
    <w:rsid w:val="003C7394"/>
    <w:rsid w:val="003D104A"/>
    <w:rsid w:val="003D14D7"/>
    <w:rsid w:val="003D5446"/>
    <w:rsid w:val="003E0E58"/>
    <w:rsid w:val="003E2BA3"/>
    <w:rsid w:val="003E31EA"/>
    <w:rsid w:val="003E3DCB"/>
    <w:rsid w:val="003F1CB9"/>
    <w:rsid w:val="003F2B91"/>
    <w:rsid w:val="003F7F31"/>
    <w:rsid w:val="0040072F"/>
    <w:rsid w:val="00401262"/>
    <w:rsid w:val="00401322"/>
    <w:rsid w:val="00402738"/>
    <w:rsid w:val="00404CED"/>
    <w:rsid w:val="00405C26"/>
    <w:rsid w:val="00416028"/>
    <w:rsid w:val="00416A62"/>
    <w:rsid w:val="00420888"/>
    <w:rsid w:val="00421049"/>
    <w:rsid w:val="0042113A"/>
    <w:rsid w:val="00422611"/>
    <w:rsid w:val="00425C7D"/>
    <w:rsid w:val="004300C6"/>
    <w:rsid w:val="00435C21"/>
    <w:rsid w:val="00437589"/>
    <w:rsid w:val="004475DD"/>
    <w:rsid w:val="00453E1C"/>
    <w:rsid w:val="00454547"/>
    <w:rsid w:val="004551CA"/>
    <w:rsid w:val="00455AD4"/>
    <w:rsid w:val="0045664E"/>
    <w:rsid w:val="00456CBE"/>
    <w:rsid w:val="00457A66"/>
    <w:rsid w:val="00462589"/>
    <w:rsid w:val="00463781"/>
    <w:rsid w:val="00471FFB"/>
    <w:rsid w:val="00474A86"/>
    <w:rsid w:val="00476BD0"/>
    <w:rsid w:val="00484A70"/>
    <w:rsid w:val="00484DC6"/>
    <w:rsid w:val="00490B90"/>
    <w:rsid w:val="0049113D"/>
    <w:rsid w:val="0049132F"/>
    <w:rsid w:val="00495A30"/>
    <w:rsid w:val="0049605B"/>
    <w:rsid w:val="004A1724"/>
    <w:rsid w:val="004A2FAE"/>
    <w:rsid w:val="004A6443"/>
    <w:rsid w:val="004A7ABD"/>
    <w:rsid w:val="004A7D28"/>
    <w:rsid w:val="004B4E22"/>
    <w:rsid w:val="004C1B31"/>
    <w:rsid w:val="004C389E"/>
    <w:rsid w:val="004C5DF3"/>
    <w:rsid w:val="004C5ED8"/>
    <w:rsid w:val="004D1CED"/>
    <w:rsid w:val="004D5EDF"/>
    <w:rsid w:val="004D63E3"/>
    <w:rsid w:val="004D6922"/>
    <w:rsid w:val="004D7651"/>
    <w:rsid w:val="004E1AC6"/>
    <w:rsid w:val="004E3A25"/>
    <w:rsid w:val="004E6615"/>
    <w:rsid w:val="004F0729"/>
    <w:rsid w:val="004F09E3"/>
    <w:rsid w:val="004F1275"/>
    <w:rsid w:val="004F4A74"/>
    <w:rsid w:val="005024DC"/>
    <w:rsid w:val="00503095"/>
    <w:rsid w:val="00504443"/>
    <w:rsid w:val="005044E1"/>
    <w:rsid w:val="00505850"/>
    <w:rsid w:val="00505C9C"/>
    <w:rsid w:val="00506DF1"/>
    <w:rsid w:val="00507B3C"/>
    <w:rsid w:val="00517111"/>
    <w:rsid w:val="00520AEA"/>
    <w:rsid w:val="00520BE6"/>
    <w:rsid w:val="00520C82"/>
    <w:rsid w:val="00521B07"/>
    <w:rsid w:val="005228D2"/>
    <w:rsid w:val="0052644D"/>
    <w:rsid w:val="00527304"/>
    <w:rsid w:val="00527C61"/>
    <w:rsid w:val="005354AE"/>
    <w:rsid w:val="00536B9B"/>
    <w:rsid w:val="00537515"/>
    <w:rsid w:val="00537656"/>
    <w:rsid w:val="00537C68"/>
    <w:rsid w:val="00545533"/>
    <w:rsid w:val="0054661B"/>
    <w:rsid w:val="00550C81"/>
    <w:rsid w:val="005531EC"/>
    <w:rsid w:val="00553FBC"/>
    <w:rsid w:val="00555B91"/>
    <w:rsid w:val="00562D02"/>
    <w:rsid w:val="0056315C"/>
    <w:rsid w:val="0056335A"/>
    <w:rsid w:val="005642DD"/>
    <w:rsid w:val="00564C9B"/>
    <w:rsid w:val="00571647"/>
    <w:rsid w:val="00572DA2"/>
    <w:rsid w:val="00576028"/>
    <w:rsid w:val="00577677"/>
    <w:rsid w:val="005864AD"/>
    <w:rsid w:val="00587061"/>
    <w:rsid w:val="00587F82"/>
    <w:rsid w:val="00593090"/>
    <w:rsid w:val="005954B4"/>
    <w:rsid w:val="00595CAD"/>
    <w:rsid w:val="00596CED"/>
    <w:rsid w:val="005A2501"/>
    <w:rsid w:val="005A2AF1"/>
    <w:rsid w:val="005A44FF"/>
    <w:rsid w:val="005A5299"/>
    <w:rsid w:val="005A7A4D"/>
    <w:rsid w:val="005A7E70"/>
    <w:rsid w:val="005B12FA"/>
    <w:rsid w:val="005B1718"/>
    <w:rsid w:val="005B4768"/>
    <w:rsid w:val="005C01AE"/>
    <w:rsid w:val="005C1943"/>
    <w:rsid w:val="005C3C3C"/>
    <w:rsid w:val="005C41EF"/>
    <w:rsid w:val="005C60BB"/>
    <w:rsid w:val="005C6A0D"/>
    <w:rsid w:val="005C6BBE"/>
    <w:rsid w:val="005C6D52"/>
    <w:rsid w:val="005C6DB6"/>
    <w:rsid w:val="005C7415"/>
    <w:rsid w:val="005D053D"/>
    <w:rsid w:val="005D0910"/>
    <w:rsid w:val="005D42A6"/>
    <w:rsid w:val="005E1864"/>
    <w:rsid w:val="005E58E1"/>
    <w:rsid w:val="005E5B24"/>
    <w:rsid w:val="005E5B52"/>
    <w:rsid w:val="005E7020"/>
    <w:rsid w:val="005F0A8A"/>
    <w:rsid w:val="005F3FF0"/>
    <w:rsid w:val="005F4524"/>
    <w:rsid w:val="005F5EB0"/>
    <w:rsid w:val="005F772B"/>
    <w:rsid w:val="005F7A84"/>
    <w:rsid w:val="006028B1"/>
    <w:rsid w:val="00603141"/>
    <w:rsid w:val="00603B91"/>
    <w:rsid w:val="00604274"/>
    <w:rsid w:val="0060552B"/>
    <w:rsid w:val="00611C5C"/>
    <w:rsid w:val="00611EFE"/>
    <w:rsid w:val="00612725"/>
    <w:rsid w:val="006146A8"/>
    <w:rsid w:val="00614E76"/>
    <w:rsid w:val="006155CF"/>
    <w:rsid w:val="006160C8"/>
    <w:rsid w:val="00626065"/>
    <w:rsid w:val="00626382"/>
    <w:rsid w:val="00634862"/>
    <w:rsid w:val="00635F63"/>
    <w:rsid w:val="00640878"/>
    <w:rsid w:val="00643505"/>
    <w:rsid w:val="0064499D"/>
    <w:rsid w:val="006454CC"/>
    <w:rsid w:val="0064668C"/>
    <w:rsid w:val="006478ED"/>
    <w:rsid w:val="00647974"/>
    <w:rsid w:val="00650A73"/>
    <w:rsid w:val="006529D6"/>
    <w:rsid w:val="00653FBB"/>
    <w:rsid w:val="0065675B"/>
    <w:rsid w:val="00660A8C"/>
    <w:rsid w:val="00663D34"/>
    <w:rsid w:val="006642E5"/>
    <w:rsid w:val="0066436B"/>
    <w:rsid w:val="00664659"/>
    <w:rsid w:val="006648C4"/>
    <w:rsid w:val="006669D1"/>
    <w:rsid w:val="00667BA1"/>
    <w:rsid w:val="0067027E"/>
    <w:rsid w:val="00670BEE"/>
    <w:rsid w:val="0067201E"/>
    <w:rsid w:val="006733E8"/>
    <w:rsid w:val="006756FC"/>
    <w:rsid w:val="00675820"/>
    <w:rsid w:val="00675D0C"/>
    <w:rsid w:val="00675EBD"/>
    <w:rsid w:val="00680B54"/>
    <w:rsid w:val="00682D20"/>
    <w:rsid w:val="0068337D"/>
    <w:rsid w:val="00683E88"/>
    <w:rsid w:val="0068657C"/>
    <w:rsid w:val="006952F0"/>
    <w:rsid w:val="006963D2"/>
    <w:rsid w:val="006A00DF"/>
    <w:rsid w:val="006A437E"/>
    <w:rsid w:val="006A54C3"/>
    <w:rsid w:val="006A5DB5"/>
    <w:rsid w:val="006B03F0"/>
    <w:rsid w:val="006B19D1"/>
    <w:rsid w:val="006B2ADD"/>
    <w:rsid w:val="006B2F86"/>
    <w:rsid w:val="006B3B72"/>
    <w:rsid w:val="006B60A6"/>
    <w:rsid w:val="006B650F"/>
    <w:rsid w:val="006B68CC"/>
    <w:rsid w:val="006B7DE5"/>
    <w:rsid w:val="006C035F"/>
    <w:rsid w:val="006C3AF8"/>
    <w:rsid w:val="006C4385"/>
    <w:rsid w:val="006C6CFF"/>
    <w:rsid w:val="006C6D8D"/>
    <w:rsid w:val="006C6DCB"/>
    <w:rsid w:val="006D0B7D"/>
    <w:rsid w:val="006D1635"/>
    <w:rsid w:val="006D23EF"/>
    <w:rsid w:val="006D3D9F"/>
    <w:rsid w:val="006D7467"/>
    <w:rsid w:val="006D74B0"/>
    <w:rsid w:val="006E0634"/>
    <w:rsid w:val="006E0DB3"/>
    <w:rsid w:val="006E18EC"/>
    <w:rsid w:val="006E1DBB"/>
    <w:rsid w:val="006E335A"/>
    <w:rsid w:val="006E3A3B"/>
    <w:rsid w:val="006E6C76"/>
    <w:rsid w:val="006F0636"/>
    <w:rsid w:val="006F0FDF"/>
    <w:rsid w:val="006F5022"/>
    <w:rsid w:val="007000AB"/>
    <w:rsid w:val="00700BFA"/>
    <w:rsid w:val="007075B3"/>
    <w:rsid w:val="00710350"/>
    <w:rsid w:val="007204F9"/>
    <w:rsid w:val="00720B0E"/>
    <w:rsid w:val="007251C1"/>
    <w:rsid w:val="00725295"/>
    <w:rsid w:val="00725BE6"/>
    <w:rsid w:val="00726439"/>
    <w:rsid w:val="00730B38"/>
    <w:rsid w:val="00732A91"/>
    <w:rsid w:val="00734471"/>
    <w:rsid w:val="00742303"/>
    <w:rsid w:val="00742971"/>
    <w:rsid w:val="0074441D"/>
    <w:rsid w:val="00744504"/>
    <w:rsid w:val="00746582"/>
    <w:rsid w:val="00747C2E"/>
    <w:rsid w:val="00752180"/>
    <w:rsid w:val="00754744"/>
    <w:rsid w:val="00755B46"/>
    <w:rsid w:val="00757607"/>
    <w:rsid w:val="00757E86"/>
    <w:rsid w:val="00761A85"/>
    <w:rsid w:val="00761C3F"/>
    <w:rsid w:val="0076384E"/>
    <w:rsid w:val="007642B3"/>
    <w:rsid w:val="007656CF"/>
    <w:rsid w:val="007673D0"/>
    <w:rsid w:val="007725F7"/>
    <w:rsid w:val="00772E8C"/>
    <w:rsid w:val="007836B5"/>
    <w:rsid w:val="00786866"/>
    <w:rsid w:val="007948B6"/>
    <w:rsid w:val="00794DCF"/>
    <w:rsid w:val="00794FB6"/>
    <w:rsid w:val="007A7909"/>
    <w:rsid w:val="007A7D73"/>
    <w:rsid w:val="007B02A8"/>
    <w:rsid w:val="007B17AD"/>
    <w:rsid w:val="007B5D5A"/>
    <w:rsid w:val="007B657D"/>
    <w:rsid w:val="007C1FCA"/>
    <w:rsid w:val="007C2872"/>
    <w:rsid w:val="007C2F0D"/>
    <w:rsid w:val="007C4A76"/>
    <w:rsid w:val="007C4C83"/>
    <w:rsid w:val="007C5704"/>
    <w:rsid w:val="007C58D4"/>
    <w:rsid w:val="007C64E9"/>
    <w:rsid w:val="007D02A1"/>
    <w:rsid w:val="007D1A1C"/>
    <w:rsid w:val="007D4025"/>
    <w:rsid w:val="007D52B7"/>
    <w:rsid w:val="007D666C"/>
    <w:rsid w:val="007D6C66"/>
    <w:rsid w:val="007E029B"/>
    <w:rsid w:val="007E0BF1"/>
    <w:rsid w:val="007E33A6"/>
    <w:rsid w:val="007E37FD"/>
    <w:rsid w:val="007E4E82"/>
    <w:rsid w:val="007F07AB"/>
    <w:rsid w:val="007F16CA"/>
    <w:rsid w:val="007F1F07"/>
    <w:rsid w:val="007F40D6"/>
    <w:rsid w:val="007F61C7"/>
    <w:rsid w:val="007F6300"/>
    <w:rsid w:val="00801132"/>
    <w:rsid w:val="008030F5"/>
    <w:rsid w:val="00803E55"/>
    <w:rsid w:val="0080505A"/>
    <w:rsid w:val="00806205"/>
    <w:rsid w:val="00806F9C"/>
    <w:rsid w:val="00807F85"/>
    <w:rsid w:val="00811FE2"/>
    <w:rsid w:val="008234BD"/>
    <w:rsid w:val="008270D7"/>
    <w:rsid w:val="008315F2"/>
    <w:rsid w:val="00833844"/>
    <w:rsid w:val="0083413A"/>
    <w:rsid w:val="00835E99"/>
    <w:rsid w:val="008404DA"/>
    <w:rsid w:val="008454CD"/>
    <w:rsid w:val="008456CB"/>
    <w:rsid w:val="00847E22"/>
    <w:rsid w:val="00851A29"/>
    <w:rsid w:val="00851DC6"/>
    <w:rsid w:val="00854190"/>
    <w:rsid w:val="00856019"/>
    <w:rsid w:val="00857D12"/>
    <w:rsid w:val="00862465"/>
    <w:rsid w:val="00864495"/>
    <w:rsid w:val="00864AC0"/>
    <w:rsid w:val="008667B0"/>
    <w:rsid w:val="008676B2"/>
    <w:rsid w:val="00870102"/>
    <w:rsid w:val="00870D1C"/>
    <w:rsid w:val="008722D9"/>
    <w:rsid w:val="00872847"/>
    <w:rsid w:val="0087441A"/>
    <w:rsid w:val="00882583"/>
    <w:rsid w:val="008825F4"/>
    <w:rsid w:val="0088279B"/>
    <w:rsid w:val="00884E72"/>
    <w:rsid w:val="008857AA"/>
    <w:rsid w:val="00890D45"/>
    <w:rsid w:val="008910AF"/>
    <w:rsid w:val="00892903"/>
    <w:rsid w:val="00893782"/>
    <w:rsid w:val="00893FAA"/>
    <w:rsid w:val="00895ED5"/>
    <w:rsid w:val="00895EF3"/>
    <w:rsid w:val="00897332"/>
    <w:rsid w:val="008A0F96"/>
    <w:rsid w:val="008A1BEE"/>
    <w:rsid w:val="008A594F"/>
    <w:rsid w:val="008B0EB9"/>
    <w:rsid w:val="008B1328"/>
    <w:rsid w:val="008B3232"/>
    <w:rsid w:val="008B6D55"/>
    <w:rsid w:val="008C3B72"/>
    <w:rsid w:val="008C3E6D"/>
    <w:rsid w:val="008C4379"/>
    <w:rsid w:val="008C5FB5"/>
    <w:rsid w:val="008C67EB"/>
    <w:rsid w:val="008C7E08"/>
    <w:rsid w:val="008D0F71"/>
    <w:rsid w:val="008D1230"/>
    <w:rsid w:val="008D5313"/>
    <w:rsid w:val="008D576F"/>
    <w:rsid w:val="008D6C27"/>
    <w:rsid w:val="008E0A13"/>
    <w:rsid w:val="008E1BD7"/>
    <w:rsid w:val="008E265E"/>
    <w:rsid w:val="008F06AA"/>
    <w:rsid w:val="008F11D5"/>
    <w:rsid w:val="008F6F41"/>
    <w:rsid w:val="009047C8"/>
    <w:rsid w:val="0090528F"/>
    <w:rsid w:val="009065D8"/>
    <w:rsid w:val="00907818"/>
    <w:rsid w:val="00910CBA"/>
    <w:rsid w:val="00912FEF"/>
    <w:rsid w:val="009139AF"/>
    <w:rsid w:val="00915CEC"/>
    <w:rsid w:val="0091603D"/>
    <w:rsid w:val="009224FC"/>
    <w:rsid w:val="009263C2"/>
    <w:rsid w:val="009308CD"/>
    <w:rsid w:val="00934899"/>
    <w:rsid w:val="009430BD"/>
    <w:rsid w:val="00943C78"/>
    <w:rsid w:val="00943FFA"/>
    <w:rsid w:val="00944D10"/>
    <w:rsid w:val="00947AC8"/>
    <w:rsid w:val="00947BA5"/>
    <w:rsid w:val="00950AD8"/>
    <w:rsid w:val="0095568B"/>
    <w:rsid w:val="00957974"/>
    <w:rsid w:val="00957FF9"/>
    <w:rsid w:val="00962A49"/>
    <w:rsid w:val="009638B3"/>
    <w:rsid w:val="00970853"/>
    <w:rsid w:val="0097099D"/>
    <w:rsid w:val="00977317"/>
    <w:rsid w:val="00977832"/>
    <w:rsid w:val="0098288C"/>
    <w:rsid w:val="00983579"/>
    <w:rsid w:val="0098366D"/>
    <w:rsid w:val="009A1DCA"/>
    <w:rsid w:val="009A24CC"/>
    <w:rsid w:val="009A3086"/>
    <w:rsid w:val="009A4429"/>
    <w:rsid w:val="009A4D08"/>
    <w:rsid w:val="009A5048"/>
    <w:rsid w:val="009A6092"/>
    <w:rsid w:val="009B4FEE"/>
    <w:rsid w:val="009B7D7F"/>
    <w:rsid w:val="009C181E"/>
    <w:rsid w:val="009C4DDF"/>
    <w:rsid w:val="009C63C2"/>
    <w:rsid w:val="009D150F"/>
    <w:rsid w:val="009D5E6C"/>
    <w:rsid w:val="009D73C5"/>
    <w:rsid w:val="009E36B5"/>
    <w:rsid w:val="009F012D"/>
    <w:rsid w:val="009F1744"/>
    <w:rsid w:val="009F569C"/>
    <w:rsid w:val="009F5C2E"/>
    <w:rsid w:val="00A00BF5"/>
    <w:rsid w:val="00A01EB4"/>
    <w:rsid w:val="00A020B8"/>
    <w:rsid w:val="00A02527"/>
    <w:rsid w:val="00A071F3"/>
    <w:rsid w:val="00A07E80"/>
    <w:rsid w:val="00A10A9C"/>
    <w:rsid w:val="00A144A3"/>
    <w:rsid w:val="00A1688A"/>
    <w:rsid w:val="00A22DEF"/>
    <w:rsid w:val="00A2430B"/>
    <w:rsid w:val="00A257D9"/>
    <w:rsid w:val="00A2750F"/>
    <w:rsid w:val="00A414E1"/>
    <w:rsid w:val="00A41BA7"/>
    <w:rsid w:val="00A42EAA"/>
    <w:rsid w:val="00A43387"/>
    <w:rsid w:val="00A4779D"/>
    <w:rsid w:val="00A51840"/>
    <w:rsid w:val="00A520B1"/>
    <w:rsid w:val="00A60208"/>
    <w:rsid w:val="00A6286E"/>
    <w:rsid w:val="00A6400E"/>
    <w:rsid w:val="00A64535"/>
    <w:rsid w:val="00A7019E"/>
    <w:rsid w:val="00A7149F"/>
    <w:rsid w:val="00A71A8B"/>
    <w:rsid w:val="00A71F9A"/>
    <w:rsid w:val="00A72EC7"/>
    <w:rsid w:val="00A73218"/>
    <w:rsid w:val="00A732A1"/>
    <w:rsid w:val="00A757DD"/>
    <w:rsid w:val="00A81442"/>
    <w:rsid w:val="00A84275"/>
    <w:rsid w:val="00A8617F"/>
    <w:rsid w:val="00A8750A"/>
    <w:rsid w:val="00A87E96"/>
    <w:rsid w:val="00A90878"/>
    <w:rsid w:val="00A9273C"/>
    <w:rsid w:val="00AA1435"/>
    <w:rsid w:val="00AA16B8"/>
    <w:rsid w:val="00AA24D9"/>
    <w:rsid w:val="00AA2604"/>
    <w:rsid w:val="00AA2D4E"/>
    <w:rsid w:val="00AA3035"/>
    <w:rsid w:val="00AA6103"/>
    <w:rsid w:val="00AA6453"/>
    <w:rsid w:val="00AA66C1"/>
    <w:rsid w:val="00AB12AC"/>
    <w:rsid w:val="00AB24BA"/>
    <w:rsid w:val="00AB39A4"/>
    <w:rsid w:val="00AB4419"/>
    <w:rsid w:val="00AC08E3"/>
    <w:rsid w:val="00AC1037"/>
    <w:rsid w:val="00AC3C60"/>
    <w:rsid w:val="00AC57E5"/>
    <w:rsid w:val="00AC75B5"/>
    <w:rsid w:val="00AD0B10"/>
    <w:rsid w:val="00AD2C6F"/>
    <w:rsid w:val="00AD4CC5"/>
    <w:rsid w:val="00AE125F"/>
    <w:rsid w:val="00AE3164"/>
    <w:rsid w:val="00AE69C7"/>
    <w:rsid w:val="00AF11ED"/>
    <w:rsid w:val="00AF218D"/>
    <w:rsid w:val="00AF36FE"/>
    <w:rsid w:val="00AF3F59"/>
    <w:rsid w:val="00AF4DF3"/>
    <w:rsid w:val="00B03E8F"/>
    <w:rsid w:val="00B04775"/>
    <w:rsid w:val="00B067AB"/>
    <w:rsid w:val="00B06E15"/>
    <w:rsid w:val="00B10C17"/>
    <w:rsid w:val="00B16F18"/>
    <w:rsid w:val="00B20BCD"/>
    <w:rsid w:val="00B21A04"/>
    <w:rsid w:val="00B235CA"/>
    <w:rsid w:val="00B25E96"/>
    <w:rsid w:val="00B2720B"/>
    <w:rsid w:val="00B27646"/>
    <w:rsid w:val="00B3003D"/>
    <w:rsid w:val="00B3068D"/>
    <w:rsid w:val="00B32114"/>
    <w:rsid w:val="00B3228D"/>
    <w:rsid w:val="00B33525"/>
    <w:rsid w:val="00B34EF4"/>
    <w:rsid w:val="00B36071"/>
    <w:rsid w:val="00B403E8"/>
    <w:rsid w:val="00B4285D"/>
    <w:rsid w:val="00B445A6"/>
    <w:rsid w:val="00B447B3"/>
    <w:rsid w:val="00B4671E"/>
    <w:rsid w:val="00B4716E"/>
    <w:rsid w:val="00B506AC"/>
    <w:rsid w:val="00B518BF"/>
    <w:rsid w:val="00B52170"/>
    <w:rsid w:val="00B57E29"/>
    <w:rsid w:val="00B639BE"/>
    <w:rsid w:val="00B64423"/>
    <w:rsid w:val="00B64486"/>
    <w:rsid w:val="00B65809"/>
    <w:rsid w:val="00B7479B"/>
    <w:rsid w:val="00B76371"/>
    <w:rsid w:val="00B80CC0"/>
    <w:rsid w:val="00B82C4A"/>
    <w:rsid w:val="00B83E9D"/>
    <w:rsid w:val="00B85767"/>
    <w:rsid w:val="00B87B58"/>
    <w:rsid w:val="00B87C49"/>
    <w:rsid w:val="00B941DB"/>
    <w:rsid w:val="00B95673"/>
    <w:rsid w:val="00B9723F"/>
    <w:rsid w:val="00B97579"/>
    <w:rsid w:val="00B97D6A"/>
    <w:rsid w:val="00BA49C9"/>
    <w:rsid w:val="00BA4F26"/>
    <w:rsid w:val="00BA5EDD"/>
    <w:rsid w:val="00BC0374"/>
    <w:rsid w:val="00BC15D2"/>
    <w:rsid w:val="00BC61FC"/>
    <w:rsid w:val="00BD51B7"/>
    <w:rsid w:val="00BD55D6"/>
    <w:rsid w:val="00BD64FB"/>
    <w:rsid w:val="00BD7B5A"/>
    <w:rsid w:val="00BF0D5A"/>
    <w:rsid w:val="00BF1E98"/>
    <w:rsid w:val="00BF48A4"/>
    <w:rsid w:val="00BF58BD"/>
    <w:rsid w:val="00BF5C5A"/>
    <w:rsid w:val="00BF73F4"/>
    <w:rsid w:val="00C019C0"/>
    <w:rsid w:val="00C01CB1"/>
    <w:rsid w:val="00C04531"/>
    <w:rsid w:val="00C05857"/>
    <w:rsid w:val="00C0609E"/>
    <w:rsid w:val="00C10771"/>
    <w:rsid w:val="00C1402D"/>
    <w:rsid w:val="00C15C17"/>
    <w:rsid w:val="00C17244"/>
    <w:rsid w:val="00C212A4"/>
    <w:rsid w:val="00C23A88"/>
    <w:rsid w:val="00C253FE"/>
    <w:rsid w:val="00C25EA6"/>
    <w:rsid w:val="00C31BC2"/>
    <w:rsid w:val="00C31CD3"/>
    <w:rsid w:val="00C320FB"/>
    <w:rsid w:val="00C33B31"/>
    <w:rsid w:val="00C4653C"/>
    <w:rsid w:val="00C50104"/>
    <w:rsid w:val="00C552C2"/>
    <w:rsid w:val="00C617BE"/>
    <w:rsid w:val="00C62B5E"/>
    <w:rsid w:val="00C62C4C"/>
    <w:rsid w:val="00C64001"/>
    <w:rsid w:val="00C64546"/>
    <w:rsid w:val="00C66678"/>
    <w:rsid w:val="00C66EF2"/>
    <w:rsid w:val="00C6774E"/>
    <w:rsid w:val="00C71B8F"/>
    <w:rsid w:val="00C73708"/>
    <w:rsid w:val="00C7383D"/>
    <w:rsid w:val="00C74048"/>
    <w:rsid w:val="00C83793"/>
    <w:rsid w:val="00C84C93"/>
    <w:rsid w:val="00C867C8"/>
    <w:rsid w:val="00C93158"/>
    <w:rsid w:val="00C93EFF"/>
    <w:rsid w:val="00C94438"/>
    <w:rsid w:val="00C94C33"/>
    <w:rsid w:val="00C94DCE"/>
    <w:rsid w:val="00C94E04"/>
    <w:rsid w:val="00C9579A"/>
    <w:rsid w:val="00C975C9"/>
    <w:rsid w:val="00C97815"/>
    <w:rsid w:val="00CA0CF8"/>
    <w:rsid w:val="00CA3DD4"/>
    <w:rsid w:val="00CA6B72"/>
    <w:rsid w:val="00CA7415"/>
    <w:rsid w:val="00CA74FD"/>
    <w:rsid w:val="00CA7866"/>
    <w:rsid w:val="00CB1D9D"/>
    <w:rsid w:val="00CB2CC6"/>
    <w:rsid w:val="00CB3A76"/>
    <w:rsid w:val="00CB5392"/>
    <w:rsid w:val="00CB5C47"/>
    <w:rsid w:val="00CB6D21"/>
    <w:rsid w:val="00CB6EC2"/>
    <w:rsid w:val="00CB79A1"/>
    <w:rsid w:val="00CC2DDE"/>
    <w:rsid w:val="00CC7510"/>
    <w:rsid w:val="00CD149B"/>
    <w:rsid w:val="00CD214E"/>
    <w:rsid w:val="00CD5288"/>
    <w:rsid w:val="00CD7450"/>
    <w:rsid w:val="00CE0212"/>
    <w:rsid w:val="00CE1014"/>
    <w:rsid w:val="00CE165F"/>
    <w:rsid w:val="00CE5DCA"/>
    <w:rsid w:val="00CE6DF9"/>
    <w:rsid w:val="00CF04CA"/>
    <w:rsid w:val="00CF6D15"/>
    <w:rsid w:val="00D03EA1"/>
    <w:rsid w:val="00D04098"/>
    <w:rsid w:val="00D04BC7"/>
    <w:rsid w:val="00D10717"/>
    <w:rsid w:val="00D108D2"/>
    <w:rsid w:val="00D10FC9"/>
    <w:rsid w:val="00D13645"/>
    <w:rsid w:val="00D15085"/>
    <w:rsid w:val="00D157A4"/>
    <w:rsid w:val="00D17D09"/>
    <w:rsid w:val="00D20916"/>
    <w:rsid w:val="00D20E42"/>
    <w:rsid w:val="00D2261D"/>
    <w:rsid w:val="00D236FC"/>
    <w:rsid w:val="00D242FD"/>
    <w:rsid w:val="00D24ACA"/>
    <w:rsid w:val="00D30A6F"/>
    <w:rsid w:val="00D347D2"/>
    <w:rsid w:val="00D36FE1"/>
    <w:rsid w:val="00D45BA3"/>
    <w:rsid w:val="00D462C7"/>
    <w:rsid w:val="00D47140"/>
    <w:rsid w:val="00D4786E"/>
    <w:rsid w:val="00D520B2"/>
    <w:rsid w:val="00D57204"/>
    <w:rsid w:val="00D61603"/>
    <w:rsid w:val="00D67A35"/>
    <w:rsid w:val="00D7105D"/>
    <w:rsid w:val="00D72143"/>
    <w:rsid w:val="00D72373"/>
    <w:rsid w:val="00D72C77"/>
    <w:rsid w:val="00D73A84"/>
    <w:rsid w:val="00D73B30"/>
    <w:rsid w:val="00D7566D"/>
    <w:rsid w:val="00D7765B"/>
    <w:rsid w:val="00D77C73"/>
    <w:rsid w:val="00D87B97"/>
    <w:rsid w:val="00D91982"/>
    <w:rsid w:val="00D9338E"/>
    <w:rsid w:val="00D97A26"/>
    <w:rsid w:val="00D97E49"/>
    <w:rsid w:val="00DA2C5D"/>
    <w:rsid w:val="00DA347B"/>
    <w:rsid w:val="00DA4328"/>
    <w:rsid w:val="00DA61AD"/>
    <w:rsid w:val="00DB46CC"/>
    <w:rsid w:val="00DB4EAB"/>
    <w:rsid w:val="00DB5DA9"/>
    <w:rsid w:val="00DB7417"/>
    <w:rsid w:val="00DC328A"/>
    <w:rsid w:val="00DC4924"/>
    <w:rsid w:val="00DC556E"/>
    <w:rsid w:val="00DC6426"/>
    <w:rsid w:val="00DC7164"/>
    <w:rsid w:val="00DD2360"/>
    <w:rsid w:val="00DD4A8E"/>
    <w:rsid w:val="00DD5178"/>
    <w:rsid w:val="00DE3055"/>
    <w:rsid w:val="00DE3268"/>
    <w:rsid w:val="00DE5733"/>
    <w:rsid w:val="00DE70AE"/>
    <w:rsid w:val="00DF0C5E"/>
    <w:rsid w:val="00DF2C13"/>
    <w:rsid w:val="00DF7A07"/>
    <w:rsid w:val="00E00755"/>
    <w:rsid w:val="00E00EC4"/>
    <w:rsid w:val="00E03E1A"/>
    <w:rsid w:val="00E0427D"/>
    <w:rsid w:val="00E04FC0"/>
    <w:rsid w:val="00E07861"/>
    <w:rsid w:val="00E10053"/>
    <w:rsid w:val="00E10472"/>
    <w:rsid w:val="00E11110"/>
    <w:rsid w:val="00E14498"/>
    <w:rsid w:val="00E22F3F"/>
    <w:rsid w:val="00E23BAB"/>
    <w:rsid w:val="00E23E0B"/>
    <w:rsid w:val="00E23F00"/>
    <w:rsid w:val="00E3317B"/>
    <w:rsid w:val="00E3386F"/>
    <w:rsid w:val="00E3424D"/>
    <w:rsid w:val="00E463A1"/>
    <w:rsid w:val="00E52BFC"/>
    <w:rsid w:val="00E52EE1"/>
    <w:rsid w:val="00E63F7F"/>
    <w:rsid w:val="00E708D5"/>
    <w:rsid w:val="00E732C9"/>
    <w:rsid w:val="00E74C2F"/>
    <w:rsid w:val="00E76C3A"/>
    <w:rsid w:val="00E77101"/>
    <w:rsid w:val="00E77EE7"/>
    <w:rsid w:val="00E8230A"/>
    <w:rsid w:val="00E82950"/>
    <w:rsid w:val="00E82C0C"/>
    <w:rsid w:val="00E858A7"/>
    <w:rsid w:val="00E8716B"/>
    <w:rsid w:val="00E8787F"/>
    <w:rsid w:val="00E900AF"/>
    <w:rsid w:val="00E9176D"/>
    <w:rsid w:val="00E92D8C"/>
    <w:rsid w:val="00E966FD"/>
    <w:rsid w:val="00EA05BA"/>
    <w:rsid w:val="00EA2DCF"/>
    <w:rsid w:val="00EA3EEC"/>
    <w:rsid w:val="00EA5E6A"/>
    <w:rsid w:val="00EA6FE9"/>
    <w:rsid w:val="00EB1AD7"/>
    <w:rsid w:val="00EB2C64"/>
    <w:rsid w:val="00EB2F2C"/>
    <w:rsid w:val="00EB36AD"/>
    <w:rsid w:val="00EB3C69"/>
    <w:rsid w:val="00EB3E5F"/>
    <w:rsid w:val="00EB531D"/>
    <w:rsid w:val="00EB62D7"/>
    <w:rsid w:val="00EB6C50"/>
    <w:rsid w:val="00EB6F2B"/>
    <w:rsid w:val="00EC126D"/>
    <w:rsid w:val="00EC720E"/>
    <w:rsid w:val="00ED1237"/>
    <w:rsid w:val="00ED2F8C"/>
    <w:rsid w:val="00ED452D"/>
    <w:rsid w:val="00ED4B86"/>
    <w:rsid w:val="00EE53AB"/>
    <w:rsid w:val="00EE7B05"/>
    <w:rsid w:val="00EE7D8D"/>
    <w:rsid w:val="00EF0D43"/>
    <w:rsid w:val="00EF1FB7"/>
    <w:rsid w:val="00F00B3C"/>
    <w:rsid w:val="00F01005"/>
    <w:rsid w:val="00F0109D"/>
    <w:rsid w:val="00F01F41"/>
    <w:rsid w:val="00F110B1"/>
    <w:rsid w:val="00F123D1"/>
    <w:rsid w:val="00F1406D"/>
    <w:rsid w:val="00F14133"/>
    <w:rsid w:val="00F20F0C"/>
    <w:rsid w:val="00F21E02"/>
    <w:rsid w:val="00F24239"/>
    <w:rsid w:val="00F24AFC"/>
    <w:rsid w:val="00F32F3A"/>
    <w:rsid w:val="00F35ABF"/>
    <w:rsid w:val="00F37DC9"/>
    <w:rsid w:val="00F40053"/>
    <w:rsid w:val="00F438E3"/>
    <w:rsid w:val="00F43D1E"/>
    <w:rsid w:val="00F464BF"/>
    <w:rsid w:val="00F46BA9"/>
    <w:rsid w:val="00F52243"/>
    <w:rsid w:val="00F52FD1"/>
    <w:rsid w:val="00F54329"/>
    <w:rsid w:val="00F545AC"/>
    <w:rsid w:val="00F55212"/>
    <w:rsid w:val="00F55301"/>
    <w:rsid w:val="00F56999"/>
    <w:rsid w:val="00F573F1"/>
    <w:rsid w:val="00F60422"/>
    <w:rsid w:val="00F60644"/>
    <w:rsid w:val="00F615BD"/>
    <w:rsid w:val="00F6767A"/>
    <w:rsid w:val="00F67E6A"/>
    <w:rsid w:val="00F71485"/>
    <w:rsid w:val="00F80A00"/>
    <w:rsid w:val="00F811EE"/>
    <w:rsid w:val="00F854D8"/>
    <w:rsid w:val="00F860E1"/>
    <w:rsid w:val="00F860F7"/>
    <w:rsid w:val="00F93181"/>
    <w:rsid w:val="00F97C75"/>
    <w:rsid w:val="00FA2D2A"/>
    <w:rsid w:val="00FA325B"/>
    <w:rsid w:val="00FA3413"/>
    <w:rsid w:val="00FA7186"/>
    <w:rsid w:val="00FB115F"/>
    <w:rsid w:val="00FB19F5"/>
    <w:rsid w:val="00FB4A1C"/>
    <w:rsid w:val="00FB504D"/>
    <w:rsid w:val="00FB51DC"/>
    <w:rsid w:val="00FB5BF0"/>
    <w:rsid w:val="00FB5CD9"/>
    <w:rsid w:val="00FB6924"/>
    <w:rsid w:val="00FB795F"/>
    <w:rsid w:val="00FC3DEC"/>
    <w:rsid w:val="00FC7377"/>
    <w:rsid w:val="00FD12DB"/>
    <w:rsid w:val="00FD3C84"/>
    <w:rsid w:val="00FD4088"/>
    <w:rsid w:val="00FD57E2"/>
    <w:rsid w:val="00FD64E5"/>
    <w:rsid w:val="00FE03F5"/>
    <w:rsid w:val="00FE493E"/>
    <w:rsid w:val="00FE5DF6"/>
    <w:rsid w:val="00FF3C7C"/>
    <w:rsid w:val="00FF5794"/>
    <w:rsid w:val="00FF69E1"/>
    <w:rsid w:val="00FF6B3D"/>
    <w:rsid w:val="00FF7A8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3594D"/>
  <w15:docId w15:val="{AE278A13-9C2A-4D53-8A14-E27E9B8F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unhideWhenUsed/>
    <w:rsid w:val="00744504"/>
    <w:rPr>
      <w:sz w:val="20"/>
    </w:rPr>
  </w:style>
  <w:style w:type="character" w:customStyle="1" w:styleId="TextkomenteChar">
    <w:name w:val="Text komentáře Char"/>
    <w:basedOn w:val="Standardnpsmoodstavce"/>
    <w:link w:val="Textkomente"/>
    <w:uiPriority w:val="99"/>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 w:type="paragraph" w:customStyle="1" w:styleId="Default">
    <w:name w:val="Default"/>
    <w:rsid w:val="006E1DBB"/>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47C2E"/>
    <w:pPr>
      <w:spacing w:after="0" w:line="240" w:lineRule="auto"/>
    </w:pPr>
    <w:rPr>
      <w:rFonts w:ascii="Arial" w:eastAsia="Times New Roman" w:hAnsi="Arial" w:cs="Times New Roman"/>
      <w:sz w:val="18"/>
      <w:szCs w:val="20"/>
      <w:lang w:eastAsia="cs-CZ"/>
    </w:rPr>
  </w:style>
  <w:style w:type="paragraph" w:styleId="Textpoznpodarou">
    <w:name w:val="footnote text"/>
    <w:basedOn w:val="Normln"/>
    <w:link w:val="TextpoznpodarouChar"/>
    <w:uiPriority w:val="99"/>
    <w:semiHidden/>
    <w:unhideWhenUsed/>
    <w:rsid w:val="00AA6453"/>
    <w:rPr>
      <w:sz w:val="20"/>
    </w:rPr>
  </w:style>
  <w:style w:type="character" w:customStyle="1" w:styleId="TextpoznpodarouChar">
    <w:name w:val="Text pozn. pod čarou Char"/>
    <w:basedOn w:val="Standardnpsmoodstavce"/>
    <w:link w:val="Textpoznpodarou"/>
    <w:uiPriority w:val="99"/>
    <w:semiHidden/>
    <w:rsid w:val="00AA645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AA6453"/>
    <w:rPr>
      <w:vertAlign w:val="superscript"/>
    </w:rPr>
  </w:style>
  <w:style w:type="character" w:customStyle="1" w:styleId="cf01">
    <w:name w:val="cf01"/>
    <w:basedOn w:val="Standardnpsmoodstavce"/>
    <w:rsid w:val="009835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939">
      <w:bodyDiv w:val="1"/>
      <w:marLeft w:val="0"/>
      <w:marRight w:val="0"/>
      <w:marTop w:val="0"/>
      <w:marBottom w:val="0"/>
      <w:divBdr>
        <w:top w:val="none" w:sz="0" w:space="0" w:color="auto"/>
        <w:left w:val="none" w:sz="0" w:space="0" w:color="auto"/>
        <w:bottom w:val="none" w:sz="0" w:space="0" w:color="auto"/>
        <w:right w:val="none" w:sz="0" w:space="0" w:color="auto"/>
      </w:divBdr>
    </w:div>
    <w:div w:id="125004222">
      <w:bodyDiv w:val="1"/>
      <w:marLeft w:val="0"/>
      <w:marRight w:val="0"/>
      <w:marTop w:val="0"/>
      <w:marBottom w:val="0"/>
      <w:divBdr>
        <w:top w:val="none" w:sz="0" w:space="0" w:color="auto"/>
        <w:left w:val="none" w:sz="0" w:space="0" w:color="auto"/>
        <w:bottom w:val="none" w:sz="0" w:space="0" w:color="auto"/>
        <w:right w:val="none" w:sz="0" w:space="0" w:color="auto"/>
      </w:divBdr>
    </w:div>
    <w:div w:id="171840413">
      <w:bodyDiv w:val="1"/>
      <w:marLeft w:val="0"/>
      <w:marRight w:val="0"/>
      <w:marTop w:val="0"/>
      <w:marBottom w:val="0"/>
      <w:divBdr>
        <w:top w:val="none" w:sz="0" w:space="0" w:color="auto"/>
        <w:left w:val="none" w:sz="0" w:space="0" w:color="auto"/>
        <w:bottom w:val="none" w:sz="0" w:space="0" w:color="auto"/>
        <w:right w:val="none" w:sz="0" w:space="0" w:color="auto"/>
      </w:divBdr>
    </w:div>
    <w:div w:id="175772208">
      <w:bodyDiv w:val="1"/>
      <w:marLeft w:val="0"/>
      <w:marRight w:val="0"/>
      <w:marTop w:val="0"/>
      <w:marBottom w:val="0"/>
      <w:divBdr>
        <w:top w:val="none" w:sz="0" w:space="0" w:color="auto"/>
        <w:left w:val="none" w:sz="0" w:space="0" w:color="auto"/>
        <w:bottom w:val="none" w:sz="0" w:space="0" w:color="auto"/>
        <w:right w:val="none" w:sz="0" w:space="0" w:color="auto"/>
      </w:divBdr>
    </w:div>
    <w:div w:id="213080258">
      <w:bodyDiv w:val="1"/>
      <w:marLeft w:val="0"/>
      <w:marRight w:val="0"/>
      <w:marTop w:val="0"/>
      <w:marBottom w:val="0"/>
      <w:divBdr>
        <w:top w:val="none" w:sz="0" w:space="0" w:color="auto"/>
        <w:left w:val="none" w:sz="0" w:space="0" w:color="auto"/>
        <w:bottom w:val="none" w:sz="0" w:space="0" w:color="auto"/>
        <w:right w:val="none" w:sz="0" w:space="0" w:color="auto"/>
      </w:divBdr>
    </w:div>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27892470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0087060">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389623159">
      <w:bodyDiv w:val="1"/>
      <w:marLeft w:val="0"/>
      <w:marRight w:val="0"/>
      <w:marTop w:val="0"/>
      <w:marBottom w:val="0"/>
      <w:divBdr>
        <w:top w:val="none" w:sz="0" w:space="0" w:color="auto"/>
        <w:left w:val="none" w:sz="0" w:space="0" w:color="auto"/>
        <w:bottom w:val="none" w:sz="0" w:space="0" w:color="auto"/>
        <w:right w:val="none" w:sz="0" w:space="0" w:color="auto"/>
      </w:divBdr>
    </w:div>
    <w:div w:id="433131831">
      <w:bodyDiv w:val="1"/>
      <w:marLeft w:val="0"/>
      <w:marRight w:val="0"/>
      <w:marTop w:val="0"/>
      <w:marBottom w:val="0"/>
      <w:divBdr>
        <w:top w:val="none" w:sz="0" w:space="0" w:color="auto"/>
        <w:left w:val="none" w:sz="0" w:space="0" w:color="auto"/>
        <w:bottom w:val="none" w:sz="0" w:space="0" w:color="auto"/>
        <w:right w:val="none" w:sz="0" w:space="0" w:color="auto"/>
      </w:divBdr>
    </w:div>
    <w:div w:id="434447739">
      <w:bodyDiv w:val="1"/>
      <w:marLeft w:val="0"/>
      <w:marRight w:val="0"/>
      <w:marTop w:val="0"/>
      <w:marBottom w:val="0"/>
      <w:divBdr>
        <w:top w:val="none" w:sz="0" w:space="0" w:color="auto"/>
        <w:left w:val="none" w:sz="0" w:space="0" w:color="auto"/>
        <w:bottom w:val="none" w:sz="0" w:space="0" w:color="auto"/>
        <w:right w:val="none" w:sz="0" w:space="0" w:color="auto"/>
      </w:divBdr>
    </w:div>
    <w:div w:id="486096695">
      <w:bodyDiv w:val="1"/>
      <w:marLeft w:val="0"/>
      <w:marRight w:val="0"/>
      <w:marTop w:val="0"/>
      <w:marBottom w:val="0"/>
      <w:divBdr>
        <w:top w:val="none" w:sz="0" w:space="0" w:color="auto"/>
        <w:left w:val="none" w:sz="0" w:space="0" w:color="auto"/>
        <w:bottom w:val="none" w:sz="0" w:space="0" w:color="auto"/>
        <w:right w:val="none" w:sz="0" w:space="0" w:color="auto"/>
      </w:divBdr>
    </w:div>
    <w:div w:id="622227915">
      <w:bodyDiv w:val="1"/>
      <w:marLeft w:val="0"/>
      <w:marRight w:val="0"/>
      <w:marTop w:val="0"/>
      <w:marBottom w:val="0"/>
      <w:divBdr>
        <w:top w:val="none" w:sz="0" w:space="0" w:color="auto"/>
        <w:left w:val="none" w:sz="0" w:space="0" w:color="auto"/>
        <w:bottom w:val="none" w:sz="0" w:space="0" w:color="auto"/>
        <w:right w:val="none" w:sz="0" w:space="0" w:color="auto"/>
      </w:divBdr>
    </w:div>
    <w:div w:id="693072444">
      <w:bodyDiv w:val="1"/>
      <w:marLeft w:val="0"/>
      <w:marRight w:val="0"/>
      <w:marTop w:val="0"/>
      <w:marBottom w:val="0"/>
      <w:divBdr>
        <w:top w:val="none" w:sz="0" w:space="0" w:color="auto"/>
        <w:left w:val="none" w:sz="0" w:space="0" w:color="auto"/>
        <w:bottom w:val="none" w:sz="0" w:space="0" w:color="auto"/>
        <w:right w:val="none" w:sz="0" w:space="0" w:color="auto"/>
      </w:divBdr>
    </w:div>
    <w:div w:id="740103959">
      <w:bodyDiv w:val="1"/>
      <w:marLeft w:val="0"/>
      <w:marRight w:val="0"/>
      <w:marTop w:val="0"/>
      <w:marBottom w:val="0"/>
      <w:divBdr>
        <w:top w:val="none" w:sz="0" w:space="0" w:color="auto"/>
        <w:left w:val="none" w:sz="0" w:space="0" w:color="auto"/>
        <w:bottom w:val="none" w:sz="0" w:space="0" w:color="auto"/>
        <w:right w:val="none" w:sz="0" w:space="0" w:color="auto"/>
      </w:divBdr>
    </w:div>
    <w:div w:id="744883708">
      <w:bodyDiv w:val="1"/>
      <w:marLeft w:val="0"/>
      <w:marRight w:val="0"/>
      <w:marTop w:val="0"/>
      <w:marBottom w:val="0"/>
      <w:divBdr>
        <w:top w:val="none" w:sz="0" w:space="0" w:color="auto"/>
        <w:left w:val="none" w:sz="0" w:space="0" w:color="auto"/>
        <w:bottom w:val="none" w:sz="0" w:space="0" w:color="auto"/>
        <w:right w:val="none" w:sz="0" w:space="0" w:color="auto"/>
      </w:divBdr>
    </w:div>
    <w:div w:id="775829942">
      <w:bodyDiv w:val="1"/>
      <w:marLeft w:val="0"/>
      <w:marRight w:val="0"/>
      <w:marTop w:val="0"/>
      <w:marBottom w:val="0"/>
      <w:divBdr>
        <w:top w:val="none" w:sz="0" w:space="0" w:color="auto"/>
        <w:left w:val="none" w:sz="0" w:space="0" w:color="auto"/>
        <w:bottom w:val="none" w:sz="0" w:space="0" w:color="auto"/>
        <w:right w:val="none" w:sz="0" w:space="0" w:color="auto"/>
      </w:divBdr>
    </w:div>
    <w:div w:id="794324714">
      <w:bodyDiv w:val="1"/>
      <w:marLeft w:val="0"/>
      <w:marRight w:val="0"/>
      <w:marTop w:val="0"/>
      <w:marBottom w:val="0"/>
      <w:divBdr>
        <w:top w:val="none" w:sz="0" w:space="0" w:color="auto"/>
        <w:left w:val="none" w:sz="0" w:space="0" w:color="auto"/>
        <w:bottom w:val="none" w:sz="0" w:space="0" w:color="auto"/>
        <w:right w:val="none" w:sz="0" w:space="0" w:color="auto"/>
      </w:divBdr>
    </w:div>
    <w:div w:id="844367420">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74662016">
      <w:bodyDiv w:val="1"/>
      <w:marLeft w:val="0"/>
      <w:marRight w:val="0"/>
      <w:marTop w:val="0"/>
      <w:marBottom w:val="0"/>
      <w:divBdr>
        <w:top w:val="none" w:sz="0" w:space="0" w:color="auto"/>
        <w:left w:val="none" w:sz="0" w:space="0" w:color="auto"/>
        <w:bottom w:val="none" w:sz="0" w:space="0" w:color="auto"/>
        <w:right w:val="none" w:sz="0" w:space="0" w:color="auto"/>
      </w:divBdr>
    </w:div>
    <w:div w:id="881596654">
      <w:bodyDiv w:val="1"/>
      <w:marLeft w:val="0"/>
      <w:marRight w:val="0"/>
      <w:marTop w:val="0"/>
      <w:marBottom w:val="0"/>
      <w:divBdr>
        <w:top w:val="none" w:sz="0" w:space="0" w:color="auto"/>
        <w:left w:val="none" w:sz="0" w:space="0" w:color="auto"/>
        <w:bottom w:val="none" w:sz="0" w:space="0" w:color="auto"/>
        <w:right w:val="none" w:sz="0" w:space="0" w:color="auto"/>
      </w:divBdr>
    </w:div>
    <w:div w:id="952638638">
      <w:bodyDiv w:val="1"/>
      <w:marLeft w:val="0"/>
      <w:marRight w:val="0"/>
      <w:marTop w:val="0"/>
      <w:marBottom w:val="0"/>
      <w:divBdr>
        <w:top w:val="none" w:sz="0" w:space="0" w:color="auto"/>
        <w:left w:val="none" w:sz="0" w:space="0" w:color="auto"/>
        <w:bottom w:val="none" w:sz="0" w:space="0" w:color="auto"/>
        <w:right w:val="none" w:sz="0" w:space="0" w:color="auto"/>
      </w:divBdr>
    </w:div>
    <w:div w:id="972368172">
      <w:bodyDiv w:val="1"/>
      <w:marLeft w:val="0"/>
      <w:marRight w:val="0"/>
      <w:marTop w:val="0"/>
      <w:marBottom w:val="0"/>
      <w:divBdr>
        <w:top w:val="none" w:sz="0" w:space="0" w:color="auto"/>
        <w:left w:val="none" w:sz="0" w:space="0" w:color="auto"/>
        <w:bottom w:val="none" w:sz="0" w:space="0" w:color="auto"/>
        <w:right w:val="none" w:sz="0" w:space="0" w:color="auto"/>
      </w:divBdr>
    </w:div>
    <w:div w:id="974721017">
      <w:bodyDiv w:val="1"/>
      <w:marLeft w:val="0"/>
      <w:marRight w:val="0"/>
      <w:marTop w:val="0"/>
      <w:marBottom w:val="0"/>
      <w:divBdr>
        <w:top w:val="none" w:sz="0" w:space="0" w:color="auto"/>
        <w:left w:val="none" w:sz="0" w:space="0" w:color="auto"/>
        <w:bottom w:val="none" w:sz="0" w:space="0" w:color="auto"/>
        <w:right w:val="none" w:sz="0" w:space="0" w:color="auto"/>
      </w:divBdr>
    </w:div>
    <w:div w:id="1031538979">
      <w:bodyDiv w:val="1"/>
      <w:marLeft w:val="0"/>
      <w:marRight w:val="0"/>
      <w:marTop w:val="0"/>
      <w:marBottom w:val="0"/>
      <w:divBdr>
        <w:top w:val="none" w:sz="0" w:space="0" w:color="auto"/>
        <w:left w:val="none" w:sz="0" w:space="0" w:color="auto"/>
        <w:bottom w:val="none" w:sz="0" w:space="0" w:color="auto"/>
        <w:right w:val="none" w:sz="0" w:space="0" w:color="auto"/>
      </w:divBdr>
    </w:div>
    <w:div w:id="1053165063">
      <w:bodyDiv w:val="1"/>
      <w:marLeft w:val="0"/>
      <w:marRight w:val="0"/>
      <w:marTop w:val="0"/>
      <w:marBottom w:val="0"/>
      <w:divBdr>
        <w:top w:val="none" w:sz="0" w:space="0" w:color="auto"/>
        <w:left w:val="none" w:sz="0" w:space="0" w:color="auto"/>
        <w:bottom w:val="none" w:sz="0" w:space="0" w:color="auto"/>
        <w:right w:val="none" w:sz="0" w:space="0" w:color="auto"/>
      </w:divBdr>
    </w:div>
    <w:div w:id="1132677217">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247962172">
      <w:bodyDiv w:val="1"/>
      <w:marLeft w:val="0"/>
      <w:marRight w:val="0"/>
      <w:marTop w:val="0"/>
      <w:marBottom w:val="0"/>
      <w:divBdr>
        <w:top w:val="none" w:sz="0" w:space="0" w:color="auto"/>
        <w:left w:val="none" w:sz="0" w:space="0" w:color="auto"/>
        <w:bottom w:val="none" w:sz="0" w:space="0" w:color="auto"/>
        <w:right w:val="none" w:sz="0" w:space="0" w:color="auto"/>
      </w:divBdr>
    </w:div>
    <w:div w:id="1285036963">
      <w:bodyDiv w:val="1"/>
      <w:marLeft w:val="0"/>
      <w:marRight w:val="0"/>
      <w:marTop w:val="0"/>
      <w:marBottom w:val="0"/>
      <w:divBdr>
        <w:top w:val="none" w:sz="0" w:space="0" w:color="auto"/>
        <w:left w:val="none" w:sz="0" w:space="0" w:color="auto"/>
        <w:bottom w:val="none" w:sz="0" w:space="0" w:color="auto"/>
        <w:right w:val="none" w:sz="0" w:space="0" w:color="auto"/>
      </w:divBdr>
    </w:div>
    <w:div w:id="1303655994">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509517607">
      <w:bodyDiv w:val="1"/>
      <w:marLeft w:val="0"/>
      <w:marRight w:val="0"/>
      <w:marTop w:val="0"/>
      <w:marBottom w:val="0"/>
      <w:divBdr>
        <w:top w:val="none" w:sz="0" w:space="0" w:color="auto"/>
        <w:left w:val="none" w:sz="0" w:space="0" w:color="auto"/>
        <w:bottom w:val="none" w:sz="0" w:space="0" w:color="auto"/>
        <w:right w:val="none" w:sz="0" w:space="0" w:color="auto"/>
      </w:divBdr>
    </w:div>
    <w:div w:id="1553422533">
      <w:bodyDiv w:val="1"/>
      <w:marLeft w:val="0"/>
      <w:marRight w:val="0"/>
      <w:marTop w:val="0"/>
      <w:marBottom w:val="0"/>
      <w:divBdr>
        <w:top w:val="none" w:sz="0" w:space="0" w:color="auto"/>
        <w:left w:val="none" w:sz="0" w:space="0" w:color="auto"/>
        <w:bottom w:val="none" w:sz="0" w:space="0" w:color="auto"/>
        <w:right w:val="none" w:sz="0" w:space="0" w:color="auto"/>
      </w:divBdr>
    </w:div>
    <w:div w:id="1575361020">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670793888">
      <w:bodyDiv w:val="1"/>
      <w:marLeft w:val="0"/>
      <w:marRight w:val="0"/>
      <w:marTop w:val="0"/>
      <w:marBottom w:val="0"/>
      <w:divBdr>
        <w:top w:val="none" w:sz="0" w:space="0" w:color="auto"/>
        <w:left w:val="none" w:sz="0" w:space="0" w:color="auto"/>
        <w:bottom w:val="none" w:sz="0" w:space="0" w:color="auto"/>
        <w:right w:val="none" w:sz="0" w:space="0" w:color="auto"/>
      </w:divBdr>
    </w:div>
    <w:div w:id="1675649168">
      <w:bodyDiv w:val="1"/>
      <w:marLeft w:val="0"/>
      <w:marRight w:val="0"/>
      <w:marTop w:val="0"/>
      <w:marBottom w:val="0"/>
      <w:divBdr>
        <w:top w:val="none" w:sz="0" w:space="0" w:color="auto"/>
        <w:left w:val="none" w:sz="0" w:space="0" w:color="auto"/>
        <w:bottom w:val="none" w:sz="0" w:space="0" w:color="auto"/>
        <w:right w:val="none" w:sz="0" w:space="0" w:color="auto"/>
      </w:divBdr>
    </w:div>
    <w:div w:id="1727532493">
      <w:bodyDiv w:val="1"/>
      <w:marLeft w:val="0"/>
      <w:marRight w:val="0"/>
      <w:marTop w:val="0"/>
      <w:marBottom w:val="0"/>
      <w:divBdr>
        <w:top w:val="none" w:sz="0" w:space="0" w:color="auto"/>
        <w:left w:val="none" w:sz="0" w:space="0" w:color="auto"/>
        <w:bottom w:val="none" w:sz="0" w:space="0" w:color="auto"/>
        <w:right w:val="none" w:sz="0" w:space="0" w:color="auto"/>
      </w:divBdr>
    </w:div>
    <w:div w:id="1757242897">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2473887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2033920408">
      <w:bodyDiv w:val="1"/>
      <w:marLeft w:val="0"/>
      <w:marRight w:val="0"/>
      <w:marTop w:val="0"/>
      <w:marBottom w:val="0"/>
      <w:divBdr>
        <w:top w:val="none" w:sz="0" w:space="0" w:color="auto"/>
        <w:left w:val="none" w:sz="0" w:space="0" w:color="auto"/>
        <w:bottom w:val="none" w:sz="0" w:space="0" w:color="auto"/>
        <w:right w:val="none" w:sz="0" w:space="0" w:color="auto"/>
      </w:divBdr>
    </w:div>
    <w:div w:id="2048217982">
      <w:bodyDiv w:val="1"/>
      <w:marLeft w:val="0"/>
      <w:marRight w:val="0"/>
      <w:marTop w:val="0"/>
      <w:marBottom w:val="0"/>
      <w:divBdr>
        <w:top w:val="none" w:sz="0" w:space="0" w:color="auto"/>
        <w:left w:val="none" w:sz="0" w:space="0" w:color="auto"/>
        <w:bottom w:val="none" w:sz="0" w:space="0" w:color="auto"/>
        <w:right w:val="none" w:sz="0" w:space="0" w:color="auto"/>
      </w:divBdr>
    </w:div>
    <w:div w:id="2071535983">
      <w:bodyDiv w:val="1"/>
      <w:marLeft w:val="0"/>
      <w:marRight w:val="0"/>
      <w:marTop w:val="0"/>
      <w:marBottom w:val="0"/>
      <w:divBdr>
        <w:top w:val="none" w:sz="0" w:space="0" w:color="auto"/>
        <w:left w:val="none" w:sz="0" w:space="0" w:color="auto"/>
        <w:bottom w:val="none" w:sz="0" w:space="0" w:color="auto"/>
        <w:right w:val="none" w:sz="0" w:space="0" w:color="auto"/>
      </w:divBdr>
    </w:div>
    <w:div w:id="2121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8650-8B43-417C-931A-06049C16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8996</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UGIS</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vlachova</dc:creator>
  <cp:lastModifiedBy>Radana Možná</cp:lastModifiedBy>
  <cp:revision>2</cp:revision>
  <cp:lastPrinted>2022-05-11T14:33:00Z</cp:lastPrinted>
  <dcterms:created xsi:type="dcterms:W3CDTF">2022-05-12T15:59:00Z</dcterms:created>
  <dcterms:modified xsi:type="dcterms:W3CDTF">2022-05-12T15:59:00Z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Pavel.Sobisek@unicreditgroup.cz</vt:lpwstr>
  </property>
  <property fmtid="{D5CDD505-2E9C-101B-9397-08002B2CF9AE}" pid="5" name="MSIP_Label_390254f4-34d0-49c5-b888-af4abf762ef7_SetDate">
    <vt:lpwstr>2020-01-15T16:11:29.8787231Z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43f3763f-d3c6-435c-ae50-a4a40081b5fb</vt:lpwstr>
  </property>
  <property fmtid="{D5CDD505-2E9C-101B-9397-08002B2CF9AE}" pid="9" name="MSIP_Label_390254f4-34d0-49c5-b888-af4abf762ef7_Extended_MSFT_Method">
    <vt:lpwstr>Automatic</vt:lpwstr>
  </property>
  <property fmtid="{D5CDD505-2E9C-101B-9397-08002B2CF9AE}" pid="10" name="MSIP_Label_faa92781-1fcb-4da3-a1a2-e534c28a25f3_Enabled">
    <vt:lpwstr>True</vt:lpwstr>
  </property>
  <property fmtid="{D5CDD505-2E9C-101B-9397-08002B2CF9AE}" pid="11" name="MSIP_Label_faa92781-1fcb-4da3-a1a2-e534c28a25f3_SiteId">
    <vt:lpwstr>2cc49ce9-66a1-41ac-a96b-bdc54247696a</vt:lpwstr>
  </property>
  <property fmtid="{D5CDD505-2E9C-101B-9397-08002B2CF9AE}" pid="12" name="MSIP_Label_faa92781-1fcb-4da3-a1a2-e534c28a25f3_Owner">
    <vt:lpwstr>Pavel.Sobisek@unicreditgroup.cz</vt:lpwstr>
  </property>
  <property fmtid="{D5CDD505-2E9C-101B-9397-08002B2CF9AE}" pid="13" name="MSIP_Label_faa92781-1fcb-4da3-a1a2-e534c28a25f3_SetDate">
    <vt:lpwstr>2020-01-15T16:11:29.8787231Z</vt:lpwstr>
  </property>
  <property fmtid="{D5CDD505-2E9C-101B-9397-08002B2CF9AE}" pid="14" name="MSIP_Label_faa92781-1fcb-4da3-a1a2-e534c28a25f3_Name">
    <vt:lpwstr>in UniCredit Group - no visual markings</vt:lpwstr>
  </property>
  <property fmtid="{D5CDD505-2E9C-101B-9397-08002B2CF9AE}" pid="15" name="MSIP_Label_faa92781-1fcb-4da3-a1a2-e534c28a25f3_Application">
    <vt:lpwstr>Microsoft Azure Information Protection</vt:lpwstr>
  </property>
  <property fmtid="{D5CDD505-2E9C-101B-9397-08002B2CF9AE}" pid="16" name="MSIP_Label_faa92781-1fcb-4da3-a1a2-e534c28a25f3_ActionId">
    <vt:lpwstr>43f3763f-d3c6-435c-ae50-a4a40081b5fb</vt:lpwstr>
  </property>
  <property fmtid="{D5CDD505-2E9C-101B-9397-08002B2CF9AE}" pid="17" name="MSIP_Label_faa92781-1fcb-4da3-a1a2-e534c28a25f3_Parent">
    <vt:lpwstr>390254f4-34d0-49c5-b888-af4abf762ef7</vt:lpwstr>
  </property>
  <property fmtid="{D5CDD505-2E9C-101B-9397-08002B2CF9AE}" pid="18" name="MSIP_Label_faa92781-1fcb-4da3-a1a2-e534c28a25f3_Extended_MSFT_Method">
    <vt:lpwstr>Automatic</vt:lpwstr>
  </property>
  <property fmtid="{D5CDD505-2E9C-101B-9397-08002B2CF9AE}" pid="19" name="Sensitivity">
    <vt:lpwstr>Internal Use Only in UniCredit Group - no visual markings</vt:lpwstr>
  </property>
  <property fmtid="{D5CDD505-2E9C-101B-9397-08002B2CF9AE}" pid="20" name="MSIP_Label_2b3a104e-2916-42dc-a2f6-6210338509ed_Enabled">
    <vt:lpwstr>True</vt:lpwstr>
  </property>
  <property fmtid="{D5CDD505-2E9C-101B-9397-08002B2CF9AE}" pid="21" name="MSIP_Label_2b3a104e-2916-42dc-a2f6-6210338509ed_SiteId">
    <vt:lpwstr>e70aafb3-2e89-46a5-ba50-66803e8a4411</vt:lpwstr>
  </property>
  <property fmtid="{D5CDD505-2E9C-101B-9397-08002B2CF9AE}" pid="22" name="MSIP_Label_2b3a104e-2916-42dc-a2f6-6210338509ed_Owner">
    <vt:lpwstr>cen87316@csin.cz</vt:lpwstr>
  </property>
  <property fmtid="{D5CDD505-2E9C-101B-9397-08002B2CF9AE}" pid="23" name="MSIP_Label_2b3a104e-2916-42dc-a2f6-6210338509ed_SetDate">
    <vt:lpwstr>2020-01-17T08:10:02.3455520Z</vt:lpwstr>
  </property>
  <property fmtid="{D5CDD505-2E9C-101B-9397-08002B2CF9AE}" pid="24" name="MSIP_Label_2b3a104e-2916-42dc-a2f6-6210338509ed_Name">
    <vt:lpwstr>CS Internal</vt:lpwstr>
  </property>
  <property fmtid="{D5CDD505-2E9C-101B-9397-08002B2CF9AE}" pid="25" name="MSIP_Label_2b3a104e-2916-42dc-a2f6-6210338509ed_Application">
    <vt:lpwstr>Microsoft Azure Information Protection</vt:lpwstr>
  </property>
  <property fmtid="{D5CDD505-2E9C-101B-9397-08002B2CF9AE}" pid="26" name="MSIP_Label_2b3a104e-2916-42dc-a2f6-6210338509ed_ActionId">
    <vt:lpwstr>60b9ebe4-46ae-459c-bf59-6a05f328379e</vt:lpwstr>
  </property>
  <property fmtid="{D5CDD505-2E9C-101B-9397-08002B2CF9AE}" pid="27" name="MSIP_Label_2b3a104e-2916-42dc-a2f6-6210338509ed_Extended_MSFT_Method">
    <vt:lpwstr>Automatic</vt:lpwstr>
  </property>
  <property fmtid="{D5CDD505-2E9C-101B-9397-08002B2CF9AE}" pid="28" name="MSIP_Label_076d9757-80ae-4c87-b4d7-9ffa7a0710d0_Enabled">
    <vt:lpwstr>true</vt:lpwstr>
  </property>
  <property fmtid="{D5CDD505-2E9C-101B-9397-08002B2CF9AE}" pid="29" name="MSIP_Label_076d9757-80ae-4c87-b4d7-9ffa7a0710d0_SetDate">
    <vt:lpwstr>2021-05-09T16:09:36Z</vt:lpwstr>
  </property>
  <property fmtid="{D5CDD505-2E9C-101B-9397-08002B2CF9AE}" pid="30" name="MSIP_Label_076d9757-80ae-4c87-b4d7-9ffa7a0710d0_Method">
    <vt:lpwstr>Standard</vt:lpwstr>
  </property>
  <property fmtid="{D5CDD505-2E9C-101B-9397-08002B2CF9AE}" pid="31" name="MSIP_Label_076d9757-80ae-4c87-b4d7-9ffa7a0710d0_Name">
    <vt:lpwstr>C1 - Internal</vt:lpwstr>
  </property>
  <property fmtid="{D5CDD505-2E9C-101B-9397-08002B2CF9AE}" pid="32" name="MSIP_Label_076d9757-80ae-4c87-b4d7-9ffa7a0710d0_SiteId">
    <vt:lpwstr>c79e7c80-cff5-4503-b468-3702cea89272</vt:lpwstr>
  </property>
  <property fmtid="{D5CDD505-2E9C-101B-9397-08002B2CF9AE}" pid="33" name="MSIP_Label_076d9757-80ae-4c87-b4d7-9ffa7a0710d0_ActionId">
    <vt:lpwstr>e6da5af1-39f2-4f2b-b59b-984e27099740</vt:lpwstr>
  </property>
  <property fmtid="{D5CDD505-2E9C-101B-9397-08002B2CF9AE}" pid="34" name="MSIP_Label_076d9757-80ae-4c87-b4d7-9ffa7a0710d0_ContentBits">
    <vt:lpwstr>0</vt:lpwstr>
  </property>
  <property fmtid="{D5CDD505-2E9C-101B-9397-08002B2CF9AE}" pid="35" name="Kod_Duvernosti">
    <vt:lpwstr>KB_C1_INTERNAL_992521</vt:lpwstr>
  </property>
  <property fmtid="{D5CDD505-2E9C-101B-9397-08002B2CF9AE}" pid="36" name="MSIP_Label_2a6524ed-fb1a-49fd-bafe-15c5e5ffd047_Enabled">
    <vt:lpwstr>true</vt:lpwstr>
  </property>
  <property fmtid="{D5CDD505-2E9C-101B-9397-08002B2CF9AE}" pid="37" name="MSIP_Label_2a6524ed-fb1a-49fd-bafe-15c5e5ffd047_SetDate">
    <vt:lpwstr>2021-05-10T05:54:55Z</vt:lpwstr>
  </property>
  <property fmtid="{D5CDD505-2E9C-101B-9397-08002B2CF9AE}" pid="38" name="MSIP_Label_2a6524ed-fb1a-49fd-bafe-15c5e5ffd047_Method">
    <vt:lpwstr>Standard</vt:lpwstr>
  </property>
  <property fmtid="{D5CDD505-2E9C-101B-9397-08002B2CF9AE}" pid="39" name="MSIP_Label_2a6524ed-fb1a-49fd-bafe-15c5e5ffd047_Name">
    <vt:lpwstr>Internal</vt:lpwstr>
  </property>
  <property fmtid="{D5CDD505-2E9C-101B-9397-08002B2CF9AE}" pid="40" name="MSIP_Label_2a6524ed-fb1a-49fd-bafe-15c5e5ffd047_SiteId">
    <vt:lpwstr>9b511fda-f0b1-43a5-b06e-1e720f64520a</vt:lpwstr>
  </property>
  <property fmtid="{D5CDD505-2E9C-101B-9397-08002B2CF9AE}" pid="41" name="MSIP_Label_2a6524ed-fb1a-49fd-bafe-15c5e5ffd047_ActionId">
    <vt:lpwstr>6e16e441-bca8-45fa-8e42-4b14b422a2ce</vt:lpwstr>
  </property>
  <property fmtid="{D5CDD505-2E9C-101B-9397-08002B2CF9AE}" pid="42" name="MSIP_Label_2a6524ed-fb1a-49fd-bafe-15c5e5ffd047_ContentBits">
    <vt:lpwstr>0</vt:lpwstr>
  </property>
</Properties>
</file>