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110B" w:rsidRPr="0050110B" w14:paraId="3376B46F" w14:textId="77777777" w:rsidTr="0050110B">
        <w:trPr>
          <w:tblCellSpacing w:w="0" w:type="dxa"/>
        </w:trPr>
        <w:tc>
          <w:tcPr>
            <w:tcW w:w="0" w:type="auto"/>
            <w:shd w:val="clear" w:color="auto" w:fill="0F435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110B" w:rsidRPr="0050110B" w14:paraId="63EA3EE8" w14:textId="77777777" w:rsidTr="0050110B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F45CD84" w14:textId="77777777" w:rsidR="0050110B" w:rsidRPr="0050110B" w:rsidRDefault="0050110B" w:rsidP="0050110B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FFFFFF"/>
                      <w:sz w:val="27"/>
                      <w:szCs w:val="27"/>
                      <w:lang w:eastAsia="cs-CZ"/>
                    </w:rPr>
                  </w:pPr>
                  <w:r w:rsidRPr="0050110B">
                    <w:rPr>
                      <w:rFonts w:ascii="Verdana" w:eastAsia="Times New Roman" w:hAnsi="Verdana" w:cs="Times New Roman"/>
                      <w:color w:val="FFFFFF"/>
                      <w:sz w:val="27"/>
                      <w:szCs w:val="27"/>
                      <w:lang w:eastAsia="cs-CZ"/>
                    </w:rPr>
                    <w:t>09/2022</w:t>
                  </w:r>
                </w:p>
              </w:tc>
            </w:tr>
          </w:tbl>
          <w:p w14:paraId="2C7C3129" w14:textId="77777777" w:rsidR="0050110B" w:rsidRPr="0050110B" w:rsidRDefault="0050110B" w:rsidP="00501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cs-CZ"/>
              </w:rPr>
            </w:pPr>
          </w:p>
        </w:tc>
      </w:tr>
      <w:tr w:rsidR="0050110B" w:rsidRPr="0050110B" w14:paraId="5869632A" w14:textId="77777777" w:rsidTr="005011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0110B" w:rsidRPr="0050110B" w14:paraId="283DAB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0" w:type="dxa"/>
                    <w:left w:w="300" w:type="dxa"/>
                    <w:bottom w:w="600" w:type="dxa"/>
                    <w:right w:w="300" w:type="dxa"/>
                  </w:tcMar>
                  <w:vAlign w:val="center"/>
                  <w:hideMark/>
                </w:tcPr>
                <w:p w14:paraId="6BF4C530" w14:textId="146C2797" w:rsidR="0050110B" w:rsidRPr="0050110B" w:rsidRDefault="0050110B" w:rsidP="00501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50110B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drawing>
                      <wp:inline distT="0" distB="0" distL="0" distR="0" wp14:anchorId="2A7DBCB9" wp14:editId="0CF47732">
                        <wp:extent cx="4352925" cy="853843"/>
                        <wp:effectExtent l="0" t="0" r="0" b="3810"/>
                        <wp:docPr id="2" name="Obrázek 2" descr="C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6473" cy="86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0E8A75C" w14:textId="77777777" w:rsidR="0050110B" w:rsidRPr="0050110B" w:rsidRDefault="0050110B" w:rsidP="0050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50110B" w:rsidRPr="0050110B" w14:paraId="17F4E059" w14:textId="77777777" w:rsidTr="0050110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0110B" w:rsidRPr="0050110B" w14:paraId="6104DD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5E0E2DEE" w14:textId="77777777" w:rsidR="0050110B" w:rsidRPr="0050110B" w:rsidRDefault="0050110B" w:rsidP="0050110B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Dear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Colleagues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,</w:t>
                  </w:r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br/>
                  </w:r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Although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bad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news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pouring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in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from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every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direction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I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do my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best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optimistic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time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focus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only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positive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news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of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past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two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weeks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.</w:t>
                  </w:r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big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news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COVID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statistics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are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slowly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but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surely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going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down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 return to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normal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within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reach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Hopefully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this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trend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last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 long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time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 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all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deserve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and so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does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our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economy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.</w:t>
                  </w:r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planned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repetition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of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graceful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summer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undoubtedly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represents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another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piece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of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good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news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and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currently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being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approved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.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However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can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assumed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draft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document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which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has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been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prepared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on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basis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of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agreement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between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coalition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parties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be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passed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by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Parliament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so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that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debtors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will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once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again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have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opportunity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repay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their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debts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to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municipalities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health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insurance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companies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transport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companies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for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example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,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with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no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interest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other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higher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fees</w:t>
                  </w:r>
                  <w:proofErr w:type="spellEnd"/>
                  <w:r w:rsidRPr="0050110B">
                    <w:rPr>
                      <w:rFonts w:ascii="Verdana" w:eastAsia="Times New Roman" w:hAnsi="Verdana" w:cs="Times New Roman"/>
                      <w:color w:val="A9936D"/>
                      <w:sz w:val="21"/>
                      <w:szCs w:val="21"/>
                      <w:lang w:eastAsia="cs-CZ"/>
                    </w:rPr>
                    <w:t>.</w:t>
                  </w:r>
                </w:p>
              </w:tc>
            </w:tr>
          </w:tbl>
          <w:p w14:paraId="12C4837C" w14:textId="77777777" w:rsidR="0050110B" w:rsidRPr="0050110B" w:rsidRDefault="0050110B" w:rsidP="0050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50110B" w:rsidRPr="0050110B" w14:paraId="54AD4B8D" w14:textId="77777777" w:rsidTr="0050110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3450"/>
            </w:tblGrid>
            <w:tr w:rsidR="0050110B" w:rsidRPr="0050110B" w14:paraId="6EAE2C07" w14:textId="77777777">
              <w:trPr>
                <w:tblCellSpacing w:w="0" w:type="dxa"/>
                <w:jc w:val="center"/>
              </w:trPr>
              <w:tc>
                <w:tcPr>
                  <w:tcW w:w="5550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50110B" w:rsidRPr="0050110B" w14:paraId="0E1E87E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284F87EE" w14:textId="77777777" w:rsidR="0050110B" w:rsidRPr="0050110B" w:rsidRDefault="0050110B" w:rsidP="0050110B">
                        <w:pPr>
                          <w:spacing w:after="0" w:line="330" w:lineRule="atLeast"/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last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piece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of positive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information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I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would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like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mention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fact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that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despite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rising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inflation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proportion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of non-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performing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loans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not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rising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. On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contrary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it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declining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still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Czech Republic,  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both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terms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of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corporate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loans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loans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households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among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lowest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Europe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Europe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development of non-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performing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loans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one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of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most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important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indicators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of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economy's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health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.</w:t>
                        </w:r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br/>
                          <w:t xml:space="preserve">Let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us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hope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that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there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will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be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more and more of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good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news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. I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wish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us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all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best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!</w:t>
                        </w:r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r w:rsidRPr="0050110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9936D"/>
                            <w:sz w:val="21"/>
                            <w:szCs w:val="21"/>
                            <w:lang w:eastAsia="cs-CZ"/>
                          </w:rPr>
                          <w:t>Monika Zahálková</w:t>
                        </w:r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Managing</w:t>
                        </w:r>
                        <w:proofErr w:type="spellEnd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0110B">
                          <w:rPr>
                            <w:rFonts w:ascii="Verdana" w:eastAsia="Times New Roman" w:hAnsi="Verdana" w:cs="Times New Roman"/>
                            <w:color w:val="A9936D"/>
                            <w:sz w:val="21"/>
                            <w:szCs w:val="21"/>
                            <w:lang w:eastAsia="cs-CZ"/>
                          </w:rPr>
                          <w:t>Director</w:t>
                        </w:r>
                        <w:proofErr w:type="spellEnd"/>
                      </w:p>
                    </w:tc>
                  </w:tr>
                </w:tbl>
                <w:p w14:paraId="444FBB73" w14:textId="77777777" w:rsidR="0050110B" w:rsidRPr="0050110B" w:rsidRDefault="0050110B" w:rsidP="005011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450" w:type="dxa"/>
                  <w:vAlign w:val="bottom"/>
                  <w:hideMark/>
                </w:tcPr>
                <w:p w14:paraId="41D6F628" w14:textId="210EBCD0" w:rsidR="0050110B" w:rsidRPr="0050110B" w:rsidRDefault="0050110B" w:rsidP="005011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  <w:r w:rsidRPr="0050110B"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cs-CZ"/>
                    </w:rPr>
                    <w:drawing>
                      <wp:inline distT="0" distB="0" distL="0" distR="0" wp14:anchorId="34BDC546" wp14:editId="212EF236">
                        <wp:extent cx="2190750" cy="3238500"/>
                        <wp:effectExtent l="0" t="0" r="0" b="0"/>
                        <wp:docPr id="1" name="Obrázek 1" descr="Obsah obrázku osoba, interiér, pózování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ázek 1" descr="Obsah obrázku osoba, interiér, pózování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DBFE08" w14:textId="77777777" w:rsidR="0050110B" w:rsidRPr="0050110B" w:rsidRDefault="0050110B" w:rsidP="0050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cs-CZ"/>
              </w:rPr>
            </w:pPr>
          </w:p>
        </w:tc>
      </w:tr>
      <w:tr w:rsidR="0050110B" w:rsidRPr="0050110B" w14:paraId="50DAD26E" w14:textId="77777777" w:rsidTr="0050110B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13576B"/>
            <w:vAlign w:val="center"/>
            <w:hideMark/>
          </w:tcPr>
          <w:p w14:paraId="25ABF4CB" w14:textId="250867B7" w:rsidR="0050110B" w:rsidRPr="0050110B" w:rsidRDefault="0050110B" w:rsidP="005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cs-CZ"/>
              </w:rPr>
              <w:lastRenderedPageBreak/>
              <w:drawing>
                <wp:inline distT="0" distB="0" distL="0" distR="0" wp14:anchorId="14A1FCEB" wp14:editId="33502782">
                  <wp:extent cx="5715000" cy="1905000"/>
                  <wp:effectExtent l="0" t="0" r="0" b="0"/>
                  <wp:docPr id="15" name="Obrázek 15" descr="News of the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s of the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7B91F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50110B" w:rsidRPr="0050110B" w14:paraId="04762CE1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15E170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Czech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economy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grew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by 4.6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percent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beginning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year</w:t>
            </w:r>
            <w:proofErr w:type="spellEnd"/>
          </w:p>
        </w:tc>
      </w:tr>
      <w:tr w:rsidR="0050110B" w:rsidRPr="0050110B" w14:paraId="72159AC7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44A46724" w14:textId="3EA26813" w:rsidR="0050110B" w:rsidRPr="0050110B" w:rsidRDefault="0050110B" w:rsidP="005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cs-CZ"/>
              </w:rPr>
              <w:drawing>
                <wp:inline distT="0" distB="0" distL="0" distR="0" wp14:anchorId="25708276" wp14:editId="27B3FA9F">
                  <wp:extent cx="5048250" cy="3333750"/>
                  <wp:effectExtent l="0" t="0" r="0" b="0"/>
                  <wp:docPr id="14" name="Obrázek 14" descr="Obsah obrázku text, de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4" descr="Obsah obrázku text, den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10B" w:rsidRPr="0050110B" w14:paraId="6C3C0C89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450" w:type="dxa"/>
              <w:right w:w="300" w:type="dxa"/>
            </w:tcMar>
            <w:vAlign w:val="center"/>
            <w:hideMark/>
          </w:tcPr>
          <w:p w14:paraId="41DFC82B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According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preliminary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estimate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Statistical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Office,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domestic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economy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grew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0.7%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quarter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-on-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quarter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-on-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growth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accelerating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4.6%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3.6%. “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Although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growth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good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news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should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added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two-thirds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already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out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date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given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Russian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invasion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Ukraine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end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February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as a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whole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moderate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growth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about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1%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most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often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expected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but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estimates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should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used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care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given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extreme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uncertainty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CNB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likely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raise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rates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further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next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week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but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given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recent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comments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by CNB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officials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a more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moderate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increase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25 to 50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points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can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expected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,"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 Jakub Seidler,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Chief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Economist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Association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,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instrText xml:space="preserve"> HYPERLINK "https://cbaonline.cz/ekonomika-vzrostla-mezirocne-o-46" \t "_blank" </w:instrTex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50110B">
              <w:rPr>
                <w:rFonts w:ascii="Verdana" w:eastAsia="Times New Roman" w:hAnsi="Verdana" w:cs="Times New Roman"/>
                <w:color w:val="13576B"/>
                <w:sz w:val="21"/>
                <w:szCs w:val="21"/>
                <w:u w:val="single"/>
                <w:lang w:eastAsia="cs-CZ"/>
              </w:rPr>
              <w:t>commented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13576B"/>
                <w:sz w:val="21"/>
                <w:szCs w:val="21"/>
                <w:u w:val="single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13576B"/>
                <w:sz w:val="21"/>
                <w:szCs w:val="21"/>
                <w:u w:val="single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13576B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13576B"/>
                <w:sz w:val="21"/>
                <w:szCs w:val="21"/>
                <w:u w:val="single"/>
                <w:lang w:eastAsia="cs-CZ"/>
              </w:rPr>
              <w:t>preliminary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13576B"/>
                <w:sz w:val="21"/>
                <w:szCs w:val="21"/>
                <w:u w:val="single"/>
                <w:lang w:eastAsia="cs-CZ"/>
              </w:rPr>
              <w:t xml:space="preserve"> GDP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13576B"/>
                <w:sz w:val="21"/>
                <w:szCs w:val="21"/>
                <w:u w:val="single"/>
                <w:lang w:eastAsia="cs-CZ"/>
              </w:rPr>
              <w:t>estimate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end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  <w:p w14:paraId="410EE779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lastRenderedPageBreak/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preliminary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GDP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estimate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does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not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specify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details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economic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development;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statistical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office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only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said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quarter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-on-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quarter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growth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supported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investment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activity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foreign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trade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-on-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growth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however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influenced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comparative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base of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hit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another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pandemic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supported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household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consumption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stock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build,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foreign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demand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had a negative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impact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growth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  <w:p w14:paraId="73D2DC3A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one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hand,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favorable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performance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domestic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economy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quarter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good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news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especially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given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ongoing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issues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supply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chains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negative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effects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energy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crisis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accelerating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inflation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hand,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uncertainty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current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situation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impact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Russian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aggression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economy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make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figure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largely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outdated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informative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capability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thus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noticeably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reduced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  <w:p w14:paraId="7B57A403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"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Despite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today's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slightly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more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favorable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figure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uncertainty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about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future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developments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still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significant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has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escalated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further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recent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days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given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future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natural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gas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supplies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Russia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EU.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stagflation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development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continue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pose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dilemma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CNB's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future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decision-making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,"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added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Jakub Seidler. At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moment,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market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expects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CNB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raise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rates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half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percentage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point in May and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another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quarter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point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June,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rates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remain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level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until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end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Rates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'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peak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about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6%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realistic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according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CNB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officials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</w:tbl>
    <w:p w14:paraId="56B9D0F0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110B" w:rsidRPr="0050110B" w14:paraId="35043005" w14:textId="77777777" w:rsidTr="0050110B">
        <w:trPr>
          <w:tblCellSpacing w:w="0" w:type="dxa"/>
          <w:jc w:val="center"/>
        </w:trPr>
        <w:tc>
          <w:tcPr>
            <w:tcW w:w="0" w:type="auto"/>
            <w:shd w:val="clear" w:color="auto" w:fill="A9936D"/>
            <w:vAlign w:val="center"/>
            <w:hideMark/>
          </w:tcPr>
          <w:p w14:paraId="31917A0E" w14:textId="40F1234B" w:rsidR="0050110B" w:rsidRPr="0050110B" w:rsidRDefault="0050110B" w:rsidP="005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cs-CZ"/>
              </w:rPr>
              <w:drawing>
                <wp:inline distT="0" distB="0" distL="0" distR="0" wp14:anchorId="6849C075" wp14:editId="7AF916EB">
                  <wp:extent cx="5715000" cy="1905000"/>
                  <wp:effectExtent l="0" t="0" r="0" b="0"/>
                  <wp:docPr id="13" name="Obrázek 13" descr="From the Mar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om the Mar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30DD9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0110B" w:rsidRPr="0050110B" w14:paraId="084753D0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273C75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Czech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borrowers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are holding on -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banks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still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report a very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low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share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of non-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performing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loans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 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  <w:t> 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Household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deposits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banks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took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reverse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course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March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decreasing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almost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26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billion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-on-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However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total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volume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remained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above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level of CZK 3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trillion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August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lastRenderedPageBreak/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At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end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March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total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amount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CZK 3.41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billion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Statistics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compiled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National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Bank (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CNB)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indicate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-on-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growth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demand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loans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has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doubled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(11%).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March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data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already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reflect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impact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attack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Ukraine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Russian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army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but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impact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conflict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resulting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consequences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not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visible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regards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non-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performing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loans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contrary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share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loans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adversely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affected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financial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stress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corporate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sector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households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Republic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continued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decline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March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shares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non-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performing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loans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both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corporate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sector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personal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loans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Republic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among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lowest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Europe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50110B" w:rsidRPr="0050110B" w14:paraId="1020992C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66F70E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lastRenderedPageBreak/>
              <w:t xml:space="preserve">CNB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revokes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licence of Sberbank CZ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National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Bank </w:t>
            </w:r>
            <w:hyperlink r:id="rId9" w:history="1"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 xml:space="preserve">has </w:t>
              </w:r>
              <w:proofErr w:type="spellStart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>revoked</w:t>
              </w:r>
              <w:proofErr w:type="spellEnd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 xml:space="preserve"> </w:t>
              </w:r>
              <w:proofErr w:type="spellStart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>the</w:t>
              </w:r>
              <w:proofErr w:type="spellEnd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 xml:space="preserve"> licence</w:t>
              </w:r>
            </w:hyperlink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 of Sberbank CZ.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decision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became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conclusive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30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April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2022.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reason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revoking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licence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Sberbank CZ has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unable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meet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obligations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25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February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2022.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Further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revocation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licence,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CNB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petition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court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appoint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liquidator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Sberbank CZ.</w:t>
            </w:r>
          </w:p>
        </w:tc>
      </w:tr>
      <w:tr w:rsidR="0050110B" w:rsidRPr="0050110B" w14:paraId="3287813E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A0F298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Household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confidence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fell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its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lowest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level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since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2012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confidence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indicators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April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published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week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Statistical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Office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indicated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further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deterioration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consumer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confidence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compared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already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very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weak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household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confidence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March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Household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confidence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fell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further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April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lowest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point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end of 2012.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share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households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expecting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economic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situation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worsen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own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financial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situation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deteriorate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increased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slightly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larger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proportion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households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consider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current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financial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situation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worse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ago.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case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corporate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sector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confidence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surprisingly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risen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namely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industry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services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highest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middle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 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Higher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confidence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industry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driven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entirely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better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expectations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over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three-month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horizon,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services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additional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gradual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abolition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pandemic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restrictions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likely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impact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Although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confidence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indicators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slightly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optimistic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corporate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sector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growth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mainly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driven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future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positive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expectations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firms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industry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production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improve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markedly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coming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months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difficult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predict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under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current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uncertainty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instrText xml:space="preserve"> HYPERLINK "https://cbaonline.cz/duvera-v-dubnu-dale-poklesla-u-domacnosti-ve-firmach-vzrostla" </w:instrTex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Please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lastRenderedPageBreak/>
              <w:t>read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more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commentary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written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by Jakub Seidler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end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, 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Chief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Economist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Association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You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subscribe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commentary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here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50110B" w:rsidRPr="0050110B" w14:paraId="31139EFA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760111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lastRenderedPageBreak/>
              <w:t xml:space="preserve">CNB and CSOB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warn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public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against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fraudulent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e-mails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National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Bank and Československá obchodní banka </w:t>
            </w:r>
            <w:hyperlink r:id="rId10" w:history="1"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 xml:space="preserve">are </w:t>
              </w:r>
              <w:proofErr w:type="spellStart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>warning</w:t>
              </w:r>
              <w:proofErr w:type="spellEnd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 xml:space="preserve"> </w:t>
              </w:r>
              <w:proofErr w:type="spellStart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>the</w:t>
              </w:r>
              <w:proofErr w:type="spellEnd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 xml:space="preserve"> public </w:t>
              </w:r>
              <w:proofErr w:type="spellStart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>against</w:t>
              </w:r>
              <w:proofErr w:type="spellEnd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 xml:space="preserve"> a </w:t>
              </w:r>
              <w:proofErr w:type="spellStart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>fraudulent</w:t>
              </w:r>
              <w:proofErr w:type="spellEnd"/>
              <w:r w:rsidRPr="0050110B">
                <w:rPr>
                  <w:rFonts w:ascii="Verdana" w:eastAsia="Times New Roman" w:hAnsi="Verdana" w:cs="Times New Roman"/>
                  <w:color w:val="A9936D"/>
                  <w:sz w:val="21"/>
                  <w:szCs w:val="21"/>
                  <w:u w:val="single"/>
                  <w:lang w:eastAsia="cs-CZ"/>
                </w:rPr>
                <w:t xml:space="preserve"> e-mail</w:t>
              </w:r>
            </w:hyperlink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misuses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name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Tomáš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Nidetzký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CNB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Deputy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Governor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ČSOB trademark,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extort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sensitive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personal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information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ČSOB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presumably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login data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internet banking.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practice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known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phishing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perpetrator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pretends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client's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bank and,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clicking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a link to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fake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internet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email,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tries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fraudulently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extract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client's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login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details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internet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subsequently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steal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client's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account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Do not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respond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fraudulent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email,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contains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elements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fraudulent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practices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including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bad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Czech,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certainly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do not enter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your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login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details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!</w:t>
            </w:r>
          </w:p>
        </w:tc>
      </w:tr>
      <w:tr w:rsidR="0050110B" w:rsidRPr="0050110B" w14:paraId="5701A99B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C6A054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Czech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debt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grew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fastest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whole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of EU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According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instrText xml:space="preserve"> HYPERLINK "https://ec.europa.eu/eurostat/documents/2995521/14497745/2-22042022-BP-EN.pdf/90896015-2ac1-081a-2eef-ad8d5f2c0da1" </w:instrTex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Eurostat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data,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end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Republic's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debt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grew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fastest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pace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European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Union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EU as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whole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saw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debt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fall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1.9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percentage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points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88.1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percent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GDP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average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Republic's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debt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increased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37.7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percent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41.9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percent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GDP.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Together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Republic,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debt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six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countries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increased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but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Republic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showing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largest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increase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Even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so,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Republic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among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least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indebted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EU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countries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only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Estonia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(18.1 per cent),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Luxembourg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(24.4 per cent),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Bulgaria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(25.1 per cent)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Denmark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Sweden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both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36.7 per cent)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showing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lower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overall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debt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hand,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indebted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country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Greece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(193.3 per cent)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despite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significant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debt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reduction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followed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Italy (150.8 per cent), Portugal (127.4 per cent),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Spain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(118.4 per cent) and France (112.9 per cent).</w:t>
            </w:r>
          </w:p>
        </w:tc>
      </w:tr>
      <w:tr w:rsidR="0050110B" w:rsidRPr="0050110B" w14:paraId="73387879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5D47925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Guarantee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system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started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paying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out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institutional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clients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of Sberbank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Financial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Market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Guarantee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System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instrText xml:space="preserve"> HYPERLINK "https://www.garancnisystem.cz/Garancni-system-financniho-trhu-zahaji-dne-22-dubna-2022-vyplatu-institucionalnich-nahrad-Sberbank" </w:instrTex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started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paying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out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lastRenderedPageBreak/>
              <w:t>compensations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deposits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institutional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clients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of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end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 Sberbank CZ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through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branch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network of Komerční banka.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Institutional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include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payment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institutions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small-scale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payment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service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providers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electronic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institutions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small-scale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electronic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issuers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brokers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court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distrainors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whose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accounts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hold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funds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beneficiaries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registered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creditors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under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Enforcement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Code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At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present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seventeen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enforcement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agencies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maintain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accounts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17,700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guarantee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system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out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institutional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client’s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compensation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deposits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each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customers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whose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registered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institutional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client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'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account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held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Sberbank CZ 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28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February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up to a maximum limit of CZK 2,499,500 per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customer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50110B" w:rsidRPr="0050110B" w14:paraId="44510929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72B9DC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lastRenderedPageBreak/>
              <w:t xml:space="preserve">ECB: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large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banks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can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manage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write-offs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connected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Russia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  <w:t xml:space="preserve">All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large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companies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euro area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able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meet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capital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buffer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requirements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even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had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write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off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Russia-related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assets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instrText xml:space="preserve"> HYPERLINK "https://www.bankingsupervision.europa.eu/ecb/pub/pdf/ssm.mepletter20420_Andresen_Fernandez_Garicano_Urtasun~6ffc08988f.en.pdf?0f07e215d552bf87b3f4ade4c63d75f8" </w:instrTex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stated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by Andrea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Enria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head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of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supervision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European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>Central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A9936D"/>
                <w:sz w:val="21"/>
                <w:szCs w:val="21"/>
                <w:u w:val="single"/>
                <w:lang w:eastAsia="cs-CZ"/>
              </w:rPr>
              <w:t xml:space="preserve"> Bank (ECB).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end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Attacks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Russian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troops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Ukraine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related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sanctions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Western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countries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already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prompted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some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European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banks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leave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Russia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start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considering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ECB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oversees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115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largest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companies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eurozone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Even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banks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exposed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Russia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cope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write-downs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maintain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sufficient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capital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buffers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Enria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said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Enria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pointed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out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ECB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closely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monitoring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banks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'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compliance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sanctions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against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Russia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</w:tbl>
    <w:p w14:paraId="73D9345F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110B" w:rsidRPr="0050110B" w14:paraId="194DBBFA" w14:textId="77777777" w:rsidTr="005011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BB0F7A" w14:textId="0CF17A0F" w:rsidR="0050110B" w:rsidRPr="0050110B" w:rsidRDefault="0050110B" w:rsidP="005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cs-CZ"/>
              </w:rPr>
              <w:lastRenderedPageBreak/>
              <w:drawing>
                <wp:inline distT="0" distB="0" distL="0" distR="0" wp14:anchorId="70692F4E" wp14:editId="362A39A0">
                  <wp:extent cx="5715000" cy="29527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114A6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110B" w:rsidRPr="0050110B" w14:paraId="68B4E053" w14:textId="77777777" w:rsidTr="0050110B">
        <w:trPr>
          <w:tblCellSpacing w:w="0" w:type="dxa"/>
          <w:jc w:val="center"/>
        </w:trPr>
        <w:tc>
          <w:tcPr>
            <w:tcW w:w="0" w:type="auto"/>
            <w:shd w:val="clear" w:color="auto" w:fill="13576B"/>
            <w:vAlign w:val="center"/>
            <w:hideMark/>
          </w:tcPr>
          <w:p w14:paraId="33F2124D" w14:textId="1C06DD25" w:rsidR="0050110B" w:rsidRPr="0050110B" w:rsidRDefault="0050110B" w:rsidP="005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cs-CZ"/>
              </w:rPr>
              <w:drawing>
                <wp:inline distT="0" distB="0" distL="0" distR="0" wp14:anchorId="0E48A545" wp14:editId="0F2BBD39">
                  <wp:extent cx="5715000" cy="1905000"/>
                  <wp:effectExtent l="0" t="0" r="0" b="0"/>
                  <wp:docPr id="11" name="Obrázek 11" descr="From Legisl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om Legisl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EAD82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0110B" w:rsidRPr="0050110B" w14:paraId="2C47FC3E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2360DF" w14:textId="04D9DC7D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58240" behindDoc="0" locked="0" layoutInCell="1" allowOverlap="0" wp14:anchorId="7BA09808" wp14:editId="548EC9A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1009650"/>
                  <wp:effectExtent l="0" t="0" r="0" b="0"/>
                  <wp:wrapSquare wrapText="bothSides"/>
                  <wp:docPr id="17" name="Obrázek 17" descr="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Graceful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autumn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may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come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after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graceful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summer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Ministry of Justice has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distributed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"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Amendments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Civil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Procedure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Code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Enforcement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Code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No. 286/2021,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so-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called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Graceful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Summer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II" draft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inter-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ministerial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comment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procedure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document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mostly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repetition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year's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public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law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so-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called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"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Graceful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Summer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"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few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minor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changes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but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mostly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affecting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debtor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/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obligor-distrainor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relationship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addition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increase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distrainors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'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fees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scope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creditors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/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entitled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perrons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not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different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previous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Graceful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Summer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defined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reference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legislation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  <w:hyperlink r:id="rId14" w:history="1">
              <w:r w:rsidRPr="0050110B">
                <w:rPr>
                  <w:rFonts w:ascii="Verdana" w:eastAsia="Times New Roman" w:hAnsi="Verdana" w:cs="Times New Roman"/>
                  <w:color w:val="13576B"/>
                  <w:sz w:val="21"/>
                  <w:szCs w:val="21"/>
                  <w:u w:val="single"/>
                  <w:lang w:eastAsia="cs-CZ"/>
                </w:rPr>
                <w:t>2021</w:t>
              </w:r>
            </w:hyperlink>
            <w:hyperlink r:id="rId15" w:tgtFrame="_blank" w:history="1">
              <w:r w:rsidRPr="0050110B">
                <w:rPr>
                  <w:rFonts w:ascii="Verdana" w:eastAsia="Times New Roman" w:hAnsi="Verdana" w:cs="Times New Roman"/>
                  <w:color w:val="13576B"/>
                  <w:sz w:val="21"/>
                  <w:szCs w:val="21"/>
                  <w:u w:val="single"/>
                  <w:lang w:eastAsia="cs-CZ"/>
                </w:rPr>
                <w:t> </w:t>
              </w:r>
              <w:proofErr w:type="spellStart"/>
              <w:r w:rsidRPr="0050110B">
                <w:rPr>
                  <w:rFonts w:ascii="Verdana" w:eastAsia="Times New Roman" w:hAnsi="Verdana" w:cs="Times New Roman"/>
                  <w:color w:val="13576B"/>
                  <w:sz w:val="21"/>
                  <w:szCs w:val="21"/>
                  <w:u w:val="single"/>
                  <w:lang w:eastAsia="cs-CZ"/>
                </w:rPr>
                <w:t>Graceful</w:t>
              </w:r>
              <w:proofErr w:type="spellEnd"/>
              <w:r w:rsidRPr="0050110B">
                <w:rPr>
                  <w:rFonts w:ascii="Verdana" w:eastAsia="Times New Roman" w:hAnsi="Verdana" w:cs="Times New Roman"/>
                  <w:color w:val="13576B"/>
                  <w:sz w:val="21"/>
                  <w:szCs w:val="21"/>
                  <w:u w:val="single"/>
                  <w:lang w:eastAsia="cs-CZ"/>
                </w:rPr>
                <w:t xml:space="preserve"> </w:t>
              </w:r>
              <w:proofErr w:type="spellStart"/>
              <w:r w:rsidRPr="0050110B">
                <w:rPr>
                  <w:rFonts w:ascii="Verdana" w:eastAsia="Times New Roman" w:hAnsi="Verdana" w:cs="Times New Roman"/>
                  <w:color w:val="13576B"/>
                  <w:sz w:val="21"/>
                  <w:szCs w:val="21"/>
                  <w:u w:val="single"/>
                  <w:lang w:eastAsia="cs-CZ"/>
                </w:rPr>
                <w:t>Summer</w:t>
              </w:r>
              <w:proofErr w:type="spellEnd"/>
              <w:r w:rsidRPr="0050110B">
                <w:rPr>
                  <w:rFonts w:ascii="Verdana" w:eastAsia="Times New Roman" w:hAnsi="Verdana" w:cs="Times New Roman"/>
                  <w:color w:val="13576B"/>
                  <w:sz w:val="21"/>
                  <w:szCs w:val="21"/>
                  <w:u w:val="single"/>
                  <w:lang w:eastAsia="cs-CZ"/>
                </w:rPr>
                <w:t>.</w:t>
              </w:r>
            </w:hyperlink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draft has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prepared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circulated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basis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agreement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among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coalition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parties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therefore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principle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expected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adopted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Parliament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effect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September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regards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category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debts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'public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sector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'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recovers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without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use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distrainors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instance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lastRenderedPageBreak/>
              <w:t>means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tax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enforcement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), these are not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covered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proposal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political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intention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According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earlier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information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"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graceful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summer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"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tax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enforcements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considered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but as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separate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piece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legislation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However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currently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not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clear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far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negotiations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within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government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coalition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progressed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extent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sufficient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political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adopt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</w:tbl>
    <w:p w14:paraId="60A496F6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110B" w:rsidRPr="0050110B" w14:paraId="2C7C75F6" w14:textId="77777777" w:rsidTr="0050110B">
        <w:trPr>
          <w:tblCellSpacing w:w="0" w:type="dxa"/>
          <w:jc w:val="center"/>
        </w:trPr>
        <w:tc>
          <w:tcPr>
            <w:tcW w:w="0" w:type="auto"/>
            <w:shd w:val="clear" w:color="auto" w:fill="A9936D"/>
            <w:vAlign w:val="center"/>
            <w:hideMark/>
          </w:tcPr>
          <w:p w14:paraId="25403D4D" w14:textId="1E95F61F" w:rsidR="0050110B" w:rsidRPr="0050110B" w:rsidRDefault="0050110B" w:rsidP="005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cs-CZ"/>
              </w:rPr>
              <w:drawing>
                <wp:inline distT="0" distB="0" distL="0" distR="0" wp14:anchorId="13F90B21" wp14:editId="52EB0E71">
                  <wp:extent cx="5715000" cy="1905000"/>
                  <wp:effectExtent l="0" t="0" r="0" b="0"/>
                  <wp:docPr id="10" name="Obrázek 10" descr="Financi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nanci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620AE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0110B" w:rsidRPr="0050110B" w14:paraId="6422EDD1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60673C" w14:textId="77777777" w:rsid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58240" behindDoc="0" locked="0" layoutInCell="1" allowOverlap="0" wp14:anchorId="5AF56EA1" wp14:editId="003A48A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76500" cy="638175"/>
                  <wp:effectExtent l="0" t="0" r="0" b="9525"/>
                  <wp:wrapSquare wrapText="bothSides"/>
                  <wp:docPr id="16" name="Obrázek 16" descr="Obsah obrázku text, porcelá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text, porcelán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How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cryptocurrency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investment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frauds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work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A9936D"/>
                <w:sz w:val="24"/>
                <w:szCs w:val="24"/>
                <w:lang w:eastAsia="cs-CZ"/>
              </w:rPr>
              <w:t>?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Fraudsters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operating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online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world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very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resourceful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always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keep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up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times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Together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higher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awareness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cryptocurrencies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focused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area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unfortunately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already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had many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victims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Republic.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forthcoming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educational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campaign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organized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Europol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cooperation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European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Federation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(EBF)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Canadian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Anti-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Fraud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Centre (CAFC)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focus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cryptocurrency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investment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fraud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works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Republic,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campaign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roofed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Association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Throughout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May,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you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find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posts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CBA's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social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networks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describing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types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attacks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advice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defend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yourself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campaign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available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Member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Banks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further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use.</w:t>
            </w:r>
          </w:p>
          <w:p w14:paraId="74E08388" w14:textId="10378119" w:rsidR="00C267F6" w:rsidRPr="0050110B" w:rsidRDefault="00C267F6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2B0A5D0B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110B" w:rsidRPr="0050110B" w14:paraId="69034356" w14:textId="77777777" w:rsidTr="0050110B">
        <w:trPr>
          <w:tblCellSpacing w:w="0" w:type="dxa"/>
          <w:jc w:val="center"/>
        </w:trPr>
        <w:tc>
          <w:tcPr>
            <w:tcW w:w="0" w:type="auto"/>
            <w:shd w:val="clear" w:color="auto" w:fill="13576B"/>
            <w:vAlign w:val="center"/>
            <w:hideMark/>
          </w:tcPr>
          <w:p w14:paraId="47A03AF9" w14:textId="2B3A865D" w:rsidR="0050110B" w:rsidRPr="0050110B" w:rsidRDefault="0050110B" w:rsidP="005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cs-CZ"/>
              </w:rPr>
              <w:lastRenderedPageBreak/>
              <w:drawing>
                <wp:inline distT="0" distB="0" distL="0" distR="0" wp14:anchorId="542CBA44" wp14:editId="0FC59D91">
                  <wp:extent cx="5715000" cy="1905000"/>
                  <wp:effectExtent l="0" t="0" r="0" b="0"/>
                  <wp:docPr id="9" name="Obrázek 9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3B3520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50110B" w:rsidRPr="0050110B" w14:paraId="63023C25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71E245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mortgages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not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declining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, 13% of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Czechs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planning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take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4"/>
                <w:szCs w:val="24"/>
                <w:lang w:eastAsia="cs-CZ"/>
              </w:rPr>
              <w:t>them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loans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not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declining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despite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higher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rates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record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real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estate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prices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Currently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, 13 per cent of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population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considering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taking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out a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same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as a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ago.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However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, more and more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people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interested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mortgages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longer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maturities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shorter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rate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fixation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revealed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in a joint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survey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by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instrText xml:space="preserve"> HYPERLINK "https://cbaonline.cz/cesi-a-hypoteky-2022-tz" </w:instrTex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u w:val="single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u w:val="single"/>
                <w:lang w:eastAsia="cs-CZ"/>
              </w:rPr>
              <w:t xml:space="preserve"> Czech Banking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u w:val="single"/>
                <w:lang w:eastAsia="cs-CZ"/>
              </w:rPr>
              <w:t>Association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u w:val="single"/>
                <w:lang w:eastAsia="cs-CZ"/>
              </w:rPr>
              <w:t xml:space="preserve"> and IPSOS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u w:val="single"/>
                <w:lang w:eastAsia="cs-CZ"/>
              </w:rPr>
              <w:t>research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u w:val="single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u w:val="single"/>
                <w:lang w:eastAsia="cs-CZ"/>
              </w:rPr>
              <w:t>agency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u w:val="single"/>
                <w:lang w:eastAsia="cs-CZ"/>
              </w:rPr>
              <w:t>.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50110B" w:rsidRPr="0050110B" w14:paraId="52D72892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CA316E" w14:textId="77777777" w:rsidR="0050110B" w:rsidRPr="0050110B" w:rsidRDefault="0050110B" w:rsidP="0050110B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importance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mortgages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increasing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every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60%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people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would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use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buy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home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7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percentage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points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due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higher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prices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increase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need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finance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People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would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use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own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savings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mainly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renovations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home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furnishings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similar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rate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, transport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accessibility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and type of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real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estate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decisive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while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influence of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financial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advisors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decreasing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rates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rising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Czechs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likely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choose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provider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based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on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favorable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amount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monthly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instalment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important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almost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half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only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less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third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However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transport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accessibility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estate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type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becoming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important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More and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people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interested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nearness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family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members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time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takes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commute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work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By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contrast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recommendations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financial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advisers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less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important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 </w:t>
            </w:r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"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Czech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population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perceives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changes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market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associated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rising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real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estate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prices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therefore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more sensitive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ever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pricing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often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detriment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recommendations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financial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advisor.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concerns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lastRenderedPageBreak/>
              <w:t>both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key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parameter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rate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monthly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payment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itself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which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crucial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many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citizens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context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long-term stability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household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budget,"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explains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Michal Straka,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financial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market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specialist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Ipsos.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On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average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we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borrowing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more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money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last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, and more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6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million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no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exception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According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CBA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Hypomonitor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Czechs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borrowed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average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CZK 3.3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million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2020,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was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CZK 2.8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million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younger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applicants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plan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borrow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Young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people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up to 26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(7%)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would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like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borrow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most,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between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six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million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crowns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category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up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three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million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crowns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common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people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aged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between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27 and 35 (27%).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People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aged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54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over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likely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consider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up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one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million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mortgages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longer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maturity but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shorter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fixation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growing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longer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-term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mortgages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increasing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thanks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rising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estate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prices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  Most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often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Czechs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choose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maturity period of 25 to 30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. "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average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CZK 3.4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million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difference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monthly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repayments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 maturity of 20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or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30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years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approximately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CZK 4,000, and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therefore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logical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rapid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rise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rates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households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increasingly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interested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extending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length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maturity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However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according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central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bank's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recommendation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it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should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not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exceed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length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applicant's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economic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activity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i.e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.,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usually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30 </w:t>
            </w:r>
            <w:proofErr w:type="spellStart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years</w:t>
            </w:r>
            <w:proofErr w:type="spellEnd"/>
            <w:r w:rsidRPr="0050110B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cs-CZ"/>
              </w:rPr>
              <w:t>,"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explains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Jakub Seidler,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Chief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Economist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Czech Banking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Association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growing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rates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affect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choice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interest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fixation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While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five-year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fix has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popular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so far,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mortgages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fixation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three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even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shorter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now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most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popular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Czechs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use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savings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to finance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amount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needed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buy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real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estate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, a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quarter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them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have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invested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all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money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they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have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saved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Skyrocketing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estate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prices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reflected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amount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needs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paid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over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above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Almost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quarter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Czechs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have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invest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savings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real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estate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buying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About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third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amount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CZK 200,000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from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savings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, and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lastRenderedPageBreak/>
              <w:t>fifth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will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use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savings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over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half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million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significant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increase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compared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last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year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More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fifth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of net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monthly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income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goes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mortgage</w:t>
            </w:r>
            <w:proofErr w:type="spellEnd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b/>
                <w:bCs/>
                <w:color w:val="13576B"/>
                <w:sz w:val="21"/>
                <w:szCs w:val="21"/>
                <w:lang w:eastAsia="cs-CZ"/>
              </w:rPr>
              <w:t>repayments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br/>
              <w:t xml:space="preserve">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third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households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use more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20%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net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income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each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month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repay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less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half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those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planning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housing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expect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to do so. They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biggest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risk in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death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illness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a co-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applicant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loan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About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half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Czechs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(47%) are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also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concerned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about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rising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expenses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. On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other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hand,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least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number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of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respondents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see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future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problems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in a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break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-up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or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divorce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their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partners</w:t>
            </w:r>
            <w:proofErr w:type="spellEnd"/>
            <w:r w:rsidRPr="005011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50110B" w:rsidRPr="0050110B" w14:paraId="58911269" w14:textId="77777777" w:rsidTr="0050110B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3C3A30" w14:textId="6F23470E" w:rsidR="0050110B" w:rsidRPr="0050110B" w:rsidRDefault="0050110B" w:rsidP="005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50110B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cs-CZ"/>
              </w:rPr>
              <w:lastRenderedPageBreak/>
              <w:drawing>
                <wp:inline distT="0" distB="0" distL="0" distR="0" wp14:anchorId="52F2B545" wp14:editId="55D1DD4A">
                  <wp:extent cx="5048250" cy="3333750"/>
                  <wp:effectExtent l="0" t="0" r="0" b="0"/>
                  <wp:docPr id="8" name="Obrázek 8" descr="Obsah obrázku osoba, ru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osoba, ruk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7C3137" w14:textId="77777777" w:rsidR="0050110B" w:rsidRPr="0050110B" w:rsidRDefault="0050110B" w:rsidP="00501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110B" w:rsidRPr="0050110B" w14:paraId="2A14343B" w14:textId="77777777" w:rsidTr="0050110B">
        <w:trPr>
          <w:tblCellSpacing w:w="0" w:type="dxa"/>
        </w:trPr>
        <w:tc>
          <w:tcPr>
            <w:tcW w:w="0" w:type="auto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</w:tcPr>
          <w:p w14:paraId="586B5E79" w14:textId="77777777" w:rsidR="0050110B" w:rsidRPr="0050110B" w:rsidRDefault="0050110B" w:rsidP="0050110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</w:tc>
      </w:tr>
      <w:tr w:rsidR="0050110B" w:rsidRPr="0050110B" w14:paraId="67747326" w14:textId="77777777" w:rsidTr="0050110B">
        <w:trPr>
          <w:tblCellSpacing w:w="0" w:type="dxa"/>
        </w:trPr>
        <w:tc>
          <w:tcPr>
            <w:tcW w:w="0" w:type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42480F7" w14:textId="72AE3B06" w:rsidR="0050110B" w:rsidRPr="0050110B" w:rsidRDefault="0050110B" w:rsidP="0050110B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cs-CZ"/>
              </w:rPr>
            </w:pPr>
          </w:p>
        </w:tc>
      </w:tr>
    </w:tbl>
    <w:p w14:paraId="7B1FAE9B" w14:textId="77777777" w:rsidR="00D5609E" w:rsidRDefault="00D5609E"/>
    <w:sectPr w:rsidR="00D5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0B"/>
    <w:rsid w:val="0050110B"/>
    <w:rsid w:val="007B2DA6"/>
    <w:rsid w:val="007C0ADE"/>
    <w:rsid w:val="007E1FE0"/>
    <w:rsid w:val="00C267F6"/>
    <w:rsid w:val="00D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32DB"/>
  <w15:chartTrackingRefBased/>
  <w15:docId w15:val="{DF4F0F24-78B0-4F02-9298-E5A9C31D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110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0110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01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https://www.zakonyprolidi.cz/cs/2021-286" TargetMode="External"/><Relationship Id="rId10" Type="http://schemas.openxmlformats.org/officeDocument/2006/relationships/hyperlink" Target="https://cbaonline.cz/upozorneni-na-podvodne-jednani" TargetMode="External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hyperlink" Target="https://www.cnb.cz/en/cnb-news/press-releases/CNB-revokes-licence-of-Sberbank-CZ/" TargetMode="External"/><Relationship Id="rId14" Type="http://schemas.openxmlformats.org/officeDocument/2006/relationships/hyperlink" Target="https://www.zakonyprolidi.cz/cs/2021-28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2615</Words>
  <Characters>15431</Characters>
  <Application>Microsoft Office Word</Application>
  <DocSecurity>0</DocSecurity>
  <Lines>128</Lines>
  <Paragraphs>36</Paragraphs>
  <ScaleCrop>false</ScaleCrop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Možná</dc:creator>
  <cp:keywords/>
  <dc:description/>
  <cp:lastModifiedBy>Radana Možná</cp:lastModifiedBy>
  <cp:revision>2</cp:revision>
  <dcterms:created xsi:type="dcterms:W3CDTF">2022-05-10T08:42:00Z</dcterms:created>
  <dcterms:modified xsi:type="dcterms:W3CDTF">2022-05-10T08:50:00Z</dcterms:modified>
</cp:coreProperties>
</file>