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7C66" w14:textId="58A589A1" w:rsidR="00D5609E" w:rsidRDefault="00D5609E"/>
    <w:p w14:paraId="619DD2BB" w14:textId="7EAA49B0" w:rsidR="00FA1E23" w:rsidRDefault="00FA1E23"/>
    <w:p w14:paraId="7D4A0ABE" w14:textId="46BCC617" w:rsidR="00FA1E23" w:rsidRDefault="00FA1E23" w:rsidP="00FA1E23">
      <w:pPr>
        <w:pStyle w:val="INGBodyText"/>
        <w:spacing w:after="200" w:line="240" w:lineRule="auto"/>
      </w:pPr>
      <w:r>
        <w:rPr>
          <w:rFonts w:ascii="Calibri Light" w:hAnsi="Calibri Light" w:cs="Calibri Light"/>
          <w:i/>
          <w:iCs/>
          <w:color w:val="auto"/>
        </w:rPr>
        <w:t>I</w:t>
      </w:r>
      <w:r>
        <w:rPr>
          <w:rFonts w:ascii="Calibri Light" w:hAnsi="Calibri Light" w:cs="Calibri Light"/>
          <w:i/>
          <w:iCs/>
          <w:color w:val="auto"/>
        </w:rPr>
        <w:t xml:space="preserve">nflace v dubnu dále citelně zrychlila, a to na 14,2 % z březnových 12,7 %. Odhad trhu činil 13,2 %, odhad ČNB pak 13,8 %.  Za rychlením inflace stalo především citelné zdražení potravin a další růst cen spojených s bydlením, od energií po nemovitosti a ceny stavebních materiálů. Naopak růst inflace brzdilo mírné zlevnění pohonných hmot po skokové zdražení v březnu a také snížení cen alkoholických nápojů. Inflace tak bude zrychlovat i v dalších měsících a překonání 15% hranice je hotová věc. Pro letošní rok tak opět zvyšujeme odhad průměrné inflace směrem k 14 %, rizika se však zvyšují i pro inflační výhled příštího roku, a to právě z titulu cen energií, kde na trhu ceny citelně rostou i pro dlouhodobé kontrakty let 2023 a 2024, které se pak budou dále propisovat plošně do spotřebitelských cen. </w:t>
      </w:r>
    </w:p>
    <w:p w14:paraId="1C8B1CCD" w14:textId="77777777" w:rsidR="00FA1E23" w:rsidRDefault="00FA1E23" w:rsidP="00FA1E23">
      <w:pPr>
        <w:pStyle w:val="INGBodyText"/>
        <w:spacing w:after="60" w:line="240" w:lineRule="auto"/>
      </w:pPr>
      <w:r>
        <w:rPr>
          <w:rFonts w:ascii="Calibri Light" w:hAnsi="Calibri Light" w:cs="Calibri Light"/>
          <w:b/>
          <w:bCs/>
          <w:color w:val="auto"/>
        </w:rPr>
        <w:t>Hlavní příčina dubnového zrychlení meziroční inflace šla na vrub cenám spojeným s bydlením.</w:t>
      </w:r>
      <w:r>
        <w:rPr>
          <w:rFonts w:ascii="Calibri Light" w:hAnsi="Calibri Light" w:cs="Calibri Light"/>
          <w:color w:val="auto"/>
        </w:rPr>
        <w:t xml:space="preserve"> Cena elektřiny meziročně zrychlila z 24,7 % </w:t>
      </w:r>
      <w:proofErr w:type="spellStart"/>
      <w:r>
        <w:rPr>
          <w:rFonts w:ascii="Calibri Light" w:hAnsi="Calibri Light" w:cs="Calibri Light"/>
          <w:color w:val="auto"/>
        </w:rPr>
        <w:t>yoy</w:t>
      </w:r>
      <w:proofErr w:type="spellEnd"/>
      <w:r>
        <w:rPr>
          <w:rFonts w:ascii="Calibri Light" w:hAnsi="Calibri Light" w:cs="Calibri Light"/>
          <w:color w:val="auto"/>
        </w:rPr>
        <w:t xml:space="preserve"> na 30 %, cena plynu pak z 37,7 % na 44,2 %. Tyto faktory přispěly k meziročnímu zrychlení cen o zhruba 0,3 procentní body, obdobně jako v minulém měsíci</w:t>
      </w:r>
      <w:r>
        <w:rPr>
          <w:rFonts w:ascii="Calibri Light" w:hAnsi="Calibri Light" w:cs="Calibri Light"/>
          <w:b/>
          <w:bCs/>
          <w:color w:val="auto"/>
        </w:rPr>
        <w:t xml:space="preserve">. Dále opět zrychlilo imputované nájemné, a to 16,3 na 17,7 % </w:t>
      </w:r>
      <w:proofErr w:type="spellStart"/>
      <w:r>
        <w:rPr>
          <w:rFonts w:ascii="Calibri Light" w:hAnsi="Calibri Light" w:cs="Calibri Light"/>
          <w:b/>
          <w:bCs/>
          <w:color w:val="auto"/>
        </w:rPr>
        <w:t>yoy</w:t>
      </w:r>
      <w:proofErr w:type="spellEnd"/>
      <w:r>
        <w:rPr>
          <w:rFonts w:ascii="Calibri Light" w:hAnsi="Calibri Light" w:cs="Calibri Light"/>
          <w:color w:val="auto"/>
        </w:rPr>
        <w:t xml:space="preserve">, což přispělo k meziroční inflaci necelými 0,2 </w:t>
      </w:r>
      <w:proofErr w:type="spellStart"/>
      <w:r>
        <w:rPr>
          <w:rFonts w:ascii="Calibri Light" w:hAnsi="Calibri Light" w:cs="Calibri Light"/>
          <w:color w:val="auto"/>
        </w:rPr>
        <w:t>p.b</w:t>
      </w:r>
      <w:proofErr w:type="spellEnd"/>
      <w:r>
        <w:rPr>
          <w:rFonts w:ascii="Calibri Light" w:hAnsi="Calibri Light" w:cs="Calibri Light"/>
          <w:color w:val="auto"/>
        </w:rPr>
        <w:t xml:space="preserve">. Celkově ceny bydlení v dubnu zrychlily inflaci o cca 0,6 procentního bodu. </w:t>
      </w:r>
      <w:r>
        <w:rPr>
          <w:rFonts w:ascii="Calibri Light" w:hAnsi="Calibri Light" w:cs="Calibri Light"/>
          <w:b/>
          <w:bCs/>
          <w:color w:val="auto"/>
        </w:rPr>
        <w:t xml:space="preserve">Růst cen v kategorii bydlení tak dosáhl meziročně 20 % a je nejvyšší od konce roku 1998 </w:t>
      </w:r>
      <w:r>
        <w:rPr>
          <w:rFonts w:ascii="Calibri Light" w:hAnsi="Calibri Light" w:cs="Calibri Light"/>
          <w:color w:val="auto"/>
        </w:rPr>
        <w:t>(na začátku roku 1998 přesahoval 30 %).</w:t>
      </w:r>
    </w:p>
    <w:p w14:paraId="1FDCAF07" w14:textId="77777777" w:rsidR="00FA1E23" w:rsidRDefault="00FA1E23" w:rsidP="00FA1E23">
      <w:pPr>
        <w:pStyle w:val="INGBodyText"/>
        <w:spacing w:after="60" w:line="240" w:lineRule="auto"/>
      </w:pPr>
      <w:r>
        <w:rPr>
          <w:rFonts w:ascii="Calibri Light" w:hAnsi="Calibri Light" w:cs="Calibri Light"/>
          <w:b/>
          <w:bCs/>
          <w:color w:val="auto"/>
        </w:rPr>
        <w:t>Další silný proinflační faktor byly ceny potravin.</w:t>
      </w:r>
      <w:r>
        <w:rPr>
          <w:rFonts w:ascii="Calibri Light" w:hAnsi="Calibri Light" w:cs="Calibri Light"/>
          <w:color w:val="auto"/>
        </w:rPr>
        <w:t xml:space="preserve">  </w:t>
      </w:r>
      <w:r>
        <w:rPr>
          <w:rFonts w:ascii="Calibri Light" w:hAnsi="Calibri Light" w:cs="Calibri Light"/>
          <w:b/>
          <w:bCs/>
          <w:color w:val="auto"/>
        </w:rPr>
        <w:t>Ty meziměsíčně zrychlily nad očekávání o 3,6 % a jejich meziroční dynamika dosáhla 10,7 %.</w:t>
      </w:r>
      <w:r>
        <w:rPr>
          <w:rFonts w:ascii="Calibri Light" w:hAnsi="Calibri Light" w:cs="Calibri Light"/>
          <w:color w:val="auto"/>
        </w:rPr>
        <w:t xml:space="preserve"> To je nejvyšší růst cen potravin od konce roku 2008, kdy se také pohyboval nad 10% úrovní. Zdražily pekárenské výrobky, maso či mléčné výrobky. Tento vývoj však není až takovým překvapením, růst cen potravin je způsoben nejen růstem cen agrárních komodit, ale také obalového materiálů, energií či mezd a výhled prozatím naznačuje, že další zdražování potravin je stále před námi. </w:t>
      </w:r>
    </w:p>
    <w:p w14:paraId="70336F1D" w14:textId="77777777" w:rsidR="00FA1E23" w:rsidRDefault="00FA1E23" w:rsidP="00FA1E23">
      <w:pPr>
        <w:pStyle w:val="INGBodyText"/>
        <w:spacing w:after="60" w:line="240" w:lineRule="auto"/>
      </w:pPr>
      <w:r>
        <w:rPr>
          <w:rFonts w:ascii="Calibri Light" w:hAnsi="Calibri Light" w:cs="Calibri Light"/>
          <w:color w:val="auto"/>
        </w:rPr>
        <w:t xml:space="preserve">Dalšímu zdražení pak přispěly stravovací služby které musí reagovat na zdražující potraviny a energie. Ceny stravován tak poskočily z 15 % </w:t>
      </w:r>
      <w:proofErr w:type="spellStart"/>
      <w:r>
        <w:rPr>
          <w:rFonts w:ascii="Calibri Light" w:hAnsi="Calibri Light" w:cs="Calibri Light"/>
          <w:color w:val="auto"/>
        </w:rPr>
        <w:t>yoy</w:t>
      </w:r>
      <w:proofErr w:type="spellEnd"/>
      <w:r>
        <w:rPr>
          <w:rFonts w:ascii="Calibri Light" w:hAnsi="Calibri Light" w:cs="Calibri Light"/>
          <w:color w:val="auto"/>
        </w:rPr>
        <w:t xml:space="preserve"> na téměř 20 %. Také ceny ubytování vzrostly z 10,5 na téměř 15 % </w:t>
      </w:r>
      <w:proofErr w:type="spellStart"/>
      <w:r>
        <w:rPr>
          <w:rFonts w:ascii="Calibri Light" w:hAnsi="Calibri Light" w:cs="Calibri Light"/>
          <w:color w:val="auto"/>
        </w:rPr>
        <w:t>yoy</w:t>
      </w:r>
      <w:proofErr w:type="spellEnd"/>
      <w:r>
        <w:rPr>
          <w:rFonts w:ascii="Calibri Light" w:hAnsi="Calibri Light" w:cs="Calibri Light"/>
          <w:color w:val="auto"/>
        </w:rPr>
        <w:t>.</w:t>
      </w:r>
      <w:r>
        <w:rPr>
          <w:rFonts w:ascii="Calibri Light" w:hAnsi="Calibri Light" w:cs="Calibri Light"/>
          <w:b/>
          <w:bCs/>
          <w:color w:val="auto"/>
        </w:rPr>
        <w:t xml:space="preserve"> </w:t>
      </w:r>
    </w:p>
    <w:p w14:paraId="003AA7FF" w14:textId="77777777" w:rsidR="00FA1E23" w:rsidRDefault="00FA1E23" w:rsidP="00FA1E23">
      <w:pPr>
        <w:pStyle w:val="INGBodyText"/>
        <w:spacing w:after="60" w:line="240" w:lineRule="auto"/>
      </w:pPr>
      <w:r>
        <w:rPr>
          <w:rFonts w:ascii="Calibri Light" w:hAnsi="Calibri Light" w:cs="Calibri Light"/>
          <w:b/>
          <w:bCs/>
          <w:color w:val="auto"/>
        </w:rPr>
        <w:t>Ceny služeb v dubnu zrychlily z 10,4 % na 12,1 %, ceny zboží pak z 14,3 % na 15,3 %.</w:t>
      </w:r>
    </w:p>
    <w:p w14:paraId="654B89DF" w14:textId="77777777" w:rsidR="00FA1E23" w:rsidRDefault="00FA1E23" w:rsidP="00FA1E23">
      <w:pPr>
        <w:pStyle w:val="INGBodyText"/>
        <w:spacing w:after="80" w:line="240" w:lineRule="auto"/>
      </w:pPr>
      <w:r>
        <w:rPr>
          <w:rFonts w:ascii="Calibri Light" w:hAnsi="Calibri Light" w:cs="Calibri Light"/>
          <w:b/>
          <w:bCs/>
          <w:color w:val="auto"/>
        </w:rPr>
        <w:t xml:space="preserve">ČNB ve své poslední prognóze předpokládalo dubnovou inflaci ve výši 13,8 % a dosažení vrcholu v červnu ve výši 15 %. Za celý rok pak předpokládá inflaci ve výši 13,1 %. Dnešní čísla tak posouvají inflační výhled směrem nahoru, a to zhruba ke 14 % za celý letošní rok.  </w:t>
      </w:r>
      <w:r>
        <w:rPr>
          <w:rFonts w:ascii="Calibri Light" w:hAnsi="Calibri Light" w:cs="Calibri Light"/>
          <w:color w:val="auto"/>
        </w:rPr>
        <w:t xml:space="preserve">Proinflační rizika však přetrvávají a začínají se koncentrovat i pro příští rok, zejména důsledkem růstu cen energií. Ty na trhu rostou i pro dlouhodobé kontrakty let 2023 a 2024, což se bude dále plošně propisovat do růstu spotřebitelských cen. </w:t>
      </w:r>
      <w:r>
        <w:rPr>
          <w:rFonts w:ascii="Calibri Light" w:hAnsi="Calibri Light" w:cs="Calibri Light"/>
          <w:b/>
          <w:bCs/>
          <w:color w:val="auto"/>
        </w:rPr>
        <w:t>Inflaci v příštím roce tak prozatím odhadujeme na 7 % (graf 2).</w:t>
      </w:r>
    </w:p>
    <w:p w14:paraId="1DF51E9C" w14:textId="77777777" w:rsidR="00FA1E23" w:rsidRDefault="00FA1E23" w:rsidP="00FA1E23">
      <w:pPr>
        <w:pStyle w:val="INGBodyText"/>
        <w:spacing w:after="60" w:line="240" w:lineRule="auto"/>
      </w:pPr>
      <w:r>
        <w:rPr>
          <w:rFonts w:ascii="Calibri Light" w:hAnsi="Calibri Light" w:cs="Calibri Light"/>
          <w:color w:val="auto"/>
        </w:rPr>
        <w:t> </w:t>
      </w:r>
    </w:p>
    <w:p w14:paraId="5FA40C6E" w14:textId="77777777" w:rsidR="00FA1E23" w:rsidRDefault="00FA1E23" w:rsidP="00FA1E23">
      <w:pPr>
        <w:pStyle w:val="INGBodyText"/>
        <w:spacing w:after="80" w:line="240" w:lineRule="auto"/>
      </w:pPr>
      <w:r>
        <w:rPr>
          <w:rFonts w:ascii="Calibri Light" w:hAnsi="Calibri Light" w:cs="Calibri Light"/>
          <w:b/>
          <w:bCs/>
          <w:color w:val="auto"/>
        </w:rPr>
        <w:t> </w:t>
      </w:r>
    </w:p>
    <w:p w14:paraId="337DB5EC" w14:textId="27901062" w:rsidR="00FA1E23" w:rsidRDefault="00FA1E23" w:rsidP="00FA1E23">
      <w:pPr>
        <w:pStyle w:val="INGBodyText"/>
        <w:spacing w:after="80" w:line="240" w:lineRule="auto"/>
      </w:pPr>
      <w:r>
        <w:rPr>
          <w:noProof/>
        </w:rPr>
        <w:lastRenderedPageBreak/>
        <w:drawing>
          <wp:inline distT="0" distB="0" distL="0" distR="0" wp14:anchorId="1B151FF7" wp14:editId="3BCA2D8A">
            <wp:extent cx="5010150" cy="3062279"/>
            <wp:effectExtent l="0" t="0" r="0" b="5080"/>
            <wp:docPr id="4" name="Obrázek 4"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11785" cy="3063278"/>
                    </a:xfrm>
                    <a:prstGeom prst="rect">
                      <a:avLst/>
                    </a:prstGeom>
                    <a:noFill/>
                    <a:ln>
                      <a:noFill/>
                    </a:ln>
                  </pic:spPr>
                </pic:pic>
              </a:graphicData>
            </a:graphic>
          </wp:inline>
        </w:drawing>
      </w:r>
    </w:p>
    <w:p w14:paraId="5CD137F2" w14:textId="77777777" w:rsidR="00FA1E23" w:rsidRDefault="00FA1E23" w:rsidP="00FA1E23">
      <w:pPr>
        <w:pStyle w:val="INGBodyText"/>
        <w:spacing w:after="80" w:line="240" w:lineRule="auto"/>
      </w:pPr>
    </w:p>
    <w:p w14:paraId="78B8F007" w14:textId="77777777" w:rsidR="00FA1E23" w:rsidRDefault="00FA1E23" w:rsidP="00FA1E23">
      <w:pPr>
        <w:pStyle w:val="INGBodyText"/>
        <w:spacing w:after="80" w:line="240" w:lineRule="auto"/>
      </w:pPr>
      <w:r>
        <w:rPr>
          <w:rFonts w:ascii="Calibri Light" w:hAnsi="Calibri Light" w:cs="Calibri Light"/>
          <w:b/>
          <w:bCs/>
          <w:color w:val="auto"/>
        </w:rPr>
        <w:t> </w:t>
      </w:r>
    </w:p>
    <w:p w14:paraId="69DD3FD1" w14:textId="615C2F88" w:rsidR="00FA1E23" w:rsidRDefault="00FA1E23" w:rsidP="00FA1E23">
      <w:pPr>
        <w:pStyle w:val="INGBodyText"/>
        <w:spacing w:after="80" w:line="240" w:lineRule="auto"/>
      </w:pPr>
      <w:r>
        <w:rPr>
          <w:noProof/>
        </w:rPr>
        <w:drawing>
          <wp:inline distT="0" distB="0" distL="0" distR="0" wp14:anchorId="14780D77" wp14:editId="2E7ADC5F">
            <wp:extent cx="3133725" cy="2157486"/>
            <wp:effectExtent l="0" t="0" r="0" b="0"/>
            <wp:docPr id="3" name="Obrázek 3"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36694" cy="2159530"/>
                    </a:xfrm>
                    <a:prstGeom prst="rect">
                      <a:avLst/>
                    </a:prstGeom>
                    <a:noFill/>
                    <a:ln>
                      <a:noFill/>
                    </a:ln>
                  </pic:spPr>
                </pic:pic>
              </a:graphicData>
            </a:graphic>
          </wp:inline>
        </w:drawing>
      </w:r>
    </w:p>
    <w:p w14:paraId="28984E79" w14:textId="77777777" w:rsidR="00FA1E23" w:rsidRDefault="00FA1E23" w:rsidP="00FA1E23">
      <w:pPr>
        <w:pStyle w:val="INGBodyText"/>
        <w:spacing w:after="80" w:line="240" w:lineRule="auto"/>
      </w:pPr>
    </w:p>
    <w:p w14:paraId="67E617C1" w14:textId="77777777" w:rsidR="00FA1E23" w:rsidRDefault="00FA1E23" w:rsidP="00FA1E23">
      <w:pPr>
        <w:pStyle w:val="INGBodyText"/>
        <w:spacing w:after="80" w:line="240" w:lineRule="auto"/>
      </w:pPr>
      <w:r>
        <w:rPr>
          <w:rFonts w:ascii="Calibri Light" w:hAnsi="Calibri Light" w:cs="Calibri Light"/>
          <w:b/>
          <w:bCs/>
          <w:color w:val="auto"/>
        </w:rPr>
        <w:t> </w:t>
      </w:r>
    </w:p>
    <w:p w14:paraId="012A375C" w14:textId="77777777" w:rsidR="00FA1E23" w:rsidRDefault="00FA1E23" w:rsidP="00FA1E23">
      <w:pPr>
        <w:pStyle w:val="INGBodyText"/>
        <w:spacing w:after="80" w:line="240" w:lineRule="auto"/>
      </w:pPr>
      <w:r>
        <w:rPr>
          <w:rFonts w:ascii="Calibri Light" w:hAnsi="Calibri Light" w:cs="Calibri Light"/>
          <w:b/>
          <w:bCs/>
          <w:color w:val="auto"/>
        </w:rPr>
        <w:t> </w:t>
      </w:r>
    </w:p>
    <w:p w14:paraId="65D9EB82" w14:textId="64113B11" w:rsidR="00FA1E23" w:rsidRDefault="00FA1E23" w:rsidP="00FA1E23">
      <w:pPr>
        <w:pStyle w:val="INGBodyText"/>
        <w:spacing w:after="80" w:line="240" w:lineRule="auto"/>
      </w:pPr>
      <w:r>
        <w:rPr>
          <w:noProof/>
        </w:rPr>
        <w:drawing>
          <wp:inline distT="0" distB="0" distL="0" distR="0" wp14:anchorId="5CA953B0" wp14:editId="519BE0F0">
            <wp:extent cx="3228975" cy="2424245"/>
            <wp:effectExtent l="0" t="0" r="0" b="0"/>
            <wp:docPr id="2" name="Obrázek 2"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9481" cy="2432132"/>
                    </a:xfrm>
                    <a:prstGeom prst="rect">
                      <a:avLst/>
                    </a:prstGeom>
                    <a:noFill/>
                    <a:ln>
                      <a:noFill/>
                    </a:ln>
                  </pic:spPr>
                </pic:pic>
              </a:graphicData>
            </a:graphic>
          </wp:inline>
        </w:drawing>
      </w:r>
    </w:p>
    <w:sectPr w:rsidR="00FA1E2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E97E" w14:textId="77777777" w:rsidR="002A54FA" w:rsidRDefault="002A54FA" w:rsidP="00FA1E23">
      <w:r>
        <w:separator/>
      </w:r>
    </w:p>
  </w:endnote>
  <w:endnote w:type="continuationSeparator" w:id="0">
    <w:p w14:paraId="29BC4B38" w14:textId="77777777" w:rsidR="002A54FA" w:rsidRDefault="002A54FA" w:rsidP="00F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DFA3" w14:textId="77777777" w:rsidR="002A54FA" w:rsidRDefault="002A54FA" w:rsidP="00FA1E23">
      <w:r>
        <w:separator/>
      </w:r>
    </w:p>
  </w:footnote>
  <w:footnote w:type="continuationSeparator" w:id="0">
    <w:p w14:paraId="00DB6F7A" w14:textId="77777777" w:rsidR="002A54FA" w:rsidRDefault="002A54FA" w:rsidP="00FA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AA55" w14:textId="1876C08B" w:rsidR="00FA1E23" w:rsidRDefault="00FA1E23">
    <w:pPr>
      <w:pStyle w:val="Zhlav"/>
    </w:pPr>
    <w:r>
      <w:rPr>
        <w:b/>
        <w:bCs/>
        <w:noProof/>
        <w:color w:val="13576B"/>
        <w:sz w:val="30"/>
        <w:szCs w:val="30"/>
      </w:rPr>
      <w:drawing>
        <wp:inline distT="0" distB="0" distL="0" distR="0" wp14:anchorId="4747EF69" wp14:editId="70FF97FD">
          <wp:extent cx="1323975" cy="457200"/>
          <wp:effectExtent l="0" t="0" r="9525" b="0"/>
          <wp:docPr id="1" name="Obrázek 1"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23"/>
    <w:rsid w:val="002A54FA"/>
    <w:rsid w:val="007B2DA6"/>
    <w:rsid w:val="007C0ADE"/>
    <w:rsid w:val="007E1FE0"/>
    <w:rsid w:val="00D5609E"/>
    <w:rsid w:val="00FA1E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2FF1"/>
  <w15:chartTrackingRefBased/>
  <w15:docId w15:val="{464B82E4-C6E6-4BF2-B604-15AD0D1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1E23"/>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1E23"/>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FA1E23"/>
  </w:style>
  <w:style w:type="paragraph" w:styleId="Zpat">
    <w:name w:val="footer"/>
    <w:basedOn w:val="Normln"/>
    <w:link w:val="ZpatChar"/>
    <w:uiPriority w:val="99"/>
    <w:unhideWhenUsed/>
    <w:rsid w:val="00FA1E23"/>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FA1E23"/>
  </w:style>
  <w:style w:type="character" w:customStyle="1" w:styleId="INGBodyTextChar">
    <w:name w:val="ING Body Text Char"/>
    <w:basedOn w:val="Standardnpsmoodstavce"/>
    <w:link w:val="INGBodyText"/>
    <w:locked/>
    <w:rsid w:val="00FA1E23"/>
    <w:rPr>
      <w:rFonts w:ascii="Arial" w:hAnsi="Arial" w:cs="Arial"/>
      <w:color w:val="000000"/>
    </w:rPr>
  </w:style>
  <w:style w:type="paragraph" w:customStyle="1" w:styleId="INGBodyText">
    <w:name w:val="ING Body Text"/>
    <w:basedOn w:val="Normln"/>
    <w:link w:val="INGBodyTextChar"/>
    <w:rsid w:val="00FA1E23"/>
    <w:pPr>
      <w:spacing w:after="140" w:line="270" w:lineRule="exact"/>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png@01D86451.AEB8E0F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5.png@01D86451.AEB8E0F0"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4.png@01D86451.AEB8E0F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6451.AEB8E0F0" TargetMode="External"/><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2431</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Možná</dc:creator>
  <cp:keywords/>
  <dc:description/>
  <cp:lastModifiedBy>Radana Možná</cp:lastModifiedBy>
  <cp:revision>1</cp:revision>
  <dcterms:created xsi:type="dcterms:W3CDTF">2022-05-10T07:41:00Z</dcterms:created>
  <dcterms:modified xsi:type="dcterms:W3CDTF">2022-05-10T07:46:00Z</dcterms:modified>
</cp:coreProperties>
</file>