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36" w:space="0" w:color="13576B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72E4DDA9" w14:textId="77777777" w:rsidTr="007455D0">
        <w:tc>
          <w:tcPr>
            <w:tcW w:w="10196" w:type="dxa"/>
            <w:tcBorders>
              <w:left w:val="single" w:sz="18" w:space="0" w:color="13576B"/>
            </w:tcBorders>
            <w:shd w:val="clear" w:color="auto" w:fill="auto"/>
            <w:vAlign w:val="center"/>
          </w:tcPr>
          <w:p w14:paraId="0F23FE71" w14:textId="075C3E6B" w:rsidR="008659E6" w:rsidRPr="007A4079" w:rsidRDefault="00AA341D" w:rsidP="00D97FFD">
            <w:pPr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Čeští dlužníci se </w:t>
            </w:r>
            <w:r w:rsidR="007B05E8">
              <w:rPr>
                <w:rFonts w:cs="Arial"/>
                <w:b/>
                <w:bCs/>
                <w:color w:val="13576B"/>
                <w:sz w:val="28"/>
                <w:szCs w:val="28"/>
              </w:rPr>
              <w:t>drží – banky</w:t>
            </w: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 stále vykazují celoevropsky </w:t>
            </w:r>
            <w:r w:rsidR="001519DB" w:rsidRPr="001519DB">
              <w:rPr>
                <w:rFonts w:cs="Arial"/>
                <w:b/>
                <w:bCs/>
                <w:color w:val="13576B"/>
                <w:sz w:val="28"/>
                <w:szCs w:val="28"/>
              </w:rPr>
              <w:t>velmi nízký podíl úvěrů v selhá</w:t>
            </w: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>ní</w:t>
            </w:r>
            <w:r w:rsidR="001519DB" w:rsidRPr="001519DB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. </w:t>
            </w:r>
          </w:p>
        </w:tc>
      </w:tr>
    </w:tbl>
    <w:p w14:paraId="51188777" w14:textId="77777777" w:rsidR="007A4079" w:rsidRDefault="007A4079" w:rsidP="00A13038">
      <w:pPr>
        <w:rPr>
          <w:rFonts w:cs="Arial"/>
          <w:color w:val="13576B"/>
          <w:sz w:val="24"/>
          <w:szCs w:val="24"/>
        </w:rPr>
      </w:pPr>
    </w:p>
    <w:p w14:paraId="3511CFCD" w14:textId="77777777" w:rsidR="00A13038" w:rsidRPr="00AA68DB" w:rsidRDefault="007A4079" w:rsidP="00A13038">
      <w:pPr>
        <w:rPr>
          <w:rFonts w:cs="Arial"/>
          <w:b/>
          <w:bCs/>
          <w:color w:val="007E79"/>
          <w:sz w:val="22"/>
          <w:szCs w:val="22"/>
        </w:rPr>
      </w:pPr>
      <w:r w:rsidRPr="00AA68DB">
        <w:rPr>
          <w:rFonts w:cs="Arial"/>
          <w:b/>
          <w:bCs/>
          <w:color w:val="007E79"/>
          <w:sz w:val="22"/>
          <w:szCs w:val="22"/>
        </w:rPr>
        <w:t xml:space="preserve">Komentář České bankovní asociace k vývoji vkladů, úvěrů a nevýkonných úvěrů za </w:t>
      </w:r>
      <w:r w:rsidR="008165C6">
        <w:rPr>
          <w:rFonts w:cs="Arial"/>
          <w:b/>
          <w:bCs/>
          <w:color w:val="007E79"/>
          <w:sz w:val="22"/>
          <w:szCs w:val="22"/>
        </w:rPr>
        <w:t>březen</w:t>
      </w:r>
      <w:r w:rsidRPr="00AA68DB">
        <w:rPr>
          <w:rFonts w:cs="Arial"/>
          <w:b/>
          <w:bCs/>
          <w:color w:val="007E79"/>
          <w:sz w:val="22"/>
          <w:szCs w:val="22"/>
        </w:rPr>
        <w:t xml:space="preserve"> 2022 dle statistik ČNB</w:t>
      </w:r>
    </w:p>
    <w:p w14:paraId="075DB0B6" w14:textId="77777777" w:rsidR="007A4079" w:rsidRPr="00A13038" w:rsidRDefault="007A4079" w:rsidP="00A13038">
      <w:pPr>
        <w:rPr>
          <w:rFonts w:cs="Arial"/>
          <w:b/>
          <w:bCs/>
          <w:color w:val="13576B"/>
          <w:sz w:val="22"/>
          <w:szCs w:val="22"/>
        </w:rPr>
      </w:pPr>
    </w:p>
    <w:p w14:paraId="3050E34D" w14:textId="77777777" w:rsidR="001519DB" w:rsidRPr="00AA68DB" w:rsidRDefault="001519DB" w:rsidP="001519DB">
      <w:pPr>
        <w:spacing w:line="276" w:lineRule="auto"/>
        <w:rPr>
          <w:rFonts w:cs="Arial"/>
          <w:bCs/>
          <w:color w:val="13576B"/>
          <w:sz w:val="20"/>
        </w:rPr>
      </w:pPr>
      <w:bookmarkStart w:id="0" w:name="_Hlk89175450"/>
      <w:bookmarkEnd w:id="0"/>
      <w:r w:rsidRPr="00AA68DB">
        <w:rPr>
          <w:rFonts w:cs="Arial"/>
          <w:bCs/>
          <w:color w:val="13576B"/>
          <w:sz w:val="20"/>
        </w:rPr>
        <w:t xml:space="preserve">Autor: Miroslav Zámečník, hlavní poradce České bankovní asociace </w:t>
      </w:r>
    </w:p>
    <w:p w14:paraId="2A2CC8C1" w14:textId="09A3CDC6" w:rsidR="001519DB" w:rsidRPr="00AA68DB" w:rsidRDefault="001519DB" w:rsidP="001519DB">
      <w:pPr>
        <w:spacing w:line="276" w:lineRule="auto"/>
        <w:rPr>
          <w:rFonts w:cs="Arial"/>
          <w:bCs/>
          <w:color w:val="13576B"/>
          <w:sz w:val="20"/>
        </w:rPr>
      </w:pPr>
      <w:r w:rsidRPr="00AA68DB">
        <w:rPr>
          <w:rFonts w:cs="Arial"/>
          <w:bCs/>
          <w:color w:val="13576B"/>
          <w:sz w:val="20"/>
        </w:rPr>
        <w:t xml:space="preserve">Praha, </w:t>
      </w:r>
      <w:r w:rsidR="004B4E83">
        <w:rPr>
          <w:rFonts w:cs="Arial"/>
          <w:bCs/>
          <w:color w:val="13576B"/>
          <w:sz w:val="20"/>
        </w:rPr>
        <w:t xml:space="preserve">3. května </w:t>
      </w:r>
      <w:r w:rsidRPr="00AA68DB">
        <w:rPr>
          <w:rFonts w:cs="Arial"/>
          <w:bCs/>
          <w:color w:val="13576B"/>
          <w:sz w:val="20"/>
        </w:rPr>
        <w:t>2022</w:t>
      </w:r>
    </w:p>
    <w:p w14:paraId="131E6E68" w14:textId="77777777" w:rsidR="001519DB" w:rsidRPr="001519DB" w:rsidRDefault="001519DB" w:rsidP="001519DB">
      <w:pPr>
        <w:rPr>
          <w:rFonts w:cs="Arial"/>
          <w:b/>
          <w:color w:val="13576B"/>
          <w:sz w:val="24"/>
          <w:szCs w:val="24"/>
        </w:rPr>
      </w:pPr>
    </w:p>
    <w:p w14:paraId="117E3A8A" w14:textId="77777777" w:rsidR="001519DB" w:rsidRPr="001519DB" w:rsidRDefault="001519DB" w:rsidP="001519DB">
      <w:pPr>
        <w:rPr>
          <w:rFonts w:cs="Arial"/>
          <w:b/>
          <w:color w:val="000000"/>
          <w:sz w:val="22"/>
          <w:szCs w:val="22"/>
        </w:rPr>
      </w:pPr>
    </w:p>
    <w:p w14:paraId="329880CC" w14:textId="6C19DFBF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  <w:r w:rsidRPr="001519DB">
        <w:rPr>
          <w:rFonts w:cs="Arial"/>
          <w:b/>
          <w:color w:val="000000"/>
          <w:sz w:val="22"/>
          <w:szCs w:val="22"/>
        </w:rPr>
        <w:t>Vklady obyvatel</w:t>
      </w:r>
      <w:r w:rsidRPr="001519DB">
        <w:rPr>
          <w:rFonts w:cs="Arial"/>
          <w:bCs/>
          <w:color w:val="000000"/>
          <w:sz w:val="22"/>
          <w:szCs w:val="22"/>
        </w:rPr>
        <w:t xml:space="preserve"> v bankách, počítáno v korunách i cizí měně celkem, </w:t>
      </w:r>
      <w:r w:rsidR="007A4079" w:rsidRPr="007A4079">
        <w:rPr>
          <w:rFonts w:cs="Arial"/>
          <w:b/>
          <w:color w:val="000000"/>
          <w:sz w:val="22"/>
          <w:szCs w:val="22"/>
        </w:rPr>
        <w:t>v </w:t>
      </w:r>
      <w:r w:rsidR="008165C6">
        <w:rPr>
          <w:rFonts w:cs="Arial"/>
          <w:b/>
          <w:color w:val="000000"/>
          <w:sz w:val="22"/>
          <w:szCs w:val="22"/>
        </w:rPr>
        <w:t>březnu</w:t>
      </w:r>
      <w:r w:rsidR="007A4079" w:rsidRPr="007A4079">
        <w:rPr>
          <w:rFonts w:cs="Arial"/>
          <w:b/>
          <w:color w:val="000000"/>
          <w:sz w:val="22"/>
          <w:szCs w:val="22"/>
        </w:rPr>
        <w:t xml:space="preserve"> </w:t>
      </w:r>
      <w:r w:rsidR="00B75883">
        <w:rPr>
          <w:rFonts w:cs="Arial"/>
          <w:b/>
          <w:color w:val="000000"/>
          <w:sz w:val="22"/>
          <w:szCs w:val="22"/>
        </w:rPr>
        <w:t>nabraly opačný kurz, a meziměsíčně poklesly o téměř 26 miliard</w:t>
      </w:r>
      <w:r w:rsidRPr="001519DB">
        <w:rPr>
          <w:rFonts w:cs="Arial"/>
          <w:bCs/>
          <w:color w:val="000000"/>
          <w:sz w:val="22"/>
          <w:szCs w:val="22"/>
        </w:rPr>
        <w:t xml:space="preserve">. </w:t>
      </w:r>
      <w:r w:rsidR="00B75883">
        <w:rPr>
          <w:rFonts w:cs="Arial"/>
          <w:bCs/>
          <w:color w:val="000000"/>
          <w:sz w:val="22"/>
          <w:szCs w:val="22"/>
        </w:rPr>
        <w:t>Jejich celkový objem se však od srpna</w:t>
      </w:r>
      <w:r w:rsidRPr="001519DB">
        <w:rPr>
          <w:rFonts w:cs="Arial"/>
          <w:bCs/>
          <w:color w:val="000000"/>
          <w:sz w:val="22"/>
          <w:szCs w:val="22"/>
        </w:rPr>
        <w:t xml:space="preserve"> loňského roku </w:t>
      </w:r>
      <w:r w:rsidR="00B75883">
        <w:rPr>
          <w:rFonts w:cs="Arial"/>
          <w:bCs/>
          <w:color w:val="000000"/>
          <w:sz w:val="22"/>
          <w:szCs w:val="22"/>
        </w:rPr>
        <w:t xml:space="preserve">drží nad </w:t>
      </w:r>
      <w:r w:rsidRPr="001519DB">
        <w:rPr>
          <w:rFonts w:cs="Arial"/>
          <w:bCs/>
          <w:color w:val="000000"/>
          <w:sz w:val="22"/>
          <w:szCs w:val="22"/>
        </w:rPr>
        <w:t>hranici tří bilionů korun</w:t>
      </w:r>
      <w:r w:rsidR="00D77FEE">
        <w:rPr>
          <w:rFonts w:cs="Arial"/>
          <w:bCs/>
          <w:color w:val="000000"/>
          <w:sz w:val="22"/>
          <w:szCs w:val="22"/>
        </w:rPr>
        <w:t>. K</w:t>
      </w:r>
      <w:r w:rsidRPr="001519DB">
        <w:rPr>
          <w:rFonts w:cs="Arial"/>
          <w:bCs/>
          <w:color w:val="000000"/>
          <w:sz w:val="22"/>
          <w:szCs w:val="22"/>
        </w:rPr>
        <w:t xml:space="preserve">e konci letošního </w:t>
      </w:r>
      <w:r w:rsidR="008165C6">
        <w:rPr>
          <w:rFonts w:cs="Arial"/>
          <w:bCs/>
          <w:color w:val="000000"/>
          <w:sz w:val="22"/>
          <w:szCs w:val="22"/>
        </w:rPr>
        <w:t>března</w:t>
      </w:r>
      <w:r w:rsidRPr="001519DB">
        <w:rPr>
          <w:rFonts w:cs="Arial"/>
          <w:bCs/>
          <w:color w:val="000000"/>
          <w:sz w:val="22"/>
          <w:szCs w:val="22"/>
        </w:rPr>
        <w:t xml:space="preserve"> </w:t>
      </w:r>
      <w:r w:rsidR="00B75883">
        <w:rPr>
          <w:rFonts w:cs="Arial"/>
          <w:bCs/>
          <w:color w:val="000000"/>
          <w:sz w:val="22"/>
          <w:szCs w:val="22"/>
        </w:rPr>
        <w:t xml:space="preserve">jejich celková výše dosahovala tří bilionů a čtyřiceti jedné miliardy korun. </w:t>
      </w:r>
      <w:r w:rsidRPr="001519DB">
        <w:rPr>
          <w:rFonts w:cs="Arial"/>
          <w:bCs/>
          <w:color w:val="000000"/>
          <w:sz w:val="22"/>
          <w:szCs w:val="22"/>
        </w:rPr>
        <w:t xml:space="preserve">Meziroční nárůst vkladů obyvatelstva </w:t>
      </w:r>
      <w:r w:rsidR="00B75883">
        <w:rPr>
          <w:rFonts w:cs="Arial"/>
          <w:bCs/>
          <w:color w:val="000000"/>
          <w:sz w:val="22"/>
          <w:szCs w:val="22"/>
        </w:rPr>
        <w:t>představuje 118,5 miliardy korun, tedy nárůst o čtyři procenta.</w:t>
      </w:r>
      <w:r w:rsidRPr="001519DB">
        <w:rPr>
          <w:rFonts w:cs="Arial"/>
          <w:bCs/>
          <w:color w:val="000000"/>
          <w:sz w:val="22"/>
          <w:szCs w:val="22"/>
        </w:rPr>
        <w:t xml:space="preserve"> Ze statistik sestavovaných Českou národní bankou (ČNB) </w:t>
      </w:r>
      <w:r w:rsidR="00184B07">
        <w:rPr>
          <w:rFonts w:cs="Arial"/>
          <w:bCs/>
          <w:color w:val="000000"/>
          <w:sz w:val="22"/>
          <w:szCs w:val="22"/>
        </w:rPr>
        <w:t xml:space="preserve">také </w:t>
      </w:r>
      <w:r w:rsidRPr="001519DB">
        <w:rPr>
          <w:rFonts w:cs="Arial"/>
          <w:bCs/>
          <w:color w:val="000000"/>
          <w:sz w:val="22"/>
          <w:szCs w:val="22"/>
        </w:rPr>
        <w:t xml:space="preserve">vyplývá, že </w:t>
      </w:r>
      <w:r w:rsidR="00B75883">
        <w:rPr>
          <w:rFonts w:cs="Arial"/>
          <w:bCs/>
          <w:color w:val="000000"/>
          <w:sz w:val="22"/>
          <w:szCs w:val="22"/>
        </w:rPr>
        <w:t xml:space="preserve">více než </w:t>
      </w:r>
      <w:r w:rsidRPr="001519DB">
        <w:rPr>
          <w:rFonts w:cs="Arial"/>
          <w:bCs/>
          <w:color w:val="000000"/>
          <w:sz w:val="22"/>
          <w:szCs w:val="22"/>
        </w:rPr>
        <w:t>dvojnásobným tempem rostl meziroční zájem o úvěry (1</w:t>
      </w:r>
      <w:r w:rsidR="00D77FEE">
        <w:rPr>
          <w:rFonts w:cs="Arial"/>
          <w:bCs/>
          <w:color w:val="000000"/>
          <w:sz w:val="22"/>
          <w:szCs w:val="22"/>
        </w:rPr>
        <w:t>1</w:t>
      </w:r>
      <w:r w:rsidRPr="001519DB">
        <w:rPr>
          <w:rFonts w:cs="Arial"/>
          <w:bCs/>
          <w:color w:val="000000"/>
          <w:sz w:val="22"/>
          <w:szCs w:val="22"/>
        </w:rPr>
        <w:t xml:space="preserve"> %). Přes zjevně opadající hypoteční vlnu dosáhl celkový objem úvěrů obyvatelstva </w:t>
      </w:r>
      <w:r w:rsidR="00B75883">
        <w:rPr>
          <w:rFonts w:cs="Arial"/>
          <w:bCs/>
          <w:color w:val="000000"/>
          <w:sz w:val="22"/>
          <w:szCs w:val="22"/>
        </w:rPr>
        <w:t xml:space="preserve">1,987 </w:t>
      </w:r>
      <w:r w:rsidRPr="001519DB">
        <w:rPr>
          <w:rFonts w:cs="Arial"/>
          <w:bCs/>
          <w:color w:val="000000"/>
          <w:sz w:val="22"/>
          <w:szCs w:val="22"/>
        </w:rPr>
        <w:t xml:space="preserve">bilionu korun. Výsledné saldo mezi vklady a úvěry obyvatelstva pak meziměsíčně </w:t>
      </w:r>
      <w:r w:rsidR="00B75883">
        <w:rPr>
          <w:rFonts w:cs="Arial"/>
          <w:bCs/>
          <w:color w:val="000000"/>
          <w:sz w:val="22"/>
          <w:szCs w:val="22"/>
        </w:rPr>
        <w:t>kleslo na 1,</w:t>
      </w:r>
      <w:r w:rsidR="0005405F">
        <w:rPr>
          <w:rFonts w:cs="Arial"/>
          <w:bCs/>
          <w:color w:val="000000"/>
          <w:sz w:val="22"/>
          <w:szCs w:val="22"/>
        </w:rPr>
        <w:t>053</w:t>
      </w:r>
      <w:r w:rsidRPr="001519DB">
        <w:rPr>
          <w:rFonts w:cs="Arial"/>
          <w:bCs/>
          <w:color w:val="000000"/>
          <w:sz w:val="22"/>
          <w:szCs w:val="22"/>
        </w:rPr>
        <w:t xml:space="preserve"> bilionu korun. </w:t>
      </w:r>
    </w:p>
    <w:p w14:paraId="1F91E296" w14:textId="77777777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</w:p>
    <w:p w14:paraId="3AAE4B1E" w14:textId="77777777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  <w:r w:rsidRPr="001519DB">
        <w:rPr>
          <w:rFonts w:cs="Arial"/>
          <w:b/>
          <w:color w:val="000000"/>
          <w:sz w:val="22"/>
          <w:szCs w:val="22"/>
        </w:rPr>
        <w:t>Živnostníci</w:t>
      </w:r>
      <w:r w:rsidRPr="001519DB">
        <w:rPr>
          <w:rFonts w:cs="Arial"/>
          <w:bCs/>
          <w:color w:val="000000"/>
          <w:sz w:val="22"/>
          <w:szCs w:val="22"/>
        </w:rPr>
        <w:t xml:space="preserve"> v únoru nepatrně </w:t>
      </w:r>
      <w:r w:rsidR="00A72BBC">
        <w:rPr>
          <w:rFonts w:cs="Arial"/>
          <w:bCs/>
          <w:color w:val="000000"/>
          <w:sz w:val="22"/>
          <w:szCs w:val="22"/>
        </w:rPr>
        <w:t>zvýšili čerpání půjček</w:t>
      </w:r>
      <w:r w:rsidRPr="001519DB">
        <w:rPr>
          <w:rFonts w:cs="Arial"/>
          <w:bCs/>
          <w:color w:val="000000"/>
          <w:sz w:val="22"/>
          <w:szCs w:val="22"/>
        </w:rPr>
        <w:t xml:space="preserve">, a </w:t>
      </w:r>
      <w:r w:rsidR="0005405F">
        <w:rPr>
          <w:rFonts w:cs="Arial"/>
          <w:bCs/>
          <w:color w:val="000000"/>
          <w:sz w:val="22"/>
          <w:szCs w:val="22"/>
        </w:rPr>
        <w:t>naopak snížili</w:t>
      </w:r>
      <w:r w:rsidRPr="001519DB">
        <w:rPr>
          <w:rFonts w:cs="Arial"/>
          <w:bCs/>
          <w:color w:val="000000"/>
          <w:sz w:val="22"/>
          <w:szCs w:val="22"/>
        </w:rPr>
        <w:t xml:space="preserve"> tvorbu vkladů</w:t>
      </w:r>
      <w:r w:rsidR="0005405F">
        <w:rPr>
          <w:rFonts w:cs="Arial"/>
          <w:bCs/>
          <w:color w:val="000000"/>
          <w:sz w:val="22"/>
          <w:szCs w:val="22"/>
        </w:rPr>
        <w:t>;</w:t>
      </w:r>
      <w:r w:rsidRPr="001519DB">
        <w:rPr>
          <w:rFonts w:cs="Arial"/>
          <w:bCs/>
          <w:color w:val="000000"/>
          <w:sz w:val="22"/>
          <w:szCs w:val="22"/>
        </w:rPr>
        <w:t xml:space="preserve"> na úložkách měli koncem měsíce </w:t>
      </w:r>
      <w:r w:rsidR="0005405F">
        <w:rPr>
          <w:rFonts w:cs="Arial"/>
          <w:bCs/>
          <w:color w:val="000000"/>
          <w:sz w:val="22"/>
          <w:szCs w:val="22"/>
        </w:rPr>
        <w:t>o 119</w:t>
      </w:r>
      <w:r w:rsidRPr="001519DB">
        <w:rPr>
          <w:rFonts w:cs="Arial"/>
          <w:bCs/>
          <w:color w:val="000000"/>
          <w:sz w:val="22"/>
          <w:szCs w:val="22"/>
        </w:rPr>
        <w:t xml:space="preserve"> miliard korun více, než kolik bankám dlužili. </w:t>
      </w:r>
    </w:p>
    <w:p w14:paraId="4B848155" w14:textId="77777777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</w:p>
    <w:p w14:paraId="35628600" w14:textId="77777777" w:rsidR="001519DB" w:rsidRPr="001519DB" w:rsidRDefault="001519DB" w:rsidP="001519DB">
      <w:pPr>
        <w:jc w:val="left"/>
        <w:rPr>
          <w:rFonts w:cs="Arial"/>
          <w:color w:val="000000"/>
          <w:sz w:val="22"/>
          <w:szCs w:val="22"/>
          <w:lang w:eastAsia="en-GB"/>
        </w:rPr>
      </w:pPr>
      <w:r w:rsidRPr="001519DB">
        <w:rPr>
          <w:rFonts w:cs="Arial"/>
          <w:b/>
          <w:bCs/>
          <w:color w:val="000000"/>
          <w:sz w:val="22"/>
          <w:szCs w:val="22"/>
          <w:lang w:eastAsia="en-GB"/>
        </w:rPr>
        <w:t>Vývoj úvěrů a vkladů (v mil. Kč)</w: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1519DB" w:rsidRPr="001519DB" w14:paraId="369115F4" w14:textId="77777777" w:rsidTr="001519DB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FBB8BF6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8F52DA9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0E5AFAB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Domácnosti – obyvatelstvo</w:t>
            </w:r>
          </w:p>
        </w:tc>
      </w:tr>
      <w:tr w:rsidR="001519DB" w:rsidRPr="001519DB" w14:paraId="3BC51CDA" w14:textId="77777777" w:rsidTr="001519D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B98" w14:textId="77777777" w:rsidR="001519DB" w:rsidRPr="001519DB" w:rsidRDefault="001519DB">
            <w:pPr>
              <w:overflowPunct/>
              <w:autoSpaceDE/>
              <w:autoSpaceDN/>
              <w:adjustRightInd/>
              <w:spacing w:line="256" w:lineRule="auto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ED7DAC5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F0AEC6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516DE1D5" w14:textId="77777777" w:rsidR="001519DB" w:rsidRPr="001519DB" w:rsidRDefault="00BF4DE0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S</w:t>
            </w:r>
            <w:r w:rsidR="001519DB"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F7D848A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D528C03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2D1F587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saldo</w:t>
            </w:r>
          </w:p>
        </w:tc>
      </w:tr>
      <w:tr w:rsidR="001519DB" w:rsidRPr="001519DB" w14:paraId="05E9BF17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A4C0" w14:textId="37A992C8" w:rsidR="001519DB" w:rsidRPr="00643F2B" w:rsidRDefault="008165C6" w:rsidP="008165C6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31.3</w:t>
            </w:r>
            <w:r w:rsidR="001519DB" w:rsidRPr="00643F2B">
              <w:rPr>
                <w:rFonts w:cs="Arial"/>
                <w:color w:val="000000"/>
                <w:sz w:val="20"/>
                <w:lang w:eastAsia="en-US"/>
              </w:rPr>
              <w:t>.2022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BDF" w14:textId="7F70C7D0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166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143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D87" w14:textId="24AE6981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47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262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68BC" w14:textId="521245EA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118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880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67D" w14:textId="221109DC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3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040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738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B94" w14:textId="02B40D53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987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30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53C" w14:textId="506FD8CE" w:rsidR="001519DB" w:rsidRPr="004B4E83" w:rsidRDefault="0005405F" w:rsidP="004B4E8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4B4E83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053</w:t>
            </w:r>
            <w:r w:rsidR="00E8046A" w:rsidRPr="004B4E83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4B4E83">
              <w:rPr>
                <w:rFonts w:cs="Arial"/>
                <w:color w:val="000000"/>
                <w:sz w:val="20"/>
                <w:lang w:eastAsia="en-US"/>
              </w:rPr>
              <w:t>436</w:t>
            </w:r>
          </w:p>
        </w:tc>
      </w:tr>
      <w:tr w:rsidR="001519DB" w:rsidRPr="001519DB" w14:paraId="156B1249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82FC" w14:textId="77777777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31.12.2021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F24" w14:textId="3D4B0986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171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035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9A3" w14:textId="7E500AEA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47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FF1" w14:textId="1674CF9B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123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39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F6" w14:textId="552E468D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3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020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385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B3C" w14:textId="399242D0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948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112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CC8" w14:textId="07F81E7D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072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273</w:t>
            </w:r>
          </w:p>
        </w:tc>
      </w:tr>
      <w:tr w:rsidR="001519DB" w:rsidRPr="001519DB" w14:paraId="2E6B334B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34E3" w14:textId="77777777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D569" w14:textId="58EE81DA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166 28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B07" w14:textId="59450530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47 008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C3B" w14:textId="1FCA1F83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119 27</w:t>
            </w:r>
            <w:r w:rsidR="00E8046A">
              <w:rPr>
                <w:rFonts w:cs="Arial"/>
                <w:color w:val="000000"/>
                <w:sz w:val="20"/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DAD4" w14:textId="1243B2E0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2 822 763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98B" w14:textId="7039BAA5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1 763 145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43A" w14:textId="13DF8F91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1 059 618</w:t>
            </w:r>
          </w:p>
        </w:tc>
      </w:tr>
    </w:tbl>
    <w:p w14:paraId="619B7F37" w14:textId="427BB9B6" w:rsidR="001519DB" w:rsidRPr="001519DB" w:rsidRDefault="00E8046A" w:rsidP="001519DB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BB9C671" wp14:editId="60EEC155">
                <wp:simplePos x="0" y="0"/>
                <wp:positionH relativeFrom="column">
                  <wp:posOffset>53975</wp:posOffset>
                </wp:positionH>
                <wp:positionV relativeFrom="paragraph">
                  <wp:posOffset>41910</wp:posOffset>
                </wp:positionV>
                <wp:extent cx="3686175" cy="276225"/>
                <wp:effectExtent l="381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29DB" w14:textId="77777777" w:rsidR="001519DB" w:rsidRDefault="001519DB" w:rsidP="001519DB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BB9C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5pt;margin-top:3.3pt;width:290.2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" filled="f" stroked="f">
                <v:textbox>
                  <w:txbxContent>
                    <w:p w14:paraId="770529DB" w14:textId="77777777" w:rsidR="001519DB" w:rsidRDefault="001519DB" w:rsidP="001519DB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256C38F3" w14:textId="77777777" w:rsidR="001519DB" w:rsidRPr="001519DB" w:rsidRDefault="001519DB" w:rsidP="001519DB">
      <w:pPr>
        <w:rPr>
          <w:rFonts w:cs="Arial"/>
          <w:b/>
          <w:color w:val="13576B"/>
          <w:sz w:val="22"/>
          <w:szCs w:val="22"/>
        </w:rPr>
      </w:pPr>
    </w:p>
    <w:p w14:paraId="43D17F32" w14:textId="77777777" w:rsidR="001519DB" w:rsidRPr="001519DB" w:rsidRDefault="001519DB" w:rsidP="001519DB">
      <w:pPr>
        <w:rPr>
          <w:rFonts w:cs="Arial"/>
          <w:b/>
          <w:color w:val="13576B"/>
          <w:sz w:val="22"/>
          <w:szCs w:val="22"/>
        </w:rPr>
      </w:pPr>
    </w:p>
    <w:p w14:paraId="57096E7D" w14:textId="77777777" w:rsidR="001519DB" w:rsidRPr="00184B07" w:rsidRDefault="001519DB" w:rsidP="001519DB">
      <w:pPr>
        <w:rPr>
          <w:rFonts w:cs="Arial"/>
          <w:b/>
          <w:color w:val="13576B"/>
          <w:sz w:val="24"/>
          <w:szCs w:val="24"/>
        </w:rPr>
      </w:pPr>
      <w:r w:rsidRPr="00184B07">
        <w:rPr>
          <w:rFonts w:cs="Arial"/>
          <w:b/>
          <w:color w:val="13576B"/>
          <w:sz w:val="24"/>
          <w:szCs w:val="24"/>
        </w:rPr>
        <w:t xml:space="preserve">Vklady firem za měsíc </w:t>
      </w:r>
      <w:r w:rsidR="003038E5">
        <w:rPr>
          <w:rFonts w:cs="Arial"/>
          <w:b/>
          <w:color w:val="13576B"/>
          <w:sz w:val="24"/>
          <w:szCs w:val="24"/>
        </w:rPr>
        <w:t>březen</w:t>
      </w:r>
      <w:r w:rsidRPr="00184B07">
        <w:rPr>
          <w:rFonts w:cs="Arial"/>
          <w:b/>
          <w:color w:val="13576B"/>
          <w:sz w:val="24"/>
          <w:szCs w:val="24"/>
        </w:rPr>
        <w:t xml:space="preserve"> o</w:t>
      </w:r>
      <w:r w:rsidR="00D455FA">
        <w:rPr>
          <w:rFonts w:cs="Arial"/>
          <w:b/>
          <w:color w:val="13576B"/>
          <w:sz w:val="24"/>
          <w:szCs w:val="24"/>
        </w:rPr>
        <w:t xml:space="preserve"> deset </w:t>
      </w:r>
      <w:r w:rsidRPr="00184B07">
        <w:rPr>
          <w:rFonts w:cs="Arial"/>
          <w:b/>
          <w:color w:val="13576B"/>
          <w:sz w:val="24"/>
          <w:szCs w:val="24"/>
        </w:rPr>
        <w:t>miliard korun</w:t>
      </w:r>
      <w:r w:rsidR="00D455FA">
        <w:rPr>
          <w:rFonts w:cs="Arial"/>
          <w:b/>
          <w:color w:val="13576B"/>
          <w:sz w:val="24"/>
          <w:szCs w:val="24"/>
        </w:rPr>
        <w:t xml:space="preserve"> stouply</w:t>
      </w:r>
      <w:r w:rsidRPr="00184B07">
        <w:rPr>
          <w:rFonts w:cs="Arial"/>
          <w:b/>
          <w:color w:val="13576B"/>
          <w:sz w:val="24"/>
          <w:szCs w:val="24"/>
        </w:rPr>
        <w:t xml:space="preserve">, úvěry o </w:t>
      </w:r>
      <w:r w:rsidR="00D455FA">
        <w:rPr>
          <w:rFonts w:cs="Arial"/>
          <w:b/>
          <w:color w:val="13576B"/>
          <w:sz w:val="24"/>
          <w:szCs w:val="24"/>
        </w:rPr>
        <w:t xml:space="preserve">14 </w:t>
      </w:r>
      <w:r w:rsidRPr="00184B07">
        <w:rPr>
          <w:rFonts w:cs="Arial"/>
          <w:b/>
          <w:color w:val="13576B"/>
          <w:sz w:val="24"/>
          <w:szCs w:val="24"/>
        </w:rPr>
        <w:t xml:space="preserve">miliard </w:t>
      </w:r>
      <w:r w:rsidR="00D455FA">
        <w:rPr>
          <w:rFonts w:cs="Arial"/>
          <w:b/>
          <w:color w:val="13576B"/>
          <w:sz w:val="24"/>
          <w:szCs w:val="24"/>
        </w:rPr>
        <w:t xml:space="preserve">klesly </w:t>
      </w:r>
      <w:r w:rsidRPr="00184B07">
        <w:rPr>
          <w:rFonts w:cs="Arial"/>
          <w:b/>
          <w:color w:val="13576B"/>
          <w:sz w:val="24"/>
          <w:szCs w:val="24"/>
        </w:rPr>
        <w:t xml:space="preserve"> </w:t>
      </w:r>
    </w:p>
    <w:p w14:paraId="1FE09CA3" w14:textId="77777777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</w:p>
    <w:p w14:paraId="06E5C9EC" w14:textId="77777777" w:rsidR="001519DB" w:rsidRPr="001519DB" w:rsidRDefault="001519DB" w:rsidP="001519DB">
      <w:pPr>
        <w:overflowPunct/>
        <w:autoSpaceDE/>
        <w:adjustRightInd/>
        <w:rPr>
          <w:rFonts w:cs="Arial"/>
          <w:sz w:val="22"/>
          <w:szCs w:val="22"/>
        </w:rPr>
      </w:pPr>
      <w:r w:rsidRPr="001519DB">
        <w:rPr>
          <w:rFonts w:cs="Arial"/>
          <w:sz w:val="22"/>
          <w:szCs w:val="22"/>
        </w:rPr>
        <w:t>V </w:t>
      </w:r>
      <w:r w:rsidR="003038E5">
        <w:rPr>
          <w:rFonts w:cs="Arial"/>
          <w:sz w:val="22"/>
          <w:szCs w:val="22"/>
        </w:rPr>
        <w:t>březnu</w:t>
      </w:r>
      <w:r w:rsidRPr="001519DB">
        <w:rPr>
          <w:rFonts w:cs="Arial"/>
          <w:sz w:val="22"/>
          <w:szCs w:val="22"/>
        </w:rPr>
        <w:t xml:space="preserve"> </w:t>
      </w:r>
      <w:r w:rsidR="00D455FA">
        <w:rPr>
          <w:rFonts w:cs="Arial"/>
          <w:sz w:val="22"/>
          <w:szCs w:val="22"/>
        </w:rPr>
        <w:t xml:space="preserve">se </w:t>
      </w:r>
      <w:r w:rsidRPr="001519DB">
        <w:rPr>
          <w:rFonts w:cs="Arial"/>
          <w:sz w:val="22"/>
          <w:szCs w:val="22"/>
        </w:rPr>
        <w:t>meziměsíčně</w:t>
      </w:r>
      <w:r w:rsidR="00D455FA">
        <w:rPr>
          <w:rFonts w:cs="Arial"/>
          <w:sz w:val="22"/>
          <w:szCs w:val="22"/>
        </w:rPr>
        <w:t xml:space="preserve"> snížil stav</w:t>
      </w:r>
      <w:r w:rsidRPr="001519DB">
        <w:rPr>
          <w:rFonts w:cs="Arial"/>
          <w:sz w:val="22"/>
          <w:szCs w:val="22"/>
        </w:rPr>
        <w:t xml:space="preserve"> </w:t>
      </w:r>
      <w:r w:rsidR="00D455FA">
        <w:rPr>
          <w:rFonts w:cs="Arial"/>
          <w:sz w:val="22"/>
          <w:szCs w:val="22"/>
        </w:rPr>
        <w:t>podnikových úvěrů, po výrazném únorovém nárůstů. M</w:t>
      </w:r>
      <w:r w:rsidRPr="001519DB">
        <w:rPr>
          <w:rFonts w:cs="Arial"/>
          <w:sz w:val="22"/>
          <w:szCs w:val="22"/>
        </w:rPr>
        <w:t xml:space="preserve">eziročně </w:t>
      </w:r>
      <w:r w:rsidR="00AA3779">
        <w:rPr>
          <w:rFonts w:cs="Arial"/>
          <w:sz w:val="22"/>
          <w:szCs w:val="22"/>
        </w:rPr>
        <w:t>ovšem dosažených 1,222 bilionu korun představuje vzestup o 86 miliard korun (+7,5</w:t>
      </w:r>
      <w:r w:rsidRPr="001519DB">
        <w:rPr>
          <w:rFonts w:cs="Arial"/>
          <w:sz w:val="22"/>
          <w:szCs w:val="22"/>
        </w:rPr>
        <w:t xml:space="preserve"> %</w:t>
      </w:r>
      <w:r w:rsidR="00AA3779">
        <w:rPr>
          <w:rFonts w:cs="Arial"/>
          <w:sz w:val="22"/>
          <w:szCs w:val="22"/>
        </w:rPr>
        <w:t>)</w:t>
      </w:r>
      <w:r w:rsidRPr="001519DB">
        <w:rPr>
          <w:rFonts w:cs="Arial"/>
          <w:sz w:val="22"/>
          <w:szCs w:val="22"/>
        </w:rPr>
        <w:t>. Zároveň rostla i depozita, která mají firmy v bankovních ústavech, na 1,3</w:t>
      </w:r>
      <w:r w:rsidR="00AA3779">
        <w:rPr>
          <w:rFonts w:cs="Arial"/>
          <w:sz w:val="22"/>
          <w:szCs w:val="22"/>
        </w:rPr>
        <w:t>34</w:t>
      </w:r>
      <w:r w:rsidRPr="001519DB">
        <w:rPr>
          <w:rFonts w:cs="Arial"/>
          <w:sz w:val="22"/>
          <w:szCs w:val="22"/>
        </w:rPr>
        <w:t xml:space="preserve"> </w:t>
      </w:r>
      <w:r w:rsidRPr="001519DB">
        <w:rPr>
          <w:rFonts w:cs="Arial"/>
          <w:color w:val="000000"/>
          <w:sz w:val="22"/>
          <w:szCs w:val="22"/>
        </w:rPr>
        <w:t>bilionu korun</w:t>
      </w:r>
      <w:r w:rsidRPr="001519DB">
        <w:rPr>
          <w:rFonts w:cs="Arial"/>
          <w:sz w:val="22"/>
          <w:szCs w:val="22"/>
        </w:rPr>
        <w:t xml:space="preserve">; výsledné saldo vůči bankám tak skončilo na </w:t>
      </w:r>
      <w:r w:rsidR="00A72BBC">
        <w:rPr>
          <w:rFonts w:cs="Arial"/>
          <w:sz w:val="22"/>
          <w:szCs w:val="22"/>
        </w:rPr>
        <w:t xml:space="preserve">přebytku </w:t>
      </w:r>
      <w:r w:rsidR="00AA3779">
        <w:rPr>
          <w:rFonts w:cs="Arial"/>
          <w:sz w:val="22"/>
          <w:szCs w:val="22"/>
        </w:rPr>
        <w:t>111</w:t>
      </w:r>
      <w:r w:rsidRPr="001519DB">
        <w:rPr>
          <w:rFonts w:cs="Arial"/>
          <w:sz w:val="22"/>
          <w:szCs w:val="22"/>
        </w:rPr>
        <w:t>,</w:t>
      </w:r>
      <w:r w:rsidR="00AA3779">
        <w:rPr>
          <w:rFonts w:cs="Arial"/>
          <w:sz w:val="22"/>
          <w:szCs w:val="22"/>
        </w:rPr>
        <w:t>8</w:t>
      </w:r>
      <w:r w:rsidRPr="001519DB">
        <w:rPr>
          <w:rFonts w:cs="Arial"/>
          <w:sz w:val="22"/>
          <w:szCs w:val="22"/>
        </w:rPr>
        <w:t xml:space="preserve"> miliard korun.</w:t>
      </w:r>
    </w:p>
    <w:p w14:paraId="388018C2" w14:textId="77777777" w:rsidR="001519DB" w:rsidRPr="001519DB" w:rsidRDefault="001519DB" w:rsidP="001519DB">
      <w:pPr>
        <w:rPr>
          <w:rFonts w:cs="Arial"/>
          <w:sz w:val="22"/>
          <w:szCs w:val="22"/>
        </w:rPr>
      </w:pPr>
    </w:p>
    <w:p w14:paraId="2542A2E5" w14:textId="77777777" w:rsidR="001519DB" w:rsidRPr="001519DB" w:rsidRDefault="001519DB" w:rsidP="001519DB">
      <w:pPr>
        <w:spacing w:after="120"/>
        <w:rPr>
          <w:rFonts w:cs="Arial"/>
          <w:b/>
          <w:bCs/>
          <w:sz w:val="22"/>
          <w:szCs w:val="22"/>
        </w:rPr>
      </w:pPr>
      <w:r w:rsidRPr="001519DB">
        <w:rPr>
          <w:rFonts w:cs="Arial"/>
          <w:b/>
          <w:bCs/>
          <w:sz w:val="22"/>
          <w:szCs w:val="22"/>
        </w:rPr>
        <w:t>Komentář Miroslava Zámečníka, hlavního poradce ČBA:</w:t>
      </w:r>
    </w:p>
    <w:p w14:paraId="086FEB8F" w14:textId="676648E1" w:rsidR="00BF4DE0" w:rsidRDefault="003038E5" w:rsidP="001519DB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Březen byl prvním celým měsícem, kdy se na Ukrajině válčí, což nemohlo nepoznamenat situaci a chování podniků i domácností, včet</w:t>
      </w:r>
      <w:r w:rsidR="00BF4DE0">
        <w:rPr>
          <w:rFonts w:cs="Arial"/>
          <w:i/>
          <w:iCs/>
          <w:sz w:val="22"/>
          <w:szCs w:val="22"/>
        </w:rPr>
        <w:t xml:space="preserve">ně živnostníků. </w:t>
      </w:r>
      <w:r>
        <w:rPr>
          <w:rFonts w:cs="Arial"/>
          <w:i/>
          <w:iCs/>
          <w:sz w:val="22"/>
          <w:szCs w:val="22"/>
        </w:rPr>
        <w:t>Proto jsme s </w:t>
      </w:r>
      <w:r w:rsidR="00BF4DE0">
        <w:rPr>
          <w:rFonts w:cs="Arial"/>
          <w:i/>
          <w:iCs/>
          <w:sz w:val="22"/>
          <w:szCs w:val="22"/>
        </w:rPr>
        <w:t>napětím očekávali pr</w:t>
      </w:r>
      <w:r w:rsidR="00D77FEE">
        <w:rPr>
          <w:rFonts w:cs="Arial"/>
          <w:i/>
          <w:iCs/>
          <w:sz w:val="22"/>
          <w:szCs w:val="22"/>
        </w:rPr>
        <w:t>omítnutí</w:t>
      </w:r>
      <w:r w:rsidR="00BF4DE0">
        <w:rPr>
          <w:rFonts w:cs="Arial"/>
          <w:i/>
          <w:iCs/>
          <w:sz w:val="22"/>
          <w:szCs w:val="22"/>
        </w:rPr>
        <w:t xml:space="preserve"> řady </w:t>
      </w:r>
      <w:r>
        <w:rPr>
          <w:rFonts w:cs="Arial"/>
          <w:i/>
          <w:iCs/>
          <w:sz w:val="22"/>
          <w:szCs w:val="22"/>
        </w:rPr>
        <w:t xml:space="preserve">negativních </w:t>
      </w:r>
      <w:r w:rsidR="00D77FEE">
        <w:rPr>
          <w:rFonts w:cs="Arial"/>
          <w:i/>
          <w:iCs/>
          <w:sz w:val="22"/>
          <w:szCs w:val="22"/>
        </w:rPr>
        <w:br/>
      </w:r>
      <w:r w:rsidR="007B05E8">
        <w:rPr>
          <w:rFonts w:cs="Arial"/>
          <w:i/>
          <w:iCs/>
          <w:sz w:val="22"/>
          <w:szCs w:val="22"/>
        </w:rPr>
        <w:t>faktorů – od</w:t>
      </w:r>
      <w:r w:rsidR="00BF4DE0">
        <w:rPr>
          <w:rFonts w:cs="Arial"/>
          <w:i/>
          <w:iCs/>
          <w:sz w:val="22"/>
          <w:szCs w:val="22"/>
        </w:rPr>
        <w:t xml:space="preserve"> cenového růstu až po poruchy ve výrobním taktu ve zpracovatelském </w:t>
      </w:r>
      <w:r w:rsidR="007B05E8">
        <w:rPr>
          <w:rFonts w:cs="Arial"/>
          <w:i/>
          <w:iCs/>
          <w:sz w:val="22"/>
          <w:szCs w:val="22"/>
        </w:rPr>
        <w:t>průmyslu – do</w:t>
      </w:r>
      <w:r>
        <w:rPr>
          <w:rFonts w:cs="Arial"/>
          <w:i/>
          <w:iCs/>
          <w:sz w:val="22"/>
          <w:szCs w:val="22"/>
        </w:rPr>
        <w:t xml:space="preserve"> bankovní statistiky. </w:t>
      </w:r>
    </w:p>
    <w:p w14:paraId="48AC818C" w14:textId="492844D7" w:rsidR="00A72BBC" w:rsidRDefault="001519DB" w:rsidP="001519DB">
      <w:pPr>
        <w:rPr>
          <w:rFonts w:cs="Arial"/>
          <w:i/>
          <w:iCs/>
          <w:sz w:val="22"/>
          <w:szCs w:val="22"/>
        </w:rPr>
      </w:pPr>
      <w:r w:rsidRPr="001519DB">
        <w:rPr>
          <w:rFonts w:cs="Arial"/>
          <w:i/>
          <w:iCs/>
          <w:sz w:val="22"/>
          <w:szCs w:val="22"/>
        </w:rPr>
        <w:lastRenderedPageBreak/>
        <w:t>Zatímco u obyvatel</w:t>
      </w:r>
      <w:r w:rsidR="00AA3779">
        <w:rPr>
          <w:rFonts w:cs="Arial"/>
          <w:i/>
          <w:iCs/>
          <w:sz w:val="22"/>
          <w:szCs w:val="22"/>
        </w:rPr>
        <w:t xml:space="preserve"> se </w:t>
      </w:r>
      <w:r w:rsidR="00BF4DE0">
        <w:rPr>
          <w:rFonts w:cs="Arial"/>
          <w:i/>
          <w:iCs/>
          <w:sz w:val="22"/>
          <w:szCs w:val="22"/>
        </w:rPr>
        <w:t>vklady snížily</w:t>
      </w:r>
      <w:r w:rsidR="00AA3779">
        <w:rPr>
          <w:rFonts w:cs="Arial"/>
          <w:i/>
          <w:iCs/>
          <w:sz w:val="22"/>
          <w:szCs w:val="22"/>
        </w:rPr>
        <w:t xml:space="preserve"> při pokračujícím zájmu o čerpání úvěrů,</w:t>
      </w:r>
      <w:r w:rsidR="00BF4DE0">
        <w:rPr>
          <w:rFonts w:cs="Arial"/>
          <w:i/>
          <w:iCs/>
          <w:sz w:val="22"/>
          <w:szCs w:val="22"/>
        </w:rPr>
        <w:t xml:space="preserve"> a totéž lze říci v případě</w:t>
      </w:r>
      <w:r w:rsidR="00F42EE7">
        <w:rPr>
          <w:rFonts w:cs="Arial"/>
          <w:i/>
          <w:iCs/>
          <w:sz w:val="22"/>
          <w:szCs w:val="22"/>
        </w:rPr>
        <w:t xml:space="preserve"> živnostníků, </w:t>
      </w:r>
      <w:r w:rsidRPr="001519DB">
        <w:rPr>
          <w:rFonts w:cs="Arial"/>
          <w:i/>
          <w:iCs/>
          <w:sz w:val="22"/>
          <w:szCs w:val="22"/>
        </w:rPr>
        <w:t xml:space="preserve">u firem </w:t>
      </w:r>
      <w:r w:rsidR="00F42EE7">
        <w:rPr>
          <w:rFonts w:cs="Arial"/>
          <w:i/>
          <w:iCs/>
          <w:sz w:val="22"/>
          <w:szCs w:val="22"/>
        </w:rPr>
        <w:t xml:space="preserve">byl vývoj opačný a opět vzrostlo kladné saldo vkladů nad úvěry. Poprvé </w:t>
      </w:r>
      <w:r w:rsidRPr="001519DB">
        <w:rPr>
          <w:rFonts w:cs="Arial"/>
          <w:i/>
          <w:iCs/>
          <w:sz w:val="22"/>
          <w:szCs w:val="22"/>
        </w:rPr>
        <w:t xml:space="preserve">se objevil tenhle </w:t>
      </w:r>
      <w:r w:rsidR="00F42EE7">
        <w:rPr>
          <w:rFonts w:cs="Arial"/>
          <w:i/>
          <w:iCs/>
          <w:sz w:val="22"/>
          <w:szCs w:val="22"/>
        </w:rPr>
        <w:t xml:space="preserve">dříve nevídaný </w:t>
      </w:r>
      <w:r w:rsidRPr="001519DB">
        <w:rPr>
          <w:rFonts w:cs="Arial"/>
          <w:i/>
          <w:iCs/>
          <w:sz w:val="22"/>
          <w:szCs w:val="22"/>
        </w:rPr>
        <w:t xml:space="preserve">fenomén až v průběhu pandemie, v červenci 2020. Jde o projev </w:t>
      </w:r>
      <w:r w:rsidR="007B05E8" w:rsidRPr="001519DB">
        <w:rPr>
          <w:rFonts w:cs="Arial"/>
          <w:i/>
          <w:iCs/>
          <w:sz w:val="22"/>
          <w:szCs w:val="22"/>
        </w:rPr>
        <w:t>opatrnosti – firemní</w:t>
      </w:r>
      <w:r w:rsidRPr="001519DB">
        <w:rPr>
          <w:rFonts w:cs="Arial"/>
          <w:i/>
          <w:iCs/>
          <w:sz w:val="22"/>
          <w:szCs w:val="22"/>
        </w:rPr>
        <w:t xml:space="preserve"> sektor jako celek by byl schopen vyrovnat všechny své závazky vůči bankovním </w:t>
      </w:r>
      <w:r w:rsidR="007B05E8" w:rsidRPr="001519DB">
        <w:rPr>
          <w:rFonts w:cs="Arial"/>
          <w:i/>
          <w:iCs/>
          <w:sz w:val="22"/>
          <w:szCs w:val="22"/>
        </w:rPr>
        <w:t>věřitelům,</w:t>
      </w:r>
      <w:r w:rsidRPr="001519DB">
        <w:rPr>
          <w:rFonts w:cs="Arial"/>
          <w:i/>
          <w:iCs/>
          <w:sz w:val="22"/>
          <w:szCs w:val="22"/>
        </w:rPr>
        <w:t xml:space="preserve"> a ještě by mu </w:t>
      </w:r>
      <w:r w:rsidR="00F42EE7">
        <w:rPr>
          <w:rFonts w:cs="Arial"/>
          <w:i/>
          <w:iCs/>
          <w:sz w:val="22"/>
          <w:szCs w:val="22"/>
        </w:rPr>
        <w:t>téměř 112</w:t>
      </w:r>
      <w:r w:rsidRPr="001519DB">
        <w:rPr>
          <w:rFonts w:cs="Arial"/>
          <w:i/>
          <w:iCs/>
          <w:sz w:val="22"/>
          <w:szCs w:val="22"/>
        </w:rPr>
        <w:t xml:space="preserve"> miliard na vkladových účtech zůstalo. </w:t>
      </w:r>
    </w:p>
    <w:p w14:paraId="1CF2C555" w14:textId="77777777" w:rsidR="00A72BBC" w:rsidRDefault="00A72BBC" w:rsidP="001519DB">
      <w:pPr>
        <w:rPr>
          <w:rFonts w:cs="Arial"/>
          <w:i/>
          <w:iCs/>
          <w:sz w:val="22"/>
          <w:szCs w:val="22"/>
        </w:rPr>
      </w:pPr>
    </w:p>
    <w:p w14:paraId="28890FD1" w14:textId="77777777" w:rsidR="001519DB" w:rsidRPr="001519DB" w:rsidRDefault="00F42EE7" w:rsidP="001519DB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 xml:space="preserve">Budeme pozorně sledovat vývoj </w:t>
      </w:r>
      <w:r w:rsidR="001519DB" w:rsidRPr="001519DB">
        <w:rPr>
          <w:rFonts w:cs="Arial"/>
          <w:i/>
          <w:iCs/>
          <w:sz w:val="22"/>
          <w:szCs w:val="22"/>
        </w:rPr>
        <w:t>v následujících měsících,</w:t>
      </w:r>
      <w:r>
        <w:rPr>
          <w:rFonts w:cs="Arial"/>
          <w:i/>
          <w:iCs/>
          <w:sz w:val="22"/>
          <w:szCs w:val="22"/>
        </w:rPr>
        <w:t xml:space="preserve"> </w:t>
      </w:r>
      <w:r w:rsidR="00BF4DE0">
        <w:rPr>
          <w:rFonts w:cs="Arial"/>
          <w:i/>
          <w:iCs/>
          <w:sz w:val="22"/>
          <w:szCs w:val="22"/>
        </w:rPr>
        <w:t xml:space="preserve">zda nezačnou převažovat faktory tlačící na postupné snižování depozit, jak se finanční kondice řady firem a domácností bude zhoršovat a </w:t>
      </w:r>
      <w:r w:rsidR="00A72BBC">
        <w:rPr>
          <w:rFonts w:cs="Arial"/>
          <w:i/>
          <w:iCs/>
          <w:sz w:val="22"/>
          <w:szCs w:val="22"/>
        </w:rPr>
        <w:t>dojde k vynucenému</w:t>
      </w:r>
      <w:r w:rsidR="00BF4DE0">
        <w:rPr>
          <w:rFonts w:cs="Arial"/>
          <w:i/>
          <w:iCs/>
          <w:sz w:val="22"/>
          <w:szCs w:val="22"/>
        </w:rPr>
        <w:t xml:space="preserve"> čerpání natvořených rezerv.</w:t>
      </w:r>
      <w:r w:rsidR="00A72BBC">
        <w:rPr>
          <w:rFonts w:cs="Arial"/>
          <w:i/>
          <w:iCs/>
          <w:sz w:val="22"/>
          <w:szCs w:val="22"/>
        </w:rPr>
        <w:t xml:space="preserve"> Na druhé straně, některé finančně silné domácnosti budou mít tendenci svoje úspory vzhledem k nejistotě a obavám zvyšovat, jak to činily například v prvním roce pandemie covidu.</w:t>
      </w:r>
    </w:p>
    <w:p w14:paraId="2D3098C6" w14:textId="77777777" w:rsidR="001519DB" w:rsidRPr="001519DB" w:rsidRDefault="001519DB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3C61A139" w14:textId="77777777" w:rsidR="001519DB" w:rsidRPr="00643F2B" w:rsidRDefault="001519DB" w:rsidP="001519DB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643F2B">
        <w:rPr>
          <w:rFonts w:cs="Arial"/>
          <w:b/>
          <w:bCs/>
          <w:color w:val="000000"/>
          <w:sz w:val="22"/>
          <w:szCs w:val="22"/>
          <w:lang w:eastAsia="en-GB"/>
        </w:rPr>
        <w:t>Vývoj úvěrů a vkladů (v mil. Kč)</w:t>
      </w: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1519DB" w:rsidRPr="001519DB" w14:paraId="1D237B32" w14:textId="77777777" w:rsidTr="001519DB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872D184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7DC6535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Nefinanční podniky</w:t>
            </w:r>
          </w:p>
        </w:tc>
      </w:tr>
      <w:tr w:rsidR="001519DB" w:rsidRPr="001519DB" w14:paraId="6022BE3C" w14:textId="77777777" w:rsidTr="001519DB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F7F1" w14:textId="77777777" w:rsidR="001519DB" w:rsidRPr="001519DB" w:rsidRDefault="001519DB">
            <w:pPr>
              <w:overflowPunct/>
              <w:autoSpaceDE/>
              <w:autoSpaceDN/>
              <w:adjustRightInd/>
              <w:spacing w:line="256" w:lineRule="auto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BE9BD07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105A5B5" w14:textId="77777777" w:rsidR="001519DB" w:rsidRPr="001519DB" w:rsidRDefault="00F42EE7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</w:t>
            </w:r>
            <w:r w:rsidR="001519DB"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0B30DBC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 xml:space="preserve">saldo </w:t>
            </w:r>
          </w:p>
        </w:tc>
      </w:tr>
      <w:tr w:rsidR="001519DB" w:rsidRPr="001519DB" w14:paraId="40FABBDD" w14:textId="77777777" w:rsidTr="001519DB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8F4F1" w14:textId="77777777" w:rsidR="001519DB" w:rsidRPr="00643F2B" w:rsidRDefault="003038E5" w:rsidP="003038E5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lang w:eastAsia="en-US"/>
              </w:rPr>
              <w:t>31.3.</w:t>
            </w:r>
            <w:r w:rsidR="001519DB" w:rsidRPr="00643F2B">
              <w:rPr>
                <w:rFonts w:cs="Arial"/>
                <w:color w:val="000000"/>
                <w:sz w:val="20"/>
                <w:lang w:eastAsia="en-US"/>
              </w:rPr>
              <w:t>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738CD9" w14:textId="72FDBF90" w:rsidR="001519DB" w:rsidRPr="00643F2B" w:rsidRDefault="00A72BBC" w:rsidP="00C44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C44BFF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C44BFF">
              <w:rPr>
                <w:rFonts w:cs="Arial"/>
                <w:color w:val="000000"/>
                <w:sz w:val="20"/>
                <w:lang w:eastAsia="en-US"/>
              </w:rPr>
              <w:t>334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C44BFF">
              <w:rPr>
                <w:rFonts w:cs="Arial"/>
                <w:color w:val="000000"/>
                <w:sz w:val="20"/>
                <w:lang w:eastAsia="en-US"/>
              </w:rPr>
              <w:t>276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7988" w14:textId="49F998E3" w:rsidR="001519DB" w:rsidRPr="00643F2B" w:rsidRDefault="00A72BBC" w:rsidP="00C44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C44BFF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C44BFF">
              <w:rPr>
                <w:rFonts w:cs="Arial"/>
                <w:color w:val="000000"/>
                <w:sz w:val="20"/>
                <w:lang w:eastAsia="en-US"/>
              </w:rPr>
              <w:t>222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C44BFF">
              <w:rPr>
                <w:rFonts w:cs="Arial"/>
                <w:color w:val="000000"/>
                <w:sz w:val="20"/>
                <w:lang w:eastAsia="en-US"/>
              </w:rPr>
              <w:t>451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8D34" w14:textId="1CA7608A" w:rsidR="001519DB" w:rsidRPr="00643F2B" w:rsidRDefault="00A72BBC" w:rsidP="00C44B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0"/>
                <w:lang w:eastAsia="en-US"/>
              </w:rPr>
            </w:pPr>
            <w:r w:rsidRPr="00C44BFF">
              <w:rPr>
                <w:rFonts w:cs="Arial"/>
                <w:color w:val="000000"/>
                <w:sz w:val="20"/>
                <w:lang w:eastAsia="en-US"/>
              </w:rPr>
              <w:t>111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C44BFF">
              <w:rPr>
                <w:rFonts w:cs="Arial"/>
                <w:color w:val="000000"/>
                <w:sz w:val="20"/>
                <w:lang w:eastAsia="en-US"/>
              </w:rPr>
              <w:t>824</w:t>
            </w:r>
          </w:p>
        </w:tc>
      </w:tr>
      <w:tr w:rsidR="001519DB" w:rsidRPr="001519DB" w14:paraId="0A45B72E" w14:textId="77777777" w:rsidTr="001519DB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5DB0F" w14:textId="77777777" w:rsidR="001519DB" w:rsidRPr="00643F2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31.12.2021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B1BD1E" w14:textId="4CAA66F8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308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877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0CAD" w14:textId="68A148E5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> 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190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67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E87" w14:textId="3E1DEA04" w:rsidR="001519DB" w:rsidRPr="00643F2B" w:rsidRDefault="001519DB" w:rsidP="00643F2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118</w:t>
            </w:r>
            <w:r w:rsidR="00C44BFF">
              <w:rPr>
                <w:rFonts w:cs="Arial"/>
                <w:color w:val="000000"/>
                <w:sz w:val="20"/>
                <w:lang w:eastAsia="en-US"/>
              </w:rPr>
              <w:t xml:space="preserve"> </w:t>
            </w:r>
            <w:r w:rsidRPr="00643F2B">
              <w:rPr>
                <w:rFonts w:cs="Arial"/>
                <w:color w:val="000000"/>
                <w:sz w:val="20"/>
                <w:lang w:eastAsia="en-US"/>
              </w:rPr>
              <w:t>204</w:t>
            </w:r>
          </w:p>
        </w:tc>
      </w:tr>
      <w:tr w:rsidR="001519DB" w:rsidRPr="001519DB" w14:paraId="0786E3C9" w14:textId="77777777" w:rsidTr="001519DB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9113CA" w14:textId="77777777" w:rsidR="001519DB" w:rsidRPr="00643F2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0E913" w14:textId="77777777" w:rsidR="001519DB" w:rsidRPr="00643F2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1 217 934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5CAF" w14:textId="77777777" w:rsidR="001519DB" w:rsidRPr="00643F2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1 123 034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9D3C" w14:textId="77777777" w:rsidR="001519DB" w:rsidRPr="00643F2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0"/>
                <w:lang w:eastAsia="en-US"/>
              </w:rPr>
            </w:pPr>
            <w:r w:rsidRPr="00643F2B">
              <w:rPr>
                <w:rFonts w:cs="Arial"/>
                <w:color w:val="000000"/>
                <w:sz w:val="20"/>
                <w:lang w:eastAsia="en-US"/>
              </w:rPr>
              <w:t>94 900</w:t>
            </w:r>
          </w:p>
        </w:tc>
      </w:tr>
    </w:tbl>
    <w:p w14:paraId="5CDD5974" w14:textId="77777777" w:rsidR="001519DB" w:rsidRPr="001519DB" w:rsidRDefault="001519DB" w:rsidP="001519DB">
      <w:pPr>
        <w:rPr>
          <w:rFonts w:cs="Arial"/>
          <w:b/>
          <w:color w:val="13576B"/>
          <w:sz w:val="22"/>
          <w:szCs w:val="22"/>
        </w:rPr>
      </w:pPr>
    </w:p>
    <w:p w14:paraId="32BDA343" w14:textId="77777777" w:rsidR="001519DB" w:rsidRPr="001519DB" w:rsidRDefault="001519DB" w:rsidP="001519DB">
      <w:pPr>
        <w:rPr>
          <w:rFonts w:cs="Arial"/>
          <w:i/>
          <w:iCs/>
          <w:sz w:val="16"/>
          <w:szCs w:val="18"/>
        </w:rPr>
      </w:pPr>
      <w:r w:rsidRPr="001519DB">
        <w:rPr>
          <w:rFonts w:cs="Arial"/>
          <w:i/>
          <w:iCs/>
          <w:sz w:val="16"/>
          <w:szCs w:val="18"/>
        </w:rPr>
        <w:t>Zdroj: ČNB (ARAD), vklady a úvěry rezidentů dle sektorového hlediska (Kč + cizí měna)</w:t>
      </w:r>
    </w:p>
    <w:p w14:paraId="302D1F4D" w14:textId="77777777" w:rsidR="001519DB" w:rsidRPr="001519DB" w:rsidRDefault="001519DB" w:rsidP="001519DB">
      <w:pPr>
        <w:rPr>
          <w:rFonts w:cs="Arial"/>
          <w:b/>
          <w:color w:val="13576B"/>
          <w:sz w:val="22"/>
          <w:szCs w:val="22"/>
        </w:rPr>
      </w:pPr>
    </w:p>
    <w:p w14:paraId="4E169E45" w14:textId="749FBF1E" w:rsidR="001519DB" w:rsidRPr="001519DB" w:rsidRDefault="001519DB" w:rsidP="001519DB">
      <w:pPr>
        <w:rPr>
          <w:rFonts w:cs="Arial"/>
          <w:b/>
          <w:color w:val="13576B"/>
          <w:sz w:val="24"/>
          <w:szCs w:val="24"/>
        </w:rPr>
      </w:pPr>
      <w:r w:rsidRPr="001519DB">
        <w:rPr>
          <w:rFonts w:cs="Arial"/>
          <w:b/>
          <w:color w:val="13576B"/>
          <w:sz w:val="24"/>
          <w:szCs w:val="24"/>
        </w:rPr>
        <w:t xml:space="preserve">Hypotéky mají historicky nejnižší procento selhání. </w:t>
      </w:r>
    </w:p>
    <w:p w14:paraId="54C299FA" w14:textId="77777777" w:rsidR="001519DB" w:rsidRPr="001519DB" w:rsidRDefault="001519DB" w:rsidP="001519DB">
      <w:pPr>
        <w:rPr>
          <w:rFonts w:cs="Arial"/>
          <w:b/>
          <w:bCs/>
          <w:color w:val="000000"/>
          <w:sz w:val="20"/>
          <w:lang w:eastAsia="en-GB"/>
        </w:rPr>
      </w:pPr>
    </w:p>
    <w:p w14:paraId="4899EEA7" w14:textId="46B76F4E" w:rsidR="001519DB" w:rsidRPr="001519DB" w:rsidRDefault="003038E5" w:rsidP="001519DB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Březnová data již odrážejí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dopad napadení Ukrajiny ruskou armádou,</w:t>
      </w:r>
      <w:r w:rsidR="00A72BBC">
        <w:rPr>
          <w:rFonts w:cs="Arial"/>
          <w:bCs/>
          <w:color w:val="000000"/>
          <w:sz w:val="22"/>
          <w:szCs w:val="22"/>
        </w:rPr>
        <w:t xml:space="preserve"> na nevýkonných úvěrech však zatím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</w:t>
      </w:r>
      <w:r w:rsidR="00A72BBC">
        <w:rPr>
          <w:rFonts w:cs="Arial"/>
          <w:bCs/>
          <w:color w:val="000000"/>
          <w:sz w:val="22"/>
          <w:szCs w:val="22"/>
        </w:rPr>
        <w:t>„</w:t>
      </w:r>
      <w:r w:rsidR="001519DB" w:rsidRPr="001519DB">
        <w:rPr>
          <w:rFonts w:cs="Arial"/>
          <w:bCs/>
          <w:color w:val="000000"/>
          <w:sz w:val="22"/>
          <w:szCs w:val="22"/>
        </w:rPr>
        <w:t>propisování</w:t>
      </w:r>
      <w:r w:rsidR="00A72BBC">
        <w:rPr>
          <w:rFonts w:cs="Arial"/>
          <w:bCs/>
          <w:color w:val="000000"/>
          <w:sz w:val="22"/>
          <w:szCs w:val="22"/>
        </w:rPr>
        <w:t>“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konfliktu a vyvolaných následků </w:t>
      </w:r>
      <w:r w:rsidR="00A72BBC">
        <w:rPr>
          <w:rFonts w:cs="Arial"/>
          <w:bCs/>
          <w:color w:val="000000"/>
          <w:sz w:val="22"/>
          <w:szCs w:val="22"/>
        </w:rPr>
        <w:t>není vidět. Naopak, podíl úvěrů, nepříznivě poznamenaných f</w:t>
      </w:r>
      <w:r w:rsidR="001519DB" w:rsidRPr="001519DB">
        <w:rPr>
          <w:rFonts w:cs="Arial"/>
          <w:bCs/>
          <w:color w:val="000000"/>
          <w:sz w:val="22"/>
          <w:szCs w:val="22"/>
        </w:rPr>
        <w:t>inanční</w:t>
      </w:r>
      <w:r w:rsidR="00A72BBC">
        <w:rPr>
          <w:rFonts w:cs="Arial"/>
          <w:bCs/>
          <w:color w:val="000000"/>
          <w:sz w:val="22"/>
          <w:szCs w:val="22"/>
        </w:rPr>
        <w:t>m stresem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podnikové sféry a domácností v České republice</w:t>
      </w:r>
      <w:r w:rsidR="00A72BBC">
        <w:rPr>
          <w:rFonts w:cs="Arial"/>
          <w:bCs/>
          <w:color w:val="000000"/>
          <w:sz w:val="22"/>
          <w:szCs w:val="22"/>
        </w:rPr>
        <w:t xml:space="preserve">, i v březnu </w:t>
      </w:r>
      <w:r w:rsidR="006F3499">
        <w:rPr>
          <w:rFonts w:cs="Arial"/>
          <w:bCs/>
          <w:color w:val="000000"/>
          <w:sz w:val="22"/>
          <w:szCs w:val="22"/>
        </w:rPr>
        <w:t xml:space="preserve">klesal. </w:t>
      </w:r>
      <w:r w:rsidR="001519DB" w:rsidRPr="001519DB">
        <w:rPr>
          <w:rFonts w:cs="Arial"/>
          <w:bCs/>
          <w:color w:val="000000"/>
          <w:sz w:val="22"/>
          <w:szCs w:val="22"/>
        </w:rPr>
        <w:t>Dosud tedy platí to, co zmiňujeme již dlouho: podíly nevýkonných úvěrů</w:t>
      </w:r>
      <w:r w:rsidR="004B4E83">
        <w:rPr>
          <w:rFonts w:cs="Arial"/>
          <w:bCs/>
          <w:color w:val="000000"/>
          <w:sz w:val="22"/>
          <w:szCs w:val="22"/>
        </w:rPr>
        <w:t>,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jak u firemních půjček, tak v případě úvěrů obyvatelstvu</w:t>
      </w:r>
      <w:r w:rsidR="004B4E83">
        <w:rPr>
          <w:rFonts w:cs="Arial"/>
          <w:bCs/>
          <w:color w:val="000000"/>
          <w:sz w:val="22"/>
          <w:szCs w:val="22"/>
        </w:rPr>
        <w:t>,</w:t>
      </w:r>
      <w:r w:rsidR="001519DB" w:rsidRPr="001519DB">
        <w:rPr>
          <w:rFonts w:cs="Arial"/>
          <w:bCs/>
          <w:color w:val="000000"/>
          <w:sz w:val="22"/>
          <w:szCs w:val="22"/>
        </w:rPr>
        <w:t xml:space="preserve"> v Česku patří v celoevropském srovnání mezi nejnižší</w:t>
      </w:r>
      <w:r w:rsidR="006F3499">
        <w:rPr>
          <w:rFonts w:cs="Arial"/>
          <w:bCs/>
          <w:color w:val="000000"/>
          <w:sz w:val="22"/>
          <w:szCs w:val="22"/>
        </w:rPr>
        <w:t xml:space="preserve"> v Evropě. </w:t>
      </w:r>
    </w:p>
    <w:p w14:paraId="5465468C" w14:textId="77777777" w:rsidR="001519DB" w:rsidRPr="001519DB" w:rsidRDefault="001519DB" w:rsidP="001519DB">
      <w:pPr>
        <w:rPr>
          <w:rFonts w:cs="Arial"/>
          <w:bCs/>
          <w:color w:val="000000"/>
          <w:sz w:val="22"/>
          <w:szCs w:val="22"/>
        </w:rPr>
      </w:pPr>
    </w:p>
    <w:p w14:paraId="4C504672" w14:textId="77777777" w:rsidR="001519DB" w:rsidRPr="001519DB" w:rsidRDefault="001519DB" w:rsidP="001519DB">
      <w:pPr>
        <w:spacing w:after="120"/>
        <w:rPr>
          <w:rFonts w:cs="Arial"/>
          <w:b/>
          <w:bCs/>
          <w:sz w:val="22"/>
          <w:szCs w:val="22"/>
        </w:rPr>
      </w:pPr>
      <w:r w:rsidRPr="001519DB">
        <w:rPr>
          <w:rFonts w:cs="Arial"/>
          <w:b/>
          <w:bCs/>
          <w:sz w:val="22"/>
          <w:szCs w:val="22"/>
        </w:rPr>
        <w:t>Komentář Miroslava Zámečníka, hlavního poradce ČBA:</w:t>
      </w:r>
    </w:p>
    <w:p w14:paraId="3EAB583C" w14:textId="77777777" w:rsidR="001519DB" w:rsidRPr="001519DB" w:rsidRDefault="001519DB" w:rsidP="001519DB">
      <w:pPr>
        <w:rPr>
          <w:rFonts w:cs="Arial"/>
          <w:bCs/>
          <w:i/>
          <w:iCs/>
          <w:color w:val="000000"/>
          <w:sz w:val="22"/>
          <w:szCs w:val="22"/>
        </w:rPr>
      </w:pPr>
      <w:r w:rsidRPr="001519DB">
        <w:rPr>
          <w:rFonts w:cs="Arial"/>
          <w:bCs/>
          <w:i/>
          <w:iCs/>
          <w:color w:val="000000"/>
          <w:sz w:val="22"/>
          <w:szCs w:val="22"/>
        </w:rPr>
        <w:t>Vývoj nevýkonných úvěrů je jedním z nejdůležitějších indikátorů zdravotního stavu ekonomiky a víme, kam se bude, vzhledem k souběhu řady nepříznivých faktorů, posouvat v nadcházejících měsících. Jak v případě úvěrů obyvatelstvu, tak u firem</w:t>
      </w:r>
      <w:r w:rsidR="006F3499">
        <w:rPr>
          <w:rFonts w:cs="Arial"/>
          <w:bCs/>
          <w:i/>
          <w:iCs/>
          <w:color w:val="000000"/>
          <w:sz w:val="22"/>
          <w:szCs w:val="22"/>
        </w:rPr>
        <w:t xml:space="preserve"> a živností</w:t>
      </w:r>
      <w:r w:rsidRPr="001519DB">
        <w:rPr>
          <w:rFonts w:cs="Arial"/>
          <w:bCs/>
          <w:i/>
          <w:iCs/>
          <w:color w:val="000000"/>
          <w:sz w:val="22"/>
          <w:szCs w:val="22"/>
        </w:rPr>
        <w:t xml:space="preserve"> jsou však nevýkonné expozice na podstatně nižší úrovni než například po světové finanční krizi na počátku minulého desetiletí. </w:t>
      </w:r>
    </w:p>
    <w:p w14:paraId="4E64C0F3" w14:textId="77777777" w:rsidR="001519DB" w:rsidRPr="001519DB" w:rsidRDefault="001519DB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0A4B0B3D" w14:textId="0635D96F" w:rsidR="001519DB" w:rsidRPr="001519DB" w:rsidRDefault="001519DB" w:rsidP="001519DB">
      <w:pPr>
        <w:rPr>
          <w:rFonts w:cs="Arial"/>
          <w:bCs/>
          <w:i/>
          <w:iCs/>
          <w:color w:val="000000"/>
          <w:sz w:val="22"/>
          <w:szCs w:val="22"/>
        </w:rPr>
      </w:pPr>
      <w:r w:rsidRPr="001519DB">
        <w:rPr>
          <w:rFonts w:cs="Arial"/>
          <w:bCs/>
          <w:i/>
          <w:iCs/>
          <w:color w:val="000000"/>
          <w:sz w:val="22"/>
          <w:szCs w:val="22"/>
        </w:rPr>
        <w:t>Podíl firemních nevýkonných úvěrů v </w:t>
      </w:r>
      <w:r w:rsidR="003038E5">
        <w:rPr>
          <w:rFonts w:cs="Arial"/>
          <w:bCs/>
          <w:i/>
          <w:iCs/>
          <w:color w:val="000000"/>
          <w:sz w:val="22"/>
          <w:szCs w:val="22"/>
        </w:rPr>
        <w:t>březnu</w:t>
      </w:r>
      <w:r w:rsidRPr="001519DB">
        <w:rPr>
          <w:rFonts w:cs="Arial"/>
          <w:bCs/>
          <w:i/>
          <w:iCs/>
          <w:color w:val="000000"/>
          <w:sz w:val="22"/>
          <w:szCs w:val="22"/>
        </w:rPr>
        <w:t xml:space="preserve"> klesl z lednových 3,85 % 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 xml:space="preserve">přes </w:t>
      </w:r>
      <w:r w:rsidRPr="001519DB">
        <w:rPr>
          <w:rFonts w:cs="Arial"/>
          <w:bCs/>
          <w:i/>
          <w:iCs/>
          <w:color w:val="000000"/>
          <w:sz w:val="22"/>
          <w:szCs w:val="22"/>
        </w:rPr>
        <w:t>na 3,69 %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 xml:space="preserve"> v únoru až na </w:t>
      </w:r>
      <w:r w:rsidR="004B4E83">
        <w:rPr>
          <w:rFonts w:cs="Arial"/>
          <w:bCs/>
          <w:i/>
          <w:iCs/>
          <w:color w:val="000000"/>
          <w:sz w:val="22"/>
          <w:szCs w:val="22"/>
        </w:rPr>
        <w:br/>
      </w:r>
      <w:r w:rsidR="0038299F">
        <w:rPr>
          <w:rFonts w:cs="Arial"/>
          <w:bCs/>
          <w:i/>
          <w:iCs/>
          <w:color w:val="000000"/>
          <w:sz w:val="22"/>
          <w:szCs w:val="22"/>
        </w:rPr>
        <w:t>3,23 % v březnu</w:t>
      </w:r>
      <w:r w:rsidRPr="001519DB">
        <w:rPr>
          <w:rFonts w:cs="Arial"/>
          <w:bCs/>
          <w:i/>
          <w:iCs/>
          <w:color w:val="000000"/>
          <w:sz w:val="22"/>
          <w:szCs w:val="22"/>
        </w:rPr>
        <w:t>.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 xml:space="preserve"> </w:t>
      </w:r>
      <w:r w:rsidRPr="001519DB">
        <w:rPr>
          <w:rFonts w:cs="Arial"/>
          <w:bCs/>
          <w:i/>
          <w:iCs/>
          <w:color w:val="000000"/>
          <w:sz w:val="22"/>
          <w:szCs w:val="22"/>
        </w:rPr>
        <w:t xml:space="preserve">To je hluboko pod hladinou 8,2 %, na níž byl na konci roku 2011, natož pak 17,67 % v lednu před dvaceti lety. </w:t>
      </w:r>
    </w:p>
    <w:p w14:paraId="7BFAD848" w14:textId="77777777" w:rsidR="001519DB" w:rsidRPr="001519DB" w:rsidRDefault="001519DB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61483A0A" w14:textId="5AE31F7C" w:rsidR="001519DB" w:rsidRDefault="00AA341D" w:rsidP="001519DB">
      <w:pPr>
        <w:rPr>
          <w:rFonts w:cs="Arial"/>
          <w:bCs/>
          <w:i/>
          <w:iCs/>
          <w:color w:val="000000"/>
          <w:sz w:val="22"/>
          <w:szCs w:val="22"/>
        </w:rPr>
      </w:pPr>
      <w:r>
        <w:rPr>
          <w:rFonts w:cs="Arial"/>
          <w:bCs/>
          <w:i/>
          <w:iCs/>
          <w:color w:val="000000"/>
          <w:sz w:val="22"/>
          <w:szCs w:val="22"/>
        </w:rPr>
        <w:t xml:space="preserve">Češi tradičně velmi dbají na vzorné splácení hypoték. </w:t>
      </w:r>
      <w:r w:rsidR="001519DB" w:rsidRPr="001519DB">
        <w:rPr>
          <w:rFonts w:cs="Arial"/>
          <w:bCs/>
          <w:i/>
          <w:iCs/>
          <w:color w:val="000000"/>
          <w:sz w:val="22"/>
          <w:szCs w:val="22"/>
        </w:rPr>
        <w:t xml:space="preserve">Podíl nevýkonných hypotečních úvěrů 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>pok</w:t>
      </w:r>
      <w:r>
        <w:rPr>
          <w:rFonts w:cs="Arial"/>
          <w:bCs/>
          <w:i/>
          <w:iCs/>
          <w:color w:val="000000"/>
          <w:sz w:val="22"/>
          <w:szCs w:val="22"/>
        </w:rPr>
        <w:t xml:space="preserve">račoval v prolamování mnohaletých 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>minim a v březnu</w:t>
      </w:r>
      <w:r w:rsidR="001519DB" w:rsidRPr="001519DB">
        <w:rPr>
          <w:rFonts w:cs="Arial"/>
          <w:bCs/>
          <w:i/>
          <w:iCs/>
          <w:color w:val="000000"/>
          <w:sz w:val="22"/>
          <w:szCs w:val="22"/>
        </w:rPr>
        <w:t xml:space="preserve"> ještě vylepšil historic</w:t>
      </w:r>
      <w:r>
        <w:rPr>
          <w:rFonts w:cs="Arial"/>
          <w:bCs/>
          <w:i/>
          <w:iCs/>
          <w:color w:val="000000"/>
          <w:sz w:val="22"/>
          <w:szCs w:val="22"/>
        </w:rPr>
        <w:t>ký rekord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>, když</w:t>
      </w:r>
      <w:r w:rsidR="001519DB" w:rsidRPr="001519DB">
        <w:rPr>
          <w:rFonts w:cs="Arial"/>
          <w:bCs/>
          <w:i/>
          <w:iCs/>
          <w:color w:val="000000"/>
          <w:sz w:val="22"/>
          <w:szCs w:val="22"/>
        </w:rPr>
        <w:t xml:space="preserve"> klesl na 0,</w:t>
      </w:r>
      <w:r w:rsidR="0038299F">
        <w:rPr>
          <w:rFonts w:cs="Arial"/>
          <w:bCs/>
          <w:i/>
          <w:iCs/>
          <w:color w:val="000000"/>
          <w:sz w:val="22"/>
          <w:szCs w:val="22"/>
        </w:rPr>
        <w:t>69</w:t>
      </w:r>
      <w:r w:rsidR="004B4E83">
        <w:rPr>
          <w:rFonts w:cs="Arial"/>
          <w:bCs/>
          <w:i/>
          <w:iCs/>
          <w:color w:val="000000"/>
          <w:sz w:val="22"/>
          <w:szCs w:val="22"/>
        </w:rPr>
        <w:t xml:space="preserve"> </w:t>
      </w:r>
      <w:r w:rsidR="001519DB" w:rsidRPr="001519DB">
        <w:rPr>
          <w:rFonts w:cs="Arial"/>
          <w:bCs/>
          <w:i/>
          <w:iCs/>
          <w:color w:val="000000"/>
          <w:sz w:val="22"/>
          <w:szCs w:val="22"/>
        </w:rPr>
        <w:t xml:space="preserve">%. </w:t>
      </w:r>
    </w:p>
    <w:p w14:paraId="5194BE8C" w14:textId="525ED9E0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1BD93820" w14:textId="774ADD9E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0E24E6DF" w14:textId="38B99EDA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440FE09F" w14:textId="3028FBEB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2F553D24" w14:textId="77777777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2AE78373" w14:textId="77777777" w:rsidR="00AA68DB" w:rsidRPr="001519DB" w:rsidRDefault="00AA68DB" w:rsidP="001519DB">
      <w:pPr>
        <w:rPr>
          <w:rFonts w:cs="Arial"/>
          <w:bCs/>
          <w:color w:val="000000"/>
          <w:sz w:val="22"/>
          <w:szCs w:val="22"/>
        </w:rPr>
      </w:pPr>
    </w:p>
    <w:p w14:paraId="0EAAA93F" w14:textId="77777777" w:rsidR="001519DB" w:rsidRPr="00643F2B" w:rsidRDefault="001519DB" w:rsidP="001519DB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1519DB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 xml:space="preserve">Vývoj nevýkonných úvěrů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1624"/>
        <w:gridCol w:w="1624"/>
        <w:gridCol w:w="1624"/>
        <w:gridCol w:w="1624"/>
      </w:tblGrid>
      <w:tr w:rsidR="001519DB" w:rsidRPr="002732AB" w14:paraId="3A2E7CBA" w14:textId="77777777" w:rsidTr="002732AB">
        <w:trPr>
          <w:trHeight w:val="37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</w:tcPr>
          <w:p w14:paraId="442BA0E4" w14:textId="77777777" w:rsidR="001519DB" w:rsidRPr="002732AB" w:rsidRDefault="001519DB">
            <w:pPr>
              <w:rPr>
                <w:rFonts w:cs="Arial"/>
                <w:b/>
                <w:bCs/>
                <w:color w:val="FFFFFF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58C81DD9" w14:textId="77777777" w:rsidR="001519DB" w:rsidRPr="002732AB" w:rsidRDefault="001519DB" w:rsidP="002732A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2011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102DF191" w14:textId="77777777" w:rsidR="001519DB" w:rsidRPr="002732AB" w:rsidRDefault="001519DB" w:rsidP="002732A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4D98F216" w14:textId="77777777" w:rsidR="001519DB" w:rsidRPr="002732AB" w:rsidRDefault="001519DB" w:rsidP="002732A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2021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7F8C087C" w14:textId="77777777" w:rsidR="001519DB" w:rsidRPr="002732AB" w:rsidRDefault="003038E5" w:rsidP="003038E5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eastAsia="en-US"/>
              </w:rPr>
              <w:t>Březen</w:t>
            </w:r>
            <w:r w:rsidR="001519DB" w:rsidRPr="002732AB">
              <w:rPr>
                <w:rFonts w:cs="Arial"/>
                <w:b/>
                <w:bCs/>
                <w:color w:val="FFFFFF"/>
                <w:lang w:eastAsia="en-US"/>
              </w:rPr>
              <w:t xml:space="preserve"> 2022</w:t>
            </w:r>
          </w:p>
        </w:tc>
      </w:tr>
      <w:tr w:rsidR="001519DB" w:rsidRPr="002732AB" w14:paraId="54D0027D" w14:textId="77777777" w:rsidTr="002732AB">
        <w:trPr>
          <w:trHeight w:val="37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2473B2D4" w14:textId="77777777" w:rsidR="001519DB" w:rsidRPr="002732AB" w:rsidRDefault="006F3499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eastAsia="en-US"/>
              </w:rPr>
              <w:t>Živnostníci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3EE5" w14:textId="77777777" w:rsidR="001519DB" w:rsidRPr="002732AB" w:rsidRDefault="006F3499" w:rsidP="002732A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12,38</w:t>
            </w:r>
            <w:r w:rsidR="001519DB" w:rsidRPr="002732AB">
              <w:rPr>
                <w:rFonts w:cs="Arial"/>
                <w:lang w:eastAsia="en-US"/>
              </w:rPr>
              <w:t xml:space="preserve">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7C6E" w14:textId="77777777" w:rsidR="001519DB" w:rsidRPr="002732AB" w:rsidRDefault="006F3499" w:rsidP="002732A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6,12</w:t>
            </w:r>
            <w:r w:rsidR="001519DB" w:rsidRPr="002732AB">
              <w:rPr>
                <w:rFonts w:cs="Arial"/>
                <w:lang w:eastAsia="en-US"/>
              </w:rPr>
              <w:t xml:space="preserve">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6C5D" w14:textId="77777777" w:rsidR="001519DB" w:rsidRPr="002732AB" w:rsidRDefault="006F3499" w:rsidP="002732A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6,38</w:t>
            </w:r>
            <w:r w:rsidR="001519DB" w:rsidRPr="002732AB">
              <w:rPr>
                <w:rFonts w:cs="Arial"/>
                <w:lang w:eastAsia="en-US"/>
              </w:rPr>
              <w:t xml:space="preserve">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14E9" w14:textId="77777777" w:rsidR="001519DB" w:rsidRPr="002732AB" w:rsidRDefault="006F3499" w:rsidP="002732AB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  <w:lang w:eastAsia="en-US"/>
              </w:rPr>
              <w:t>5,39 %</w:t>
            </w:r>
          </w:p>
        </w:tc>
      </w:tr>
      <w:tr w:rsidR="001519DB" w:rsidRPr="002732AB" w14:paraId="3CF89026" w14:textId="77777777" w:rsidTr="002732AB">
        <w:trPr>
          <w:trHeight w:val="38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4AFC5910" w14:textId="77777777" w:rsidR="001519DB" w:rsidRPr="002732AB" w:rsidRDefault="001519D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 xml:space="preserve">Domácnosti, hypoteční úvěry 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AFB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3,09 %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5CD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0,88 %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269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0,74 %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749" w14:textId="77777777" w:rsidR="001519DB" w:rsidRPr="002732AB" w:rsidRDefault="0038299F" w:rsidP="002732AB">
            <w:pPr>
              <w:jc w:val="center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0,69 %</w:t>
            </w:r>
          </w:p>
        </w:tc>
      </w:tr>
      <w:tr w:rsidR="001519DB" w:rsidRPr="002732AB" w14:paraId="645D5CC4" w14:textId="77777777" w:rsidTr="003038E5">
        <w:trPr>
          <w:trHeight w:val="372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26BED979" w14:textId="77777777" w:rsidR="001519DB" w:rsidRPr="002732AB" w:rsidRDefault="001519D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 xml:space="preserve">Podniky                                                                                   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E5E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8,2 %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398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4,15 %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7F3" w14:textId="77777777" w:rsidR="001519DB" w:rsidRPr="002732AB" w:rsidRDefault="001519DB" w:rsidP="002732A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3,84 %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4B6" w14:textId="563BBFAC" w:rsidR="001519DB" w:rsidRPr="002732AB" w:rsidRDefault="005C09C3" w:rsidP="002732AB">
            <w:pPr>
              <w:jc w:val="center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3,2</w:t>
            </w:r>
            <w:r w:rsidR="0038299F">
              <w:rPr>
                <w:rFonts w:cs="Arial"/>
                <w:szCs w:val="18"/>
                <w:lang w:eastAsia="en-US"/>
              </w:rPr>
              <w:t>3</w:t>
            </w:r>
            <w:r w:rsidR="004B4E83">
              <w:rPr>
                <w:rFonts w:cs="Arial"/>
                <w:szCs w:val="18"/>
                <w:lang w:eastAsia="en-US"/>
              </w:rPr>
              <w:t xml:space="preserve"> </w:t>
            </w:r>
            <w:r>
              <w:rPr>
                <w:rFonts w:cs="Arial"/>
                <w:szCs w:val="18"/>
                <w:lang w:eastAsia="en-US"/>
              </w:rPr>
              <w:t>%</w:t>
            </w:r>
          </w:p>
        </w:tc>
      </w:tr>
    </w:tbl>
    <w:p w14:paraId="6CBCC350" w14:textId="06C16A89" w:rsidR="001519DB" w:rsidRPr="001519DB" w:rsidRDefault="00E8046A" w:rsidP="001519DB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E99F8" wp14:editId="42A6741E">
                <wp:simplePos x="0" y="0"/>
                <wp:positionH relativeFrom="column">
                  <wp:posOffset>5151755</wp:posOffset>
                </wp:positionH>
                <wp:positionV relativeFrom="paragraph">
                  <wp:posOffset>24130</wp:posOffset>
                </wp:positionV>
                <wp:extent cx="1219200" cy="349885"/>
                <wp:effectExtent l="0" t="0" r="381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B564" w14:textId="77777777" w:rsidR="001519DB" w:rsidRDefault="001519DB" w:rsidP="001519DB">
                            <w:pPr>
                              <w:jc w:val="left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(Zdroj: ČNB (ARAD))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FE99F8" id="Textové pole 2" o:spid="_x0000_s1027" type="#_x0000_t202" style="position:absolute;left:0;text-align:left;margin-left:405.65pt;margin-top:1.9pt;width:96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" stroked="f">
                <v:textbox>
                  <w:txbxContent>
                    <w:p w14:paraId="1D41B564" w14:textId="77777777" w:rsidR="001519DB" w:rsidRDefault="001519DB" w:rsidP="001519DB">
                      <w:pPr>
                        <w:jc w:val="left"/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   (Zdroj: ČNB (ARAD))</w:t>
                      </w:r>
                    </w:p>
                  </w:txbxContent>
                </v:textbox>
              </v:shape>
            </w:pict>
          </mc:Fallback>
        </mc:AlternateContent>
      </w:r>
      <w:r w:rsidR="001519DB" w:rsidRPr="001519DB">
        <w:rPr>
          <w:rFonts w:cs="Arial"/>
        </w:rPr>
        <w:t xml:space="preserve">                                   </w:t>
      </w:r>
    </w:p>
    <w:p w14:paraId="209DB46C" w14:textId="77777777" w:rsidR="001519DB" w:rsidRPr="001519DB" w:rsidRDefault="001519DB" w:rsidP="001519DB">
      <w:pPr>
        <w:rPr>
          <w:rFonts w:cs="Arial"/>
          <w:sz w:val="24"/>
          <w:szCs w:val="24"/>
        </w:rPr>
      </w:pPr>
    </w:p>
    <w:p w14:paraId="5D1F5D7D" w14:textId="77777777" w:rsidR="001519DB" w:rsidRDefault="001519DB" w:rsidP="001519DB">
      <w:pPr>
        <w:rPr>
          <w:rFonts w:cs="Arial"/>
          <w:sz w:val="24"/>
          <w:szCs w:val="24"/>
        </w:rPr>
      </w:pPr>
    </w:p>
    <w:p w14:paraId="17525E7A" w14:textId="77777777" w:rsidR="00643F2B" w:rsidRPr="001519DB" w:rsidRDefault="00643F2B" w:rsidP="001519DB">
      <w:pPr>
        <w:rPr>
          <w:rFonts w:cs="Arial"/>
          <w:sz w:val="24"/>
          <w:szCs w:val="24"/>
        </w:rPr>
      </w:pPr>
    </w:p>
    <w:p w14:paraId="4DFF2E89" w14:textId="55B3A448" w:rsidR="001519DB" w:rsidRPr="001519DB" w:rsidRDefault="00E8046A" w:rsidP="001519DB">
      <w:pPr>
        <w:rPr>
          <w:rFonts w:cs="Arial"/>
          <w:sz w:val="24"/>
          <w:szCs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58C6C" wp14:editId="67CE076C">
                <wp:simplePos x="0" y="0"/>
                <wp:positionH relativeFrom="margin">
                  <wp:posOffset>-75565</wp:posOffset>
                </wp:positionH>
                <wp:positionV relativeFrom="paragraph">
                  <wp:posOffset>91440</wp:posOffset>
                </wp:positionV>
                <wp:extent cx="6484620" cy="1638300"/>
                <wp:effectExtent l="0" t="0" r="0" b="0"/>
                <wp:wrapNone/>
                <wp:docPr id="3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63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06F0D" w14:textId="77777777" w:rsidR="001519DB" w:rsidRDefault="001519DB" w:rsidP="001519DB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7DE10BED" w14:textId="77777777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3D938ADE" w14:textId="75F3E4BD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Mimo svou konzultantskou praxi v současnosti působí jako hlavní poradce České bankovní asociace. Ve sv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ém volném čase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3038E5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se </w:t>
                            </w:r>
                            <w:r w:rsidR="007B05E8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věnuje „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birdwatchingu“, </w:t>
                            </w:r>
                            <w:r w:rsidR="003038E5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pozorování 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ptáků v přírodě.</w:t>
                            </w:r>
                          </w:p>
                          <w:p w14:paraId="60434595" w14:textId="77777777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D1444B" w14:textId="77777777" w:rsidR="001519DB" w:rsidRDefault="001519DB" w:rsidP="001519DB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A359895" w14:textId="77777777" w:rsidR="001519DB" w:rsidRDefault="001519DB" w:rsidP="001519D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8C6C" id="Obdélník 5" o:spid="_x0000_s1028" style="position:absolute;left:0;text-align:left;margin-left:-5.95pt;margin-top:7.2pt;width:510.6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" fillcolor="#bfbfbf" stroked="f" strokeweight="1pt">
                <v:textbox inset="3mm,3mm,3mm,3mm">
                  <w:txbxContent>
                    <w:p w14:paraId="17F06F0D" w14:textId="77777777" w:rsidR="001519DB" w:rsidRDefault="001519DB" w:rsidP="001519DB">
                      <w:pPr>
                        <w:spacing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7DE10BED" w14:textId="77777777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3D938ADE" w14:textId="75F3E4BD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Mimo svou konzultantskou praxi v současnosti působí jako hlavní poradce České bankovní asociace. Ve sv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ém volném čase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3038E5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se </w:t>
                      </w:r>
                      <w:r w:rsidR="007B05E8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věnuje „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birdwatchingu“, </w:t>
                      </w:r>
                      <w:r w:rsidR="003038E5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pozorování 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ptáků v přírodě.</w:t>
                      </w:r>
                    </w:p>
                    <w:p w14:paraId="60434595" w14:textId="77777777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0FD1444B" w14:textId="77777777" w:rsidR="001519DB" w:rsidRDefault="001519DB" w:rsidP="001519DB">
                      <w:pPr>
                        <w:spacing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A359895" w14:textId="77777777" w:rsidR="001519DB" w:rsidRDefault="001519DB" w:rsidP="001519DB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A90ACC" w14:textId="77777777" w:rsidR="001519DB" w:rsidRPr="001519DB" w:rsidRDefault="001519DB" w:rsidP="001519DB">
      <w:pPr>
        <w:rPr>
          <w:rFonts w:cs="Arial"/>
          <w:sz w:val="24"/>
          <w:szCs w:val="24"/>
        </w:rPr>
      </w:pPr>
    </w:p>
    <w:p w14:paraId="5D100375" w14:textId="77777777" w:rsidR="001519DB" w:rsidRPr="001519DB" w:rsidRDefault="001519DB" w:rsidP="001519DB">
      <w:pPr>
        <w:spacing w:line="276" w:lineRule="auto"/>
        <w:rPr>
          <w:rFonts w:cs="Arial"/>
          <w:noProof/>
        </w:rPr>
      </w:pPr>
    </w:p>
    <w:p w14:paraId="4A61870E" w14:textId="77777777" w:rsidR="001519DB" w:rsidRPr="001519DB" w:rsidRDefault="001519DB" w:rsidP="001519DB">
      <w:pPr>
        <w:overflowPunct/>
        <w:autoSpaceDE/>
        <w:adjustRightInd/>
        <w:spacing w:after="160" w:line="256" w:lineRule="auto"/>
        <w:jc w:val="left"/>
        <w:rPr>
          <w:rFonts w:cs="Arial"/>
          <w:sz w:val="20"/>
        </w:rPr>
      </w:pPr>
    </w:p>
    <w:p w14:paraId="1A86FEFA" w14:textId="77777777" w:rsidR="008659E6" w:rsidRDefault="008659E6" w:rsidP="00563240">
      <w:pPr>
        <w:spacing w:after="120" w:line="276" w:lineRule="auto"/>
        <w:rPr>
          <w:rFonts w:cs="Arial"/>
          <w:sz w:val="20"/>
        </w:rPr>
      </w:pPr>
    </w:p>
    <w:p w14:paraId="47F07CF5" w14:textId="77777777" w:rsidR="00643F2B" w:rsidRDefault="00643F2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6FF6AF6C" w14:textId="77777777" w:rsidR="00643F2B" w:rsidRDefault="00643F2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65B4BC11" w14:textId="77777777" w:rsidR="00643F2B" w:rsidRPr="00635D8B" w:rsidRDefault="00643F2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6959"/>
        <w:gridCol w:w="3248"/>
      </w:tblGrid>
      <w:tr w:rsidR="009B6DE2" w:rsidRPr="00635D8B" w14:paraId="5FEBAE62" w14:textId="77777777" w:rsidTr="004B4E83">
        <w:trPr>
          <w:trHeight w:val="1995"/>
        </w:trPr>
        <w:tc>
          <w:tcPr>
            <w:tcW w:w="6959" w:type="dxa"/>
            <w:shd w:val="clear" w:color="auto" w:fill="13576B"/>
          </w:tcPr>
          <w:p w14:paraId="619FBF80" w14:textId="77777777" w:rsidR="009B6DE2" w:rsidRPr="007455D0" w:rsidRDefault="009B6DE2" w:rsidP="007455D0">
            <w:pPr>
              <w:pStyle w:val="CBANadpisvTABULCE"/>
              <w:jc w:val="both"/>
              <w:rPr>
                <w:rFonts w:ascii="IBM Plex Sans" w:hAnsi="IBM Plex Sans" w:cs="Poppins"/>
                <w:color w:val="FFFFFF"/>
                <w:szCs w:val="18"/>
              </w:rPr>
            </w:pPr>
            <w:r w:rsidRPr="007455D0">
              <w:rPr>
                <w:rFonts w:ascii="IBM Plex Sans" w:hAnsi="IBM Plex Sans" w:cs="Poppins"/>
                <w:color w:val="FFFFFF"/>
                <w:szCs w:val="18"/>
              </w:rPr>
              <w:t>O České bankovní asociaci</w:t>
            </w:r>
          </w:p>
          <w:p w14:paraId="48827DD9" w14:textId="77777777" w:rsidR="009B6DE2" w:rsidRPr="007455D0" w:rsidRDefault="009B6DE2" w:rsidP="007455D0">
            <w:pPr>
              <w:pStyle w:val="CBAodstavecvTABULCE"/>
              <w:jc w:val="both"/>
              <w:rPr>
                <w:rFonts w:ascii="IBM Plex Sans" w:hAnsi="IBM Plex Sans" w:cs="Poppins"/>
                <w:color w:val="A9936D"/>
                <w:szCs w:val="18"/>
              </w:rPr>
            </w:pPr>
            <w:r w:rsidRPr="007455D0">
              <w:rPr>
                <w:rFonts w:ascii="IBM Plex Sans" w:hAnsi="IBM Plex Sans" w:cs="Poppins"/>
                <w:color w:val="FFFFFF"/>
                <w:szCs w:val="18"/>
              </w:rPr>
              <w:t>Česká bankovní asociace vznikla v roce 1990 a je dobrovolným sdružením právnických osob podnikajících v oblasti peněžnictví. V současné době sdružuje 3</w:t>
            </w:r>
            <w:r w:rsidR="008659E6" w:rsidRPr="007455D0">
              <w:rPr>
                <w:rFonts w:ascii="IBM Plex Sans" w:hAnsi="IBM Plex Sans" w:cs="Poppins"/>
                <w:color w:val="FFFFFF"/>
                <w:szCs w:val="18"/>
              </w:rPr>
              <w:t>5</w:t>
            </w:r>
            <w:r w:rsidRPr="007455D0">
              <w:rPr>
                <w:rFonts w:ascii="IBM Plex Sans" w:hAnsi="IBM Plex Sans" w:cs="Poppins"/>
                <w:color w:val="FFFFFF"/>
                <w:szCs w:val="18"/>
              </w:rPr>
              <w:t xml:space="preserve"> členů. Rolí asociace je především zastupovat a prosazovat společné zájmy členů, prezentovat roli a zájmy bankovnictví vůči veřejnosti, podílet se na standardizaci postupů v bankovnictví a na vytváření odborných zvyklostí, podporovat harmonizaci bankovní legislativy s legislativou Evropské unie a vyvíjet aktivitu v informativní a školící oblasti. ČBA je členem Evropské bankovní federace a EMMI. Více informací na </w:t>
            </w:r>
            <w:hyperlink r:id="rId11" w:history="1">
              <w:r w:rsidRPr="007455D0">
                <w:rPr>
                  <w:rStyle w:val="Hypertextovodkaz"/>
                  <w:rFonts w:ascii="IBM Plex Sans" w:hAnsi="IBM Plex Sans" w:cs="Poppins"/>
                  <w:color w:val="FFFFFF"/>
                  <w:szCs w:val="18"/>
                </w:rPr>
                <w:t>www.cbaonline.cz</w:t>
              </w:r>
            </w:hyperlink>
            <w:r w:rsidR="00406C4B" w:rsidRPr="007455D0">
              <w:rPr>
                <w:rFonts w:ascii="IBM Plex Sans" w:hAnsi="IBM Plex Sans" w:cs="Poppins"/>
                <w:color w:val="FFFFFF"/>
                <w:szCs w:val="18"/>
              </w:rPr>
              <w:t xml:space="preserve">. </w:t>
            </w:r>
          </w:p>
        </w:tc>
        <w:tc>
          <w:tcPr>
            <w:tcW w:w="3248" w:type="dxa"/>
            <w:shd w:val="clear" w:color="auto" w:fill="A9936D"/>
            <w:vAlign w:val="center"/>
          </w:tcPr>
          <w:p w14:paraId="5122BA55" w14:textId="77777777" w:rsidR="009B6DE2" w:rsidRPr="007455D0" w:rsidRDefault="009B6DE2" w:rsidP="007455D0">
            <w:pPr>
              <w:pStyle w:val="CBAodstavecvTABULCE"/>
              <w:jc w:val="center"/>
              <w:rPr>
                <w:rFonts w:ascii="IBM Plex Sans" w:hAnsi="IBM Plex Sans" w:cs="Poppins"/>
                <w:b/>
                <w:bCs/>
                <w:color w:val="FFFFFF"/>
                <w:szCs w:val="18"/>
              </w:rPr>
            </w:pPr>
            <w:r w:rsidRPr="007455D0">
              <w:rPr>
                <w:rFonts w:ascii="IBM Plex Sans" w:hAnsi="IBM Plex Sans" w:cs="Poppins"/>
                <w:b/>
                <w:bCs/>
                <w:color w:val="FFFFFF"/>
                <w:szCs w:val="18"/>
              </w:rPr>
              <w:t>Další informace obdržíte na adrese:</w:t>
            </w:r>
          </w:p>
          <w:p w14:paraId="3C533A2D" w14:textId="77777777" w:rsidR="009B6DE2" w:rsidRPr="007455D0" w:rsidRDefault="009B6DE2" w:rsidP="007455D0">
            <w:pPr>
              <w:pStyle w:val="CBAodstavecvTABULCE"/>
              <w:jc w:val="center"/>
              <w:rPr>
                <w:rFonts w:ascii="IBM Plex Sans" w:hAnsi="IBM Plex Sans" w:cs="Poppins"/>
                <w:color w:val="FFFFFF"/>
                <w:szCs w:val="18"/>
              </w:rPr>
            </w:pPr>
            <w:r w:rsidRPr="007455D0">
              <w:rPr>
                <w:rFonts w:ascii="IBM Plex Sans" w:hAnsi="IBM Plex Sans" w:cs="Poppins"/>
                <w:b/>
                <w:bCs/>
                <w:color w:val="FFFFFF"/>
                <w:szCs w:val="18"/>
              </w:rPr>
              <w:t>media@cbaonline.cz</w:t>
            </w:r>
          </w:p>
        </w:tc>
      </w:tr>
    </w:tbl>
    <w:p w14:paraId="6F8DBDDD" w14:textId="77777777" w:rsidR="00C42F00" w:rsidRPr="00635D8B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635D8B" w:rsidSect="008659E6">
      <w:headerReference w:type="default" r:id="rId12"/>
      <w:footerReference w:type="default" r:id="rId13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9A16A" w14:textId="77777777" w:rsidR="00225F24" w:rsidRDefault="00225F24" w:rsidP="00F573F1">
      <w:r>
        <w:separator/>
      </w:r>
    </w:p>
  </w:endnote>
  <w:endnote w:type="continuationSeparator" w:id="0">
    <w:p w14:paraId="1FCA2CBA" w14:textId="77777777" w:rsidR="00225F24" w:rsidRDefault="00225F24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BM Plex Sans">
    <w:panose1 w:val="020B0503050203000203"/>
    <w:charset w:val="EE"/>
    <w:family w:val="swiss"/>
    <w:pitch w:val="variable"/>
    <w:sig w:usb0="A00002EF" w:usb1="5000203B" w:usb2="00000000" w:usb3="00000000" w:csb0="000001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EC8" w14:textId="5A0FA8EC" w:rsidR="001E31AB" w:rsidRDefault="00E8046A">
    <w:pPr>
      <w:pStyle w:val="Zpat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241FE79D" wp14:editId="63694F2F">
          <wp:simplePos x="0" y="0"/>
          <wp:positionH relativeFrom="column">
            <wp:posOffset>-540385</wp:posOffset>
          </wp:positionH>
          <wp:positionV relativeFrom="paragraph">
            <wp:posOffset>-365760</wp:posOffset>
          </wp:positionV>
          <wp:extent cx="3042285" cy="70104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1AB" w:rsidRPr="001E31AB">
      <w:rPr>
        <w:rFonts w:ascii="Calibri" w:hAnsi="Calibri"/>
        <w:szCs w:val="18"/>
      </w:rPr>
      <w:t xml:space="preserve">Stránka </w:t>
    </w:r>
    <w:r w:rsidR="001E31AB" w:rsidRPr="001E31AB">
      <w:rPr>
        <w:rFonts w:ascii="Calibri" w:hAnsi="Calibri"/>
        <w:b/>
        <w:bCs/>
        <w:szCs w:val="18"/>
      </w:rPr>
      <w:fldChar w:fldCharType="begin"/>
    </w:r>
    <w:r w:rsidR="001E31AB" w:rsidRPr="001E31AB">
      <w:rPr>
        <w:rFonts w:ascii="Calibri" w:hAnsi="Calibri"/>
        <w:b/>
        <w:bCs/>
        <w:szCs w:val="18"/>
      </w:rPr>
      <w:instrText>PAGE</w:instrText>
    </w:r>
    <w:r w:rsidR="001E31AB" w:rsidRPr="001E31AB">
      <w:rPr>
        <w:rFonts w:ascii="Calibri" w:hAnsi="Calibri"/>
        <w:b/>
        <w:bCs/>
        <w:szCs w:val="18"/>
      </w:rPr>
      <w:fldChar w:fldCharType="separate"/>
    </w:r>
    <w:r w:rsidR="00AA341D">
      <w:rPr>
        <w:rFonts w:ascii="Calibri" w:hAnsi="Calibri"/>
        <w:b/>
        <w:bCs/>
        <w:noProof/>
        <w:szCs w:val="18"/>
      </w:rPr>
      <w:t>1</w:t>
    </w:r>
    <w:r w:rsidR="001E31AB" w:rsidRPr="001E31AB">
      <w:rPr>
        <w:rFonts w:ascii="Calibri" w:hAnsi="Calibri"/>
        <w:b/>
        <w:bCs/>
        <w:szCs w:val="18"/>
      </w:rPr>
      <w:fldChar w:fldCharType="end"/>
    </w:r>
    <w:r w:rsidR="001E31AB" w:rsidRPr="001E31AB">
      <w:rPr>
        <w:rFonts w:ascii="Calibri" w:hAnsi="Calibri"/>
        <w:szCs w:val="18"/>
      </w:rPr>
      <w:t xml:space="preserve"> z </w:t>
    </w:r>
    <w:r w:rsidR="001E31AB" w:rsidRPr="001E31AB">
      <w:rPr>
        <w:rFonts w:ascii="Calibri" w:hAnsi="Calibri"/>
        <w:b/>
        <w:bCs/>
        <w:szCs w:val="18"/>
      </w:rPr>
      <w:fldChar w:fldCharType="begin"/>
    </w:r>
    <w:r w:rsidR="001E31AB" w:rsidRPr="001E31AB">
      <w:rPr>
        <w:rFonts w:ascii="Calibri" w:hAnsi="Calibri"/>
        <w:b/>
        <w:bCs/>
        <w:szCs w:val="18"/>
      </w:rPr>
      <w:instrText>NUMPAGES</w:instrText>
    </w:r>
    <w:r w:rsidR="001E31AB" w:rsidRPr="001E31AB">
      <w:rPr>
        <w:rFonts w:ascii="Calibri" w:hAnsi="Calibri"/>
        <w:b/>
        <w:bCs/>
        <w:szCs w:val="18"/>
      </w:rPr>
      <w:fldChar w:fldCharType="separate"/>
    </w:r>
    <w:r w:rsidR="00AA341D">
      <w:rPr>
        <w:rFonts w:ascii="Calibri" w:hAnsi="Calibri"/>
        <w:b/>
        <w:bCs/>
        <w:noProof/>
        <w:szCs w:val="18"/>
      </w:rPr>
      <w:t>2</w:t>
    </w:r>
    <w:r w:rsidR="001E31AB" w:rsidRPr="001E31AB">
      <w:rPr>
        <w:rFonts w:ascii="Calibri" w:hAnsi="Calibri"/>
        <w:b/>
        <w:bCs/>
        <w:szCs w:val="18"/>
      </w:rPr>
      <w:fldChar w:fldCharType="end"/>
    </w:r>
  </w:p>
  <w:p w14:paraId="7858A14D" w14:textId="77777777" w:rsidR="0065124E" w:rsidRPr="007455D0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88AD9" w14:textId="77777777" w:rsidR="00225F24" w:rsidRDefault="00225F24" w:rsidP="00F573F1">
      <w:r>
        <w:separator/>
      </w:r>
    </w:p>
  </w:footnote>
  <w:footnote w:type="continuationSeparator" w:id="0">
    <w:p w14:paraId="46E1AC63" w14:textId="77777777" w:rsidR="00225F24" w:rsidRDefault="00225F24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85FC" w14:textId="0F14C467" w:rsidR="0065124E" w:rsidRDefault="00E8046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06A6F" wp14:editId="300D7380">
          <wp:simplePos x="0" y="0"/>
          <wp:positionH relativeFrom="column">
            <wp:posOffset>-540385</wp:posOffset>
          </wp:positionH>
          <wp:positionV relativeFrom="paragraph">
            <wp:posOffset>-443230</wp:posOffset>
          </wp:positionV>
          <wp:extent cx="7543800" cy="1609725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rPr>
        <w:rFonts w:ascii="Calibri" w:eastAsia="Calibri Light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899828667">
    <w:abstractNumId w:val="8"/>
  </w:num>
  <w:num w:numId="2" w16cid:durableId="1308391828">
    <w:abstractNumId w:val="12"/>
  </w:num>
  <w:num w:numId="3" w16cid:durableId="1625191460">
    <w:abstractNumId w:val="41"/>
  </w:num>
  <w:num w:numId="4" w16cid:durableId="2125998053">
    <w:abstractNumId w:val="20"/>
  </w:num>
  <w:num w:numId="5" w16cid:durableId="385104999">
    <w:abstractNumId w:val="22"/>
  </w:num>
  <w:num w:numId="6" w16cid:durableId="2045132206">
    <w:abstractNumId w:val="24"/>
  </w:num>
  <w:num w:numId="7" w16cid:durableId="543445721">
    <w:abstractNumId w:val="30"/>
  </w:num>
  <w:num w:numId="8" w16cid:durableId="923800573">
    <w:abstractNumId w:val="29"/>
  </w:num>
  <w:num w:numId="9" w16cid:durableId="335113461">
    <w:abstractNumId w:val="37"/>
  </w:num>
  <w:num w:numId="10" w16cid:durableId="1188905199">
    <w:abstractNumId w:val="1"/>
  </w:num>
  <w:num w:numId="11" w16cid:durableId="379477727">
    <w:abstractNumId w:val="36"/>
  </w:num>
  <w:num w:numId="12" w16cid:durableId="77873591">
    <w:abstractNumId w:val="39"/>
  </w:num>
  <w:num w:numId="13" w16cid:durableId="1962300755">
    <w:abstractNumId w:val="32"/>
  </w:num>
  <w:num w:numId="14" w16cid:durableId="1517814397">
    <w:abstractNumId w:val="10"/>
  </w:num>
  <w:num w:numId="15" w16cid:durableId="1770465542">
    <w:abstractNumId w:val="13"/>
  </w:num>
  <w:num w:numId="16" w16cid:durableId="171725685">
    <w:abstractNumId w:val="27"/>
  </w:num>
  <w:num w:numId="17" w16cid:durableId="1287203519">
    <w:abstractNumId w:val="5"/>
  </w:num>
  <w:num w:numId="18" w16cid:durableId="1456948547">
    <w:abstractNumId w:val="35"/>
  </w:num>
  <w:num w:numId="19" w16cid:durableId="2097480923">
    <w:abstractNumId w:val="7"/>
  </w:num>
  <w:num w:numId="20" w16cid:durableId="500006600">
    <w:abstractNumId w:val="19"/>
  </w:num>
  <w:num w:numId="21" w16cid:durableId="1538809030">
    <w:abstractNumId w:val="9"/>
  </w:num>
  <w:num w:numId="22" w16cid:durableId="608244535">
    <w:abstractNumId w:val="17"/>
  </w:num>
  <w:num w:numId="23" w16cid:durableId="1815945263">
    <w:abstractNumId w:val="33"/>
  </w:num>
  <w:num w:numId="24" w16cid:durableId="739444515">
    <w:abstractNumId w:val="38"/>
  </w:num>
  <w:num w:numId="25" w16cid:durableId="1770850596">
    <w:abstractNumId w:val="25"/>
  </w:num>
  <w:num w:numId="26" w16cid:durableId="1399018897">
    <w:abstractNumId w:val="40"/>
  </w:num>
  <w:num w:numId="27" w16cid:durableId="1850364216">
    <w:abstractNumId w:val="3"/>
  </w:num>
  <w:num w:numId="28" w16cid:durableId="1007294538">
    <w:abstractNumId w:val="4"/>
  </w:num>
  <w:num w:numId="29" w16cid:durableId="1382242764">
    <w:abstractNumId w:val="11"/>
  </w:num>
  <w:num w:numId="30" w16cid:durableId="2136212405">
    <w:abstractNumId w:val="34"/>
  </w:num>
  <w:num w:numId="31" w16cid:durableId="107091057">
    <w:abstractNumId w:val="2"/>
  </w:num>
  <w:num w:numId="32" w16cid:durableId="204830620">
    <w:abstractNumId w:val="16"/>
  </w:num>
  <w:num w:numId="33" w16cid:durableId="140461105">
    <w:abstractNumId w:val="21"/>
  </w:num>
  <w:num w:numId="34" w16cid:durableId="1327246899">
    <w:abstractNumId w:val="23"/>
  </w:num>
  <w:num w:numId="35" w16cid:durableId="689570800">
    <w:abstractNumId w:val="15"/>
  </w:num>
  <w:num w:numId="36" w16cid:durableId="1673414877">
    <w:abstractNumId w:val="0"/>
  </w:num>
  <w:num w:numId="37" w16cid:durableId="1636787710">
    <w:abstractNumId w:val="31"/>
  </w:num>
  <w:num w:numId="38" w16cid:durableId="1520775809">
    <w:abstractNumId w:val="6"/>
  </w:num>
  <w:num w:numId="39" w16cid:durableId="1572692615">
    <w:abstractNumId w:val="26"/>
  </w:num>
  <w:num w:numId="40" w16cid:durableId="2010596320">
    <w:abstractNumId w:val="14"/>
  </w:num>
  <w:num w:numId="41" w16cid:durableId="199250520">
    <w:abstractNumId w:val="28"/>
  </w:num>
  <w:num w:numId="42" w16cid:durableId="1002507286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5ADE"/>
    <w:rsid w:val="00037707"/>
    <w:rsid w:val="00043889"/>
    <w:rsid w:val="00044002"/>
    <w:rsid w:val="000444EA"/>
    <w:rsid w:val="00046FB7"/>
    <w:rsid w:val="00047DF1"/>
    <w:rsid w:val="000509DD"/>
    <w:rsid w:val="00050AF7"/>
    <w:rsid w:val="00051A5B"/>
    <w:rsid w:val="00052BCB"/>
    <w:rsid w:val="00053EE4"/>
    <w:rsid w:val="0005405F"/>
    <w:rsid w:val="000559DE"/>
    <w:rsid w:val="000563EB"/>
    <w:rsid w:val="00056A4F"/>
    <w:rsid w:val="00057072"/>
    <w:rsid w:val="00057396"/>
    <w:rsid w:val="00060D7F"/>
    <w:rsid w:val="00072447"/>
    <w:rsid w:val="0007445A"/>
    <w:rsid w:val="000769D2"/>
    <w:rsid w:val="00081E35"/>
    <w:rsid w:val="00082D33"/>
    <w:rsid w:val="000842AE"/>
    <w:rsid w:val="00086094"/>
    <w:rsid w:val="000870EB"/>
    <w:rsid w:val="0009491E"/>
    <w:rsid w:val="000949FA"/>
    <w:rsid w:val="00097293"/>
    <w:rsid w:val="000A2C3B"/>
    <w:rsid w:val="000A3ECF"/>
    <w:rsid w:val="000A4D59"/>
    <w:rsid w:val="000A55AA"/>
    <w:rsid w:val="000A664C"/>
    <w:rsid w:val="000B4C8F"/>
    <w:rsid w:val="000B79A4"/>
    <w:rsid w:val="000C234E"/>
    <w:rsid w:val="000C4910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77BC"/>
    <w:rsid w:val="000F02FD"/>
    <w:rsid w:val="000F1BC2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22CC4"/>
    <w:rsid w:val="0012351B"/>
    <w:rsid w:val="00123FF9"/>
    <w:rsid w:val="001253CC"/>
    <w:rsid w:val="00131E94"/>
    <w:rsid w:val="0013258C"/>
    <w:rsid w:val="00134FF8"/>
    <w:rsid w:val="001361CA"/>
    <w:rsid w:val="00136FC5"/>
    <w:rsid w:val="00143DCC"/>
    <w:rsid w:val="00144D53"/>
    <w:rsid w:val="00145E7A"/>
    <w:rsid w:val="00146F46"/>
    <w:rsid w:val="001500B2"/>
    <w:rsid w:val="0015125A"/>
    <w:rsid w:val="00151921"/>
    <w:rsid w:val="001519DB"/>
    <w:rsid w:val="00152252"/>
    <w:rsid w:val="0015295E"/>
    <w:rsid w:val="00152A73"/>
    <w:rsid w:val="00157080"/>
    <w:rsid w:val="001622C2"/>
    <w:rsid w:val="001633ED"/>
    <w:rsid w:val="00163F5F"/>
    <w:rsid w:val="00165DDC"/>
    <w:rsid w:val="00170B1C"/>
    <w:rsid w:val="00172320"/>
    <w:rsid w:val="0017441E"/>
    <w:rsid w:val="00175A85"/>
    <w:rsid w:val="00175D36"/>
    <w:rsid w:val="00176C20"/>
    <w:rsid w:val="00182C97"/>
    <w:rsid w:val="00183066"/>
    <w:rsid w:val="00184412"/>
    <w:rsid w:val="00184B07"/>
    <w:rsid w:val="001857AD"/>
    <w:rsid w:val="0019210C"/>
    <w:rsid w:val="00195C6D"/>
    <w:rsid w:val="00196205"/>
    <w:rsid w:val="0019772B"/>
    <w:rsid w:val="001A2623"/>
    <w:rsid w:val="001A46CC"/>
    <w:rsid w:val="001A6304"/>
    <w:rsid w:val="001B1060"/>
    <w:rsid w:val="001C091C"/>
    <w:rsid w:val="001C2261"/>
    <w:rsid w:val="001C6945"/>
    <w:rsid w:val="001C7244"/>
    <w:rsid w:val="001C7F88"/>
    <w:rsid w:val="001D0B1C"/>
    <w:rsid w:val="001D3C90"/>
    <w:rsid w:val="001D47C2"/>
    <w:rsid w:val="001D5BB9"/>
    <w:rsid w:val="001D7365"/>
    <w:rsid w:val="001E15FD"/>
    <w:rsid w:val="001E27B8"/>
    <w:rsid w:val="001E31AB"/>
    <w:rsid w:val="001E6F5D"/>
    <w:rsid w:val="001F3DF4"/>
    <w:rsid w:val="001F5CF7"/>
    <w:rsid w:val="00201DDA"/>
    <w:rsid w:val="00202BDE"/>
    <w:rsid w:val="00203021"/>
    <w:rsid w:val="002045A5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F77"/>
    <w:rsid w:val="00221FF5"/>
    <w:rsid w:val="00222917"/>
    <w:rsid w:val="00223954"/>
    <w:rsid w:val="00225F24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3DF"/>
    <w:rsid w:val="00244923"/>
    <w:rsid w:val="002472A6"/>
    <w:rsid w:val="00247512"/>
    <w:rsid w:val="0025305E"/>
    <w:rsid w:val="00253816"/>
    <w:rsid w:val="00253D09"/>
    <w:rsid w:val="00256268"/>
    <w:rsid w:val="002567A3"/>
    <w:rsid w:val="00262B7F"/>
    <w:rsid w:val="00266980"/>
    <w:rsid w:val="00267ACA"/>
    <w:rsid w:val="00270A4E"/>
    <w:rsid w:val="00270EF9"/>
    <w:rsid w:val="002732AB"/>
    <w:rsid w:val="00275209"/>
    <w:rsid w:val="002805CE"/>
    <w:rsid w:val="00280D31"/>
    <w:rsid w:val="00283681"/>
    <w:rsid w:val="00290498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D5020"/>
    <w:rsid w:val="002E1390"/>
    <w:rsid w:val="002E5E57"/>
    <w:rsid w:val="002F1752"/>
    <w:rsid w:val="002F2FAA"/>
    <w:rsid w:val="002F3512"/>
    <w:rsid w:val="002F477C"/>
    <w:rsid w:val="002F557F"/>
    <w:rsid w:val="003005F2"/>
    <w:rsid w:val="003028DC"/>
    <w:rsid w:val="003038E5"/>
    <w:rsid w:val="00303C78"/>
    <w:rsid w:val="00313FF2"/>
    <w:rsid w:val="00315F32"/>
    <w:rsid w:val="00320811"/>
    <w:rsid w:val="00322434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9A5"/>
    <w:rsid w:val="00376918"/>
    <w:rsid w:val="00376F07"/>
    <w:rsid w:val="00380502"/>
    <w:rsid w:val="00380788"/>
    <w:rsid w:val="0038299F"/>
    <w:rsid w:val="00384170"/>
    <w:rsid w:val="003847A3"/>
    <w:rsid w:val="0038561F"/>
    <w:rsid w:val="00391C4B"/>
    <w:rsid w:val="00391FA6"/>
    <w:rsid w:val="0039430F"/>
    <w:rsid w:val="003952ED"/>
    <w:rsid w:val="00396DEC"/>
    <w:rsid w:val="00396F9D"/>
    <w:rsid w:val="00397430"/>
    <w:rsid w:val="003A0F5E"/>
    <w:rsid w:val="003A37B8"/>
    <w:rsid w:val="003A5636"/>
    <w:rsid w:val="003A623D"/>
    <w:rsid w:val="003A7B48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6C4B"/>
    <w:rsid w:val="0041521E"/>
    <w:rsid w:val="00420AD3"/>
    <w:rsid w:val="00421FFD"/>
    <w:rsid w:val="00422B81"/>
    <w:rsid w:val="00424D1B"/>
    <w:rsid w:val="00425B3B"/>
    <w:rsid w:val="00427F38"/>
    <w:rsid w:val="00430929"/>
    <w:rsid w:val="004325D3"/>
    <w:rsid w:val="004371EE"/>
    <w:rsid w:val="00437589"/>
    <w:rsid w:val="00440E28"/>
    <w:rsid w:val="00444BDA"/>
    <w:rsid w:val="004455AE"/>
    <w:rsid w:val="00445609"/>
    <w:rsid w:val="004476C2"/>
    <w:rsid w:val="00451368"/>
    <w:rsid w:val="00452A6C"/>
    <w:rsid w:val="00452C30"/>
    <w:rsid w:val="004555E6"/>
    <w:rsid w:val="004601F7"/>
    <w:rsid w:val="00462717"/>
    <w:rsid w:val="004641CC"/>
    <w:rsid w:val="0046651A"/>
    <w:rsid w:val="004714FB"/>
    <w:rsid w:val="00471C10"/>
    <w:rsid w:val="00471D6F"/>
    <w:rsid w:val="00472210"/>
    <w:rsid w:val="0047757F"/>
    <w:rsid w:val="00477AF5"/>
    <w:rsid w:val="00482526"/>
    <w:rsid w:val="0048354D"/>
    <w:rsid w:val="00483DC8"/>
    <w:rsid w:val="0048489E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4E83"/>
    <w:rsid w:val="004B7ECE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B5B"/>
    <w:rsid w:val="004E5E51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7111"/>
    <w:rsid w:val="005208BD"/>
    <w:rsid w:val="00521FF6"/>
    <w:rsid w:val="005324CB"/>
    <w:rsid w:val="00533601"/>
    <w:rsid w:val="0053589B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2176"/>
    <w:rsid w:val="00594E85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7DE"/>
    <w:rsid w:val="005B5E17"/>
    <w:rsid w:val="005C09C3"/>
    <w:rsid w:val="005C1943"/>
    <w:rsid w:val="005C22C2"/>
    <w:rsid w:val="005C3106"/>
    <w:rsid w:val="005C356D"/>
    <w:rsid w:val="005C501A"/>
    <w:rsid w:val="005C576C"/>
    <w:rsid w:val="005C6D52"/>
    <w:rsid w:val="005C751B"/>
    <w:rsid w:val="005C7858"/>
    <w:rsid w:val="005C7A9A"/>
    <w:rsid w:val="005D11A5"/>
    <w:rsid w:val="005D3875"/>
    <w:rsid w:val="005D4BC8"/>
    <w:rsid w:val="005D55D6"/>
    <w:rsid w:val="005D593D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4A28"/>
    <w:rsid w:val="00624B94"/>
    <w:rsid w:val="006264F1"/>
    <w:rsid w:val="00626CB1"/>
    <w:rsid w:val="0063314F"/>
    <w:rsid w:val="0063450F"/>
    <w:rsid w:val="00635D8B"/>
    <w:rsid w:val="00637228"/>
    <w:rsid w:val="0064298D"/>
    <w:rsid w:val="0064364F"/>
    <w:rsid w:val="00643F2B"/>
    <w:rsid w:val="00643F5F"/>
    <w:rsid w:val="006445A3"/>
    <w:rsid w:val="00650724"/>
    <w:rsid w:val="0065124E"/>
    <w:rsid w:val="006513A0"/>
    <w:rsid w:val="00651436"/>
    <w:rsid w:val="00654F37"/>
    <w:rsid w:val="0066152C"/>
    <w:rsid w:val="00661C43"/>
    <w:rsid w:val="00662C23"/>
    <w:rsid w:val="00662C5E"/>
    <w:rsid w:val="0066473E"/>
    <w:rsid w:val="00665069"/>
    <w:rsid w:val="00665718"/>
    <w:rsid w:val="00676326"/>
    <w:rsid w:val="006768EF"/>
    <w:rsid w:val="006777C7"/>
    <w:rsid w:val="006839E8"/>
    <w:rsid w:val="00685F12"/>
    <w:rsid w:val="0069373F"/>
    <w:rsid w:val="006963D2"/>
    <w:rsid w:val="006966FD"/>
    <w:rsid w:val="006A0B4A"/>
    <w:rsid w:val="006A0F4A"/>
    <w:rsid w:val="006A123E"/>
    <w:rsid w:val="006A1D16"/>
    <w:rsid w:val="006A7BEA"/>
    <w:rsid w:val="006B120F"/>
    <w:rsid w:val="006B1C3F"/>
    <w:rsid w:val="006B2EBD"/>
    <w:rsid w:val="006B2F86"/>
    <w:rsid w:val="006B37A6"/>
    <w:rsid w:val="006B68CF"/>
    <w:rsid w:val="006C13D5"/>
    <w:rsid w:val="006C1944"/>
    <w:rsid w:val="006C2210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3499"/>
    <w:rsid w:val="006F5A87"/>
    <w:rsid w:val="00702D07"/>
    <w:rsid w:val="00703B37"/>
    <w:rsid w:val="00705982"/>
    <w:rsid w:val="007078D6"/>
    <w:rsid w:val="00712E4D"/>
    <w:rsid w:val="007133E9"/>
    <w:rsid w:val="00714837"/>
    <w:rsid w:val="00717B00"/>
    <w:rsid w:val="00720DE3"/>
    <w:rsid w:val="00722F2C"/>
    <w:rsid w:val="00723293"/>
    <w:rsid w:val="00724D46"/>
    <w:rsid w:val="00727012"/>
    <w:rsid w:val="0072723A"/>
    <w:rsid w:val="007325B1"/>
    <w:rsid w:val="00733C05"/>
    <w:rsid w:val="0073460E"/>
    <w:rsid w:val="007402C2"/>
    <w:rsid w:val="00743577"/>
    <w:rsid w:val="00744C66"/>
    <w:rsid w:val="00745413"/>
    <w:rsid w:val="007455D0"/>
    <w:rsid w:val="00756108"/>
    <w:rsid w:val="007609D5"/>
    <w:rsid w:val="007624AC"/>
    <w:rsid w:val="00762F6A"/>
    <w:rsid w:val="00762FBA"/>
    <w:rsid w:val="00763887"/>
    <w:rsid w:val="00764748"/>
    <w:rsid w:val="00765515"/>
    <w:rsid w:val="00766B61"/>
    <w:rsid w:val="00771AA1"/>
    <w:rsid w:val="00775520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53B5"/>
    <w:rsid w:val="007964DC"/>
    <w:rsid w:val="007A0CAC"/>
    <w:rsid w:val="007A3BFB"/>
    <w:rsid w:val="007A4079"/>
    <w:rsid w:val="007A64C9"/>
    <w:rsid w:val="007A7B10"/>
    <w:rsid w:val="007B02A8"/>
    <w:rsid w:val="007B05E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3143"/>
    <w:rsid w:val="007F35DD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165C6"/>
    <w:rsid w:val="00820A66"/>
    <w:rsid w:val="00823323"/>
    <w:rsid w:val="008242DA"/>
    <w:rsid w:val="00826371"/>
    <w:rsid w:val="0082668B"/>
    <w:rsid w:val="00830214"/>
    <w:rsid w:val="00830902"/>
    <w:rsid w:val="00834366"/>
    <w:rsid w:val="008363D1"/>
    <w:rsid w:val="00837238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659E6"/>
    <w:rsid w:val="00870102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7707"/>
    <w:rsid w:val="008D6CA8"/>
    <w:rsid w:val="008E2336"/>
    <w:rsid w:val="008E78B4"/>
    <w:rsid w:val="008F047E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296C"/>
    <w:rsid w:val="00974C24"/>
    <w:rsid w:val="009753FB"/>
    <w:rsid w:val="00975439"/>
    <w:rsid w:val="00977317"/>
    <w:rsid w:val="00980C11"/>
    <w:rsid w:val="0098257D"/>
    <w:rsid w:val="00984F99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2A78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D0E39"/>
    <w:rsid w:val="009D0E88"/>
    <w:rsid w:val="009D24D7"/>
    <w:rsid w:val="009D256E"/>
    <w:rsid w:val="009D2DB6"/>
    <w:rsid w:val="009D2F47"/>
    <w:rsid w:val="009D633B"/>
    <w:rsid w:val="009D7835"/>
    <w:rsid w:val="009E172B"/>
    <w:rsid w:val="009E1779"/>
    <w:rsid w:val="009E253A"/>
    <w:rsid w:val="009E39C0"/>
    <w:rsid w:val="009E5367"/>
    <w:rsid w:val="009E7B93"/>
    <w:rsid w:val="009F1E76"/>
    <w:rsid w:val="009F3268"/>
    <w:rsid w:val="009F6749"/>
    <w:rsid w:val="009F6C56"/>
    <w:rsid w:val="00A028AD"/>
    <w:rsid w:val="00A031CC"/>
    <w:rsid w:val="00A0323B"/>
    <w:rsid w:val="00A04192"/>
    <w:rsid w:val="00A0762A"/>
    <w:rsid w:val="00A13038"/>
    <w:rsid w:val="00A13D89"/>
    <w:rsid w:val="00A13F1D"/>
    <w:rsid w:val="00A155ED"/>
    <w:rsid w:val="00A1597F"/>
    <w:rsid w:val="00A15F37"/>
    <w:rsid w:val="00A163E3"/>
    <w:rsid w:val="00A214A3"/>
    <w:rsid w:val="00A22A52"/>
    <w:rsid w:val="00A25889"/>
    <w:rsid w:val="00A3034C"/>
    <w:rsid w:val="00A36B18"/>
    <w:rsid w:val="00A41C2A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2BBC"/>
    <w:rsid w:val="00A72FF3"/>
    <w:rsid w:val="00A7410C"/>
    <w:rsid w:val="00A814A3"/>
    <w:rsid w:val="00A832BA"/>
    <w:rsid w:val="00A85048"/>
    <w:rsid w:val="00A8635E"/>
    <w:rsid w:val="00A8750A"/>
    <w:rsid w:val="00A90878"/>
    <w:rsid w:val="00A91266"/>
    <w:rsid w:val="00A950F4"/>
    <w:rsid w:val="00A96385"/>
    <w:rsid w:val="00A96783"/>
    <w:rsid w:val="00A97F5A"/>
    <w:rsid w:val="00AA1257"/>
    <w:rsid w:val="00AA2D58"/>
    <w:rsid w:val="00AA341D"/>
    <w:rsid w:val="00AA3779"/>
    <w:rsid w:val="00AA55D7"/>
    <w:rsid w:val="00AA68DB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20AF"/>
    <w:rsid w:val="00AD3BBF"/>
    <w:rsid w:val="00AD60D7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1190"/>
    <w:rsid w:val="00B05777"/>
    <w:rsid w:val="00B11271"/>
    <w:rsid w:val="00B112A5"/>
    <w:rsid w:val="00B118CF"/>
    <w:rsid w:val="00B12833"/>
    <w:rsid w:val="00B13A76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C22"/>
    <w:rsid w:val="00B60FE8"/>
    <w:rsid w:val="00B67ADB"/>
    <w:rsid w:val="00B72E23"/>
    <w:rsid w:val="00B73636"/>
    <w:rsid w:val="00B75883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2A90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D0100"/>
    <w:rsid w:val="00BD297C"/>
    <w:rsid w:val="00BD4234"/>
    <w:rsid w:val="00BD483C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4DE0"/>
    <w:rsid w:val="00BF5F81"/>
    <w:rsid w:val="00BF6F8D"/>
    <w:rsid w:val="00C04F50"/>
    <w:rsid w:val="00C05E06"/>
    <w:rsid w:val="00C0748A"/>
    <w:rsid w:val="00C07AC1"/>
    <w:rsid w:val="00C1233D"/>
    <w:rsid w:val="00C12AFA"/>
    <w:rsid w:val="00C16E86"/>
    <w:rsid w:val="00C17244"/>
    <w:rsid w:val="00C2020E"/>
    <w:rsid w:val="00C21CA1"/>
    <w:rsid w:val="00C2648E"/>
    <w:rsid w:val="00C313E7"/>
    <w:rsid w:val="00C34EEE"/>
    <w:rsid w:val="00C3654D"/>
    <w:rsid w:val="00C41DE8"/>
    <w:rsid w:val="00C41E47"/>
    <w:rsid w:val="00C42F00"/>
    <w:rsid w:val="00C44924"/>
    <w:rsid w:val="00C44BFF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375A"/>
    <w:rsid w:val="00C74048"/>
    <w:rsid w:val="00C74654"/>
    <w:rsid w:val="00C74775"/>
    <w:rsid w:val="00C75F55"/>
    <w:rsid w:val="00C8174A"/>
    <w:rsid w:val="00C84C3A"/>
    <w:rsid w:val="00C8685C"/>
    <w:rsid w:val="00C87795"/>
    <w:rsid w:val="00C90684"/>
    <w:rsid w:val="00C90FC8"/>
    <w:rsid w:val="00C933A9"/>
    <w:rsid w:val="00C948E7"/>
    <w:rsid w:val="00C97688"/>
    <w:rsid w:val="00C9786B"/>
    <w:rsid w:val="00CA1957"/>
    <w:rsid w:val="00CA1D3D"/>
    <w:rsid w:val="00CA3BA7"/>
    <w:rsid w:val="00CA7866"/>
    <w:rsid w:val="00CB1580"/>
    <w:rsid w:val="00CB2D4C"/>
    <w:rsid w:val="00CB4072"/>
    <w:rsid w:val="00CB4C9C"/>
    <w:rsid w:val="00CB517A"/>
    <w:rsid w:val="00CC3988"/>
    <w:rsid w:val="00CC5AF3"/>
    <w:rsid w:val="00CC68BF"/>
    <w:rsid w:val="00CC7C45"/>
    <w:rsid w:val="00CD237D"/>
    <w:rsid w:val="00CD2DC8"/>
    <w:rsid w:val="00CD561D"/>
    <w:rsid w:val="00CE4053"/>
    <w:rsid w:val="00CE7BE0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717"/>
    <w:rsid w:val="00D13DF1"/>
    <w:rsid w:val="00D13EDA"/>
    <w:rsid w:val="00D2261D"/>
    <w:rsid w:val="00D23CB0"/>
    <w:rsid w:val="00D24515"/>
    <w:rsid w:val="00D30E94"/>
    <w:rsid w:val="00D324DA"/>
    <w:rsid w:val="00D32A14"/>
    <w:rsid w:val="00D32B43"/>
    <w:rsid w:val="00D357A4"/>
    <w:rsid w:val="00D36238"/>
    <w:rsid w:val="00D4029D"/>
    <w:rsid w:val="00D451A5"/>
    <w:rsid w:val="00D455FA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77FEE"/>
    <w:rsid w:val="00D8118D"/>
    <w:rsid w:val="00D814EE"/>
    <w:rsid w:val="00D85155"/>
    <w:rsid w:val="00D91CBD"/>
    <w:rsid w:val="00D92B66"/>
    <w:rsid w:val="00D93CC1"/>
    <w:rsid w:val="00D93EB9"/>
    <w:rsid w:val="00D942A3"/>
    <w:rsid w:val="00D97E49"/>
    <w:rsid w:val="00D97FFD"/>
    <w:rsid w:val="00DA2818"/>
    <w:rsid w:val="00DA4875"/>
    <w:rsid w:val="00DA4917"/>
    <w:rsid w:val="00DA792F"/>
    <w:rsid w:val="00DB35F8"/>
    <w:rsid w:val="00DB3E0D"/>
    <w:rsid w:val="00DB4116"/>
    <w:rsid w:val="00DB67E5"/>
    <w:rsid w:val="00DB6FEF"/>
    <w:rsid w:val="00DC13F9"/>
    <w:rsid w:val="00DC1D72"/>
    <w:rsid w:val="00DC2125"/>
    <w:rsid w:val="00DC545A"/>
    <w:rsid w:val="00DC585F"/>
    <w:rsid w:val="00DC78DB"/>
    <w:rsid w:val="00DD2FAB"/>
    <w:rsid w:val="00DD4F3E"/>
    <w:rsid w:val="00DD50D0"/>
    <w:rsid w:val="00DE3AB8"/>
    <w:rsid w:val="00DE6B0C"/>
    <w:rsid w:val="00DF096E"/>
    <w:rsid w:val="00DF19F6"/>
    <w:rsid w:val="00DF431A"/>
    <w:rsid w:val="00DF5AF1"/>
    <w:rsid w:val="00DF6D21"/>
    <w:rsid w:val="00DF7DAD"/>
    <w:rsid w:val="00E00B05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55B4"/>
    <w:rsid w:val="00E46FA7"/>
    <w:rsid w:val="00E479DF"/>
    <w:rsid w:val="00E528C6"/>
    <w:rsid w:val="00E54596"/>
    <w:rsid w:val="00E56000"/>
    <w:rsid w:val="00E56378"/>
    <w:rsid w:val="00E57D71"/>
    <w:rsid w:val="00E641C3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493F"/>
    <w:rsid w:val="00E76297"/>
    <w:rsid w:val="00E77101"/>
    <w:rsid w:val="00E8046A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51C3"/>
    <w:rsid w:val="00EC5679"/>
    <w:rsid w:val="00ED2264"/>
    <w:rsid w:val="00ED412E"/>
    <w:rsid w:val="00ED41A8"/>
    <w:rsid w:val="00ED452D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F00241"/>
    <w:rsid w:val="00F01AED"/>
    <w:rsid w:val="00F02102"/>
    <w:rsid w:val="00F04ABD"/>
    <w:rsid w:val="00F050B4"/>
    <w:rsid w:val="00F05332"/>
    <w:rsid w:val="00F109A7"/>
    <w:rsid w:val="00F1261B"/>
    <w:rsid w:val="00F1303C"/>
    <w:rsid w:val="00F15DA7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42EE7"/>
    <w:rsid w:val="00F53132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70BAD"/>
    <w:rsid w:val="00F71668"/>
    <w:rsid w:val="00F72672"/>
    <w:rsid w:val="00F73140"/>
    <w:rsid w:val="00F7568A"/>
    <w:rsid w:val="00F81073"/>
    <w:rsid w:val="00F83EEA"/>
    <w:rsid w:val="00F8461A"/>
    <w:rsid w:val="00F87FA4"/>
    <w:rsid w:val="00F90063"/>
    <w:rsid w:val="00F90132"/>
    <w:rsid w:val="00F91222"/>
    <w:rsid w:val="00F9267B"/>
    <w:rsid w:val="00F94AE5"/>
    <w:rsid w:val="00F96F50"/>
    <w:rsid w:val="00F970A7"/>
    <w:rsid w:val="00F9738D"/>
    <w:rsid w:val="00FA2228"/>
    <w:rsid w:val="00FA2A03"/>
    <w:rsid w:val="00FA59C6"/>
    <w:rsid w:val="00FA5A3F"/>
    <w:rsid w:val="00FB15EB"/>
    <w:rsid w:val="00FB4A1C"/>
    <w:rsid w:val="00FB60CC"/>
    <w:rsid w:val="00FB60FB"/>
    <w:rsid w:val="00FC23C7"/>
    <w:rsid w:val="00FC3B9D"/>
    <w:rsid w:val="00FC52C1"/>
    <w:rsid w:val="00FC5A6D"/>
    <w:rsid w:val="00FC5B2A"/>
    <w:rsid w:val="00FC6780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797F"/>
    <w:rsid w:val="00FF052C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DEEF6"/>
  <w15:docId w15:val="{E3AE4EE3-065C-4724-9CD0-9F58D25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 Light" w:hAnsi="Calibri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lang w:val="cs-CZ" w:eastAsia="zh-CN" w:bidi="hi-IN"/>
    </w:rPr>
  </w:style>
  <w:style w:type="character" w:styleId="Hypertextovodkaz">
    <w:name w:val="Hyperlink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rPr>
      <w:rFonts w:ascii="Arial" w:eastAsia="Times New Roman" w:hAnsi="Arial"/>
      <w:sz w:val="18"/>
      <w:lang w:val="cs-CZ" w:eastAsia="cs-CZ"/>
    </w:rPr>
  </w:style>
  <w:style w:type="character" w:styleId="Siln">
    <w:name w:val="Strong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0444EA"/>
    <w:rPr>
      <w:color w:val="954F72"/>
      <w:u w:val="single"/>
    </w:rPr>
  </w:style>
  <w:style w:type="character" w:customStyle="1" w:styleId="Nevyeenzmnka2">
    <w:name w:val="Nevyřešená zmínka2"/>
    <w:uiPriority w:val="99"/>
    <w:semiHidden/>
    <w:unhideWhenUsed/>
    <w:rsid w:val="005A0ACF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link w:val="Nadpis5"/>
    <w:uiPriority w:val="9"/>
    <w:semiHidden/>
    <w:rsid w:val="00026207"/>
    <w:rPr>
      <w:rFonts w:ascii="Calibri Light" w:eastAsia="Times New Roman" w:hAnsi="Calibri Light" w:cs="Times New Roman"/>
      <w:color w:val="2E74B5"/>
      <w:sz w:val="18"/>
      <w:szCs w:val="20"/>
      <w:lang w:eastAsia="cs-CZ"/>
    </w:rPr>
  </w:style>
  <w:style w:type="character" w:styleId="Zdraznn">
    <w:name w:val="Emphasis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="Calibri Light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user\AppData\Local\Microsoft\Windows\INetCache\Content.Outlook\www.cbaonline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5D54-C372-408C-8D75-FAFFE6D19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E2CDC-014F-4AA4-BDCF-F906B55C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888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Links>
    <vt:vector size="6" baseType="variant"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../www.cbaonline.cz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Radana Možná</cp:lastModifiedBy>
  <cp:revision>3</cp:revision>
  <cp:lastPrinted>2020-09-16T06:48:00Z</cp:lastPrinted>
  <dcterms:created xsi:type="dcterms:W3CDTF">2022-05-02T10:05:00Z</dcterms:created>
  <dcterms:modified xsi:type="dcterms:W3CDTF">2022-05-02T10:07:00Z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SharedWithUsers">
    <vt:lpwstr>58;#Bouc František;#54;#Jeřábek Jakub;#59;#Čech Pavel;#13;#Púll Matúš</vt:lpwstr>
  </property>
</Properties>
</file>