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4AE87" w14:textId="77777777" w:rsidR="00B93D90" w:rsidRDefault="00B93D90" w:rsidP="00B93D90">
      <w:pPr>
        <w:outlineLvl w:val="0"/>
        <w:rPr>
          <w:lang w:eastAsia="cs-CZ"/>
        </w:rPr>
      </w:pPr>
    </w:p>
    <w:p w14:paraId="6807C739" w14:textId="33086748" w:rsidR="00B93D90" w:rsidRPr="00B93D90" w:rsidRDefault="00B93D90" w:rsidP="00B93D90">
      <w:pPr>
        <w:outlineLvl w:val="0"/>
        <w:rPr>
          <w:b/>
          <w:bCs/>
          <w:lang w:eastAsia="cs-CZ"/>
        </w:rPr>
      </w:pPr>
      <w:r w:rsidRPr="00B93D90">
        <w:rPr>
          <w:b/>
          <w:bCs/>
          <w:lang w:eastAsia="cs-CZ"/>
        </w:rPr>
        <w:t>Důvěra v dubnu dále poklesla u domácností, ve firmách vzrostla, přetrvává očekávání růstu cen</w:t>
      </w:r>
    </w:p>
    <w:p w14:paraId="21077A58" w14:textId="77777777" w:rsidR="00B93D90" w:rsidRDefault="00B93D90" w:rsidP="00B93D90">
      <w:pPr>
        <w:pStyle w:val="INGBodyText"/>
        <w:spacing w:after="200"/>
        <w:rPr>
          <w:rFonts w:ascii="Calibri Light" w:hAnsi="Calibri Light" w:cs="Calibri Light"/>
          <w:i/>
          <w:iCs/>
          <w:color w:val="auto"/>
        </w:rPr>
      </w:pPr>
    </w:p>
    <w:p w14:paraId="6B9C5240" w14:textId="5F614D67" w:rsidR="00B93D90" w:rsidRDefault="00B93D90" w:rsidP="00B93D90">
      <w:pPr>
        <w:pStyle w:val="INGBodyText"/>
        <w:spacing w:after="200"/>
        <w:rPr>
          <w:rFonts w:ascii="Calibri Light" w:hAnsi="Calibri Light" w:cs="Calibri Light"/>
          <w:i/>
          <w:iCs/>
          <w:color w:val="auto"/>
        </w:rPr>
      </w:pPr>
      <w:r>
        <w:rPr>
          <w:rFonts w:ascii="Calibri Light" w:hAnsi="Calibri Light" w:cs="Calibri Light"/>
          <w:i/>
          <w:iCs/>
          <w:color w:val="auto"/>
        </w:rPr>
        <w:t>S</w:t>
      </w:r>
      <w:r>
        <w:rPr>
          <w:rFonts w:ascii="Calibri Light" w:hAnsi="Calibri Light" w:cs="Calibri Light"/>
          <w:i/>
          <w:iCs/>
          <w:color w:val="auto"/>
        </w:rPr>
        <w:t>tatistický úřad dnes zveřejnil indikátory důvěry za duben, které u spotřebitelů naznačily další zhoršení ekonomické důvěry oproti již velmi slabému březnu. V případě firemního sektoru důvěra překvapivě vzrostla, a to v průmyslu a ve službách. Vyšší důvěra v průmyslu je však tažena výhradně lepším očekáváním v horizontu 3 měsíců, ve službách se pak patrně projevilo další odeznívání pandemických restrikcí. Zatímco důvěra spotřebitelů je na nejnižší úrovni od konce roku 2012, důvěra firem naopak vzrostla na nejvyšší úroveň od poloviny loňského roku (graf 1). Dnešní indikátory sice vyznívají pro firemní sektor nepatrně optimističtěji, růst důvěry je však zejména tažen budoucím optimistickým očekáváním firem v průmyslu, že se výroba v příštích měších citelně zlepší, což je v současné nejistotě obtížné předjímat.</w:t>
      </w:r>
    </w:p>
    <w:p w14:paraId="670C56F6" w14:textId="77777777" w:rsidR="00B93D90" w:rsidRDefault="00B93D90" w:rsidP="00B93D90">
      <w:pPr>
        <w:pStyle w:val="INGBodyText"/>
        <w:spacing w:after="60"/>
        <w:rPr>
          <w:rFonts w:ascii="Calibri Light" w:hAnsi="Calibri Light" w:cs="Calibri Light"/>
          <w:color w:val="auto"/>
        </w:rPr>
      </w:pPr>
      <w:r>
        <w:rPr>
          <w:rFonts w:ascii="Calibri Light" w:hAnsi="Calibri Light" w:cs="Calibri Light"/>
          <w:b/>
          <w:bCs/>
          <w:color w:val="auto"/>
        </w:rPr>
        <w:t xml:space="preserve">Důvěra domácností v dubnu dále propadla a je nejnižší od konce roku 2012. </w:t>
      </w:r>
      <w:r>
        <w:rPr>
          <w:rFonts w:ascii="Calibri Light" w:hAnsi="Calibri Light" w:cs="Calibri Light"/>
          <w:color w:val="auto"/>
        </w:rPr>
        <w:t>Oproti březnu</w:t>
      </w:r>
      <w:r>
        <w:rPr>
          <w:rFonts w:ascii="Calibri Light" w:hAnsi="Calibri Light" w:cs="Calibri Light"/>
          <w:b/>
          <w:bCs/>
          <w:color w:val="auto"/>
        </w:rPr>
        <w:t xml:space="preserve"> </w:t>
      </w:r>
      <w:r>
        <w:rPr>
          <w:rFonts w:ascii="Calibri Light" w:hAnsi="Calibri Light" w:cs="Calibri Light"/>
          <w:color w:val="auto"/>
        </w:rPr>
        <w:t xml:space="preserve">se dále mírně zvýšil podíl domácností, které očekávají zhoršení ekonomické situace i zhoršení své vlastní finanční situace. Větší část domácností také považuje svou současnou finanční situaci za horší, než byla před rokem. Obavy z růstu nezaměstnanosti se však v dubnu snížily a tento indikátor je nejnižší od konce roku 2019. </w:t>
      </w:r>
      <w:r>
        <w:rPr>
          <w:rFonts w:ascii="Calibri Light" w:hAnsi="Calibri Light" w:cs="Calibri Light"/>
          <w:b/>
          <w:bCs/>
          <w:color w:val="auto"/>
        </w:rPr>
        <w:t>Obavy</w:t>
      </w:r>
      <w:r>
        <w:rPr>
          <w:rFonts w:ascii="Calibri Light" w:hAnsi="Calibri Light" w:cs="Calibri Light"/>
          <w:color w:val="auto"/>
        </w:rPr>
        <w:t xml:space="preserve"> </w:t>
      </w:r>
      <w:r>
        <w:rPr>
          <w:rFonts w:ascii="Calibri Light" w:hAnsi="Calibri Light" w:cs="Calibri Light"/>
          <w:b/>
          <w:bCs/>
          <w:color w:val="auto"/>
        </w:rPr>
        <w:t>domácností z růstu cen zůstávají na své nejvyšší historické úrovni z března.</w:t>
      </w:r>
    </w:p>
    <w:p w14:paraId="5F7102FE" w14:textId="77777777" w:rsidR="00B93D90" w:rsidRDefault="00B93D90" w:rsidP="00B93D90">
      <w:pPr>
        <w:pStyle w:val="INGBodyText"/>
        <w:spacing w:after="60"/>
        <w:rPr>
          <w:rFonts w:ascii="Calibri Light" w:hAnsi="Calibri Light" w:cs="Calibri Light"/>
          <w:color w:val="auto"/>
        </w:rPr>
      </w:pPr>
      <w:r>
        <w:rPr>
          <w:rFonts w:ascii="Calibri Light" w:hAnsi="Calibri Light" w:cs="Calibri Light"/>
          <w:b/>
          <w:bCs/>
          <w:color w:val="auto"/>
        </w:rPr>
        <w:t>Důvěra mezi podnikateli v březnu vzrostla, a to v průmyslu a službách, zatímco v maloobchodu a stavebnictví mírně poklesla.</w:t>
      </w:r>
      <w:r>
        <w:rPr>
          <w:rFonts w:ascii="Calibri Light" w:hAnsi="Calibri Light" w:cs="Calibri Light"/>
          <w:color w:val="auto"/>
        </w:rPr>
        <w:t xml:space="preserve"> Ve službách se patrně projevilo další odeznívání pandemických restrikcí, protože respondenti hodnotí současnou situaci lépe. Naopak v průmyslu byl růst důvěry tažen zejména očekáváním, že se situace zlepší v příštích měsících. Samotné firmy však připouští, že současné období je extrémně nejisté. </w:t>
      </w:r>
      <w:r>
        <w:rPr>
          <w:rFonts w:ascii="Calibri Light" w:hAnsi="Calibri Light" w:cs="Calibri Light"/>
          <w:b/>
          <w:bCs/>
          <w:color w:val="auto"/>
        </w:rPr>
        <w:t>Očekávané zlepšení v průmyslu se tak nemusí naplnit a je potřeba brát lepší dubnová čísla mírně s rezervou</w:t>
      </w:r>
      <w:r>
        <w:rPr>
          <w:rFonts w:ascii="Calibri Light" w:hAnsi="Calibri Light" w:cs="Calibri Light"/>
          <w:color w:val="auto"/>
        </w:rPr>
        <w:t>.</w:t>
      </w:r>
    </w:p>
    <w:p w14:paraId="0D8CAC22" w14:textId="77777777" w:rsidR="00B93D90" w:rsidRDefault="00B93D90" w:rsidP="00B93D90">
      <w:pPr>
        <w:pStyle w:val="INGBodyText"/>
        <w:spacing w:after="60"/>
        <w:rPr>
          <w:rFonts w:ascii="Calibri Light" w:hAnsi="Calibri Light" w:cs="Calibri Light"/>
          <w:color w:val="auto"/>
        </w:rPr>
      </w:pPr>
      <w:r>
        <w:rPr>
          <w:rFonts w:ascii="Calibri Light" w:hAnsi="Calibri Light" w:cs="Calibri Light"/>
          <w:b/>
          <w:bCs/>
          <w:color w:val="auto"/>
        </w:rPr>
        <w:t>V případě bariér dalšího růstu se v průmyslu zvýšil nedostatek materiálů na nové historické maximum (38 %), viz graf 2,</w:t>
      </w:r>
      <w:r>
        <w:rPr>
          <w:rFonts w:ascii="Calibri Light" w:hAnsi="Calibri Light" w:cs="Calibri Light"/>
          <w:color w:val="auto"/>
        </w:rPr>
        <w:t xml:space="preserve"> naopak se mírně snížil nedostatek pracovní síly a také nedostatek poptávky. Nedostatek vhodné pracovní síly se snížil i ve službách, naopak ve stavebnictví se nepatrně zvýšil. </w:t>
      </w:r>
    </w:p>
    <w:p w14:paraId="68B4505E" w14:textId="646F00E8" w:rsidR="00B93D90" w:rsidRDefault="00B93D90" w:rsidP="00B93D90">
      <w:pPr>
        <w:pStyle w:val="INGBodyText"/>
        <w:spacing w:after="60"/>
        <w:rPr>
          <w:rFonts w:ascii="Calibri Light" w:hAnsi="Calibri Light" w:cs="Calibri Light"/>
          <w:color w:val="auto"/>
        </w:rPr>
      </w:pPr>
      <w:r>
        <w:rPr>
          <w:rFonts w:ascii="Calibri Light" w:hAnsi="Calibri Light" w:cs="Calibri Light"/>
          <w:b/>
          <w:bCs/>
          <w:color w:val="auto"/>
        </w:rPr>
        <w:t xml:space="preserve">Co z toho plyne: </w:t>
      </w:r>
      <w:r>
        <w:rPr>
          <w:rFonts w:ascii="Calibri Light" w:hAnsi="Calibri Light" w:cs="Calibri Light"/>
          <w:color w:val="auto"/>
        </w:rPr>
        <w:t xml:space="preserve">Ruská agrese na Ukrajině citelně dolehla na důvěru domácností, která se v březnu skokově propadla na nejnižší úroveň od krize z let 2012/13 a v dubnu obavy dále přetrvávaly. Na firmy doléhá válčený konflikt postupně, ačkoli stále relativně mírný dopad je překvapující. Patrně se v číslech mísí některé další faktory, například odeznívání pandemických restrikcí, které zlepšují důvěru ve službách. </w:t>
      </w:r>
      <w:r>
        <w:rPr>
          <w:rFonts w:ascii="Calibri Light" w:hAnsi="Calibri Light" w:cs="Calibri Light"/>
          <w:b/>
          <w:bCs/>
          <w:color w:val="auto"/>
        </w:rPr>
        <w:t>Jeden sjednocující prvek v dubnových číslech za firmy však nastal, a to další růst očekávaných prodejních cen v příštích třech měsících</w:t>
      </w:r>
      <w:r>
        <w:rPr>
          <w:rFonts w:ascii="Calibri Light" w:hAnsi="Calibri Light" w:cs="Calibri Light"/>
          <w:color w:val="auto"/>
        </w:rPr>
        <w:t xml:space="preserve"> (graf 3). </w:t>
      </w:r>
      <w:r>
        <w:rPr>
          <w:rFonts w:ascii="Calibri Light" w:hAnsi="Calibri Light" w:cs="Calibri Light"/>
          <w:b/>
          <w:bCs/>
          <w:color w:val="auto"/>
        </w:rPr>
        <w:t>Obzvláště silný růst byl pak ve stavebnictví a službách,</w:t>
      </w:r>
      <w:r>
        <w:rPr>
          <w:rFonts w:ascii="Calibri Light" w:hAnsi="Calibri Light" w:cs="Calibri Light"/>
          <w:color w:val="auto"/>
        </w:rPr>
        <w:t xml:space="preserve"> v maloobchodu nastal nepatrný pokles po silném růstu v březnu. Indikátory tak signalizují další proinflační tlaky.</w:t>
      </w:r>
    </w:p>
    <w:p w14:paraId="1182B6A0" w14:textId="5EA4D2A4" w:rsidR="00B93D90" w:rsidRDefault="00B93D90" w:rsidP="00B93D90">
      <w:pPr>
        <w:pStyle w:val="INGBodyText"/>
        <w:spacing w:after="60"/>
        <w:rPr>
          <w:rFonts w:ascii="Calibri Light" w:hAnsi="Calibri Light" w:cs="Calibri Light"/>
          <w:color w:val="auto"/>
        </w:rPr>
      </w:pPr>
    </w:p>
    <w:p w14:paraId="7431D875" w14:textId="2B8A86E0" w:rsidR="00B93D90" w:rsidRDefault="00B93D90" w:rsidP="00B93D90">
      <w:pPr>
        <w:pStyle w:val="INGBodyText"/>
        <w:spacing w:after="60"/>
        <w:rPr>
          <w:rFonts w:ascii="Calibri Light" w:hAnsi="Calibri Light" w:cs="Calibri Light"/>
          <w:color w:val="auto"/>
        </w:rPr>
      </w:pPr>
    </w:p>
    <w:p w14:paraId="7C651278" w14:textId="4C82704B" w:rsidR="00B93D90" w:rsidRDefault="00B93D90" w:rsidP="00B93D90">
      <w:pPr>
        <w:pStyle w:val="INGBodyText"/>
        <w:spacing w:after="60"/>
        <w:rPr>
          <w:rFonts w:ascii="Calibri Light" w:hAnsi="Calibri Light" w:cs="Calibri Light"/>
          <w:color w:val="auto"/>
        </w:rPr>
      </w:pPr>
    </w:p>
    <w:p w14:paraId="431AB9E6" w14:textId="735A7F6C" w:rsidR="00B93D90" w:rsidRDefault="00B93D90" w:rsidP="00B93D90">
      <w:pPr>
        <w:pStyle w:val="INGBodyText"/>
        <w:spacing w:after="60"/>
        <w:rPr>
          <w:rFonts w:ascii="Calibri Light" w:hAnsi="Calibri Light" w:cs="Calibri Light"/>
          <w:color w:val="auto"/>
        </w:rPr>
      </w:pPr>
    </w:p>
    <w:p w14:paraId="71D74E63" w14:textId="6BE72B6A" w:rsidR="00B93D90" w:rsidRDefault="00B93D90" w:rsidP="00B93D90">
      <w:pPr>
        <w:pStyle w:val="INGBodyText"/>
        <w:spacing w:after="60"/>
        <w:rPr>
          <w:rFonts w:ascii="Calibri Light" w:hAnsi="Calibri Light" w:cs="Calibri Light"/>
          <w:color w:val="auto"/>
        </w:rPr>
      </w:pPr>
    </w:p>
    <w:p w14:paraId="1E7980AA" w14:textId="3649B6AD" w:rsidR="00B93D90" w:rsidRDefault="00B93D90" w:rsidP="00B93D90">
      <w:pPr>
        <w:pStyle w:val="INGBodyText"/>
        <w:spacing w:after="60"/>
        <w:rPr>
          <w:rFonts w:ascii="Calibri Light" w:hAnsi="Calibri Light" w:cs="Calibri Light"/>
          <w:color w:val="auto"/>
        </w:rPr>
      </w:pPr>
    </w:p>
    <w:p w14:paraId="44F1D82C" w14:textId="0CFEFB36" w:rsidR="00B93D90" w:rsidRDefault="00B93D90" w:rsidP="00B93D90">
      <w:pPr>
        <w:pStyle w:val="INGBodyText"/>
        <w:spacing w:after="60"/>
        <w:rPr>
          <w:rFonts w:ascii="Calibri Light" w:hAnsi="Calibri Light" w:cs="Calibri Light"/>
          <w:color w:val="auto"/>
        </w:rPr>
      </w:pPr>
    </w:p>
    <w:p w14:paraId="2CF7F752" w14:textId="3FD7E12D" w:rsidR="00B93D90" w:rsidRDefault="00B93D90" w:rsidP="00B93D90">
      <w:pPr>
        <w:pStyle w:val="INGBodyText"/>
        <w:spacing w:after="60"/>
        <w:rPr>
          <w:rFonts w:ascii="Calibri Light" w:hAnsi="Calibri Light" w:cs="Calibri Light"/>
          <w:color w:val="auto"/>
        </w:rPr>
      </w:pPr>
    </w:p>
    <w:p w14:paraId="57E653C3" w14:textId="3A284691" w:rsidR="00B93D90" w:rsidRDefault="00B93D90" w:rsidP="00B93D90">
      <w:pPr>
        <w:pStyle w:val="INGBodyText"/>
        <w:spacing w:after="60"/>
        <w:rPr>
          <w:rFonts w:ascii="Calibri Light" w:hAnsi="Calibri Light" w:cs="Calibri Light"/>
          <w:color w:val="auto"/>
        </w:rPr>
      </w:pPr>
    </w:p>
    <w:p w14:paraId="362803A4" w14:textId="382071B0" w:rsidR="00B93D90" w:rsidRDefault="00B93D90" w:rsidP="00B93D90">
      <w:pPr>
        <w:pStyle w:val="INGBodyText"/>
        <w:spacing w:after="60"/>
        <w:rPr>
          <w:rFonts w:ascii="Calibri Light" w:hAnsi="Calibri Light" w:cs="Calibri Light"/>
          <w:color w:val="auto"/>
        </w:rPr>
      </w:pPr>
    </w:p>
    <w:p w14:paraId="4FB62EE0" w14:textId="1B311B39" w:rsidR="00B93D90" w:rsidRDefault="00B93D90" w:rsidP="00B93D90">
      <w:pPr>
        <w:pStyle w:val="INGBodyText"/>
        <w:spacing w:after="60"/>
        <w:rPr>
          <w:rFonts w:ascii="Calibri Light" w:hAnsi="Calibri Light" w:cs="Calibri Light"/>
          <w:color w:val="auto"/>
        </w:rPr>
      </w:pPr>
    </w:p>
    <w:p w14:paraId="45EE1700" w14:textId="59F524CE" w:rsidR="00B93D90" w:rsidRDefault="00B93D90" w:rsidP="00B93D90">
      <w:pPr>
        <w:pStyle w:val="INGBodyText"/>
        <w:spacing w:after="60"/>
        <w:rPr>
          <w:rFonts w:ascii="Calibri Light" w:hAnsi="Calibri Light" w:cs="Calibri Light"/>
          <w:color w:val="auto"/>
        </w:rPr>
      </w:pPr>
    </w:p>
    <w:p w14:paraId="2C91C974" w14:textId="77777777" w:rsidR="00B93D90" w:rsidRDefault="00B93D90" w:rsidP="00B93D90">
      <w:pPr>
        <w:pStyle w:val="INGBodyText"/>
        <w:spacing w:after="60"/>
        <w:rPr>
          <w:rFonts w:ascii="Calibri Light" w:hAnsi="Calibri Light" w:cs="Calibri Light"/>
          <w:color w:val="auto"/>
        </w:rPr>
      </w:pPr>
    </w:p>
    <w:p w14:paraId="740D66FB" w14:textId="60CA5A8E" w:rsidR="00504F7D" w:rsidRDefault="00B93D90">
      <w:pPr>
        <w:rPr>
          <w:noProof/>
        </w:rPr>
      </w:pPr>
      <w:r>
        <w:rPr>
          <w:noProof/>
        </w:rPr>
        <w:drawing>
          <wp:inline distT="0" distB="0" distL="0" distR="0" wp14:anchorId="642E6BBE" wp14:editId="63E845CB">
            <wp:extent cx="5495925" cy="6315075"/>
            <wp:effectExtent l="0" t="0" r="9525"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95925" cy="6315075"/>
                    </a:xfrm>
                    <a:prstGeom prst="rect">
                      <a:avLst/>
                    </a:prstGeom>
                    <a:noFill/>
                    <a:ln>
                      <a:noFill/>
                    </a:ln>
                  </pic:spPr>
                </pic:pic>
              </a:graphicData>
            </a:graphic>
          </wp:inline>
        </w:drawing>
      </w:r>
    </w:p>
    <w:p w14:paraId="4E00E34F" w14:textId="6FEA4014" w:rsidR="00B93D90" w:rsidRDefault="00B93D90" w:rsidP="00B93D90">
      <w:pPr>
        <w:rPr>
          <w:noProof/>
        </w:rPr>
      </w:pPr>
    </w:p>
    <w:p w14:paraId="08A93069" w14:textId="5DB2EA69" w:rsidR="00B93D90" w:rsidRDefault="00B93D90" w:rsidP="00B93D90">
      <w:pPr>
        <w:rPr>
          <w:noProof/>
        </w:rPr>
      </w:pPr>
    </w:p>
    <w:p w14:paraId="33D795D0" w14:textId="709B13F7" w:rsidR="00B93D90" w:rsidRDefault="00B93D90" w:rsidP="00B93D90">
      <w:pPr>
        <w:rPr>
          <w:noProof/>
        </w:rPr>
      </w:pPr>
    </w:p>
    <w:p w14:paraId="0859EEE8" w14:textId="7D2EFDA3" w:rsidR="00B93D90" w:rsidRDefault="00B93D90" w:rsidP="00B93D90">
      <w:pPr>
        <w:rPr>
          <w:noProof/>
        </w:rPr>
      </w:pPr>
    </w:p>
    <w:p w14:paraId="0EC561BC" w14:textId="4543252A" w:rsidR="00B93D90" w:rsidRDefault="00B93D90" w:rsidP="00B93D90">
      <w:pPr>
        <w:rPr>
          <w:noProof/>
        </w:rPr>
      </w:pPr>
    </w:p>
    <w:p w14:paraId="3BF59B1E" w14:textId="584CA616" w:rsidR="00B93D90" w:rsidRDefault="00B93D90" w:rsidP="00B93D90">
      <w:pPr>
        <w:rPr>
          <w:noProof/>
        </w:rPr>
      </w:pPr>
    </w:p>
    <w:p w14:paraId="0F8C922E" w14:textId="1ED0AFAD" w:rsidR="00B93D90" w:rsidRDefault="00B93D90" w:rsidP="00B93D90">
      <w:pPr>
        <w:rPr>
          <w:noProof/>
        </w:rPr>
      </w:pPr>
    </w:p>
    <w:p w14:paraId="46F045D5" w14:textId="0AB3C8E2" w:rsidR="00B93D90" w:rsidRDefault="00B93D90" w:rsidP="00B93D90">
      <w:pPr>
        <w:rPr>
          <w:noProof/>
        </w:rPr>
      </w:pPr>
    </w:p>
    <w:p w14:paraId="2E2E4B09" w14:textId="77777777" w:rsidR="00B93D90" w:rsidRDefault="00B93D90" w:rsidP="00B93D90">
      <w:pPr>
        <w:rPr>
          <w:noProof/>
        </w:rPr>
      </w:pPr>
    </w:p>
    <w:p w14:paraId="6234B746" w14:textId="1FCF6587" w:rsidR="00B93D90" w:rsidRDefault="00B93D90" w:rsidP="00B93D90">
      <w:r>
        <w:rPr>
          <w:noProof/>
        </w:rPr>
        <w:drawing>
          <wp:inline distT="0" distB="0" distL="0" distR="0" wp14:anchorId="1FCAE79C" wp14:editId="204F12CE">
            <wp:extent cx="3057525" cy="2409825"/>
            <wp:effectExtent l="0" t="0" r="9525"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57525" cy="2409825"/>
                    </a:xfrm>
                    <a:prstGeom prst="rect">
                      <a:avLst/>
                    </a:prstGeom>
                    <a:noFill/>
                    <a:ln>
                      <a:noFill/>
                    </a:ln>
                  </pic:spPr>
                </pic:pic>
              </a:graphicData>
            </a:graphic>
          </wp:inline>
        </w:drawing>
      </w:r>
    </w:p>
    <w:p w14:paraId="7276ADC1" w14:textId="4101764E" w:rsidR="00B93D90" w:rsidRDefault="00B93D90" w:rsidP="00B93D90"/>
    <w:p w14:paraId="70246699" w14:textId="77777777" w:rsidR="00B93D90" w:rsidRDefault="00B93D90" w:rsidP="00B93D90"/>
    <w:p w14:paraId="3E3A9487" w14:textId="4C08E607" w:rsidR="00B93D90" w:rsidRPr="00B93D90" w:rsidRDefault="00B93D90" w:rsidP="00B93D90">
      <w:r>
        <w:rPr>
          <w:noProof/>
        </w:rPr>
        <w:drawing>
          <wp:inline distT="0" distB="0" distL="0" distR="0" wp14:anchorId="751F54D1" wp14:editId="029FEB0C">
            <wp:extent cx="3667125" cy="2628900"/>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67125" cy="2628900"/>
                    </a:xfrm>
                    <a:prstGeom prst="rect">
                      <a:avLst/>
                    </a:prstGeom>
                    <a:noFill/>
                    <a:ln>
                      <a:noFill/>
                    </a:ln>
                  </pic:spPr>
                </pic:pic>
              </a:graphicData>
            </a:graphic>
          </wp:inline>
        </w:drawing>
      </w:r>
    </w:p>
    <w:sectPr w:rsidR="00B93D90" w:rsidRPr="00B93D9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F49AC" w14:textId="77777777" w:rsidR="000F1D53" w:rsidRDefault="000F1D53" w:rsidP="00B93D90">
      <w:pPr>
        <w:spacing w:after="0" w:line="240" w:lineRule="auto"/>
      </w:pPr>
      <w:r>
        <w:separator/>
      </w:r>
    </w:p>
  </w:endnote>
  <w:endnote w:type="continuationSeparator" w:id="0">
    <w:p w14:paraId="2D00FF63" w14:textId="77777777" w:rsidR="000F1D53" w:rsidRDefault="000F1D53" w:rsidP="00B93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FAF9F" w14:textId="77777777" w:rsidR="000F1D53" w:rsidRDefault="000F1D53" w:rsidP="00B93D90">
      <w:pPr>
        <w:spacing w:after="0" w:line="240" w:lineRule="auto"/>
      </w:pPr>
      <w:r>
        <w:separator/>
      </w:r>
    </w:p>
  </w:footnote>
  <w:footnote w:type="continuationSeparator" w:id="0">
    <w:p w14:paraId="0876D197" w14:textId="77777777" w:rsidR="000F1D53" w:rsidRDefault="000F1D53" w:rsidP="00B93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39E5" w14:textId="0A814D7F" w:rsidR="00B93D90" w:rsidRDefault="00B93D90">
    <w:pPr>
      <w:pStyle w:val="Zhlav"/>
    </w:pPr>
    <w:r>
      <w:rPr>
        <w:b/>
        <w:bCs/>
        <w:noProof/>
        <w:color w:val="13576B"/>
        <w:sz w:val="30"/>
        <w:szCs w:val="30"/>
      </w:rPr>
      <w:drawing>
        <wp:inline distT="0" distB="0" distL="0" distR="0" wp14:anchorId="328EBFF4" wp14:editId="02657D37">
          <wp:extent cx="1323975" cy="457200"/>
          <wp:effectExtent l="0" t="0" r="9525" b="0"/>
          <wp:docPr id="1" name="Obrázek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90"/>
    <w:rsid w:val="000F1D53"/>
    <w:rsid w:val="00504F7D"/>
    <w:rsid w:val="007B2DA6"/>
    <w:rsid w:val="007C0ADE"/>
    <w:rsid w:val="007E1FE0"/>
    <w:rsid w:val="00B93D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D7E2E"/>
  <w15:chartTrackingRefBased/>
  <w15:docId w15:val="{9CC71D93-770E-49C9-85AA-1A2542F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GBodyTextChar">
    <w:name w:val="ING Body Text Char"/>
    <w:basedOn w:val="Standardnpsmoodstavce"/>
    <w:link w:val="INGBodyText"/>
    <w:locked/>
    <w:rsid w:val="00B93D90"/>
    <w:rPr>
      <w:rFonts w:ascii="Arial" w:hAnsi="Arial" w:cs="Arial"/>
      <w:color w:val="000000"/>
    </w:rPr>
  </w:style>
  <w:style w:type="paragraph" w:customStyle="1" w:styleId="INGBodyText">
    <w:name w:val="ING Body Text"/>
    <w:basedOn w:val="Normln"/>
    <w:link w:val="INGBodyTextChar"/>
    <w:rsid w:val="00B93D90"/>
    <w:pPr>
      <w:spacing w:after="140" w:line="270" w:lineRule="exact"/>
      <w:jc w:val="both"/>
    </w:pPr>
    <w:rPr>
      <w:rFonts w:ascii="Arial" w:hAnsi="Arial" w:cs="Arial"/>
      <w:color w:val="000000"/>
    </w:rPr>
  </w:style>
  <w:style w:type="paragraph" w:styleId="Zhlav">
    <w:name w:val="header"/>
    <w:basedOn w:val="Normln"/>
    <w:link w:val="ZhlavChar"/>
    <w:uiPriority w:val="99"/>
    <w:unhideWhenUsed/>
    <w:rsid w:val="00B93D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3D90"/>
  </w:style>
  <w:style w:type="paragraph" w:styleId="Zpat">
    <w:name w:val="footer"/>
    <w:basedOn w:val="Normln"/>
    <w:link w:val="ZpatChar"/>
    <w:uiPriority w:val="99"/>
    <w:unhideWhenUsed/>
    <w:rsid w:val="00B93D90"/>
    <w:pPr>
      <w:tabs>
        <w:tab w:val="center" w:pos="4536"/>
        <w:tab w:val="right" w:pos="9072"/>
      </w:tabs>
      <w:spacing w:after="0" w:line="240" w:lineRule="auto"/>
    </w:pPr>
  </w:style>
  <w:style w:type="character" w:customStyle="1" w:styleId="ZpatChar">
    <w:name w:val="Zápatí Char"/>
    <w:basedOn w:val="Standardnpsmoodstavce"/>
    <w:link w:val="Zpat"/>
    <w:uiPriority w:val="99"/>
    <w:rsid w:val="00B93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0984">
      <w:bodyDiv w:val="1"/>
      <w:marLeft w:val="0"/>
      <w:marRight w:val="0"/>
      <w:marTop w:val="0"/>
      <w:marBottom w:val="0"/>
      <w:divBdr>
        <w:top w:val="none" w:sz="0" w:space="0" w:color="auto"/>
        <w:left w:val="none" w:sz="0" w:space="0" w:color="auto"/>
        <w:bottom w:val="none" w:sz="0" w:space="0" w:color="auto"/>
        <w:right w:val="none" w:sz="0" w:space="0" w:color="auto"/>
      </w:divBdr>
    </w:div>
    <w:div w:id="181548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11.png@01D85888.0313426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13.png@01D85888.03134260" TargetMode="Externa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cid:image012.png@01D85888.0313426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10.png@01D85888.03134260" TargetMode="External"/><Relationship Id="rId1"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435</Words>
  <Characters>2567</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Radana Možná</dc:creator>
  <cp:keywords/>
  <dc:description/>
  <cp:lastModifiedBy>Radana Možná</cp:lastModifiedBy>
  <cp:revision>1</cp:revision>
  <dcterms:created xsi:type="dcterms:W3CDTF">2022-04-29T07:18:00Z</dcterms:created>
  <dcterms:modified xsi:type="dcterms:W3CDTF">2022-04-29T07:23:00Z</dcterms:modified>
</cp:coreProperties>
</file>