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single" w:sz="36" w:space="0" w:color="13576B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563240" w:rsidRPr="00635D8B" w14:paraId="4BF395A8" w14:textId="77777777" w:rsidTr="00563240">
        <w:tc>
          <w:tcPr>
            <w:tcW w:w="10196" w:type="dxa"/>
            <w:tcBorders>
              <w:left w:val="single" w:sz="18" w:space="0" w:color="13576B"/>
            </w:tcBorders>
            <w:vAlign w:val="center"/>
          </w:tcPr>
          <w:p w14:paraId="11ECFEB1" w14:textId="739024B7" w:rsidR="008659E6" w:rsidRPr="00635D8B" w:rsidRDefault="002379BB" w:rsidP="00563240">
            <w:pPr>
              <w:spacing w:line="276" w:lineRule="auto"/>
              <w:jc w:val="left"/>
              <w:rPr>
                <w:rFonts w:cs="Arial"/>
                <w:b/>
                <w:bCs/>
                <w:color w:val="13576B"/>
                <w:sz w:val="28"/>
                <w:szCs w:val="28"/>
              </w:rPr>
            </w:pPr>
            <w:bookmarkStart w:id="0" w:name="_Hlk101771232"/>
            <w:r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Zájem o hypotéky neklesá, </w:t>
            </w:r>
            <w:r w:rsidR="00B22A62">
              <w:rPr>
                <w:rFonts w:cs="Arial"/>
                <w:b/>
                <w:bCs/>
                <w:color w:val="13576B"/>
                <w:sz w:val="28"/>
                <w:szCs w:val="28"/>
              </w:rPr>
              <w:t>plánuje ji 13 % Čechů</w:t>
            </w:r>
            <w:r w:rsidR="00E50314"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 </w:t>
            </w:r>
          </w:p>
        </w:tc>
      </w:tr>
    </w:tbl>
    <w:p w14:paraId="07AE047E" w14:textId="4E2D42A9" w:rsidR="00A555E0" w:rsidRPr="00635D8B" w:rsidRDefault="00A555E0" w:rsidP="00563240">
      <w:pPr>
        <w:spacing w:after="120" w:line="276" w:lineRule="auto"/>
        <w:rPr>
          <w:rFonts w:cs="Arial"/>
          <w:b/>
          <w:bCs/>
          <w:color w:val="13576B"/>
          <w:sz w:val="28"/>
          <w:szCs w:val="28"/>
        </w:rPr>
      </w:pPr>
    </w:p>
    <w:p w14:paraId="2E437F2F" w14:textId="3C8FF2B9" w:rsidR="00A555E0" w:rsidRDefault="00A555E0" w:rsidP="00A555E0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Praha</w:t>
      </w:r>
      <w:r w:rsidR="00E70298">
        <w:rPr>
          <w:rFonts w:cs="Arial"/>
          <w:b/>
          <w:bCs/>
          <w:color w:val="000000"/>
          <w:sz w:val="22"/>
          <w:szCs w:val="22"/>
        </w:rPr>
        <w:t xml:space="preserve">, </w:t>
      </w:r>
      <w:r>
        <w:rPr>
          <w:rFonts w:cs="Arial"/>
          <w:b/>
          <w:bCs/>
          <w:color w:val="000000"/>
          <w:sz w:val="22"/>
          <w:szCs w:val="22"/>
        </w:rPr>
        <w:t>25. 4. 2022</w:t>
      </w:r>
    </w:p>
    <w:p w14:paraId="2439E7F3" w14:textId="76F22686" w:rsidR="00A555E0" w:rsidRDefault="002379BB" w:rsidP="00976B2A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Zájem o hypoteční úvěry ani přes vyšší úrok</w:t>
      </w:r>
      <w:r w:rsidR="00EA4A83">
        <w:rPr>
          <w:rFonts w:cs="Arial"/>
          <w:b/>
          <w:bCs/>
          <w:color w:val="000000"/>
          <w:sz w:val="22"/>
          <w:szCs w:val="22"/>
        </w:rPr>
        <w:t>y</w:t>
      </w:r>
      <w:r>
        <w:rPr>
          <w:rFonts w:cs="Arial"/>
          <w:b/>
          <w:bCs/>
          <w:color w:val="000000"/>
          <w:sz w:val="22"/>
          <w:szCs w:val="22"/>
        </w:rPr>
        <w:t xml:space="preserve"> a rekordní ceny nemovitostí neklesá. </w:t>
      </w:r>
      <w:r w:rsidR="00C2123B">
        <w:rPr>
          <w:rFonts w:cs="Arial"/>
          <w:b/>
          <w:bCs/>
          <w:color w:val="000000"/>
          <w:sz w:val="22"/>
          <w:szCs w:val="22"/>
        </w:rPr>
        <w:t>O sjednání hypotéky uvažuje 13 %</w:t>
      </w:r>
      <w:r w:rsidR="00D3283A">
        <w:rPr>
          <w:rFonts w:cs="Arial"/>
          <w:b/>
          <w:bCs/>
          <w:color w:val="000000"/>
          <w:sz w:val="22"/>
          <w:szCs w:val="22"/>
        </w:rPr>
        <w:t xml:space="preserve"> populace. </w:t>
      </w:r>
      <w:r w:rsidR="005B6335">
        <w:rPr>
          <w:rFonts w:cs="Arial"/>
          <w:b/>
          <w:bCs/>
          <w:color w:val="000000"/>
          <w:sz w:val="22"/>
          <w:szCs w:val="22"/>
        </w:rPr>
        <w:t>Z toho 2 % lidí před pandemi</w:t>
      </w:r>
      <w:r w:rsidR="00B026BB">
        <w:rPr>
          <w:rFonts w:cs="Arial"/>
          <w:b/>
          <w:bCs/>
          <w:color w:val="000000"/>
          <w:sz w:val="22"/>
          <w:szCs w:val="22"/>
        </w:rPr>
        <w:t>í</w:t>
      </w:r>
      <w:r w:rsidR="005B6335">
        <w:rPr>
          <w:rFonts w:cs="Arial"/>
          <w:b/>
          <w:bCs/>
          <w:color w:val="000000"/>
          <w:sz w:val="22"/>
          <w:szCs w:val="22"/>
        </w:rPr>
        <w:t xml:space="preserve"> covidu-19 úvěr nezvažoval</w:t>
      </w:r>
      <w:r w:rsidR="00B97FEC">
        <w:rPr>
          <w:rFonts w:cs="Arial"/>
          <w:b/>
          <w:bCs/>
          <w:color w:val="000000"/>
          <w:sz w:val="22"/>
          <w:szCs w:val="22"/>
        </w:rPr>
        <w:t>a</w:t>
      </w:r>
      <w:r w:rsidR="005B6335">
        <w:rPr>
          <w:rFonts w:cs="Arial"/>
          <w:b/>
          <w:bCs/>
          <w:color w:val="000000"/>
          <w:sz w:val="22"/>
          <w:szCs w:val="22"/>
        </w:rPr>
        <w:t xml:space="preserve">, v souvislosti s jejími dopady a podmínkami na trhu s bydlením </w:t>
      </w:r>
      <w:r w:rsidR="009C50E5">
        <w:rPr>
          <w:rFonts w:cs="Arial"/>
          <w:b/>
          <w:bCs/>
          <w:color w:val="000000"/>
          <w:sz w:val="22"/>
          <w:szCs w:val="22"/>
        </w:rPr>
        <w:t>ho</w:t>
      </w:r>
      <w:r w:rsidR="005B6335">
        <w:rPr>
          <w:rFonts w:cs="Arial"/>
          <w:b/>
          <w:bCs/>
          <w:color w:val="000000"/>
          <w:sz w:val="22"/>
          <w:szCs w:val="22"/>
        </w:rPr>
        <w:t xml:space="preserve"> ale začal</w:t>
      </w:r>
      <w:r w:rsidR="00B97FEC">
        <w:rPr>
          <w:rFonts w:cs="Arial"/>
          <w:b/>
          <w:bCs/>
          <w:color w:val="000000"/>
          <w:sz w:val="22"/>
          <w:szCs w:val="22"/>
        </w:rPr>
        <w:t>a</w:t>
      </w:r>
      <w:r w:rsidR="005B6335">
        <w:rPr>
          <w:rFonts w:cs="Arial"/>
          <w:b/>
          <w:bCs/>
          <w:color w:val="000000"/>
          <w:sz w:val="22"/>
          <w:szCs w:val="22"/>
        </w:rPr>
        <w:t xml:space="preserve"> plánovat.</w:t>
      </w:r>
      <w:r w:rsidR="009F5287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6E167A">
        <w:rPr>
          <w:rFonts w:cs="Arial"/>
          <w:b/>
          <w:bCs/>
          <w:color w:val="000000"/>
          <w:sz w:val="22"/>
          <w:szCs w:val="22"/>
        </w:rPr>
        <w:t xml:space="preserve">Více respondentů oproti minulému roku zvažuje </w:t>
      </w:r>
      <w:r w:rsidR="002D658E">
        <w:rPr>
          <w:rFonts w:cs="Arial"/>
          <w:b/>
          <w:bCs/>
          <w:color w:val="000000"/>
          <w:sz w:val="22"/>
          <w:szCs w:val="22"/>
        </w:rPr>
        <w:t xml:space="preserve">hypotéku </w:t>
      </w:r>
      <w:r w:rsidR="00D26F79">
        <w:rPr>
          <w:rFonts w:cs="Arial"/>
          <w:b/>
          <w:bCs/>
          <w:color w:val="000000"/>
          <w:sz w:val="22"/>
          <w:szCs w:val="22"/>
        </w:rPr>
        <w:t xml:space="preserve">s delší splatností a zároveň </w:t>
      </w:r>
      <w:r w:rsidR="002D658E">
        <w:rPr>
          <w:rFonts w:cs="Arial"/>
          <w:b/>
          <w:bCs/>
          <w:color w:val="000000"/>
          <w:sz w:val="22"/>
          <w:szCs w:val="22"/>
        </w:rPr>
        <w:t>s kratší fixací</w:t>
      </w:r>
      <w:r w:rsidR="00D26F79">
        <w:rPr>
          <w:rFonts w:cs="Arial"/>
          <w:b/>
          <w:bCs/>
          <w:color w:val="000000"/>
          <w:sz w:val="22"/>
          <w:szCs w:val="22"/>
        </w:rPr>
        <w:t xml:space="preserve"> úrokové sazby</w:t>
      </w:r>
      <w:r w:rsidR="00811E22">
        <w:rPr>
          <w:rFonts w:cs="Arial"/>
          <w:b/>
          <w:bCs/>
          <w:color w:val="000000"/>
          <w:sz w:val="22"/>
          <w:szCs w:val="22"/>
        </w:rPr>
        <w:t>.</w:t>
      </w:r>
      <w:r w:rsidR="002D658E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811E22">
        <w:rPr>
          <w:rFonts w:cs="Arial"/>
          <w:b/>
          <w:bCs/>
          <w:color w:val="000000"/>
          <w:sz w:val="22"/>
          <w:szCs w:val="22"/>
        </w:rPr>
        <w:t>N</w:t>
      </w:r>
      <w:r w:rsidR="00EE4385">
        <w:rPr>
          <w:rFonts w:cs="Arial"/>
          <w:b/>
          <w:bCs/>
          <w:color w:val="000000"/>
          <w:sz w:val="22"/>
          <w:szCs w:val="22"/>
        </w:rPr>
        <w:t xml:space="preserve">ejoblíbenější </w:t>
      </w:r>
      <w:r w:rsidR="00811E22">
        <w:rPr>
          <w:rFonts w:cs="Arial"/>
          <w:b/>
          <w:bCs/>
          <w:color w:val="000000"/>
          <w:sz w:val="22"/>
          <w:szCs w:val="22"/>
        </w:rPr>
        <w:t xml:space="preserve">ale stále </w:t>
      </w:r>
      <w:r w:rsidR="00EE4385">
        <w:rPr>
          <w:rFonts w:cs="Arial"/>
          <w:b/>
          <w:bCs/>
          <w:color w:val="000000"/>
          <w:sz w:val="22"/>
          <w:szCs w:val="22"/>
        </w:rPr>
        <w:t>zůstává 5let</w:t>
      </w:r>
      <w:r w:rsidR="001E2202">
        <w:rPr>
          <w:rFonts w:cs="Arial"/>
          <w:b/>
          <w:bCs/>
          <w:color w:val="000000"/>
          <w:sz w:val="22"/>
          <w:szCs w:val="22"/>
        </w:rPr>
        <w:t>á</w:t>
      </w:r>
      <w:r w:rsidR="00EE4385">
        <w:rPr>
          <w:rFonts w:cs="Arial"/>
          <w:b/>
          <w:bCs/>
          <w:color w:val="000000"/>
          <w:sz w:val="22"/>
          <w:szCs w:val="22"/>
        </w:rPr>
        <w:t xml:space="preserve"> fixace</w:t>
      </w:r>
      <w:r w:rsidR="006E167A">
        <w:rPr>
          <w:rFonts w:cs="Arial"/>
          <w:b/>
          <w:bCs/>
          <w:color w:val="000000"/>
          <w:sz w:val="22"/>
          <w:szCs w:val="22"/>
        </w:rPr>
        <w:t>.</w:t>
      </w:r>
      <w:r w:rsidR="00E50314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5B6335">
        <w:rPr>
          <w:rFonts w:cs="Arial"/>
          <w:b/>
          <w:bCs/>
          <w:color w:val="000000"/>
          <w:sz w:val="22"/>
          <w:szCs w:val="22"/>
        </w:rPr>
        <w:t xml:space="preserve">Vyplývá to ze společného průzkumu České bankovní asociace a výzkumné agentury Ipsos. </w:t>
      </w:r>
    </w:p>
    <w:bookmarkEnd w:id="0"/>
    <w:p w14:paraId="42BCD4B9" w14:textId="77777777" w:rsidR="00355F3A" w:rsidRDefault="00355F3A" w:rsidP="00976B2A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</w:p>
    <w:p w14:paraId="1DC7BEF3" w14:textId="7BDD6CD3" w:rsidR="007512C3" w:rsidRDefault="00482F67" w:rsidP="0046592E">
      <w:pPr>
        <w:spacing w:after="120" w:line="276" w:lineRule="auto"/>
        <w:rPr>
          <w:rFonts w:cs="Arial"/>
          <w:color w:val="000000"/>
          <w:sz w:val="22"/>
          <w:szCs w:val="22"/>
        </w:rPr>
      </w:pPr>
      <w:r w:rsidRPr="00AC221E">
        <w:rPr>
          <w:rFonts w:cs="Arial"/>
          <w:color w:val="000000"/>
          <w:sz w:val="22"/>
          <w:szCs w:val="22"/>
        </w:rPr>
        <w:t>Význam hypoték</w:t>
      </w:r>
      <w:r>
        <w:rPr>
          <w:rFonts w:cs="Arial"/>
          <w:color w:val="000000"/>
          <w:sz w:val="22"/>
          <w:szCs w:val="22"/>
        </w:rPr>
        <w:t>y</w:t>
      </w:r>
      <w:r w:rsidRPr="00AC221E">
        <w:rPr>
          <w:rFonts w:cs="Arial"/>
          <w:color w:val="000000"/>
          <w:sz w:val="22"/>
          <w:szCs w:val="22"/>
        </w:rPr>
        <w:t xml:space="preserve"> rok od roku stoupá. Pro pořízení bydlení by j</w:t>
      </w:r>
      <w:r w:rsidR="00122D51">
        <w:rPr>
          <w:rFonts w:cs="Arial"/>
          <w:color w:val="000000"/>
          <w:sz w:val="22"/>
          <w:szCs w:val="22"/>
        </w:rPr>
        <w:t>i</w:t>
      </w:r>
      <w:r w:rsidRPr="00AC221E">
        <w:rPr>
          <w:rFonts w:cs="Arial"/>
          <w:color w:val="000000"/>
          <w:sz w:val="22"/>
          <w:szCs w:val="22"/>
        </w:rPr>
        <w:t xml:space="preserve"> využilo 60 % lidí, což je o </w:t>
      </w:r>
      <w:proofErr w:type="gramStart"/>
      <w:r w:rsidRPr="00AC221E">
        <w:rPr>
          <w:rFonts w:cs="Arial"/>
          <w:color w:val="000000"/>
          <w:sz w:val="22"/>
          <w:szCs w:val="22"/>
        </w:rPr>
        <w:t>7 procentních</w:t>
      </w:r>
      <w:proofErr w:type="gramEnd"/>
      <w:r w:rsidRPr="00AC221E">
        <w:rPr>
          <w:rFonts w:cs="Arial"/>
          <w:color w:val="000000"/>
          <w:sz w:val="22"/>
          <w:szCs w:val="22"/>
        </w:rPr>
        <w:t xml:space="preserve"> bodů víc než loni. Stojí za tím vyšší ceny nemovitostí, díky nimž roste potřeba financovat bydlení půjčkou</w:t>
      </w:r>
      <w:r>
        <w:rPr>
          <w:rFonts w:cs="Arial"/>
          <w:b/>
          <w:bCs/>
          <w:color w:val="000000"/>
          <w:sz w:val="22"/>
          <w:szCs w:val="22"/>
        </w:rPr>
        <w:t>.</w:t>
      </w:r>
      <w:r w:rsidR="00F617CD">
        <w:rPr>
          <w:rFonts w:cs="Arial"/>
          <w:color w:val="000000"/>
          <w:sz w:val="22"/>
          <w:szCs w:val="22"/>
        </w:rPr>
        <w:t xml:space="preserve"> Vlastní úspory by pak lidé použili hlavně na rekonstrukce a vybavení domácností, podob</w:t>
      </w:r>
      <w:r w:rsidR="00290620">
        <w:rPr>
          <w:rFonts w:cs="Arial"/>
          <w:color w:val="000000"/>
          <w:sz w:val="22"/>
          <w:szCs w:val="22"/>
        </w:rPr>
        <w:t>n</w:t>
      </w:r>
      <w:r w:rsidR="00F617CD">
        <w:rPr>
          <w:rFonts w:cs="Arial"/>
          <w:color w:val="000000"/>
          <w:sz w:val="22"/>
          <w:szCs w:val="22"/>
        </w:rPr>
        <w:t xml:space="preserve">ě jako v loňském roce. </w:t>
      </w:r>
    </w:p>
    <w:p w14:paraId="06735895" w14:textId="49DDEC04" w:rsidR="00C55E39" w:rsidRDefault="0046592E" w:rsidP="0046592E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Téměř pětina dotazovaných přitom</w:t>
      </w:r>
      <w:r w:rsidR="00833DC8">
        <w:rPr>
          <w:rFonts w:cs="Arial"/>
          <w:color w:val="000000"/>
          <w:sz w:val="22"/>
          <w:szCs w:val="22"/>
        </w:rPr>
        <w:t xml:space="preserve"> už</w:t>
      </w:r>
      <w:r>
        <w:rPr>
          <w:rFonts w:cs="Arial"/>
          <w:color w:val="000000"/>
          <w:sz w:val="22"/>
          <w:szCs w:val="22"/>
        </w:rPr>
        <w:t xml:space="preserve"> hypotéku má a úspěšně ji splácí, což potvrzují i poslední čísla České národní banky o platební morálce. Podíl problematických hypoték totiž dál klesá na dlouholetá minima. Dle únorových statistik je </w:t>
      </w:r>
      <w:r w:rsidR="007E4218">
        <w:rPr>
          <w:rFonts w:cs="Arial"/>
          <w:color w:val="000000"/>
          <w:sz w:val="22"/>
          <w:szCs w:val="22"/>
        </w:rPr>
        <w:t>problematický</w:t>
      </w:r>
      <w:r>
        <w:rPr>
          <w:rFonts w:cs="Arial"/>
          <w:color w:val="000000"/>
          <w:sz w:val="22"/>
          <w:szCs w:val="22"/>
        </w:rPr>
        <w:t xml:space="preserve">ch úvěrů 0,71 %, </w:t>
      </w:r>
      <w:r w:rsidR="00A153F9">
        <w:rPr>
          <w:rFonts w:cs="Arial"/>
          <w:color w:val="000000"/>
          <w:sz w:val="22"/>
          <w:szCs w:val="22"/>
        </w:rPr>
        <w:t xml:space="preserve">tedy </w:t>
      </w:r>
      <w:r>
        <w:rPr>
          <w:rFonts w:cs="Arial"/>
          <w:color w:val="000000"/>
          <w:sz w:val="22"/>
          <w:szCs w:val="22"/>
        </w:rPr>
        <w:t xml:space="preserve">nejméně za 20 let. Zároveň platí, že jde o jedno z nejnižších čísel v Evropě. Splacenou hypotéku mají nejčastěji lidé starší 66 let, a to celkově 13 %. </w:t>
      </w:r>
    </w:p>
    <w:p w14:paraId="3B235D5B" w14:textId="77777777" w:rsidR="00F05D8A" w:rsidRPr="00F05D8A" w:rsidRDefault="00F05D8A" w:rsidP="0046592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65FDA679" w14:textId="48679C35" w:rsidR="0046592E" w:rsidRDefault="00C55E39" w:rsidP="0046592E">
      <w:pPr>
        <w:spacing w:after="120" w:line="276" w:lineRule="auto"/>
        <w:rPr>
          <w:rFonts w:cs="Arial"/>
          <w:b/>
          <w:bCs/>
          <w:color w:val="13576B"/>
          <w:sz w:val="24"/>
          <w:szCs w:val="24"/>
        </w:rPr>
      </w:pPr>
      <w:r>
        <w:rPr>
          <w:rFonts w:cs="Arial"/>
          <w:b/>
          <w:bCs/>
          <w:color w:val="13576B"/>
          <w:sz w:val="24"/>
          <w:szCs w:val="24"/>
        </w:rPr>
        <w:t xml:space="preserve">ČBA </w:t>
      </w:r>
      <w:proofErr w:type="spellStart"/>
      <w:r>
        <w:rPr>
          <w:rFonts w:cs="Arial"/>
          <w:b/>
          <w:bCs/>
          <w:color w:val="13576B"/>
          <w:sz w:val="24"/>
          <w:szCs w:val="24"/>
        </w:rPr>
        <w:t>Hypomonitor</w:t>
      </w:r>
      <w:proofErr w:type="spellEnd"/>
      <w:r w:rsidR="007D3A6D">
        <w:rPr>
          <w:rFonts w:cs="Arial"/>
          <w:b/>
          <w:bCs/>
          <w:color w:val="13576B"/>
          <w:sz w:val="24"/>
          <w:szCs w:val="24"/>
        </w:rPr>
        <w:t>: loňský rok byl naprosto výjimečný</w:t>
      </w:r>
    </w:p>
    <w:p w14:paraId="2A505D74" w14:textId="1044FA0C" w:rsidR="00A27D25" w:rsidRDefault="003A24B3" w:rsidP="0069195C">
      <w:pPr>
        <w:spacing w:line="276" w:lineRule="auto"/>
        <w:rPr>
          <w:rFonts w:cs="Arial"/>
          <w:sz w:val="22"/>
          <w:szCs w:val="22"/>
        </w:rPr>
      </w:pPr>
      <w:r w:rsidRPr="00EF1641">
        <w:rPr>
          <w:rFonts w:cs="Arial"/>
          <w:sz w:val="22"/>
          <w:szCs w:val="22"/>
        </w:rPr>
        <w:t xml:space="preserve">V loňském roce poskytly banky a stavební spořitelny téměř 178 tisíc hypoték. </w:t>
      </w:r>
      <w:r w:rsidR="008D5604">
        <w:rPr>
          <w:rFonts w:cs="Arial"/>
          <w:sz w:val="22"/>
          <w:szCs w:val="22"/>
        </w:rPr>
        <w:t>O</w:t>
      </w:r>
      <w:r w:rsidRPr="00EF1641">
        <w:rPr>
          <w:rFonts w:cs="Arial"/>
          <w:sz w:val="22"/>
          <w:szCs w:val="22"/>
        </w:rPr>
        <w:t xml:space="preserve"> polovinu víc než v roce 2020</w:t>
      </w:r>
      <w:r w:rsidR="008D5604">
        <w:rPr>
          <w:rFonts w:cs="Arial"/>
          <w:sz w:val="22"/>
          <w:szCs w:val="22"/>
        </w:rPr>
        <w:t>.</w:t>
      </w:r>
      <w:r w:rsidRPr="00124277">
        <w:rPr>
          <w:rFonts w:cs="Arial"/>
          <w:sz w:val="22"/>
          <w:szCs w:val="22"/>
        </w:rPr>
        <w:t xml:space="preserve"> </w:t>
      </w:r>
      <w:r w:rsidR="008D5604">
        <w:rPr>
          <w:rFonts w:cs="Arial"/>
          <w:sz w:val="22"/>
          <w:szCs w:val="22"/>
        </w:rPr>
        <w:t>C</w:t>
      </w:r>
      <w:r w:rsidRPr="00124277">
        <w:rPr>
          <w:rFonts w:cs="Arial"/>
          <w:sz w:val="22"/>
          <w:szCs w:val="22"/>
        </w:rPr>
        <w:t>elkově</w:t>
      </w:r>
      <w:r w:rsidR="008D5604">
        <w:rPr>
          <w:rFonts w:cs="Arial"/>
          <w:sz w:val="22"/>
          <w:szCs w:val="22"/>
        </w:rPr>
        <w:t xml:space="preserve"> tak půjčily</w:t>
      </w:r>
      <w:r w:rsidRPr="00124277">
        <w:rPr>
          <w:rFonts w:cs="Arial"/>
          <w:sz w:val="22"/>
          <w:szCs w:val="22"/>
        </w:rPr>
        <w:t xml:space="preserve"> 541 miliard korun včetně refinancování a refixací</w:t>
      </w:r>
      <w:r w:rsidR="00491408" w:rsidRPr="00124277">
        <w:rPr>
          <w:rFonts w:cs="Arial"/>
          <w:sz w:val="22"/>
          <w:szCs w:val="22"/>
        </w:rPr>
        <w:t xml:space="preserve"> </w:t>
      </w:r>
      <w:r w:rsidR="004D3FB2">
        <w:rPr>
          <w:rFonts w:cs="Arial"/>
          <w:sz w:val="22"/>
          <w:szCs w:val="22"/>
        </w:rPr>
        <w:t>–</w:t>
      </w:r>
      <w:r w:rsidRPr="00124277">
        <w:rPr>
          <w:rFonts w:cs="Arial"/>
          <w:sz w:val="22"/>
          <w:szCs w:val="22"/>
        </w:rPr>
        <w:t xml:space="preserve"> </w:t>
      </w:r>
      <w:r w:rsidR="004D3FB2">
        <w:rPr>
          <w:rFonts w:cs="Arial"/>
          <w:sz w:val="22"/>
          <w:szCs w:val="22"/>
        </w:rPr>
        <w:t xml:space="preserve">to je </w:t>
      </w:r>
      <w:r w:rsidR="00CF041D">
        <w:rPr>
          <w:rFonts w:cs="Arial"/>
          <w:sz w:val="22"/>
          <w:szCs w:val="22"/>
        </w:rPr>
        <w:t>necelá</w:t>
      </w:r>
      <w:r w:rsidRPr="00124277">
        <w:rPr>
          <w:rFonts w:cs="Arial"/>
          <w:sz w:val="22"/>
          <w:szCs w:val="22"/>
        </w:rPr>
        <w:t xml:space="preserve"> desetina </w:t>
      </w:r>
      <w:r w:rsidR="00491408" w:rsidRPr="00124277">
        <w:rPr>
          <w:rFonts w:cs="Arial"/>
          <w:sz w:val="22"/>
          <w:szCs w:val="22"/>
        </w:rPr>
        <w:t xml:space="preserve">ročního </w:t>
      </w:r>
      <w:r w:rsidRPr="00124277">
        <w:rPr>
          <w:rFonts w:cs="Arial"/>
          <w:sz w:val="22"/>
          <w:szCs w:val="22"/>
        </w:rPr>
        <w:t xml:space="preserve">HDP Česka. </w:t>
      </w:r>
      <w:r w:rsidR="00EF1061">
        <w:rPr>
          <w:rFonts w:cs="Arial"/>
          <w:sz w:val="22"/>
          <w:szCs w:val="22"/>
        </w:rPr>
        <w:t>V</w:t>
      </w:r>
      <w:r w:rsidRPr="00124277">
        <w:rPr>
          <w:rFonts w:cs="Arial"/>
          <w:sz w:val="22"/>
          <w:szCs w:val="22"/>
        </w:rPr>
        <w:t> roce 2020 šlo přitom „pouze“ o 312</w:t>
      </w:r>
      <w:r w:rsidR="00090898">
        <w:rPr>
          <w:rFonts w:cs="Arial"/>
          <w:sz w:val="22"/>
          <w:szCs w:val="22"/>
        </w:rPr>
        <w:t>,5</w:t>
      </w:r>
      <w:r w:rsidRPr="00124277">
        <w:rPr>
          <w:rFonts w:cs="Arial"/>
          <w:sz w:val="22"/>
          <w:szCs w:val="22"/>
        </w:rPr>
        <w:t xml:space="preserve"> miliard. Obdobně silný meziroční růst byl pak </w:t>
      </w:r>
      <w:r w:rsidR="00B0191E">
        <w:rPr>
          <w:rFonts w:cs="Arial"/>
          <w:sz w:val="22"/>
          <w:szCs w:val="22"/>
        </w:rPr>
        <w:t xml:space="preserve">vidět </w:t>
      </w:r>
      <w:r w:rsidRPr="00124277">
        <w:rPr>
          <w:rFonts w:cs="Arial"/>
          <w:sz w:val="22"/>
          <w:szCs w:val="22"/>
        </w:rPr>
        <w:t xml:space="preserve">i v případě skutečně </w:t>
      </w:r>
      <w:r w:rsidR="00691507">
        <w:rPr>
          <w:rFonts w:cs="Arial"/>
          <w:sz w:val="22"/>
          <w:szCs w:val="22"/>
        </w:rPr>
        <w:t>nových</w:t>
      </w:r>
      <w:r w:rsidRPr="00124277">
        <w:rPr>
          <w:rFonts w:cs="Arial"/>
          <w:sz w:val="22"/>
          <w:szCs w:val="22"/>
        </w:rPr>
        <w:t xml:space="preserve"> hypoték (bez refinancování a refixací), </w:t>
      </w:r>
      <w:r w:rsidR="00691507">
        <w:rPr>
          <w:rFonts w:cs="Arial"/>
          <w:sz w:val="22"/>
          <w:szCs w:val="22"/>
        </w:rPr>
        <w:t xml:space="preserve">a to </w:t>
      </w:r>
      <w:r w:rsidRPr="00124277">
        <w:rPr>
          <w:rFonts w:cs="Arial"/>
          <w:sz w:val="22"/>
          <w:szCs w:val="22"/>
        </w:rPr>
        <w:t xml:space="preserve">v historicky rekordním objemu 379 </w:t>
      </w:r>
      <w:r w:rsidR="008D5604">
        <w:rPr>
          <w:rFonts w:cs="Arial"/>
          <w:sz w:val="22"/>
          <w:szCs w:val="22"/>
        </w:rPr>
        <w:t>miliard</w:t>
      </w:r>
      <w:r w:rsidRPr="00124277">
        <w:rPr>
          <w:rFonts w:cs="Arial"/>
          <w:b/>
          <w:bCs/>
          <w:sz w:val="22"/>
          <w:szCs w:val="22"/>
        </w:rPr>
        <w:t xml:space="preserve">. </w:t>
      </w:r>
      <w:r w:rsidRPr="004A53FC">
        <w:rPr>
          <w:rFonts w:cs="Arial"/>
          <w:sz w:val="22"/>
          <w:szCs w:val="22"/>
        </w:rPr>
        <w:t xml:space="preserve">Oproti roku 2020 </w:t>
      </w:r>
      <w:r w:rsidR="00332F9E">
        <w:rPr>
          <w:rFonts w:cs="Arial"/>
          <w:sz w:val="22"/>
          <w:szCs w:val="22"/>
        </w:rPr>
        <w:t xml:space="preserve">(s objemem 224 mld. Kč) </w:t>
      </w:r>
      <w:r w:rsidRPr="004A53FC">
        <w:rPr>
          <w:rFonts w:cs="Arial"/>
          <w:sz w:val="22"/>
          <w:szCs w:val="22"/>
        </w:rPr>
        <w:t xml:space="preserve">to </w:t>
      </w:r>
      <w:r w:rsidR="002316B1">
        <w:rPr>
          <w:rFonts w:cs="Arial"/>
          <w:sz w:val="22"/>
          <w:szCs w:val="22"/>
        </w:rPr>
        <w:t>j</w:t>
      </w:r>
      <w:r w:rsidRPr="004A53FC">
        <w:rPr>
          <w:rFonts w:cs="Arial"/>
          <w:sz w:val="22"/>
          <w:szCs w:val="22"/>
        </w:rPr>
        <w:t>e meziroční nárůst o 70 %.</w:t>
      </w:r>
      <w:r w:rsidRPr="00124277">
        <w:rPr>
          <w:rFonts w:cs="Arial"/>
          <w:sz w:val="22"/>
          <w:szCs w:val="22"/>
        </w:rPr>
        <w:t xml:space="preserve"> </w:t>
      </w:r>
    </w:p>
    <w:p w14:paraId="5F1FCBFB" w14:textId="77777777" w:rsidR="00A27D25" w:rsidRDefault="00A27D25" w:rsidP="0069195C">
      <w:pPr>
        <w:spacing w:line="276" w:lineRule="auto"/>
        <w:rPr>
          <w:rFonts w:cs="Arial"/>
          <w:sz w:val="22"/>
          <w:szCs w:val="22"/>
        </w:rPr>
      </w:pPr>
    </w:p>
    <w:p w14:paraId="282EE386" w14:textId="4F58ACAA" w:rsidR="00F316DA" w:rsidRDefault="004B3F26" w:rsidP="0069195C">
      <w:pPr>
        <w:spacing w:line="276" w:lineRule="auto"/>
        <w:rPr>
          <w:rFonts w:cs="Arial"/>
          <w:sz w:val="22"/>
          <w:szCs w:val="22"/>
        </w:rPr>
      </w:pPr>
      <w:r w:rsidRPr="00453D75">
        <w:rPr>
          <w:rFonts w:cs="Arial"/>
          <w:i/>
          <w:iCs/>
          <w:sz w:val="22"/>
          <w:szCs w:val="22"/>
        </w:rPr>
        <w:t>„</w:t>
      </w:r>
      <w:r w:rsidR="00F316DA" w:rsidRPr="00453D75">
        <w:rPr>
          <w:rFonts w:cs="Arial"/>
          <w:i/>
          <w:iCs/>
          <w:sz w:val="22"/>
          <w:szCs w:val="22"/>
        </w:rPr>
        <w:t>I když</w:t>
      </w:r>
      <w:r w:rsidR="00760FDA" w:rsidRPr="00453D75">
        <w:rPr>
          <w:rFonts w:cs="Arial"/>
          <w:i/>
          <w:iCs/>
          <w:sz w:val="22"/>
          <w:szCs w:val="22"/>
        </w:rPr>
        <w:t xml:space="preserve"> </w:t>
      </w:r>
      <w:r w:rsidR="00266A69" w:rsidRPr="00453D75">
        <w:rPr>
          <w:rFonts w:cs="Arial"/>
          <w:i/>
          <w:iCs/>
          <w:sz w:val="22"/>
          <w:szCs w:val="22"/>
        </w:rPr>
        <w:t>ob</w:t>
      </w:r>
      <w:r w:rsidR="00F42D11" w:rsidRPr="00453D75">
        <w:rPr>
          <w:rFonts w:cs="Arial"/>
          <w:i/>
          <w:iCs/>
          <w:sz w:val="22"/>
          <w:szCs w:val="22"/>
        </w:rPr>
        <w:t>jemy poskytnutých hy</w:t>
      </w:r>
      <w:r w:rsidR="00760FDA" w:rsidRPr="00453D75">
        <w:rPr>
          <w:rFonts w:cs="Arial"/>
          <w:i/>
          <w:iCs/>
          <w:sz w:val="22"/>
          <w:szCs w:val="22"/>
        </w:rPr>
        <w:t>p</w:t>
      </w:r>
      <w:r w:rsidR="00F42D11" w:rsidRPr="00453D75">
        <w:rPr>
          <w:rFonts w:cs="Arial"/>
          <w:i/>
          <w:iCs/>
          <w:sz w:val="22"/>
          <w:szCs w:val="22"/>
        </w:rPr>
        <w:t>oték letos mez</w:t>
      </w:r>
      <w:r w:rsidR="00760FDA" w:rsidRPr="00453D75">
        <w:rPr>
          <w:rFonts w:cs="Arial"/>
          <w:i/>
          <w:iCs/>
          <w:sz w:val="22"/>
          <w:szCs w:val="22"/>
        </w:rPr>
        <w:t>i</w:t>
      </w:r>
      <w:r w:rsidR="00F42D11" w:rsidRPr="00453D75">
        <w:rPr>
          <w:rFonts w:cs="Arial"/>
          <w:i/>
          <w:iCs/>
          <w:sz w:val="22"/>
          <w:szCs w:val="22"/>
        </w:rPr>
        <w:t xml:space="preserve">ročně </w:t>
      </w:r>
      <w:r w:rsidR="00497D52" w:rsidRPr="00453D75">
        <w:rPr>
          <w:rFonts w:cs="Arial"/>
          <w:i/>
          <w:iCs/>
          <w:sz w:val="22"/>
          <w:szCs w:val="22"/>
        </w:rPr>
        <w:t>klesají</w:t>
      </w:r>
      <w:r w:rsidR="00F42D11" w:rsidRPr="00453D75">
        <w:rPr>
          <w:rFonts w:cs="Arial"/>
          <w:i/>
          <w:iCs/>
          <w:sz w:val="22"/>
          <w:szCs w:val="22"/>
        </w:rPr>
        <w:t xml:space="preserve"> dvoucifernými tempy a</w:t>
      </w:r>
      <w:r w:rsidR="00F316DA" w:rsidRPr="00453D75">
        <w:rPr>
          <w:rFonts w:cs="Arial"/>
          <w:i/>
          <w:iCs/>
          <w:sz w:val="22"/>
          <w:szCs w:val="22"/>
        </w:rPr>
        <w:t xml:space="preserve"> letošní rok </w:t>
      </w:r>
      <w:r w:rsidR="00760FDA" w:rsidRPr="00453D75">
        <w:rPr>
          <w:rFonts w:cs="Arial"/>
          <w:i/>
          <w:iCs/>
          <w:sz w:val="22"/>
          <w:szCs w:val="22"/>
        </w:rPr>
        <w:t xml:space="preserve">se tak určitě </w:t>
      </w:r>
      <w:r w:rsidR="00F316DA" w:rsidRPr="00453D75">
        <w:rPr>
          <w:rFonts w:cs="Arial"/>
          <w:i/>
          <w:iCs/>
          <w:sz w:val="22"/>
          <w:szCs w:val="22"/>
        </w:rPr>
        <w:t>nevyrovná roku 2021, který byl do počtu i objemu hypoték</w:t>
      </w:r>
      <w:r w:rsidR="00D7654D" w:rsidRPr="00453D75">
        <w:rPr>
          <w:rFonts w:cs="Arial"/>
          <w:i/>
          <w:iCs/>
          <w:sz w:val="22"/>
          <w:szCs w:val="22"/>
        </w:rPr>
        <w:t xml:space="preserve"> zcela</w:t>
      </w:r>
      <w:r w:rsidR="00F316DA" w:rsidRPr="00453D75">
        <w:rPr>
          <w:rFonts w:cs="Arial"/>
          <w:i/>
          <w:iCs/>
          <w:sz w:val="22"/>
          <w:szCs w:val="22"/>
        </w:rPr>
        <w:t xml:space="preserve"> rekordní, </w:t>
      </w:r>
      <w:r w:rsidR="003A08EC" w:rsidRPr="00453D75">
        <w:rPr>
          <w:rFonts w:cs="Arial"/>
          <w:i/>
          <w:iCs/>
          <w:sz w:val="22"/>
          <w:szCs w:val="22"/>
        </w:rPr>
        <w:t>přesto</w:t>
      </w:r>
      <w:r w:rsidR="00DF675B" w:rsidRPr="00453D75">
        <w:rPr>
          <w:rFonts w:cs="Arial"/>
          <w:i/>
          <w:iCs/>
          <w:sz w:val="22"/>
          <w:szCs w:val="22"/>
        </w:rPr>
        <w:t xml:space="preserve"> je</w:t>
      </w:r>
      <w:r w:rsidR="00603C53" w:rsidRPr="00453D75">
        <w:rPr>
          <w:rFonts w:cs="Arial"/>
          <w:i/>
          <w:iCs/>
          <w:sz w:val="22"/>
          <w:szCs w:val="22"/>
        </w:rPr>
        <w:t xml:space="preserve"> </w:t>
      </w:r>
      <w:r w:rsidR="002078DD" w:rsidRPr="00453D75">
        <w:rPr>
          <w:rFonts w:cs="Arial"/>
          <w:i/>
          <w:iCs/>
          <w:sz w:val="22"/>
          <w:szCs w:val="22"/>
        </w:rPr>
        <w:t xml:space="preserve">letošní </w:t>
      </w:r>
      <w:r w:rsidR="00603C53" w:rsidRPr="00453D75">
        <w:rPr>
          <w:rFonts w:cs="Arial"/>
          <w:i/>
          <w:iCs/>
          <w:sz w:val="22"/>
          <w:szCs w:val="22"/>
        </w:rPr>
        <w:t xml:space="preserve">objem poskytnutých nových hypoték </w:t>
      </w:r>
      <w:r w:rsidR="004C42E8" w:rsidRPr="00453D75">
        <w:rPr>
          <w:rFonts w:cs="Arial"/>
          <w:i/>
          <w:iCs/>
          <w:sz w:val="22"/>
          <w:szCs w:val="22"/>
        </w:rPr>
        <w:t>za první čtvrtletí</w:t>
      </w:r>
      <w:r w:rsidR="00A86F69" w:rsidRPr="00453D75">
        <w:rPr>
          <w:rFonts w:cs="Arial"/>
          <w:i/>
          <w:iCs/>
          <w:sz w:val="22"/>
          <w:szCs w:val="22"/>
        </w:rPr>
        <w:t xml:space="preserve"> </w:t>
      </w:r>
      <w:r w:rsidR="003832C0" w:rsidRPr="00453D75">
        <w:rPr>
          <w:rFonts w:cs="Arial"/>
          <w:i/>
          <w:iCs/>
          <w:sz w:val="22"/>
          <w:szCs w:val="22"/>
        </w:rPr>
        <w:t>stále poměrně silný</w:t>
      </w:r>
      <w:r w:rsidR="00760FDA" w:rsidRPr="00453D75">
        <w:rPr>
          <w:rFonts w:cs="Arial"/>
          <w:i/>
          <w:iCs/>
          <w:sz w:val="22"/>
          <w:szCs w:val="22"/>
        </w:rPr>
        <w:t>, jelikož</w:t>
      </w:r>
      <w:r w:rsidR="00E50314" w:rsidRPr="00453D75">
        <w:rPr>
          <w:rFonts w:cs="Arial"/>
          <w:i/>
          <w:iCs/>
          <w:sz w:val="22"/>
          <w:szCs w:val="22"/>
        </w:rPr>
        <w:t xml:space="preserve"> </w:t>
      </w:r>
      <w:r w:rsidR="00D7654D" w:rsidRPr="00453D75">
        <w:rPr>
          <w:rFonts w:cs="Arial"/>
          <w:i/>
          <w:iCs/>
          <w:sz w:val="22"/>
          <w:szCs w:val="22"/>
        </w:rPr>
        <w:t>pokles</w:t>
      </w:r>
      <w:r w:rsidR="004C42E8" w:rsidRPr="00453D75">
        <w:rPr>
          <w:rFonts w:cs="Arial"/>
          <w:i/>
          <w:iCs/>
          <w:sz w:val="22"/>
          <w:szCs w:val="22"/>
        </w:rPr>
        <w:t xml:space="preserve"> je koncentrován zejména v refinancovaných úvěrech</w:t>
      </w:r>
      <w:r w:rsidR="001E4427" w:rsidRPr="00453D75">
        <w:rPr>
          <w:rFonts w:cs="Arial"/>
          <w:i/>
          <w:iCs/>
          <w:sz w:val="22"/>
          <w:szCs w:val="22"/>
        </w:rPr>
        <w:t xml:space="preserve">. </w:t>
      </w:r>
      <w:r w:rsidR="007A7A93" w:rsidRPr="00453D75">
        <w:rPr>
          <w:rFonts w:cs="Arial"/>
          <w:i/>
          <w:iCs/>
          <w:sz w:val="22"/>
          <w:szCs w:val="22"/>
        </w:rPr>
        <w:t>Objem skutečně nových hypoték byl za první čtvrtletí</w:t>
      </w:r>
      <w:r w:rsidR="00266A69" w:rsidRPr="00453D75">
        <w:rPr>
          <w:rFonts w:cs="Arial"/>
          <w:i/>
          <w:iCs/>
          <w:sz w:val="22"/>
          <w:szCs w:val="22"/>
        </w:rPr>
        <w:t xml:space="preserve"> 2022</w:t>
      </w:r>
      <w:r w:rsidR="007A7A93" w:rsidRPr="00453D75">
        <w:rPr>
          <w:rFonts w:cs="Arial"/>
          <w:i/>
          <w:iCs/>
          <w:sz w:val="22"/>
          <w:szCs w:val="22"/>
        </w:rPr>
        <w:t xml:space="preserve"> meziročně nižší jen </w:t>
      </w:r>
      <w:r w:rsidR="008C6E35" w:rsidRPr="00453D75">
        <w:rPr>
          <w:rFonts w:cs="Arial"/>
          <w:i/>
          <w:iCs/>
          <w:sz w:val="22"/>
          <w:szCs w:val="22"/>
        </w:rPr>
        <w:t>o 8</w:t>
      </w:r>
      <w:r w:rsidR="00E878FD" w:rsidRPr="00453D75">
        <w:rPr>
          <w:rFonts w:cs="Arial"/>
          <w:i/>
          <w:iCs/>
          <w:sz w:val="22"/>
          <w:szCs w:val="22"/>
        </w:rPr>
        <w:t>,6</w:t>
      </w:r>
      <w:r w:rsidR="008C6E35" w:rsidRPr="00453D75">
        <w:rPr>
          <w:rFonts w:cs="Arial"/>
          <w:i/>
          <w:iCs/>
          <w:sz w:val="22"/>
          <w:szCs w:val="22"/>
        </w:rPr>
        <w:t xml:space="preserve"> %, </w:t>
      </w:r>
      <w:r w:rsidRPr="00453D75">
        <w:rPr>
          <w:rFonts w:cs="Arial"/>
          <w:sz w:val="22"/>
          <w:szCs w:val="22"/>
        </w:rPr>
        <w:t>“</w:t>
      </w:r>
      <w:r w:rsidR="00F316DA" w:rsidRPr="00453D75">
        <w:rPr>
          <w:rFonts w:cs="Arial"/>
          <w:sz w:val="22"/>
          <w:szCs w:val="22"/>
        </w:rPr>
        <w:t xml:space="preserve"> </w:t>
      </w:r>
      <w:r w:rsidRPr="00453D75">
        <w:rPr>
          <w:rFonts w:cs="Arial"/>
          <w:sz w:val="22"/>
          <w:szCs w:val="22"/>
        </w:rPr>
        <w:t>říká Jakub Seidler, hlavní ekonom České bankovní asociace.</w:t>
      </w:r>
    </w:p>
    <w:p w14:paraId="18BCCC07" w14:textId="77777777" w:rsidR="00A27D25" w:rsidRDefault="00A27D25" w:rsidP="0069195C">
      <w:pPr>
        <w:spacing w:line="276" w:lineRule="auto"/>
        <w:rPr>
          <w:rFonts w:cs="Arial"/>
          <w:sz w:val="22"/>
          <w:szCs w:val="22"/>
        </w:rPr>
      </w:pPr>
    </w:p>
    <w:p w14:paraId="6C82E26B" w14:textId="61E13BB7" w:rsidR="003A24B3" w:rsidRPr="00124277" w:rsidRDefault="00C10B09" w:rsidP="0069195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ČBA </w:t>
      </w:r>
      <w:proofErr w:type="spellStart"/>
      <w:r w:rsidR="00A30C1F">
        <w:rPr>
          <w:rFonts w:cs="Arial"/>
          <w:sz w:val="22"/>
          <w:szCs w:val="22"/>
        </w:rPr>
        <w:t>Hypomonitor</w:t>
      </w:r>
      <w:proofErr w:type="spellEnd"/>
      <w:r w:rsidR="00A30C1F">
        <w:rPr>
          <w:rFonts w:cs="Arial"/>
          <w:sz w:val="22"/>
          <w:szCs w:val="22"/>
        </w:rPr>
        <w:t xml:space="preserve"> využívá nové souhrnné statistiky za celý bankovní trh. Data</w:t>
      </w:r>
      <w:r w:rsidR="00370F7A">
        <w:rPr>
          <w:rFonts w:cs="Arial"/>
          <w:sz w:val="22"/>
          <w:szCs w:val="22"/>
        </w:rPr>
        <w:t xml:space="preserve"> do něj</w:t>
      </w:r>
      <w:r w:rsidR="00A30C1F">
        <w:rPr>
          <w:rFonts w:cs="Arial"/>
          <w:sz w:val="22"/>
          <w:szCs w:val="22"/>
        </w:rPr>
        <w:t xml:space="preserve"> poskytují všechny tuzemské banky a stavební spořitelny nabízející hypotéky. </w:t>
      </w:r>
    </w:p>
    <w:p w14:paraId="3A174B99" w14:textId="4CF7081E" w:rsidR="00ED2996" w:rsidRDefault="00ED2996" w:rsidP="003A24B3">
      <w:pPr>
        <w:rPr>
          <w:rFonts w:ascii="Calibri" w:hAnsi="Calibri" w:cs="Calibri"/>
          <w:sz w:val="22"/>
          <w:szCs w:val="22"/>
        </w:rPr>
      </w:pPr>
    </w:p>
    <w:p w14:paraId="24D9E906" w14:textId="56CD5655" w:rsidR="00546DA5" w:rsidRDefault="00546DA5" w:rsidP="0046592E">
      <w:pPr>
        <w:spacing w:after="120" w:line="276" w:lineRule="auto"/>
        <w:rPr>
          <w:rFonts w:cs="Arial"/>
          <w:b/>
          <w:bCs/>
          <w:color w:val="13576B"/>
          <w:sz w:val="24"/>
          <w:szCs w:val="24"/>
        </w:rPr>
      </w:pPr>
    </w:p>
    <w:p w14:paraId="2A7F7C3B" w14:textId="78D07671" w:rsidR="00546DA5" w:rsidRDefault="00546DA5" w:rsidP="0046592E">
      <w:pPr>
        <w:spacing w:after="120" w:line="276" w:lineRule="auto"/>
        <w:rPr>
          <w:rFonts w:cs="Arial"/>
          <w:b/>
          <w:bCs/>
          <w:color w:val="13576B"/>
          <w:sz w:val="24"/>
          <w:szCs w:val="24"/>
        </w:rPr>
      </w:pPr>
    </w:p>
    <w:p w14:paraId="7E40A7BA" w14:textId="78A4CDAA" w:rsidR="00B34F41" w:rsidRPr="00B34F41" w:rsidRDefault="00B34F41" w:rsidP="0046592E">
      <w:pPr>
        <w:spacing w:after="120" w:line="276" w:lineRule="auto"/>
        <w:rPr>
          <w:rFonts w:cs="Arial"/>
          <w:color w:val="000000"/>
          <w:sz w:val="24"/>
          <w:szCs w:val="24"/>
        </w:rPr>
      </w:pPr>
      <w:r w:rsidRPr="00B34F41">
        <w:rPr>
          <w:rFonts w:cs="Arial"/>
          <w:b/>
          <w:bCs/>
          <w:color w:val="13576B"/>
          <w:sz w:val="24"/>
          <w:szCs w:val="24"/>
        </w:rPr>
        <w:lastRenderedPageBreak/>
        <w:t xml:space="preserve">Rozhoduje </w:t>
      </w:r>
      <w:r w:rsidR="00546E69">
        <w:rPr>
          <w:rFonts w:cs="Arial"/>
          <w:b/>
          <w:bCs/>
          <w:color w:val="13576B"/>
          <w:sz w:val="24"/>
          <w:szCs w:val="24"/>
        </w:rPr>
        <w:t xml:space="preserve">úroková sazba, </w:t>
      </w:r>
      <w:r w:rsidRPr="00B34F41">
        <w:rPr>
          <w:rFonts w:cs="Arial"/>
          <w:b/>
          <w:bCs/>
          <w:color w:val="13576B"/>
          <w:sz w:val="24"/>
          <w:szCs w:val="24"/>
        </w:rPr>
        <w:t>dopravní dostupnost a typ nemovitosti</w:t>
      </w:r>
      <w:r w:rsidR="00546E69">
        <w:rPr>
          <w:rFonts w:cs="Arial"/>
          <w:b/>
          <w:bCs/>
          <w:color w:val="13576B"/>
          <w:sz w:val="24"/>
          <w:szCs w:val="24"/>
        </w:rPr>
        <w:t>, naopak klesá vliv finančních poradců</w:t>
      </w:r>
      <w:r w:rsidR="00E50314">
        <w:rPr>
          <w:rFonts w:cs="Arial"/>
          <w:b/>
          <w:bCs/>
          <w:color w:val="13576B"/>
          <w:sz w:val="24"/>
          <w:szCs w:val="24"/>
        </w:rPr>
        <w:t xml:space="preserve"> </w:t>
      </w:r>
    </w:p>
    <w:p w14:paraId="3BE0336D" w14:textId="3916D7E3" w:rsidR="0006285B" w:rsidRDefault="00291C41" w:rsidP="0046592E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 rostoucími úroky se Češi </w:t>
      </w:r>
      <w:r w:rsidR="003B318C">
        <w:rPr>
          <w:rFonts w:cs="Arial"/>
          <w:color w:val="000000"/>
          <w:sz w:val="22"/>
          <w:szCs w:val="22"/>
        </w:rPr>
        <w:t xml:space="preserve">o výběru poskytovatele hypotéky </w:t>
      </w:r>
      <w:r>
        <w:rPr>
          <w:rFonts w:cs="Arial"/>
          <w:color w:val="000000"/>
          <w:sz w:val="22"/>
          <w:szCs w:val="22"/>
        </w:rPr>
        <w:t xml:space="preserve">častěji rozhodují podle výhodné úrokové sazby nebo </w:t>
      </w:r>
      <w:r w:rsidR="00A72393">
        <w:rPr>
          <w:rFonts w:cs="Arial"/>
          <w:color w:val="000000"/>
          <w:sz w:val="22"/>
          <w:szCs w:val="22"/>
        </w:rPr>
        <w:t xml:space="preserve">výše měsíční splátky. </w:t>
      </w:r>
      <w:r w:rsidR="00ED03E9">
        <w:rPr>
          <w:rFonts w:cs="Arial"/>
          <w:color w:val="000000"/>
          <w:sz w:val="22"/>
          <w:szCs w:val="22"/>
        </w:rPr>
        <w:t>Důležité je to téměř pro polovinu z nich, zatímco loni to byla jen necelá třetina.</w:t>
      </w:r>
      <w:r w:rsidR="00A72393">
        <w:rPr>
          <w:rFonts w:cs="Arial"/>
          <w:color w:val="000000"/>
          <w:sz w:val="22"/>
          <w:szCs w:val="22"/>
        </w:rPr>
        <w:t xml:space="preserve"> Naopak doporučení finančních poradců je pro ně méně důležité.</w:t>
      </w:r>
      <w:r w:rsidR="00ED03E9">
        <w:rPr>
          <w:rFonts w:cs="Arial"/>
          <w:color w:val="000000"/>
          <w:sz w:val="22"/>
          <w:szCs w:val="22"/>
        </w:rPr>
        <w:t xml:space="preserve"> </w:t>
      </w:r>
      <w:r w:rsidR="003B318C">
        <w:rPr>
          <w:rFonts w:cs="Arial"/>
          <w:color w:val="000000"/>
          <w:sz w:val="22"/>
          <w:szCs w:val="22"/>
        </w:rPr>
        <w:t>N</w:t>
      </w:r>
      <w:r w:rsidR="0006285B">
        <w:rPr>
          <w:rFonts w:cs="Arial"/>
          <w:color w:val="000000"/>
          <w:sz w:val="22"/>
          <w:szCs w:val="22"/>
        </w:rPr>
        <w:t xml:space="preserve">a významu nabývá </w:t>
      </w:r>
      <w:r w:rsidR="00553C7D">
        <w:rPr>
          <w:rFonts w:cs="Arial"/>
          <w:color w:val="000000"/>
          <w:sz w:val="22"/>
          <w:szCs w:val="22"/>
        </w:rPr>
        <w:t xml:space="preserve">dopravní dostupnost a typ nemovitosti. </w:t>
      </w:r>
      <w:r w:rsidR="003B318C">
        <w:rPr>
          <w:rFonts w:cs="Arial"/>
          <w:color w:val="000000"/>
          <w:sz w:val="22"/>
          <w:szCs w:val="22"/>
        </w:rPr>
        <w:t xml:space="preserve">O něco více </w:t>
      </w:r>
      <w:r w:rsidR="00553C7D">
        <w:rPr>
          <w:rFonts w:cs="Arial"/>
          <w:color w:val="000000"/>
          <w:sz w:val="22"/>
          <w:szCs w:val="22"/>
        </w:rPr>
        <w:t>než loni lidi zajímá i blízkost k ostatním členům rodiny nebo dojezdový čas do práce.</w:t>
      </w:r>
      <w:r w:rsidR="00D82BEB">
        <w:rPr>
          <w:rFonts w:cs="Arial"/>
          <w:color w:val="000000"/>
          <w:sz w:val="22"/>
          <w:szCs w:val="22"/>
        </w:rPr>
        <w:t xml:space="preserve"> </w:t>
      </w:r>
      <w:r w:rsidR="00D82BEB" w:rsidRPr="00D82BEB">
        <w:rPr>
          <w:rFonts w:cs="Arial"/>
          <w:i/>
          <w:iCs/>
          <w:color w:val="000000"/>
          <w:sz w:val="22"/>
          <w:szCs w:val="22"/>
        </w:rPr>
        <w:t>„Česká populace vnímá změny na trhu spojené s růstem cen nemovitostí, a tudíž více než kdy jindy je citlivější na cenové nastavení hypoték, často na úkor doporučení od finančního poradce. To se týká jak klíčového parametru v podobě výše úrokové sazby, tak samotné měsíční splátky, která je pro mnohé občany zásadní v kontextu dlouhodobé stability rozpočtu domácnosti,“</w:t>
      </w:r>
      <w:r w:rsidR="00D82BEB" w:rsidRPr="00D82BEB">
        <w:rPr>
          <w:rFonts w:cs="Arial"/>
          <w:color w:val="000000"/>
          <w:sz w:val="22"/>
          <w:szCs w:val="22"/>
        </w:rPr>
        <w:t xml:space="preserve"> doplňuje Michal Straka, specialista na finanční trh agentury Ipsos.</w:t>
      </w:r>
    </w:p>
    <w:p w14:paraId="276393A6" w14:textId="77777777" w:rsidR="00FE563B" w:rsidRDefault="00FE563B" w:rsidP="0046592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5D4FD027" w14:textId="28A547F8" w:rsidR="0006285B" w:rsidRDefault="00595C61" w:rsidP="0046592E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13576B"/>
          <w:sz w:val="24"/>
          <w:szCs w:val="24"/>
        </w:rPr>
        <w:t>Většina lidí by v pořízené nemovitosti bydlela</w:t>
      </w:r>
    </w:p>
    <w:p w14:paraId="6E6B1285" w14:textId="6572EC11" w:rsidR="00B865A7" w:rsidRDefault="009E5072" w:rsidP="0046592E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Hypotéku si lidé nejčastěji pořizují k financování vlastního bydlení. Pro pořízení domu nebo bytu, ve kterém budou následně i bydlet</w:t>
      </w:r>
      <w:r w:rsidR="00462EEA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by ji využily dvě třetiny z</w:t>
      </w:r>
      <w:r w:rsidR="00462EEA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nich</w:t>
      </w:r>
      <w:r w:rsidR="00462EEA">
        <w:rPr>
          <w:rFonts w:cs="Arial"/>
          <w:color w:val="000000"/>
          <w:sz w:val="22"/>
          <w:szCs w:val="22"/>
        </w:rPr>
        <w:t>.</w:t>
      </w:r>
      <w:r w:rsidR="00A4348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 velkým odstupem pak následují rekonstrukce domácnosti, koupě nemovitosti k pronájmu, popřípadě pořízení bydlení pro děti či rodiče. V porovnání s minulým rokem přitom méně záleží na kvalitě životního prostředí.</w:t>
      </w:r>
    </w:p>
    <w:p w14:paraId="1FAF5084" w14:textId="4CB3BFF4" w:rsidR="009E5072" w:rsidRDefault="00E50314" w:rsidP="0046592E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</w:p>
    <w:tbl>
      <w:tblPr>
        <w:tblW w:w="8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3"/>
        <w:gridCol w:w="146"/>
        <w:gridCol w:w="146"/>
        <w:gridCol w:w="146"/>
        <w:gridCol w:w="146"/>
        <w:gridCol w:w="146"/>
        <w:gridCol w:w="146"/>
        <w:gridCol w:w="976"/>
      </w:tblGrid>
      <w:tr w:rsidR="005404FA" w:rsidRPr="005404FA" w14:paraId="464C6D2B" w14:textId="77777777" w:rsidTr="00393B2B">
        <w:trPr>
          <w:trHeight w:val="390"/>
        </w:trPr>
        <w:tc>
          <w:tcPr>
            <w:tcW w:w="7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61C7" w14:textId="3E2C8DCA" w:rsidR="007159F9" w:rsidRPr="005050D7" w:rsidRDefault="008116DE" w:rsidP="002719D4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b/>
                <w:bCs/>
                <w:color w:val="13576B"/>
                <w:sz w:val="28"/>
                <w:szCs w:val="28"/>
              </w:rPr>
            </w:pPr>
            <w:r w:rsidRPr="005404F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B2B7271" wp14:editId="052DA14D">
                  <wp:simplePos x="0" y="0"/>
                  <wp:positionH relativeFrom="margin">
                    <wp:align>left</wp:align>
                  </wp:positionH>
                  <wp:positionV relativeFrom="paragraph">
                    <wp:posOffset>752092</wp:posOffset>
                  </wp:positionV>
                  <wp:extent cx="5979795" cy="2700068"/>
                  <wp:effectExtent l="0" t="0" r="1905" b="5080"/>
                  <wp:wrapNone/>
                  <wp:docPr id="2" name="Graf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5ABF36-D866-4F8B-969A-60CD0874F8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4FA" w:rsidRPr="005404FA"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Průměrná hypoteční sazba </w:t>
            </w:r>
            <w:r w:rsidR="007159F9" w:rsidRPr="005050D7">
              <w:rPr>
                <w:rFonts w:cs="Arial"/>
                <w:b/>
                <w:bCs/>
                <w:color w:val="13576B"/>
                <w:sz w:val="28"/>
                <w:szCs w:val="28"/>
              </w:rPr>
              <w:t>4,15 %</w:t>
            </w:r>
            <w:r w:rsidR="00E50314"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 </w:t>
            </w:r>
          </w:p>
          <w:p w14:paraId="3CD230A4" w14:textId="1F19B160" w:rsidR="005404FA" w:rsidRPr="005404FA" w:rsidRDefault="007159F9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13576B"/>
                <w:sz w:val="22"/>
                <w:szCs w:val="22"/>
              </w:rPr>
            </w:pPr>
            <w:r w:rsidRPr="007159F9">
              <w:rPr>
                <w:rFonts w:cs="Arial"/>
                <w:b/>
                <w:bCs/>
                <w:color w:val="13576B"/>
                <w:sz w:val="22"/>
                <w:szCs w:val="22"/>
              </w:rPr>
              <w:t xml:space="preserve">(ČBA </w:t>
            </w:r>
            <w:proofErr w:type="spellStart"/>
            <w:r w:rsidRPr="007159F9">
              <w:rPr>
                <w:rFonts w:cs="Arial"/>
                <w:b/>
                <w:bCs/>
                <w:color w:val="13576B"/>
                <w:sz w:val="22"/>
                <w:szCs w:val="22"/>
              </w:rPr>
              <w:t>Hypomonitor</w:t>
            </w:r>
            <w:proofErr w:type="spellEnd"/>
            <w:r w:rsidRPr="007159F9">
              <w:rPr>
                <w:rFonts w:cs="Arial"/>
                <w:b/>
                <w:bCs/>
                <w:color w:val="13576B"/>
                <w:sz w:val="22"/>
                <w:szCs w:val="22"/>
              </w:rPr>
              <w:t>: březen 2022)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A61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13576B"/>
                <w:sz w:val="30"/>
                <w:szCs w:val="30"/>
              </w:rPr>
            </w:pPr>
          </w:p>
        </w:tc>
      </w:tr>
      <w:tr w:rsidR="005404FA" w:rsidRPr="005404FA" w14:paraId="3F8E5EED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F3F8" w14:textId="2F1DB1B3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404FA" w:rsidRPr="005404FA" w14:paraId="0850AAF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059C5" w14:textId="77777777" w:rsidR="005404FA" w:rsidRPr="005404FA" w:rsidRDefault="005404FA" w:rsidP="005404FA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9BB9BC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DC4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8814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6F1D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6B26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2D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F84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2F8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7C2CCB0C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5A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588F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533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88F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E628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F11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D2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0BC8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474256CD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91E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39F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99A4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16A6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1A1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205D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67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7AA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1A64E89A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DE66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66D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F2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B348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96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17A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7D19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196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28DA4D4C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1F0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590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DE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12E3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56A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E888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9EB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4546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71180A9C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1F4C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A6A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DC4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519F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40D1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5AA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608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805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6EDD9F04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F7DC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00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0D3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3C2A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1C54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B323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F96B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3E15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748C8B0C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22A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FCE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4BF6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D863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466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5D0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C1F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CE41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70A9EE49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39E1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395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29C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AF73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476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B2A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1A9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8DB9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5AEE4E88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EE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A666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A45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9A2A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C4D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6727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339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E078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0A29EF17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A9D3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C523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C67B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58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A575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6614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C84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DA3" w14:textId="16C1FA13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55830A68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F3AA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DFA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A2A9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E1C5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B2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B5A7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9A63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62F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191A9AC6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0FC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F5AC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6E73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F6A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A247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0B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CBB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105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5404FA" w:rsidRPr="005404FA" w14:paraId="41E9E7A7" w14:textId="77777777" w:rsidTr="00393B2B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5E7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DF4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881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5EA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FED0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2C02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1648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B8E" w14:textId="77777777" w:rsidR="005404FA" w:rsidRPr="005404FA" w:rsidRDefault="005404FA" w:rsidP="005404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14:paraId="164E1FB8" w14:textId="77777777" w:rsidR="008308D3" w:rsidRDefault="008308D3" w:rsidP="00F617CD">
      <w:pPr>
        <w:spacing w:after="120" w:line="276" w:lineRule="auto"/>
        <w:rPr>
          <w:rFonts w:cs="Arial"/>
          <w:b/>
          <w:bCs/>
          <w:color w:val="13576B"/>
          <w:sz w:val="24"/>
          <w:szCs w:val="24"/>
        </w:rPr>
      </w:pPr>
    </w:p>
    <w:p w14:paraId="477CBC40" w14:textId="77777777" w:rsidR="008308D3" w:rsidRDefault="008308D3" w:rsidP="00F617CD">
      <w:pPr>
        <w:spacing w:after="120" w:line="276" w:lineRule="auto"/>
        <w:rPr>
          <w:rFonts w:cs="Arial"/>
          <w:b/>
          <w:bCs/>
          <w:color w:val="13576B"/>
          <w:sz w:val="24"/>
          <w:szCs w:val="24"/>
        </w:rPr>
      </w:pPr>
    </w:p>
    <w:p w14:paraId="4234B2FA" w14:textId="77777777" w:rsidR="008308D3" w:rsidRDefault="008308D3" w:rsidP="00F617CD">
      <w:pPr>
        <w:spacing w:after="120" w:line="276" w:lineRule="auto"/>
        <w:rPr>
          <w:rFonts w:cs="Arial"/>
          <w:b/>
          <w:bCs/>
          <w:color w:val="13576B"/>
          <w:sz w:val="24"/>
          <w:szCs w:val="24"/>
        </w:rPr>
      </w:pPr>
    </w:p>
    <w:p w14:paraId="5C6AE95A" w14:textId="174EB9A5" w:rsidR="00F617CD" w:rsidRDefault="003C0B36" w:rsidP="00F617CD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13576B"/>
          <w:sz w:val="24"/>
          <w:szCs w:val="24"/>
        </w:rPr>
        <w:lastRenderedPageBreak/>
        <w:t>Průměrně si půjčujeme víc peněz než loni</w:t>
      </w:r>
      <w:r w:rsidR="005364AC">
        <w:rPr>
          <w:rFonts w:cs="Arial"/>
          <w:b/>
          <w:bCs/>
          <w:color w:val="13576B"/>
          <w:sz w:val="24"/>
          <w:szCs w:val="24"/>
        </w:rPr>
        <w:t>, výjimkou není ani víc než 6 milionů</w:t>
      </w:r>
    </w:p>
    <w:p w14:paraId="754BF708" w14:textId="7AC2F7F5" w:rsidR="003C0B36" w:rsidRDefault="0046223C" w:rsidP="003C0B36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Podle ČBA </w:t>
      </w:r>
      <w:proofErr w:type="spellStart"/>
      <w:r>
        <w:rPr>
          <w:rFonts w:cs="Arial"/>
          <w:color w:val="000000"/>
          <w:sz w:val="22"/>
          <w:szCs w:val="22"/>
        </w:rPr>
        <w:t>Hypomonitoru</w:t>
      </w:r>
      <w:proofErr w:type="spellEnd"/>
      <w:r>
        <w:rPr>
          <w:rFonts w:cs="Arial"/>
          <w:color w:val="000000"/>
          <w:sz w:val="22"/>
          <w:szCs w:val="22"/>
        </w:rPr>
        <w:t xml:space="preserve"> si Češi loni průměrně půjčovali 3,3 milionu korun, zatímco v roce 2020 to bylo 2,8 milionu. </w:t>
      </w:r>
      <w:r w:rsidR="00505A38">
        <w:rPr>
          <w:rFonts w:cs="Arial"/>
          <w:color w:val="000000"/>
          <w:sz w:val="22"/>
          <w:szCs w:val="22"/>
        </w:rPr>
        <w:t xml:space="preserve">Platí přitom, že čím mladší žadatel, tím více peněz si </w:t>
      </w:r>
      <w:r w:rsidR="003F198A">
        <w:rPr>
          <w:rFonts w:cs="Arial"/>
          <w:color w:val="000000"/>
          <w:sz w:val="22"/>
          <w:szCs w:val="22"/>
        </w:rPr>
        <w:t xml:space="preserve">plánuje </w:t>
      </w:r>
      <w:r w:rsidR="00505A38">
        <w:rPr>
          <w:rFonts w:cs="Arial"/>
          <w:color w:val="000000"/>
          <w:sz w:val="22"/>
          <w:szCs w:val="22"/>
        </w:rPr>
        <w:t xml:space="preserve">půjčit. </w:t>
      </w:r>
      <w:r w:rsidR="003C0B36">
        <w:rPr>
          <w:rFonts w:cs="Arial"/>
          <w:color w:val="000000"/>
          <w:sz w:val="22"/>
          <w:szCs w:val="22"/>
        </w:rPr>
        <w:t>Nejvíc</w:t>
      </w:r>
      <w:r w:rsidR="00505A38">
        <w:rPr>
          <w:rFonts w:cs="Arial"/>
          <w:color w:val="000000"/>
          <w:sz w:val="22"/>
          <w:szCs w:val="22"/>
        </w:rPr>
        <w:t>,</w:t>
      </w:r>
      <w:r w:rsidR="003C0B36">
        <w:rPr>
          <w:rFonts w:cs="Arial"/>
          <w:color w:val="000000"/>
          <w:sz w:val="22"/>
          <w:szCs w:val="22"/>
        </w:rPr>
        <w:t xml:space="preserve"> a to pět až šest milionů korun, by si chtěli půjčit mladí lidé do 26 let (7 %). Kategorie do tří milionů korun se nejčastěji týká lidí mezi 27 a 35 lety (27 %). Půjčku do jednoho milionu pak zvažují hlavně lidé nad 54 let. </w:t>
      </w:r>
    </w:p>
    <w:p w14:paraId="53ECEAA9" w14:textId="77777777" w:rsidR="00FD539D" w:rsidRDefault="00FD539D" w:rsidP="002719D4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b/>
          <w:bCs/>
          <w:color w:val="13576B"/>
          <w:sz w:val="24"/>
          <w:szCs w:val="24"/>
        </w:rPr>
      </w:pPr>
    </w:p>
    <w:p w14:paraId="4515B74B" w14:textId="6845AC39" w:rsidR="000A1E35" w:rsidRDefault="000A1E35" w:rsidP="002719D4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b/>
          <w:bCs/>
          <w:color w:val="13576B"/>
          <w:sz w:val="24"/>
          <w:szCs w:val="24"/>
        </w:rPr>
      </w:pPr>
      <w:r>
        <w:rPr>
          <w:rFonts w:cs="Arial"/>
          <w:b/>
          <w:bCs/>
          <w:color w:val="13576B"/>
          <w:sz w:val="24"/>
          <w:szCs w:val="24"/>
        </w:rPr>
        <w:t>Roste zájem o hypotéky s delší splatností</w:t>
      </w:r>
      <w:r w:rsidR="00034902">
        <w:rPr>
          <w:rFonts w:cs="Arial"/>
          <w:b/>
          <w:bCs/>
          <w:color w:val="13576B"/>
          <w:sz w:val="24"/>
          <w:szCs w:val="24"/>
        </w:rPr>
        <w:t>, ale</w:t>
      </w:r>
      <w:r w:rsidR="00CE4B40">
        <w:rPr>
          <w:rFonts w:cs="Arial"/>
          <w:b/>
          <w:bCs/>
          <w:color w:val="13576B"/>
          <w:sz w:val="24"/>
          <w:szCs w:val="24"/>
        </w:rPr>
        <w:t xml:space="preserve"> také</w:t>
      </w:r>
      <w:r w:rsidR="00034902">
        <w:rPr>
          <w:rFonts w:cs="Arial"/>
          <w:b/>
          <w:bCs/>
          <w:color w:val="13576B"/>
          <w:sz w:val="24"/>
          <w:szCs w:val="24"/>
        </w:rPr>
        <w:t xml:space="preserve"> kratší fixací</w:t>
      </w:r>
      <w:r w:rsidR="00115361">
        <w:rPr>
          <w:rFonts w:cs="Arial"/>
          <w:b/>
          <w:bCs/>
          <w:color w:val="13576B"/>
          <w:sz w:val="24"/>
          <w:szCs w:val="24"/>
        </w:rPr>
        <w:t xml:space="preserve">, nejčastější </w:t>
      </w:r>
      <w:r w:rsidR="00750C91">
        <w:rPr>
          <w:rFonts w:cs="Arial"/>
          <w:b/>
          <w:bCs/>
          <w:color w:val="13576B"/>
          <w:sz w:val="24"/>
          <w:szCs w:val="24"/>
        </w:rPr>
        <w:t xml:space="preserve">však </w:t>
      </w:r>
      <w:r w:rsidR="00115361">
        <w:rPr>
          <w:rFonts w:cs="Arial"/>
          <w:b/>
          <w:bCs/>
          <w:color w:val="13576B"/>
          <w:sz w:val="24"/>
          <w:szCs w:val="24"/>
        </w:rPr>
        <w:t>stále zůstává</w:t>
      </w:r>
      <w:r w:rsidR="00E50314">
        <w:rPr>
          <w:rFonts w:cs="Arial"/>
          <w:b/>
          <w:bCs/>
          <w:color w:val="13576B"/>
          <w:sz w:val="24"/>
          <w:szCs w:val="24"/>
        </w:rPr>
        <w:t xml:space="preserve"> </w:t>
      </w:r>
      <w:r w:rsidR="00115361">
        <w:rPr>
          <w:rFonts w:cs="Arial"/>
          <w:b/>
          <w:bCs/>
          <w:color w:val="13576B"/>
          <w:sz w:val="24"/>
          <w:szCs w:val="24"/>
        </w:rPr>
        <w:t>pětilet</w:t>
      </w:r>
      <w:r w:rsidR="00750C91">
        <w:rPr>
          <w:rFonts w:cs="Arial"/>
          <w:b/>
          <w:bCs/>
          <w:color w:val="13576B"/>
          <w:sz w:val="24"/>
          <w:szCs w:val="24"/>
        </w:rPr>
        <w:t>á fixace</w:t>
      </w:r>
    </w:p>
    <w:p w14:paraId="50CC314D" w14:textId="0B094021" w:rsidR="00505A38" w:rsidRDefault="00BB559D" w:rsidP="00053101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Necelá p</w:t>
      </w:r>
      <w:r w:rsidR="00053101">
        <w:rPr>
          <w:rFonts w:cs="Arial"/>
          <w:color w:val="000000"/>
          <w:sz w:val="22"/>
          <w:szCs w:val="22"/>
        </w:rPr>
        <w:t>ětina Čechů</w:t>
      </w:r>
      <w:r w:rsidR="004406B4">
        <w:rPr>
          <w:rFonts w:cs="Arial"/>
          <w:color w:val="000000"/>
          <w:sz w:val="22"/>
          <w:szCs w:val="22"/>
        </w:rPr>
        <w:t xml:space="preserve"> </w:t>
      </w:r>
      <w:r w:rsidR="00AC1A0D">
        <w:rPr>
          <w:rFonts w:cs="Arial"/>
          <w:color w:val="000000"/>
          <w:sz w:val="22"/>
          <w:szCs w:val="22"/>
        </w:rPr>
        <w:t xml:space="preserve">má hypotéku na 15 let. Podobnou délku plánuje i třetina těch, co o hypotéce uvažují. </w:t>
      </w:r>
      <w:r w:rsidR="00053101">
        <w:rPr>
          <w:rFonts w:cs="Arial"/>
          <w:color w:val="000000"/>
          <w:sz w:val="22"/>
          <w:szCs w:val="22"/>
        </w:rPr>
        <w:t>Ve skutečnosti je ale nejvíc těch nad 25 let, a to jak skutečných</w:t>
      </w:r>
      <w:r>
        <w:rPr>
          <w:rFonts w:cs="Arial"/>
          <w:color w:val="000000"/>
          <w:sz w:val="22"/>
          <w:szCs w:val="22"/>
        </w:rPr>
        <w:t>,</w:t>
      </w:r>
      <w:r w:rsidR="00053101">
        <w:rPr>
          <w:rFonts w:cs="Arial"/>
          <w:color w:val="000000"/>
          <w:sz w:val="22"/>
          <w:szCs w:val="22"/>
        </w:rPr>
        <w:t xml:space="preserve"> tak plánovaných. </w:t>
      </w:r>
      <w:r w:rsidR="00457D31">
        <w:rPr>
          <w:rFonts w:cs="Arial"/>
          <w:color w:val="000000"/>
          <w:sz w:val="22"/>
          <w:szCs w:val="22"/>
        </w:rPr>
        <w:t>T</w:t>
      </w:r>
      <w:r w:rsidR="00053101">
        <w:rPr>
          <w:rFonts w:cs="Arial"/>
          <w:color w:val="000000"/>
          <w:sz w:val="22"/>
          <w:szCs w:val="22"/>
        </w:rPr>
        <w:t xml:space="preserve">o je o </w:t>
      </w:r>
      <w:r w:rsidR="00393B2B">
        <w:rPr>
          <w:rFonts w:cs="Arial"/>
          <w:color w:val="000000"/>
          <w:sz w:val="22"/>
          <w:szCs w:val="22"/>
        </w:rPr>
        <w:t>čtyři</w:t>
      </w:r>
      <w:r w:rsidR="00053101">
        <w:rPr>
          <w:rFonts w:cs="Arial"/>
          <w:color w:val="000000"/>
          <w:sz w:val="22"/>
          <w:szCs w:val="22"/>
        </w:rPr>
        <w:t xml:space="preserve"> procentní body víc než loni, u plánovaných dokonce o </w:t>
      </w:r>
      <w:r w:rsidR="00393B2B">
        <w:rPr>
          <w:rFonts w:cs="Arial"/>
          <w:color w:val="000000"/>
          <w:sz w:val="22"/>
          <w:szCs w:val="22"/>
        </w:rPr>
        <w:t>šest</w:t>
      </w:r>
      <w:r w:rsidR="00053101">
        <w:rPr>
          <w:rFonts w:cs="Arial"/>
          <w:color w:val="000000"/>
          <w:sz w:val="22"/>
          <w:szCs w:val="22"/>
        </w:rPr>
        <w:t xml:space="preserve">. 20 až 24 let dlouhou hypotéku volí nejčastěji lidé mezi 45 a 53 lety. </w:t>
      </w:r>
      <w:r w:rsidR="00457D31">
        <w:rPr>
          <w:rFonts w:cs="Arial"/>
          <w:color w:val="000000"/>
          <w:sz w:val="22"/>
          <w:szCs w:val="22"/>
        </w:rPr>
        <w:t>D</w:t>
      </w:r>
      <w:r w:rsidR="00053101">
        <w:rPr>
          <w:rFonts w:cs="Arial"/>
          <w:color w:val="000000"/>
          <w:sz w:val="22"/>
          <w:szCs w:val="22"/>
        </w:rPr>
        <w:t xml:space="preserve">elší dobu, </w:t>
      </w:r>
      <w:proofErr w:type="gramStart"/>
      <w:r w:rsidR="00053101">
        <w:rPr>
          <w:rFonts w:cs="Arial"/>
          <w:color w:val="000000"/>
          <w:sz w:val="22"/>
          <w:szCs w:val="22"/>
        </w:rPr>
        <w:t>25 – 30</w:t>
      </w:r>
      <w:proofErr w:type="gramEnd"/>
      <w:r w:rsidR="00053101">
        <w:rPr>
          <w:rFonts w:cs="Arial"/>
          <w:color w:val="000000"/>
          <w:sz w:val="22"/>
          <w:szCs w:val="22"/>
        </w:rPr>
        <w:t xml:space="preserve"> let, preferují lidé mezi </w:t>
      </w:r>
      <w:r>
        <w:rPr>
          <w:rFonts w:cs="Arial"/>
          <w:color w:val="000000"/>
          <w:sz w:val="22"/>
          <w:szCs w:val="22"/>
        </w:rPr>
        <w:t>2</w:t>
      </w:r>
      <w:r w:rsidR="00053101">
        <w:rPr>
          <w:rFonts w:cs="Arial"/>
          <w:color w:val="000000"/>
          <w:sz w:val="22"/>
          <w:szCs w:val="22"/>
        </w:rPr>
        <w:t xml:space="preserve">7 a 44 roky. </w:t>
      </w:r>
    </w:p>
    <w:p w14:paraId="6D4AF2DA" w14:textId="70707E2B" w:rsidR="00053101" w:rsidRPr="00427EBC" w:rsidRDefault="00427EBC" w:rsidP="00053101">
      <w:pPr>
        <w:spacing w:after="120" w:line="276" w:lineRule="auto"/>
        <w:rPr>
          <w:rFonts w:cs="Arial"/>
          <w:color w:val="000000"/>
          <w:sz w:val="22"/>
          <w:szCs w:val="22"/>
        </w:rPr>
      </w:pPr>
      <w:r w:rsidRPr="00B865A7">
        <w:rPr>
          <w:rFonts w:cs="Arial"/>
          <w:i/>
          <w:iCs/>
          <w:color w:val="000000"/>
          <w:sz w:val="22"/>
          <w:szCs w:val="22"/>
        </w:rPr>
        <w:t>„</w:t>
      </w:r>
      <w:r w:rsidR="00A13B7E" w:rsidRPr="00B865A7">
        <w:rPr>
          <w:rFonts w:cs="Arial"/>
          <w:i/>
          <w:iCs/>
          <w:color w:val="000000"/>
          <w:sz w:val="22"/>
          <w:szCs w:val="22"/>
        </w:rPr>
        <w:t>Pro průměrnou výši hypotéky</w:t>
      </w:r>
      <w:r w:rsidR="00DD6A70" w:rsidRPr="00B865A7">
        <w:rPr>
          <w:rFonts w:cs="Arial"/>
          <w:i/>
          <w:iCs/>
          <w:color w:val="000000"/>
          <w:sz w:val="22"/>
          <w:szCs w:val="22"/>
        </w:rPr>
        <w:t xml:space="preserve"> 3,4 mil. Kč</w:t>
      </w:r>
      <w:r w:rsidR="00A13B7E" w:rsidRPr="00B865A7">
        <w:rPr>
          <w:rFonts w:cs="Arial"/>
          <w:i/>
          <w:iCs/>
          <w:color w:val="000000"/>
          <w:sz w:val="22"/>
          <w:szCs w:val="22"/>
        </w:rPr>
        <w:t xml:space="preserve"> </w:t>
      </w:r>
      <w:r w:rsidR="00AC24EC" w:rsidRPr="00B865A7">
        <w:rPr>
          <w:rFonts w:cs="Arial"/>
          <w:i/>
          <w:iCs/>
          <w:color w:val="000000"/>
          <w:sz w:val="22"/>
          <w:szCs w:val="22"/>
        </w:rPr>
        <w:t xml:space="preserve">činí rozdíl v měsíční splátce při splatnosti 20 či 30 let </w:t>
      </w:r>
      <w:r w:rsidR="00D0418E" w:rsidRPr="00B865A7">
        <w:rPr>
          <w:rFonts w:cs="Arial"/>
          <w:i/>
          <w:iCs/>
          <w:color w:val="000000"/>
          <w:sz w:val="22"/>
          <w:szCs w:val="22"/>
        </w:rPr>
        <w:t xml:space="preserve">zhruba </w:t>
      </w:r>
      <w:r w:rsidR="00FC5632">
        <w:rPr>
          <w:rFonts w:cs="Arial"/>
          <w:i/>
          <w:iCs/>
          <w:color w:val="000000"/>
          <w:sz w:val="22"/>
          <w:szCs w:val="22"/>
        </w:rPr>
        <w:br/>
      </w:r>
      <w:r w:rsidR="00D0418E" w:rsidRPr="00B865A7">
        <w:rPr>
          <w:rFonts w:cs="Arial"/>
          <w:i/>
          <w:iCs/>
          <w:color w:val="000000"/>
          <w:sz w:val="22"/>
          <w:szCs w:val="22"/>
        </w:rPr>
        <w:t>4 tisíce korun</w:t>
      </w:r>
      <w:r w:rsidR="003F2288" w:rsidRPr="00B865A7">
        <w:rPr>
          <w:rFonts w:cs="Arial"/>
          <w:i/>
          <w:iCs/>
          <w:color w:val="000000"/>
          <w:sz w:val="22"/>
          <w:szCs w:val="22"/>
        </w:rPr>
        <w:t>,</w:t>
      </w:r>
      <w:r w:rsidR="00CC79AC" w:rsidRPr="00B865A7">
        <w:rPr>
          <w:rFonts w:cs="Arial"/>
          <w:i/>
          <w:iCs/>
          <w:color w:val="000000"/>
          <w:sz w:val="22"/>
          <w:szCs w:val="22"/>
        </w:rPr>
        <w:t xml:space="preserve"> je tak logické, že s rychlým růstem úrokových se zvyšuje zájem domácností o prodlužování délky splatnosti hypotéky.</w:t>
      </w:r>
      <w:r w:rsidR="003F2288" w:rsidRPr="00B865A7">
        <w:rPr>
          <w:rFonts w:cs="Arial"/>
          <w:i/>
          <w:iCs/>
          <w:color w:val="000000"/>
          <w:sz w:val="22"/>
          <w:szCs w:val="22"/>
        </w:rPr>
        <w:t xml:space="preserve"> </w:t>
      </w:r>
      <w:r w:rsidR="00E77EFB" w:rsidRPr="00B865A7">
        <w:rPr>
          <w:rFonts w:cs="Arial"/>
          <w:i/>
          <w:iCs/>
          <w:color w:val="000000"/>
          <w:sz w:val="22"/>
          <w:szCs w:val="22"/>
        </w:rPr>
        <w:t>Ta by však dle doporučení centrální banky neměla přesahovat délku ekonomick</w:t>
      </w:r>
      <w:r w:rsidR="00B40138" w:rsidRPr="00B865A7">
        <w:rPr>
          <w:rFonts w:cs="Arial"/>
          <w:i/>
          <w:iCs/>
          <w:color w:val="000000"/>
          <w:sz w:val="22"/>
          <w:szCs w:val="22"/>
        </w:rPr>
        <w:t>é aktivity žadatele o hypoték</w:t>
      </w:r>
      <w:r w:rsidR="006A76AE" w:rsidRPr="00B865A7">
        <w:rPr>
          <w:rFonts w:cs="Arial"/>
          <w:i/>
          <w:iCs/>
          <w:color w:val="000000"/>
          <w:sz w:val="22"/>
          <w:szCs w:val="22"/>
        </w:rPr>
        <w:t>u</w:t>
      </w:r>
      <w:r w:rsidR="00B40138" w:rsidRPr="00B865A7">
        <w:rPr>
          <w:rFonts w:cs="Arial"/>
          <w:i/>
          <w:iCs/>
          <w:color w:val="000000"/>
          <w:sz w:val="22"/>
          <w:szCs w:val="22"/>
        </w:rPr>
        <w:t>, tj. obvykle 30 let,</w:t>
      </w:r>
      <w:r w:rsidRPr="00B865A7">
        <w:rPr>
          <w:rFonts w:cs="Arial"/>
          <w:i/>
          <w:iCs/>
          <w:color w:val="000000"/>
          <w:sz w:val="22"/>
          <w:szCs w:val="22"/>
        </w:rPr>
        <w:t>“</w:t>
      </w:r>
      <w:r w:rsidRPr="00B865A7">
        <w:rPr>
          <w:rFonts w:cs="Arial"/>
          <w:color w:val="000000"/>
          <w:sz w:val="22"/>
          <w:szCs w:val="22"/>
        </w:rPr>
        <w:t xml:space="preserve"> doplňuje</w:t>
      </w:r>
      <w:r w:rsidR="00B40138" w:rsidRPr="00B865A7">
        <w:rPr>
          <w:rFonts w:cs="Arial"/>
          <w:color w:val="000000"/>
          <w:sz w:val="22"/>
          <w:szCs w:val="22"/>
        </w:rPr>
        <w:t xml:space="preserve"> Jakub Seidler</w:t>
      </w:r>
      <w:r w:rsidR="006A76AE" w:rsidRPr="007D173E">
        <w:rPr>
          <w:rFonts w:cs="Arial"/>
          <w:color w:val="000000"/>
          <w:sz w:val="22"/>
          <w:szCs w:val="22"/>
        </w:rPr>
        <w:t>.</w:t>
      </w:r>
    </w:p>
    <w:p w14:paraId="4870076C" w14:textId="77777777" w:rsidR="00CA77FE" w:rsidRDefault="00053101" w:rsidP="00053101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Nejčastější fixace úrokové sazby je 5 let. Tu volí téměř polovina </w:t>
      </w:r>
      <w:r w:rsidR="00BB559D">
        <w:rPr>
          <w:rFonts w:cs="Arial"/>
          <w:color w:val="000000"/>
          <w:sz w:val="22"/>
          <w:szCs w:val="22"/>
        </w:rPr>
        <w:t xml:space="preserve">těch, kteří si hypotéku již pořídili, nebo o tom uvažují </w:t>
      </w:r>
      <w:r>
        <w:rPr>
          <w:rFonts w:cs="Arial"/>
          <w:color w:val="000000"/>
          <w:sz w:val="22"/>
          <w:szCs w:val="22"/>
        </w:rPr>
        <w:t>(46 %). Následuje fixace tříletá a desetiletá. V prvním případě jde o 14 ve druhém o 13 procent lidí. Desetiletou fixaci mají častěji muži</w:t>
      </w:r>
      <w:r w:rsidR="00BB559D">
        <w:rPr>
          <w:rFonts w:cs="Arial"/>
          <w:color w:val="000000"/>
          <w:sz w:val="22"/>
          <w:szCs w:val="22"/>
        </w:rPr>
        <w:t xml:space="preserve"> než ženy</w:t>
      </w:r>
      <w:r>
        <w:rPr>
          <w:rFonts w:cs="Arial"/>
          <w:color w:val="000000"/>
          <w:sz w:val="22"/>
          <w:szCs w:val="22"/>
        </w:rPr>
        <w:t xml:space="preserve"> (18 %). Pětiletá je </w:t>
      </w:r>
      <w:r w:rsidR="00457D31">
        <w:rPr>
          <w:rFonts w:cs="Arial"/>
          <w:color w:val="000000"/>
          <w:sz w:val="22"/>
          <w:szCs w:val="22"/>
        </w:rPr>
        <w:t>častá</w:t>
      </w:r>
      <w:r>
        <w:rPr>
          <w:rFonts w:cs="Arial"/>
          <w:color w:val="000000"/>
          <w:sz w:val="22"/>
          <w:szCs w:val="22"/>
        </w:rPr>
        <w:t xml:space="preserve"> mezi vysokoškolsky vzdělanými lidmi (59 %).</w:t>
      </w:r>
    </w:p>
    <w:p w14:paraId="3A5AC566" w14:textId="17DD2F2F" w:rsidR="00053101" w:rsidRDefault="00CA77FE" w:rsidP="00053101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Pokud se vša</w:t>
      </w:r>
      <w:r w:rsidR="00F60CDE">
        <w:rPr>
          <w:rFonts w:cs="Arial"/>
          <w:color w:val="000000"/>
          <w:sz w:val="22"/>
          <w:szCs w:val="22"/>
        </w:rPr>
        <w:t>k</w:t>
      </w:r>
      <w:r>
        <w:rPr>
          <w:rFonts w:cs="Arial"/>
          <w:color w:val="000000"/>
          <w:sz w:val="22"/>
          <w:szCs w:val="22"/>
        </w:rPr>
        <w:t xml:space="preserve"> podíváme jen na ty</w:t>
      </w:r>
      <w:r w:rsidR="003858C0">
        <w:rPr>
          <w:rFonts w:cs="Arial"/>
          <w:color w:val="000000"/>
          <w:sz w:val="22"/>
          <w:szCs w:val="22"/>
        </w:rPr>
        <w:t xml:space="preserve"> respondenty</w:t>
      </w:r>
      <w:r>
        <w:rPr>
          <w:rFonts w:cs="Arial"/>
          <w:color w:val="000000"/>
          <w:sz w:val="22"/>
          <w:szCs w:val="22"/>
        </w:rPr>
        <w:t>, kteř</w:t>
      </w:r>
      <w:r w:rsidR="00F60CDE">
        <w:rPr>
          <w:rFonts w:cs="Arial"/>
          <w:color w:val="000000"/>
          <w:sz w:val="22"/>
          <w:szCs w:val="22"/>
        </w:rPr>
        <w:t>í</w:t>
      </w:r>
      <w:r>
        <w:rPr>
          <w:rFonts w:cs="Arial"/>
          <w:color w:val="000000"/>
          <w:sz w:val="22"/>
          <w:szCs w:val="22"/>
        </w:rPr>
        <w:t xml:space="preserve"> hypotéku plánují, </w:t>
      </w:r>
      <w:r w:rsidR="00F60CDE">
        <w:rPr>
          <w:rFonts w:cs="Arial"/>
          <w:color w:val="000000"/>
          <w:sz w:val="22"/>
          <w:szCs w:val="22"/>
        </w:rPr>
        <w:t xml:space="preserve">pak </w:t>
      </w:r>
      <w:r>
        <w:rPr>
          <w:rFonts w:cs="Arial"/>
          <w:color w:val="000000"/>
          <w:sz w:val="22"/>
          <w:szCs w:val="22"/>
        </w:rPr>
        <w:t xml:space="preserve">5letou fixaci zvažuje „jen“ 36 % respondentů, </w:t>
      </w:r>
      <w:r w:rsidR="004E5E9E">
        <w:rPr>
          <w:rFonts w:cs="Arial"/>
          <w:color w:val="000000"/>
          <w:sz w:val="22"/>
          <w:szCs w:val="22"/>
        </w:rPr>
        <w:t xml:space="preserve">18 % pak preferuje fixaci tříletou a </w:t>
      </w:r>
      <w:r w:rsidR="00CA3B9D">
        <w:rPr>
          <w:rFonts w:cs="Arial"/>
          <w:color w:val="000000"/>
          <w:sz w:val="22"/>
          <w:szCs w:val="22"/>
        </w:rPr>
        <w:t>1</w:t>
      </w:r>
      <w:r w:rsidR="004E5E9E">
        <w:rPr>
          <w:rFonts w:cs="Arial"/>
          <w:color w:val="000000"/>
          <w:sz w:val="22"/>
          <w:szCs w:val="22"/>
        </w:rPr>
        <w:t>5 % dokonce</w:t>
      </w:r>
      <w:r w:rsidR="00CA3B9D">
        <w:rPr>
          <w:rFonts w:cs="Arial"/>
          <w:color w:val="000000"/>
          <w:sz w:val="22"/>
          <w:szCs w:val="22"/>
        </w:rPr>
        <w:t xml:space="preserve"> fixaci</w:t>
      </w:r>
      <w:r w:rsidR="004E5E9E">
        <w:rPr>
          <w:rFonts w:cs="Arial"/>
          <w:color w:val="000000"/>
          <w:sz w:val="22"/>
          <w:szCs w:val="22"/>
        </w:rPr>
        <w:t xml:space="preserve"> jednoletou</w:t>
      </w:r>
      <w:r w:rsidR="00CA3B9D">
        <w:rPr>
          <w:rFonts w:cs="Arial"/>
          <w:color w:val="000000"/>
          <w:sz w:val="22"/>
          <w:szCs w:val="22"/>
        </w:rPr>
        <w:t xml:space="preserve"> </w:t>
      </w:r>
      <w:r w:rsidR="00EE4038">
        <w:rPr>
          <w:rFonts w:cs="Arial"/>
          <w:color w:val="000000"/>
          <w:sz w:val="22"/>
          <w:szCs w:val="22"/>
        </w:rPr>
        <w:t>či kratší.</w:t>
      </w:r>
    </w:p>
    <w:p w14:paraId="7B16F24F" w14:textId="261BFFB3" w:rsidR="00053101" w:rsidRDefault="00053101" w:rsidP="00053101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70A097AB" w14:textId="2D85F0BD" w:rsidR="0099241B" w:rsidRPr="00DF7447" w:rsidRDefault="00D82BEB" w:rsidP="00053101">
      <w:pPr>
        <w:spacing w:after="120" w:line="276" w:lineRule="auto"/>
        <w:rPr>
          <w:rFonts w:cs="Arial"/>
          <w:b/>
          <w:bCs/>
          <w:color w:val="13576B"/>
          <w:sz w:val="24"/>
          <w:szCs w:val="24"/>
        </w:rPr>
      </w:pPr>
      <w:r>
        <w:rPr>
          <w:rFonts w:cs="Arial"/>
          <w:b/>
          <w:bCs/>
          <w:color w:val="13576B"/>
          <w:sz w:val="24"/>
          <w:szCs w:val="24"/>
        </w:rPr>
        <w:t>Pro financování</w:t>
      </w:r>
      <w:r w:rsidR="00036569">
        <w:rPr>
          <w:rFonts w:cs="Arial"/>
          <w:b/>
          <w:bCs/>
          <w:color w:val="13576B"/>
          <w:sz w:val="24"/>
          <w:szCs w:val="24"/>
        </w:rPr>
        <w:t xml:space="preserve"> hypotéky se nejčastěji využívají vlastní úspory</w:t>
      </w:r>
      <w:r w:rsidR="00B173CD">
        <w:rPr>
          <w:rFonts w:cs="Arial"/>
          <w:b/>
          <w:bCs/>
          <w:color w:val="13576B"/>
          <w:sz w:val="24"/>
          <w:szCs w:val="24"/>
        </w:rPr>
        <w:t xml:space="preserve">, čtvrtina lidí investovala veškeré naspořené peníze </w:t>
      </w:r>
    </w:p>
    <w:p w14:paraId="34B886A5" w14:textId="06715C34" w:rsidR="008B683C" w:rsidRDefault="008B683C" w:rsidP="00D14459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 financování hypotéky využilo své úspory </w:t>
      </w:r>
      <w:r w:rsidR="00676FB4">
        <w:rPr>
          <w:rFonts w:cs="Arial"/>
          <w:color w:val="000000"/>
          <w:sz w:val="22"/>
          <w:szCs w:val="22"/>
        </w:rPr>
        <w:t xml:space="preserve">o něco </w:t>
      </w:r>
      <w:r>
        <w:rPr>
          <w:rFonts w:cs="Arial"/>
          <w:color w:val="000000"/>
          <w:sz w:val="22"/>
          <w:szCs w:val="22"/>
        </w:rPr>
        <w:t>víc</w:t>
      </w:r>
      <w:r w:rsidR="00676FB4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 xml:space="preserve"> lidí než loni. Zatímco v roce 2021 to bylo 63 %, v roce letošním je to 67 % dotazovaných. Téměř čtvrtina </w:t>
      </w:r>
      <w:r w:rsidR="00D82BEB">
        <w:rPr>
          <w:rFonts w:cs="Arial"/>
          <w:color w:val="000000"/>
          <w:sz w:val="22"/>
          <w:szCs w:val="22"/>
        </w:rPr>
        <w:t xml:space="preserve">z nich </w:t>
      </w:r>
      <w:r>
        <w:rPr>
          <w:rFonts w:cs="Arial"/>
          <w:color w:val="000000"/>
          <w:sz w:val="22"/>
          <w:szCs w:val="22"/>
        </w:rPr>
        <w:t xml:space="preserve">přitom do hypotéky vložila veškeré úspory. Necelá polovina pak pouze jejich část (43 %). Téměř třetina lidí nevyužila své úspory vůbec (30 %). V porovnání s loňským rokem tak přibývá lidí, kteří do hypotéky vlastní peníze investují. </w:t>
      </w:r>
    </w:p>
    <w:p w14:paraId="68DE95E0" w14:textId="77777777" w:rsidR="008866AA" w:rsidRDefault="008866AA" w:rsidP="00B3585E">
      <w:pPr>
        <w:spacing w:line="276" w:lineRule="auto"/>
        <w:rPr>
          <w:rFonts w:cs="Arial"/>
          <w:color w:val="000000"/>
          <w:sz w:val="22"/>
          <w:szCs w:val="22"/>
        </w:rPr>
      </w:pPr>
    </w:p>
    <w:p w14:paraId="667CCC54" w14:textId="29788121" w:rsidR="00BE617D" w:rsidRDefault="00BE617D" w:rsidP="00B3585E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Celá čtvrtina těch, kteří invest</w:t>
      </w:r>
      <w:r w:rsidR="00676FB4">
        <w:rPr>
          <w:rFonts w:cs="Arial"/>
          <w:color w:val="000000"/>
          <w:sz w:val="22"/>
          <w:szCs w:val="22"/>
        </w:rPr>
        <w:t>ovali</w:t>
      </w:r>
      <w:r>
        <w:rPr>
          <w:rFonts w:cs="Arial"/>
          <w:color w:val="000000"/>
          <w:sz w:val="22"/>
          <w:szCs w:val="22"/>
        </w:rPr>
        <w:t xml:space="preserve"> vlastní prostředky, si z úspor vyhradila částku do 200 tisíc korun. S podobnou částkou přitom počítá necelá třetina lidí, kteří hypotéku teprve plánují. Víc</w:t>
      </w:r>
      <w:r w:rsidR="00FC5632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 xml:space="preserve"> než pětina lidí dala z vlastních úspor </w:t>
      </w:r>
      <w:r w:rsidR="00676FB4">
        <w:rPr>
          <w:rFonts w:cs="Arial"/>
          <w:color w:val="000000"/>
          <w:sz w:val="22"/>
          <w:szCs w:val="22"/>
        </w:rPr>
        <w:t xml:space="preserve">přes </w:t>
      </w:r>
      <w:r>
        <w:rPr>
          <w:rFonts w:cs="Arial"/>
          <w:color w:val="000000"/>
          <w:sz w:val="22"/>
          <w:szCs w:val="22"/>
        </w:rPr>
        <w:t>půl milionu korun (21 %), což proti minulému roku značí výrazný nárůst (12 %). Víc</w:t>
      </w:r>
      <w:r w:rsidR="00FC5632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 xml:space="preserve"> než pětina dotazovaných zároveň plánuje investovat podobnou částku, tedy </w:t>
      </w:r>
      <w:r w:rsidR="00676FB4">
        <w:rPr>
          <w:rFonts w:cs="Arial"/>
          <w:color w:val="000000"/>
          <w:sz w:val="22"/>
          <w:szCs w:val="22"/>
        </w:rPr>
        <w:t xml:space="preserve">více než </w:t>
      </w:r>
      <w:r>
        <w:rPr>
          <w:rFonts w:cs="Arial"/>
          <w:color w:val="000000"/>
          <w:sz w:val="22"/>
          <w:szCs w:val="22"/>
        </w:rPr>
        <w:t xml:space="preserve">půl milionu. </w:t>
      </w:r>
    </w:p>
    <w:p w14:paraId="400DE5BB" w14:textId="77777777" w:rsidR="001A7C18" w:rsidRDefault="001A7C18" w:rsidP="002719D4">
      <w:pPr>
        <w:spacing w:before="120" w:after="120" w:line="276" w:lineRule="auto"/>
        <w:rPr>
          <w:rFonts w:cs="Arial"/>
          <w:b/>
          <w:bCs/>
          <w:color w:val="13576B"/>
          <w:sz w:val="24"/>
          <w:szCs w:val="24"/>
        </w:rPr>
      </w:pPr>
    </w:p>
    <w:p w14:paraId="702603F9" w14:textId="77777777" w:rsidR="001A7C18" w:rsidRDefault="001A7C18" w:rsidP="002719D4">
      <w:pPr>
        <w:spacing w:before="120" w:after="120" w:line="276" w:lineRule="auto"/>
        <w:rPr>
          <w:rFonts w:cs="Arial"/>
          <w:b/>
          <w:bCs/>
          <w:color w:val="13576B"/>
          <w:sz w:val="24"/>
          <w:szCs w:val="24"/>
        </w:rPr>
      </w:pPr>
    </w:p>
    <w:p w14:paraId="113FECC5" w14:textId="0EFE8AC9" w:rsidR="00F617CD" w:rsidRDefault="001D213D" w:rsidP="002719D4">
      <w:pPr>
        <w:spacing w:before="120" w:after="120" w:line="276" w:lineRule="auto"/>
        <w:rPr>
          <w:rFonts w:cs="Arial"/>
          <w:b/>
          <w:bCs/>
          <w:color w:val="13576B"/>
          <w:sz w:val="24"/>
          <w:szCs w:val="24"/>
        </w:rPr>
      </w:pPr>
      <w:r>
        <w:rPr>
          <w:rFonts w:cs="Arial"/>
          <w:b/>
          <w:bCs/>
          <w:color w:val="13576B"/>
          <w:sz w:val="24"/>
          <w:szCs w:val="24"/>
        </w:rPr>
        <w:lastRenderedPageBreak/>
        <w:t>Víc</w:t>
      </w:r>
      <w:r w:rsidR="00FC5632">
        <w:rPr>
          <w:rFonts w:cs="Arial"/>
          <w:b/>
          <w:bCs/>
          <w:color w:val="13576B"/>
          <w:sz w:val="24"/>
          <w:szCs w:val="24"/>
        </w:rPr>
        <w:t>e</w:t>
      </w:r>
      <w:r>
        <w:rPr>
          <w:rFonts w:cs="Arial"/>
          <w:b/>
          <w:bCs/>
          <w:color w:val="13576B"/>
          <w:sz w:val="24"/>
          <w:szCs w:val="24"/>
        </w:rPr>
        <w:t xml:space="preserve"> než pětina čistého měsíčního příjmu jde na splátky hypotéky</w:t>
      </w:r>
    </w:p>
    <w:p w14:paraId="3B57950F" w14:textId="7D1A2E55" w:rsidR="00B3585E" w:rsidRDefault="00F7131B" w:rsidP="00B3585E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Víc než 20 % čistého příjmu splácí měsíčně třetina domácností a počítá s tím necelá polovina těch, kte</w:t>
      </w:r>
      <w:r w:rsidR="00FC5632">
        <w:rPr>
          <w:rFonts w:cs="Arial"/>
          <w:color w:val="000000"/>
          <w:sz w:val="22"/>
          <w:szCs w:val="22"/>
        </w:rPr>
        <w:t xml:space="preserve">ří </w:t>
      </w:r>
      <w:r>
        <w:rPr>
          <w:rFonts w:cs="Arial"/>
          <w:color w:val="000000"/>
          <w:sz w:val="22"/>
          <w:szCs w:val="22"/>
        </w:rPr>
        <w:t xml:space="preserve">půjčku na bydlení plánují. </w:t>
      </w:r>
      <w:r w:rsidR="0080737E">
        <w:rPr>
          <w:rFonts w:cs="Arial"/>
          <w:color w:val="000000"/>
          <w:sz w:val="22"/>
          <w:szCs w:val="22"/>
        </w:rPr>
        <w:t xml:space="preserve">Největší riziko přitom vidí v úmrtí nebo nemoci spolužadatele o úvěr. Přibližně polovina Čechů </w:t>
      </w:r>
      <w:r w:rsidR="00676FB4">
        <w:rPr>
          <w:rFonts w:cs="Arial"/>
          <w:color w:val="000000"/>
          <w:sz w:val="22"/>
          <w:szCs w:val="22"/>
        </w:rPr>
        <w:t xml:space="preserve">(47 %) </w:t>
      </w:r>
      <w:r w:rsidR="0080737E">
        <w:rPr>
          <w:rFonts w:cs="Arial"/>
          <w:color w:val="000000"/>
          <w:sz w:val="22"/>
          <w:szCs w:val="22"/>
        </w:rPr>
        <w:t xml:space="preserve">se zároveň obává rostoucích výdajů. Naopak nejméně respondentů vidí budoucí problémy v rozchodu, nebo rozvodu s partnerem. </w:t>
      </w:r>
    </w:p>
    <w:p w14:paraId="271B9591" w14:textId="77777777" w:rsidR="00FD539D" w:rsidRDefault="00FD539D" w:rsidP="00B3585E">
      <w:pPr>
        <w:spacing w:after="120" w:line="276" w:lineRule="auto"/>
        <w:rPr>
          <w:rFonts w:cs="Arial"/>
          <w:b/>
          <w:bCs/>
          <w:color w:val="13576B"/>
          <w:sz w:val="24"/>
          <w:szCs w:val="24"/>
        </w:rPr>
      </w:pPr>
    </w:p>
    <w:p w14:paraId="46CE31F6" w14:textId="7F2E1D00" w:rsidR="002D1721" w:rsidRDefault="00032D34" w:rsidP="00B3585E">
      <w:pPr>
        <w:spacing w:after="120" w:line="276" w:lineRule="auto"/>
        <w:rPr>
          <w:rFonts w:cs="Arial"/>
          <w:b/>
          <w:bCs/>
          <w:color w:val="13576B"/>
          <w:sz w:val="24"/>
          <w:szCs w:val="24"/>
        </w:rPr>
      </w:pPr>
      <w:r>
        <w:rPr>
          <w:rFonts w:cs="Arial"/>
          <w:b/>
          <w:bCs/>
          <w:color w:val="13576B"/>
          <w:sz w:val="24"/>
          <w:szCs w:val="24"/>
        </w:rPr>
        <w:t xml:space="preserve">S pojištěním počítá naprostá většina žadatelů, podobně jako v loňském roce </w:t>
      </w:r>
    </w:p>
    <w:p w14:paraId="35770283" w14:textId="7D735752" w:rsidR="008055EC" w:rsidRDefault="009641FF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  <w:r w:rsidRPr="00FC59BA">
        <w:rPr>
          <w:rFonts w:cs="Arial"/>
          <w:color w:val="000000"/>
          <w:sz w:val="22"/>
          <w:szCs w:val="22"/>
        </w:rPr>
        <w:t>Pojištění si kupuj</w:t>
      </w:r>
      <w:r w:rsidR="00215F30" w:rsidRPr="00FC59BA">
        <w:rPr>
          <w:rFonts w:cs="Arial"/>
          <w:color w:val="000000"/>
          <w:sz w:val="22"/>
          <w:szCs w:val="22"/>
        </w:rPr>
        <w:t>e</w:t>
      </w:r>
      <w:r w:rsidRPr="00FC59BA">
        <w:rPr>
          <w:rFonts w:cs="Arial"/>
          <w:color w:val="000000"/>
          <w:sz w:val="22"/>
          <w:szCs w:val="22"/>
        </w:rPr>
        <w:t xml:space="preserve"> naprostá většina lidí s hypotékou a počítá s ním i většina těch, kteří ji teprve plánují. Nejčastěji jde o pojištění </w:t>
      </w:r>
      <w:r w:rsidR="00B00D10" w:rsidRPr="00FC59BA">
        <w:rPr>
          <w:rFonts w:cs="Arial"/>
          <w:color w:val="000000"/>
          <w:sz w:val="22"/>
          <w:szCs w:val="22"/>
        </w:rPr>
        <w:t>nemovitosti</w:t>
      </w:r>
      <w:r w:rsidR="00881B30" w:rsidRPr="00FC59BA">
        <w:rPr>
          <w:rFonts w:cs="Arial"/>
          <w:color w:val="000000"/>
          <w:sz w:val="22"/>
          <w:szCs w:val="22"/>
        </w:rPr>
        <w:t>. Přes internet by si hypotéku sjednalo 13 % populace, podobně jako v loňském roce. U lidí, kteří hypotéku plánují, je to dokonce 23 %.</w:t>
      </w:r>
    </w:p>
    <w:p w14:paraId="4CE9EC55" w14:textId="451C6959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6E024775" w14:textId="687C4252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02093682" w14:textId="367CD03A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6D4D00FC" w14:textId="3E2BB211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2D5B0D05" w14:textId="190F404D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79228862" w14:textId="3CD72391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247C5735" w14:textId="512A4473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5D90D275" w14:textId="17E6B4D0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08B34F08" w14:textId="61EB939C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258AC03C" w14:textId="56FD7B3D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556DAAE6" w14:textId="6B422E4A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64F6CCEF" w14:textId="6B20D6FF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65E4DD3C" w14:textId="18083685" w:rsidR="001A7C18" w:rsidRDefault="001A7C18" w:rsidP="007D173E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3384"/>
      </w:tblGrid>
      <w:tr w:rsidR="009B6DE2" w:rsidRPr="00FC59BA" w14:paraId="0FCCB045" w14:textId="77777777" w:rsidTr="00303C78">
        <w:trPr>
          <w:trHeight w:val="1995"/>
        </w:trPr>
        <w:tc>
          <w:tcPr>
            <w:tcW w:w="6817" w:type="dxa"/>
            <w:shd w:val="clear" w:color="auto" w:fill="13576B"/>
          </w:tcPr>
          <w:p w14:paraId="4D313D11" w14:textId="4232C968" w:rsidR="009B6DE2" w:rsidRPr="001A7C18" w:rsidRDefault="009B6DE2" w:rsidP="00303C78">
            <w:pPr>
              <w:pStyle w:val="CBANadpisvTABULCE"/>
              <w:jc w:val="both"/>
              <w:rPr>
                <w:rFonts w:ascii="IBM Plex Sans" w:hAnsi="IBM Plex Sans" w:cs="Poppins"/>
                <w:b w:val="0"/>
                <w:bCs w:val="0"/>
                <w:color w:val="FFFFFF" w:themeColor="background1"/>
                <w:szCs w:val="18"/>
              </w:rPr>
            </w:pPr>
            <w:r w:rsidRPr="001A7C18">
              <w:rPr>
                <w:rFonts w:ascii="IBM Plex Sans" w:hAnsi="IBM Plex Sans" w:cs="Poppins"/>
                <w:b w:val="0"/>
                <w:bCs w:val="0"/>
                <w:color w:val="FFFFFF" w:themeColor="background1"/>
                <w:szCs w:val="18"/>
              </w:rPr>
              <w:t xml:space="preserve"> České bankovní asociaci</w:t>
            </w:r>
          </w:p>
          <w:p w14:paraId="5FF33618" w14:textId="3F9B9859" w:rsidR="009B6DE2" w:rsidRPr="00FC59BA" w:rsidRDefault="009B6DE2" w:rsidP="00303C78">
            <w:pPr>
              <w:pStyle w:val="CBAodstavecvTABULCE"/>
              <w:jc w:val="both"/>
              <w:rPr>
                <w:rFonts w:ascii="IBM Plex Sans" w:hAnsi="IBM Plex Sans" w:cs="Poppins"/>
                <w:color w:val="A9936D"/>
                <w:szCs w:val="18"/>
              </w:rPr>
            </w:pPr>
            <w:r w:rsidRPr="00FC59BA">
              <w:rPr>
                <w:rFonts w:ascii="IBM Plex Sans" w:hAnsi="IBM Plex Sans" w:cs="Poppins"/>
                <w:color w:val="FFFFFF" w:themeColor="background1"/>
                <w:szCs w:val="18"/>
              </w:rPr>
              <w:t>Česká bankovní asociace vznikla v roce 1990 a je dobrovolným sdružením právnických osob podnikajících v oblasti peněžnictví. V současné době sdružuje 3</w:t>
            </w:r>
            <w:r w:rsidR="008659E6" w:rsidRPr="00FC59BA">
              <w:rPr>
                <w:rFonts w:ascii="IBM Plex Sans" w:hAnsi="IBM Plex Sans" w:cs="Poppins"/>
                <w:color w:val="FFFFFF" w:themeColor="background1"/>
                <w:szCs w:val="18"/>
              </w:rPr>
              <w:t>5</w:t>
            </w:r>
            <w:r w:rsidRPr="00FC59BA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 členů. Rolí asociace je především zastupovat a prosazovat společné zájmy členů, prezentovat roli a zájmy bankovnictví vůči veřejnosti, podílet se na standardizaci postupů v bankovnictví a na vytváření odborných zvyklostí, podporovat harmonizaci bankovní legislativy s legislativou Evropské unie a vyvíjet aktivitu v informativní a školící oblasti. ČBA je členem Evropské bankovní federace a EMMI. Více informací na </w:t>
            </w:r>
            <w:hyperlink r:id="rId12" w:history="1">
              <w:r w:rsidRPr="00FC59BA">
                <w:rPr>
                  <w:rStyle w:val="Hypertextovodkaz"/>
                  <w:rFonts w:ascii="IBM Plex Sans" w:hAnsi="IBM Plex Sans" w:cs="Poppins"/>
                  <w:color w:val="FFFFFF" w:themeColor="background1"/>
                  <w:szCs w:val="18"/>
                </w:rPr>
                <w:t>www.cbaonline.cz</w:t>
              </w:r>
            </w:hyperlink>
            <w:r w:rsidR="00406C4B" w:rsidRPr="00FC59BA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. </w:t>
            </w:r>
          </w:p>
        </w:tc>
        <w:tc>
          <w:tcPr>
            <w:tcW w:w="3384" w:type="dxa"/>
            <w:shd w:val="clear" w:color="auto" w:fill="A9936D"/>
            <w:vAlign w:val="center"/>
          </w:tcPr>
          <w:p w14:paraId="1A770954" w14:textId="25C9EA6F" w:rsidR="009B6DE2" w:rsidRPr="001A7C18" w:rsidRDefault="009B6DE2" w:rsidP="00303C78">
            <w:pPr>
              <w:pStyle w:val="CBAodstavecvTABULCE"/>
              <w:jc w:val="center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 w:rsidRPr="001A7C18">
              <w:rPr>
                <w:rFonts w:ascii="IBM Plex Sans" w:hAnsi="IBM Plex Sans" w:cs="Poppins"/>
                <w:color w:val="FFFFFF" w:themeColor="background1"/>
                <w:szCs w:val="18"/>
              </w:rPr>
              <w:t>Další informace</w:t>
            </w:r>
            <w:r w:rsidR="00716076" w:rsidRPr="001A7C18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 rádi poskytneme</w:t>
            </w:r>
            <w:r w:rsidRPr="001A7C18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 na adrese:</w:t>
            </w:r>
          </w:p>
          <w:p w14:paraId="106F1030" w14:textId="6071705B" w:rsidR="009B6DE2" w:rsidRPr="00FC59BA" w:rsidRDefault="003131A2" w:rsidP="00303C78">
            <w:pPr>
              <w:pStyle w:val="CBAodstavecvTABULCE"/>
              <w:jc w:val="center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 w:rsidRPr="001A7C18">
              <w:rPr>
                <w:rFonts w:ascii="IBM Plex Sans" w:hAnsi="IBM Plex Sans" w:cs="Poppins"/>
                <w:color w:val="FFFFFF" w:themeColor="background1"/>
                <w:szCs w:val="18"/>
              </w:rPr>
              <w:t>radek.salsa</w:t>
            </w:r>
            <w:r w:rsidR="009B6DE2" w:rsidRPr="001A7C18">
              <w:rPr>
                <w:rFonts w:ascii="IBM Plex Sans" w:hAnsi="IBM Plex Sans" w:cs="Poppins"/>
                <w:color w:val="FFFFFF" w:themeColor="background1"/>
                <w:szCs w:val="18"/>
              </w:rPr>
              <w:t>@cbaonline.cz</w:t>
            </w:r>
          </w:p>
        </w:tc>
      </w:tr>
    </w:tbl>
    <w:p w14:paraId="562AFD38" w14:textId="77777777" w:rsidR="00771BF5" w:rsidRPr="00635D8B" w:rsidRDefault="00771BF5" w:rsidP="00563240">
      <w:pPr>
        <w:spacing w:line="276" w:lineRule="auto"/>
        <w:contextualSpacing/>
        <w:rPr>
          <w:rFonts w:cs="Arial"/>
          <w:sz w:val="20"/>
        </w:rPr>
      </w:pPr>
    </w:p>
    <w:sectPr w:rsidR="00771BF5" w:rsidRPr="00635D8B" w:rsidSect="008659E6">
      <w:headerReference w:type="default" r:id="rId13"/>
      <w:footerReference w:type="default" r:id="rId14"/>
      <w:pgSz w:w="11906" w:h="16838" w:code="9"/>
      <w:pgMar w:top="2977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87F2" w14:textId="77777777" w:rsidR="00A55DD7" w:rsidRDefault="00A55DD7" w:rsidP="00F573F1">
      <w:r>
        <w:separator/>
      </w:r>
    </w:p>
  </w:endnote>
  <w:endnote w:type="continuationSeparator" w:id="0">
    <w:p w14:paraId="0D260ED7" w14:textId="77777777" w:rsidR="00A55DD7" w:rsidRDefault="00A55DD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22CB" w14:textId="77777777" w:rsidR="00A55DD7" w:rsidRDefault="00A55DD7" w:rsidP="00F573F1">
      <w:r>
        <w:separator/>
      </w:r>
    </w:p>
  </w:footnote>
  <w:footnote w:type="continuationSeparator" w:id="0">
    <w:p w14:paraId="30BB3BC4" w14:textId="77777777" w:rsidR="00A55DD7" w:rsidRDefault="00A55DD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52151882" w:rsidR="0065124E" w:rsidRDefault="00563240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E5A202D" wp14:editId="59D0D1E8">
          <wp:simplePos x="0" y="0"/>
          <wp:positionH relativeFrom="column">
            <wp:posOffset>-540385</wp:posOffset>
          </wp:positionH>
          <wp:positionV relativeFrom="paragraph">
            <wp:posOffset>-443491</wp:posOffset>
          </wp:positionV>
          <wp:extent cx="7543800" cy="1609876"/>
          <wp:effectExtent l="0" t="0" r="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15" cy="162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7E8"/>
    <w:multiLevelType w:val="hybridMultilevel"/>
    <w:tmpl w:val="0F84A4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75"/>
    <w:multiLevelType w:val="multilevel"/>
    <w:tmpl w:val="800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7EF"/>
    <w:multiLevelType w:val="multilevel"/>
    <w:tmpl w:val="094AC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30D30"/>
    <w:multiLevelType w:val="hybridMultilevel"/>
    <w:tmpl w:val="41E675E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931"/>
    <w:multiLevelType w:val="hybridMultilevel"/>
    <w:tmpl w:val="CE94A9D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6975"/>
    <w:multiLevelType w:val="hybridMultilevel"/>
    <w:tmpl w:val="1A9A075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60CDB"/>
    <w:multiLevelType w:val="hybridMultilevel"/>
    <w:tmpl w:val="9CAAD0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575"/>
    <w:multiLevelType w:val="hybridMultilevel"/>
    <w:tmpl w:val="14DCA70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115FAD"/>
    <w:multiLevelType w:val="multilevel"/>
    <w:tmpl w:val="5EA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B20E1"/>
    <w:multiLevelType w:val="hybridMultilevel"/>
    <w:tmpl w:val="71F06372"/>
    <w:lvl w:ilvl="0" w:tplc="E57085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EB8"/>
    <w:multiLevelType w:val="hybridMultilevel"/>
    <w:tmpl w:val="0268BA8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D4F38"/>
    <w:multiLevelType w:val="hybridMultilevel"/>
    <w:tmpl w:val="A84E57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E69"/>
    <w:multiLevelType w:val="multilevel"/>
    <w:tmpl w:val="3EDE4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B2E39"/>
    <w:multiLevelType w:val="hybridMultilevel"/>
    <w:tmpl w:val="D71CC8D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7E274F"/>
    <w:multiLevelType w:val="hybridMultilevel"/>
    <w:tmpl w:val="51C8FD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45C"/>
    <w:multiLevelType w:val="hybridMultilevel"/>
    <w:tmpl w:val="7B341244"/>
    <w:lvl w:ilvl="0" w:tplc="2AE638C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3D99"/>
    <w:multiLevelType w:val="multilevel"/>
    <w:tmpl w:val="B9A47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95DE9"/>
    <w:multiLevelType w:val="hybridMultilevel"/>
    <w:tmpl w:val="F30A4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35B0F"/>
    <w:multiLevelType w:val="hybridMultilevel"/>
    <w:tmpl w:val="424006B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DF62E2"/>
    <w:multiLevelType w:val="hybridMultilevel"/>
    <w:tmpl w:val="0AB886D2"/>
    <w:lvl w:ilvl="0" w:tplc="BB089BB6">
      <w:start w:val="1"/>
      <w:numFmt w:val="bullet"/>
      <w:pStyle w:val="CBAodrazkavTABULCE"/>
      <w:lvlText w:val=""/>
      <w:lvlJc w:val="left"/>
      <w:pPr>
        <w:ind w:left="720" w:hanging="360"/>
      </w:pPr>
      <w:rPr>
        <w:rFonts w:ascii="Symbol" w:hAnsi="Symbol" w:hint="default"/>
        <w:color w:val="13576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44BD"/>
    <w:multiLevelType w:val="hybridMultilevel"/>
    <w:tmpl w:val="85F2240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2E6C53"/>
    <w:multiLevelType w:val="hybridMultilevel"/>
    <w:tmpl w:val="16AC10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BD2C98"/>
    <w:multiLevelType w:val="hybridMultilevel"/>
    <w:tmpl w:val="1C6CC8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60407"/>
    <w:multiLevelType w:val="hybridMultilevel"/>
    <w:tmpl w:val="616847F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0A46FF"/>
    <w:multiLevelType w:val="hybridMultilevel"/>
    <w:tmpl w:val="C246AF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96221"/>
    <w:multiLevelType w:val="hybridMultilevel"/>
    <w:tmpl w:val="96B4F50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A80E25"/>
    <w:multiLevelType w:val="hybridMultilevel"/>
    <w:tmpl w:val="B9EC19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37EEC"/>
    <w:multiLevelType w:val="hybridMultilevel"/>
    <w:tmpl w:val="136EE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4445B"/>
    <w:multiLevelType w:val="hybridMultilevel"/>
    <w:tmpl w:val="304889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C5193"/>
    <w:multiLevelType w:val="hybridMultilevel"/>
    <w:tmpl w:val="FB44034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1D235B"/>
    <w:multiLevelType w:val="hybridMultilevel"/>
    <w:tmpl w:val="11EE430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B13990"/>
    <w:multiLevelType w:val="hybridMultilevel"/>
    <w:tmpl w:val="27ECF2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FD3B08"/>
    <w:multiLevelType w:val="hybridMultilevel"/>
    <w:tmpl w:val="C12EBD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03513"/>
    <w:multiLevelType w:val="hybridMultilevel"/>
    <w:tmpl w:val="BDCCF6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B08A1"/>
    <w:multiLevelType w:val="hybridMultilevel"/>
    <w:tmpl w:val="81BA5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06EA5"/>
    <w:multiLevelType w:val="multilevel"/>
    <w:tmpl w:val="F8988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145BA4"/>
    <w:multiLevelType w:val="hybridMultilevel"/>
    <w:tmpl w:val="E75414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A29FC"/>
    <w:multiLevelType w:val="multilevel"/>
    <w:tmpl w:val="94DC25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48354E"/>
    <w:multiLevelType w:val="multilevel"/>
    <w:tmpl w:val="A412E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444D5"/>
    <w:multiLevelType w:val="hybridMultilevel"/>
    <w:tmpl w:val="E2E62294"/>
    <w:lvl w:ilvl="0" w:tplc="FFFFFFFF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50BFE"/>
    <w:multiLevelType w:val="multilevel"/>
    <w:tmpl w:val="A0543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97FA7"/>
    <w:multiLevelType w:val="hybridMultilevel"/>
    <w:tmpl w:val="F002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D74FC"/>
    <w:multiLevelType w:val="hybridMultilevel"/>
    <w:tmpl w:val="7B32B5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70518321">
    <w:abstractNumId w:val="8"/>
  </w:num>
  <w:num w:numId="2" w16cid:durableId="2106731838">
    <w:abstractNumId w:val="13"/>
  </w:num>
  <w:num w:numId="3" w16cid:durableId="1732925001">
    <w:abstractNumId w:val="42"/>
  </w:num>
  <w:num w:numId="4" w16cid:durableId="232744604">
    <w:abstractNumId w:val="21"/>
  </w:num>
  <w:num w:numId="5" w16cid:durableId="1017390642">
    <w:abstractNumId w:val="23"/>
  </w:num>
  <w:num w:numId="6" w16cid:durableId="649208894">
    <w:abstractNumId w:val="25"/>
  </w:num>
  <w:num w:numId="7" w16cid:durableId="1012225596">
    <w:abstractNumId w:val="31"/>
  </w:num>
  <w:num w:numId="8" w16cid:durableId="1347055837">
    <w:abstractNumId w:val="30"/>
  </w:num>
  <w:num w:numId="9" w16cid:durableId="1035303186">
    <w:abstractNumId w:val="38"/>
  </w:num>
  <w:num w:numId="10" w16cid:durableId="1254588332">
    <w:abstractNumId w:val="1"/>
  </w:num>
  <w:num w:numId="11" w16cid:durableId="1387219790">
    <w:abstractNumId w:val="37"/>
  </w:num>
  <w:num w:numId="12" w16cid:durableId="257452235">
    <w:abstractNumId w:val="40"/>
  </w:num>
  <w:num w:numId="13" w16cid:durableId="823201940">
    <w:abstractNumId w:val="33"/>
  </w:num>
  <w:num w:numId="14" w16cid:durableId="966474507">
    <w:abstractNumId w:val="11"/>
  </w:num>
  <w:num w:numId="15" w16cid:durableId="532422931">
    <w:abstractNumId w:val="14"/>
  </w:num>
  <w:num w:numId="16" w16cid:durableId="1436098863">
    <w:abstractNumId w:val="28"/>
  </w:num>
  <w:num w:numId="17" w16cid:durableId="1397241703">
    <w:abstractNumId w:val="5"/>
  </w:num>
  <w:num w:numId="18" w16cid:durableId="1573661129">
    <w:abstractNumId w:val="36"/>
  </w:num>
  <w:num w:numId="19" w16cid:durableId="955067336">
    <w:abstractNumId w:val="7"/>
  </w:num>
  <w:num w:numId="20" w16cid:durableId="1249537972">
    <w:abstractNumId w:val="20"/>
  </w:num>
  <w:num w:numId="21" w16cid:durableId="791942410">
    <w:abstractNumId w:val="10"/>
  </w:num>
  <w:num w:numId="22" w16cid:durableId="1952393356">
    <w:abstractNumId w:val="18"/>
  </w:num>
  <w:num w:numId="23" w16cid:durableId="1085150060">
    <w:abstractNumId w:val="34"/>
  </w:num>
  <w:num w:numId="24" w16cid:durableId="70661415">
    <w:abstractNumId w:val="39"/>
  </w:num>
  <w:num w:numId="25" w16cid:durableId="1356269206">
    <w:abstractNumId w:val="26"/>
  </w:num>
  <w:num w:numId="26" w16cid:durableId="465436846">
    <w:abstractNumId w:val="41"/>
  </w:num>
  <w:num w:numId="27" w16cid:durableId="1400009829">
    <w:abstractNumId w:val="3"/>
  </w:num>
  <w:num w:numId="28" w16cid:durableId="803078680">
    <w:abstractNumId w:val="4"/>
  </w:num>
  <w:num w:numId="29" w16cid:durableId="1587301830">
    <w:abstractNumId w:val="12"/>
  </w:num>
  <w:num w:numId="30" w16cid:durableId="1784498334">
    <w:abstractNumId w:val="35"/>
  </w:num>
  <w:num w:numId="31" w16cid:durableId="1608389780">
    <w:abstractNumId w:val="2"/>
  </w:num>
  <w:num w:numId="32" w16cid:durableId="498691812">
    <w:abstractNumId w:val="17"/>
  </w:num>
  <w:num w:numId="33" w16cid:durableId="13390242">
    <w:abstractNumId w:val="22"/>
  </w:num>
  <w:num w:numId="34" w16cid:durableId="1390038255">
    <w:abstractNumId w:val="24"/>
  </w:num>
  <w:num w:numId="35" w16cid:durableId="2133282234">
    <w:abstractNumId w:val="16"/>
  </w:num>
  <w:num w:numId="36" w16cid:durableId="2058309421">
    <w:abstractNumId w:val="0"/>
  </w:num>
  <w:num w:numId="37" w16cid:durableId="2113238078">
    <w:abstractNumId w:val="32"/>
  </w:num>
  <w:num w:numId="38" w16cid:durableId="1860120483">
    <w:abstractNumId w:val="6"/>
  </w:num>
  <w:num w:numId="39" w16cid:durableId="1170415613">
    <w:abstractNumId w:val="27"/>
  </w:num>
  <w:num w:numId="40" w16cid:durableId="1687436674">
    <w:abstractNumId w:val="15"/>
  </w:num>
  <w:num w:numId="41" w16cid:durableId="1110705873">
    <w:abstractNumId w:val="29"/>
  </w:num>
  <w:num w:numId="42" w16cid:durableId="1065569177">
    <w:abstractNumId w:val="19"/>
  </w:num>
  <w:num w:numId="43" w16cid:durableId="1779713049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257B"/>
    <w:rsid w:val="0000485E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2D34"/>
    <w:rsid w:val="00033BDB"/>
    <w:rsid w:val="00034902"/>
    <w:rsid w:val="000363ED"/>
    <w:rsid w:val="00036569"/>
    <w:rsid w:val="00037707"/>
    <w:rsid w:val="00043889"/>
    <w:rsid w:val="00044002"/>
    <w:rsid w:val="000444EA"/>
    <w:rsid w:val="000465D8"/>
    <w:rsid w:val="00046FB7"/>
    <w:rsid w:val="00047DF1"/>
    <w:rsid w:val="000509DD"/>
    <w:rsid w:val="00050AF7"/>
    <w:rsid w:val="00051A5B"/>
    <w:rsid w:val="00052BCB"/>
    <w:rsid w:val="00053101"/>
    <w:rsid w:val="00053EE4"/>
    <w:rsid w:val="000559DE"/>
    <w:rsid w:val="000563EB"/>
    <w:rsid w:val="00056A4F"/>
    <w:rsid w:val="00056D27"/>
    <w:rsid w:val="00056FA7"/>
    <w:rsid w:val="00057072"/>
    <w:rsid w:val="00057396"/>
    <w:rsid w:val="00060D7F"/>
    <w:rsid w:val="000622D8"/>
    <w:rsid w:val="0006285B"/>
    <w:rsid w:val="00072447"/>
    <w:rsid w:val="000742DF"/>
    <w:rsid w:val="0007445A"/>
    <w:rsid w:val="000769D2"/>
    <w:rsid w:val="00081E35"/>
    <w:rsid w:val="000842AE"/>
    <w:rsid w:val="00086094"/>
    <w:rsid w:val="000870EB"/>
    <w:rsid w:val="00090898"/>
    <w:rsid w:val="00093C37"/>
    <w:rsid w:val="0009491E"/>
    <w:rsid w:val="000949FA"/>
    <w:rsid w:val="00097293"/>
    <w:rsid w:val="000A1E35"/>
    <w:rsid w:val="000A2C3B"/>
    <w:rsid w:val="000A3ECF"/>
    <w:rsid w:val="000A4D59"/>
    <w:rsid w:val="000A55AA"/>
    <w:rsid w:val="000A664C"/>
    <w:rsid w:val="000B3D68"/>
    <w:rsid w:val="000B4C8F"/>
    <w:rsid w:val="000B79A4"/>
    <w:rsid w:val="000C234E"/>
    <w:rsid w:val="000C4910"/>
    <w:rsid w:val="000C4CC9"/>
    <w:rsid w:val="000D1707"/>
    <w:rsid w:val="000D249C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77BC"/>
    <w:rsid w:val="000F02FD"/>
    <w:rsid w:val="000F1BC2"/>
    <w:rsid w:val="000F3170"/>
    <w:rsid w:val="000F386D"/>
    <w:rsid w:val="000F53D4"/>
    <w:rsid w:val="000F5A4F"/>
    <w:rsid w:val="000F70CA"/>
    <w:rsid w:val="0010268F"/>
    <w:rsid w:val="0010277A"/>
    <w:rsid w:val="00103662"/>
    <w:rsid w:val="001126B2"/>
    <w:rsid w:val="001129E8"/>
    <w:rsid w:val="00113662"/>
    <w:rsid w:val="0011443F"/>
    <w:rsid w:val="00115361"/>
    <w:rsid w:val="00115D53"/>
    <w:rsid w:val="00116426"/>
    <w:rsid w:val="00116F4B"/>
    <w:rsid w:val="00122CC4"/>
    <w:rsid w:val="00122D51"/>
    <w:rsid w:val="0012351B"/>
    <w:rsid w:val="00123FF9"/>
    <w:rsid w:val="00124277"/>
    <w:rsid w:val="001253CC"/>
    <w:rsid w:val="00131E94"/>
    <w:rsid w:val="00132BA4"/>
    <w:rsid w:val="00134FF8"/>
    <w:rsid w:val="001361CA"/>
    <w:rsid w:val="00136FC5"/>
    <w:rsid w:val="001438B8"/>
    <w:rsid w:val="00143DCC"/>
    <w:rsid w:val="00144D53"/>
    <w:rsid w:val="00145E7A"/>
    <w:rsid w:val="00146F46"/>
    <w:rsid w:val="001500B2"/>
    <w:rsid w:val="0015125A"/>
    <w:rsid w:val="00151921"/>
    <w:rsid w:val="00152252"/>
    <w:rsid w:val="0015295E"/>
    <w:rsid w:val="00152A73"/>
    <w:rsid w:val="00154AE0"/>
    <w:rsid w:val="00157080"/>
    <w:rsid w:val="001622C2"/>
    <w:rsid w:val="001633ED"/>
    <w:rsid w:val="00163F5F"/>
    <w:rsid w:val="00165DDC"/>
    <w:rsid w:val="00172320"/>
    <w:rsid w:val="0017441E"/>
    <w:rsid w:val="00175A85"/>
    <w:rsid w:val="00175D36"/>
    <w:rsid w:val="00176C20"/>
    <w:rsid w:val="00182C97"/>
    <w:rsid w:val="00183066"/>
    <w:rsid w:val="00184412"/>
    <w:rsid w:val="001857AD"/>
    <w:rsid w:val="00195088"/>
    <w:rsid w:val="00195C6D"/>
    <w:rsid w:val="00196205"/>
    <w:rsid w:val="0019772B"/>
    <w:rsid w:val="001A2623"/>
    <w:rsid w:val="001A46CC"/>
    <w:rsid w:val="001A6304"/>
    <w:rsid w:val="001A7C18"/>
    <w:rsid w:val="001B1060"/>
    <w:rsid w:val="001B2BB1"/>
    <w:rsid w:val="001B741D"/>
    <w:rsid w:val="001C091C"/>
    <w:rsid w:val="001C2261"/>
    <w:rsid w:val="001C4266"/>
    <w:rsid w:val="001C6945"/>
    <w:rsid w:val="001C7F88"/>
    <w:rsid w:val="001D0B1C"/>
    <w:rsid w:val="001D213D"/>
    <w:rsid w:val="001D3C90"/>
    <w:rsid w:val="001D5BB9"/>
    <w:rsid w:val="001D6BB6"/>
    <w:rsid w:val="001D7365"/>
    <w:rsid w:val="001E02BB"/>
    <w:rsid w:val="001E133E"/>
    <w:rsid w:val="001E15FD"/>
    <w:rsid w:val="001E2202"/>
    <w:rsid w:val="001E27B8"/>
    <w:rsid w:val="001E31AB"/>
    <w:rsid w:val="001E4427"/>
    <w:rsid w:val="001E6F5D"/>
    <w:rsid w:val="001F3DF4"/>
    <w:rsid w:val="001F5CF7"/>
    <w:rsid w:val="00201DDA"/>
    <w:rsid w:val="00202BDE"/>
    <w:rsid w:val="00203021"/>
    <w:rsid w:val="002045A5"/>
    <w:rsid w:val="0020667A"/>
    <w:rsid w:val="00206A71"/>
    <w:rsid w:val="002075C6"/>
    <w:rsid w:val="002078DD"/>
    <w:rsid w:val="00207AE7"/>
    <w:rsid w:val="002105A2"/>
    <w:rsid w:val="002137B0"/>
    <w:rsid w:val="002152E8"/>
    <w:rsid w:val="00215F30"/>
    <w:rsid w:val="0021762D"/>
    <w:rsid w:val="00217881"/>
    <w:rsid w:val="0022075B"/>
    <w:rsid w:val="00220E78"/>
    <w:rsid w:val="002215C9"/>
    <w:rsid w:val="00221F77"/>
    <w:rsid w:val="00221FF5"/>
    <w:rsid w:val="00222917"/>
    <w:rsid w:val="00225F51"/>
    <w:rsid w:val="0022648E"/>
    <w:rsid w:val="00226A5F"/>
    <w:rsid w:val="00226F32"/>
    <w:rsid w:val="00227ACD"/>
    <w:rsid w:val="002309AE"/>
    <w:rsid w:val="00230E08"/>
    <w:rsid w:val="00231368"/>
    <w:rsid w:val="002316B1"/>
    <w:rsid w:val="00234FD0"/>
    <w:rsid w:val="002375B2"/>
    <w:rsid w:val="002379BB"/>
    <w:rsid w:val="00237A71"/>
    <w:rsid w:val="00240233"/>
    <w:rsid w:val="00242D73"/>
    <w:rsid w:val="00243E82"/>
    <w:rsid w:val="002443DF"/>
    <w:rsid w:val="00244923"/>
    <w:rsid w:val="002472A6"/>
    <w:rsid w:val="00247512"/>
    <w:rsid w:val="0025305E"/>
    <w:rsid w:val="00253816"/>
    <w:rsid w:val="00253D09"/>
    <w:rsid w:val="00256268"/>
    <w:rsid w:val="002567A3"/>
    <w:rsid w:val="00262B7F"/>
    <w:rsid w:val="00266980"/>
    <w:rsid w:val="00266A69"/>
    <w:rsid w:val="00267ACA"/>
    <w:rsid w:val="00270A4E"/>
    <w:rsid w:val="00270EF9"/>
    <w:rsid w:val="002719D4"/>
    <w:rsid w:val="00271C46"/>
    <w:rsid w:val="00275209"/>
    <w:rsid w:val="002805CE"/>
    <w:rsid w:val="00280D31"/>
    <w:rsid w:val="00283681"/>
    <w:rsid w:val="00290498"/>
    <w:rsid w:val="00290620"/>
    <w:rsid w:val="0029147D"/>
    <w:rsid w:val="00291C41"/>
    <w:rsid w:val="002937AF"/>
    <w:rsid w:val="00293B26"/>
    <w:rsid w:val="002972E3"/>
    <w:rsid w:val="0029774E"/>
    <w:rsid w:val="002A02A1"/>
    <w:rsid w:val="002A2CE3"/>
    <w:rsid w:val="002A31A1"/>
    <w:rsid w:val="002A3CF3"/>
    <w:rsid w:val="002A3F7E"/>
    <w:rsid w:val="002A4191"/>
    <w:rsid w:val="002A481E"/>
    <w:rsid w:val="002A6290"/>
    <w:rsid w:val="002B4617"/>
    <w:rsid w:val="002B5069"/>
    <w:rsid w:val="002B724C"/>
    <w:rsid w:val="002C2C2B"/>
    <w:rsid w:val="002C30D4"/>
    <w:rsid w:val="002C513E"/>
    <w:rsid w:val="002D08B0"/>
    <w:rsid w:val="002D0F7C"/>
    <w:rsid w:val="002D1376"/>
    <w:rsid w:val="002D1721"/>
    <w:rsid w:val="002D2A30"/>
    <w:rsid w:val="002D4720"/>
    <w:rsid w:val="002D49FB"/>
    <w:rsid w:val="002D4A25"/>
    <w:rsid w:val="002D658E"/>
    <w:rsid w:val="002E1390"/>
    <w:rsid w:val="002E5E57"/>
    <w:rsid w:val="002F1752"/>
    <w:rsid w:val="002F2FAA"/>
    <w:rsid w:val="002F3512"/>
    <w:rsid w:val="002F477C"/>
    <w:rsid w:val="002F557F"/>
    <w:rsid w:val="002F57FA"/>
    <w:rsid w:val="003005F2"/>
    <w:rsid w:val="003028DC"/>
    <w:rsid w:val="00303C78"/>
    <w:rsid w:val="003131A2"/>
    <w:rsid w:val="00313FF2"/>
    <w:rsid w:val="00315F32"/>
    <w:rsid w:val="00320811"/>
    <w:rsid w:val="00322434"/>
    <w:rsid w:val="00324743"/>
    <w:rsid w:val="003253AF"/>
    <w:rsid w:val="00327407"/>
    <w:rsid w:val="00327CB6"/>
    <w:rsid w:val="003329E5"/>
    <w:rsid w:val="00332EFA"/>
    <w:rsid w:val="00332F9E"/>
    <w:rsid w:val="00333AFE"/>
    <w:rsid w:val="00335341"/>
    <w:rsid w:val="0033719B"/>
    <w:rsid w:val="00341D86"/>
    <w:rsid w:val="003444F4"/>
    <w:rsid w:val="00346684"/>
    <w:rsid w:val="003472AF"/>
    <w:rsid w:val="003502D2"/>
    <w:rsid w:val="003508FE"/>
    <w:rsid w:val="00351369"/>
    <w:rsid w:val="00352542"/>
    <w:rsid w:val="00355000"/>
    <w:rsid w:val="00355A0E"/>
    <w:rsid w:val="00355F3A"/>
    <w:rsid w:val="00356FF7"/>
    <w:rsid w:val="003608FD"/>
    <w:rsid w:val="0036420C"/>
    <w:rsid w:val="00366057"/>
    <w:rsid w:val="003677E2"/>
    <w:rsid w:val="00367FCE"/>
    <w:rsid w:val="0037051F"/>
    <w:rsid w:val="00370DB0"/>
    <w:rsid w:val="00370F35"/>
    <w:rsid w:val="00370F7A"/>
    <w:rsid w:val="00372865"/>
    <w:rsid w:val="003732C7"/>
    <w:rsid w:val="003739F0"/>
    <w:rsid w:val="00373B6E"/>
    <w:rsid w:val="003749A5"/>
    <w:rsid w:val="00376918"/>
    <w:rsid w:val="00376F07"/>
    <w:rsid w:val="00380502"/>
    <w:rsid w:val="00380788"/>
    <w:rsid w:val="003832C0"/>
    <w:rsid w:val="00384170"/>
    <w:rsid w:val="003847A3"/>
    <w:rsid w:val="0038561F"/>
    <w:rsid w:val="003858C0"/>
    <w:rsid w:val="00391C4B"/>
    <w:rsid w:val="00391FA6"/>
    <w:rsid w:val="00393B2B"/>
    <w:rsid w:val="0039430F"/>
    <w:rsid w:val="003952ED"/>
    <w:rsid w:val="00396DEC"/>
    <w:rsid w:val="00396F9D"/>
    <w:rsid w:val="00397430"/>
    <w:rsid w:val="003A08EC"/>
    <w:rsid w:val="003A0F5E"/>
    <w:rsid w:val="003A24B3"/>
    <w:rsid w:val="003A5636"/>
    <w:rsid w:val="003A623D"/>
    <w:rsid w:val="003A6B26"/>
    <w:rsid w:val="003A7B48"/>
    <w:rsid w:val="003B0433"/>
    <w:rsid w:val="003B04C1"/>
    <w:rsid w:val="003B0705"/>
    <w:rsid w:val="003B2C84"/>
    <w:rsid w:val="003B2EBE"/>
    <w:rsid w:val="003B318C"/>
    <w:rsid w:val="003B4F01"/>
    <w:rsid w:val="003B5E6F"/>
    <w:rsid w:val="003C0B36"/>
    <w:rsid w:val="003C12B6"/>
    <w:rsid w:val="003C1BD8"/>
    <w:rsid w:val="003C24D9"/>
    <w:rsid w:val="003C373E"/>
    <w:rsid w:val="003C3D7F"/>
    <w:rsid w:val="003C6326"/>
    <w:rsid w:val="003C6843"/>
    <w:rsid w:val="003C6D87"/>
    <w:rsid w:val="003C7DC4"/>
    <w:rsid w:val="003D079C"/>
    <w:rsid w:val="003D224C"/>
    <w:rsid w:val="003D4AA2"/>
    <w:rsid w:val="003E14DF"/>
    <w:rsid w:val="003E215A"/>
    <w:rsid w:val="003E2946"/>
    <w:rsid w:val="003E32B0"/>
    <w:rsid w:val="003E382B"/>
    <w:rsid w:val="003E3DCB"/>
    <w:rsid w:val="003E4ADE"/>
    <w:rsid w:val="003E5891"/>
    <w:rsid w:val="003E6317"/>
    <w:rsid w:val="003F021E"/>
    <w:rsid w:val="003F03DF"/>
    <w:rsid w:val="003F198A"/>
    <w:rsid w:val="003F1CB9"/>
    <w:rsid w:val="003F2050"/>
    <w:rsid w:val="003F2288"/>
    <w:rsid w:val="003F37CA"/>
    <w:rsid w:val="003F7F31"/>
    <w:rsid w:val="004009B6"/>
    <w:rsid w:val="00402FA1"/>
    <w:rsid w:val="00403744"/>
    <w:rsid w:val="00406C4B"/>
    <w:rsid w:val="0041521E"/>
    <w:rsid w:val="00415739"/>
    <w:rsid w:val="00420139"/>
    <w:rsid w:val="00420AD3"/>
    <w:rsid w:val="00421FFD"/>
    <w:rsid w:val="00422B81"/>
    <w:rsid w:val="00424D1B"/>
    <w:rsid w:val="00425B3B"/>
    <w:rsid w:val="00427EBC"/>
    <w:rsid w:val="00427F38"/>
    <w:rsid w:val="00430929"/>
    <w:rsid w:val="004325D3"/>
    <w:rsid w:val="00434F52"/>
    <w:rsid w:val="004371EE"/>
    <w:rsid w:val="00437589"/>
    <w:rsid w:val="004406B4"/>
    <w:rsid w:val="00440E28"/>
    <w:rsid w:val="00444BDA"/>
    <w:rsid w:val="004455AE"/>
    <w:rsid w:val="00445609"/>
    <w:rsid w:val="00445B89"/>
    <w:rsid w:val="004476C2"/>
    <w:rsid w:val="00451368"/>
    <w:rsid w:val="00452C30"/>
    <w:rsid w:val="00453D75"/>
    <w:rsid w:val="004555E6"/>
    <w:rsid w:val="00457D31"/>
    <w:rsid w:val="004601F7"/>
    <w:rsid w:val="0046223C"/>
    <w:rsid w:val="00462717"/>
    <w:rsid w:val="00462EEA"/>
    <w:rsid w:val="004641CC"/>
    <w:rsid w:val="0046592E"/>
    <w:rsid w:val="0046651A"/>
    <w:rsid w:val="004714FB"/>
    <w:rsid w:val="00471C10"/>
    <w:rsid w:val="00471D6F"/>
    <w:rsid w:val="00472210"/>
    <w:rsid w:val="0047757F"/>
    <w:rsid w:val="00477AF5"/>
    <w:rsid w:val="00482526"/>
    <w:rsid w:val="00482A76"/>
    <w:rsid w:val="00482F67"/>
    <w:rsid w:val="0048354D"/>
    <w:rsid w:val="00483DC8"/>
    <w:rsid w:val="0048489E"/>
    <w:rsid w:val="0049025B"/>
    <w:rsid w:val="00490E1A"/>
    <w:rsid w:val="00491408"/>
    <w:rsid w:val="00492636"/>
    <w:rsid w:val="004926A2"/>
    <w:rsid w:val="00493236"/>
    <w:rsid w:val="00493F88"/>
    <w:rsid w:val="00495300"/>
    <w:rsid w:val="00495C6A"/>
    <w:rsid w:val="004979BF"/>
    <w:rsid w:val="00497D52"/>
    <w:rsid w:val="004A1724"/>
    <w:rsid w:val="004A20C8"/>
    <w:rsid w:val="004A435C"/>
    <w:rsid w:val="004A53BB"/>
    <w:rsid w:val="004A53FC"/>
    <w:rsid w:val="004A6CE0"/>
    <w:rsid w:val="004A74F4"/>
    <w:rsid w:val="004B1766"/>
    <w:rsid w:val="004B19DD"/>
    <w:rsid w:val="004B3889"/>
    <w:rsid w:val="004B3F26"/>
    <w:rsid w:val="004B7ECE"/>
    <w:rsid w:val="004C07DD"/>
    <w:rsid w:val="004C0A56"/>
    <w:rsid w:val="004C2446"/>
    <w:rsid w:val="004C2697"/>
    <w:rsid w:val="004C2DF2"/>
    <w:rsid w:val="004C42E8"/>
    <w:rsid w:val="004C50BF"/>
    <w:rsid w:val="004C6182"/>
    <w:rsid w:val="004C629B"/>
    <w:rsid w:val="004C751A"/>
    <w:rsid w:val="004C7E8B"/>
    <w:rsid w:val="004D24D0"/>
    <w:rsid w:val="004D3E58"/>
    <w:rsid w:val="004D3FB2"/>
    <w:rsid w:val="004D4333"/>
    <w:rsid w:val="004D5EA6"/>
    <w:rsid w:val="004D6531"/>
    <w:rsid w:val="004E011D"/>
    <w:rsid w:val="004E1AC6"/>
    <w:rsid w:val="004E4B5B"/>
    <w:rsid w:val="004E5E51"/>
    <w:rsid w:val="004E5E9E"/>
    <w:rsid w:val="004F40C4"/>
    <w:rsid w:val="004F4632"/>
    <w:rsid w:val="004F6CFB"/>
    <w:rsid w:val="004F6EA8"/>
    <w:rsid w:val="004F70A7"/>
    <w:rsid w:val="0050228D"/>
    <w:rsid w:val="005050D7"/>
    <w:rsid w:val="00505A38"/>
    <w:rsid w:val="005069C2"/>
    <w:rsid w:val="0051164C"/>
    <w:rsid w:val="00512176"/>
    <w:rsid w:val="00517111"/>
    <w:rsid w:val="005208BD"/>
    <w:rsid w:val="00521FF6"/>
    <w:rsid w:val="005324CB"/>
    <w:rsid w:val="00533601"/>
    <w:rsid w:val="00533791"/>
    <w:rsid w:val="0053589B"/>
    <w:rsid w:val="005364AC"/>
    <w:rsid w:val="00537D95"/>
    <w:rsid w:val="005404FA"/>
    <w:rsid w:val="00540D7A"/>
    <w:rsid w:val="00546646"/>
    <w:rsid w:val="0054665C"/>
    <w:rsid w:val="00546DA5"/>
    <w:rsid w:val="00546E69"/>
    <w:rsid w:val="00552694"/>
    <w:rsid w:val="0055377C"/>
    <w:rsid w:val="00553C7D"/>
    <w:rsid w:val="00554717"/>
    <w:rsid w:val="005562D4"/>
    <w:rsid w:val="00556DE6"/>
    <w:rsid w:val="00561ED7"/>
    <w:rsid w:val="00563240"/>
    <w:rsid w:val="00563855"/>
    <w:rsid w:val="005642DD"/>
    <w:rsid w:val="00564453"/>
    <w:rsid w:val="0056611F"/>
    <w:rsid w:val="005666D7"/>
    <w:rsid w:val="00570BF1"/>
    <w:rsid w:val="00571BEE"/>
    <w:rsid w:val="00571C08"/>
    <w:rsid w:val="00571E5D"/>
    <w:rsid w:val="00573F62"/>
    <w:rsid w:val="00576C13"/>
    <w:rsid w:val="00576CF4"/>
    <w:rsid w:val="00577164"/>
    <w:rsid w:val="00577D9F"/>
    <w:rsid w:val="00580B2F"/>
    <w:rsid w:val="00582095"/>
    <w:rsid w:val="00584718"/>
    <w:rsid w:val="00584D4C"/>
    <w:rsid w:val="00587350"/>
    <w:rsid w:val="00587BA9"/>
    <w:rsid w:val="00592176"/>
    <w:rsid w:val="0059556C"/>
    <w:rsid w:val="00595C61"/>
    <w:rsid w:val="005A0ACF"/>
    <w:rsid w:val="005A0C34"/>
    <w:rsid w:val="005A1433"/>
    <w:rsid w:val="005A2501"/>
    <w:rsid w:val="005A347C"/>
    <w:rsid w:val="005A34B6"/>
    <w:rsid w:val="005A3E34"/>
    <w:rsid w:val="005A44FF"/>
    <w:rsid w:val="005A4C49"/>
    <w:rsid w:val="005A51C6"/>
    <w:rsid w:val="005A5BAB"/>
    <w:rsid w:val="005A77DC"/>
    <w:rsid w:val="005A7B68"/>
    <w:rsid w:val="005B03B0"/>
    <w:rsid w:val="005B08A6"/>
    <w:rsid w:val="005B3439"/>
    <w:rsid w:val="005B57DE"/>
    <w:rsid w:val="005B5E17"/>
    <w:rsid w:val="005B6335"/>
    <w:rsid w:val="005C1943"/>
    <w:rsid w:val="005C22C2"/>
    <w:rsid w:val="005C3106"/>
    <w:rsid w:val="005C501A"/>
    <w:rsid w:val="005C576C"/>
    <w:rsid w:val="005C6D52"/>
    <w:rsid w:val="005C751B"/>
    <w:rsid w:val="005C7858"/>
    <w:rsid w:val="005C7A9A"/>
    <w:rsid w:val="005D0513"/>
    <w:rsid w:val="005D11A5"/>
    <w:rsid w:val="005D3875"/>
    <w:rsid w:val="005D4BC8"/>
    <w:rsid w:val="005D55D6"/>
    <w:rsid w:val="005D593D"/>
    <w:rsid w:val="005D6E43"/>
    <w:rsid w:val="005D769A"/>
    <w:rsid w:val="005E092E"/>
    <w:rsid w:val="005E181E"/>
    <w:rsid w:val="005E1DD8"/>
    <w:rsid w:val="005E375A"/>
    <w:rsid w:val="005E58E1"/>
    <w:rsid w:val="005E5F8B"/>
    <w:rsid w:val="005F0EC7"/>
    <w:rsid w:val="005F2843"/>
    <w:rsid w:val="005F39C7"/>
    <w:rsid w:val="005F4B41"/>
    <w:rsid w:val="005F4F2A"/>
    <w:rsid w:val="005F51B7"/>
    <w:rsid w:val="005F73A6"/>
    <w:rsid w:val="00600D9B"/>
    <w:rsid w:val="0060308F"/>
    <w:rsid w:val="00603C53"/>
    <w:rsid w:val="0060552B"/>
    <w:rsid w:val="00606E04"/>
    <w:rsid w:val="00607D24"/>
    <w:rsid w:val="00611C5C"/>
    <w:rsid w:val="006123DF"/>
    <w:rsid w:val="006131E9"/>
    <w:rsid w:val="0061392C"/>
    <w:rsid w:val="006203EC"/>
    <w:rsid w:val="00622191"/>
    <w:rsid w:val="00622D62"/>
    <w:rsid w:val="0062336F"/>
    <w:rsid w:val="00624A28"/>
    <w:rsid w:val="00624B94"/>
    <w:rsid w:val="006264F1"/>
    <w:rsid w:val="00626CB1"/>
    <w:rsid w:val="006325EF"/>
    <w:rsid w:val="0063314F"/>
    <w:rsid w:val="0063450F"/>
    <w:rsid w:val="00635D8B"/>
    <w:rsid w:val="00637228"/>
    <w:rsid w:val="0064298D"/>
    <w:rsid w:val="0064364F"/>
    <w:rsid w:val="00643F5F"/>
    <w:rsid w:val="006445A3"/>
    <w:rsid w:val="00650724"/>
    <w:rsid w:val="0065124E"/>
    <w:rsid w:val="006513A0"/>
    <w:rsid w:val="00651436"/>
    <w:rsid w:val="00654F37"/>
    <w:rsid w:val="00655DE8"/>
    <w:rsid w:val="0066152C"/>
    <w:rsid w:val="00661C43"/>
    <w:rsid w:val="00662C23"/>
    <w:rsid w:val="00662C5E"/>
    <w:rsid w:val="0066473E"/>
    <w:rsid w:val="00664986"/>
    <w:rsid w:val="00665069"/>
    <w:rsid w:val="00665718"/>
    <w:rsid w:val="00674856"/>
    <w:rsid w:val="00676326"/>
    <w:rsid w:val="006768EF"/>
    <w:rsid w:val="00676FB4"/>
    <w:rsid w:val="006777C7"/>
    <w:rsid w:val="006839E8"/>
    <w:rsid w:val="00685F12"/>
    <w:rsid w:val="00691507"/>
    <w:rsid w:val="0069195C"/>
    <w:rsid w:val="0069373F"/>
    <w:rsid w:val="006963D2"/>
    <w:rsid w:val="006A0B4A"/>
    <w:rsid w:val="006A0F4A"/>
    <w:rsid w:val="006A123E"/>
    <w:rsid w:val="006A1D16"/>
    <w:rsid w:val="006A644F"/>
    <w:rsid w:val="006A76AE"/>
    <w:rsid w:val="006A7BEA"/>
    <w:rsid w:val="006B120F"/>
    <w:rsid w:val="006B1C3F"/>
    <w:rsid w:val="006B2EBD"/>
    <w:rsid w:val="006B2F86"/>
    <w:rsid w:val="006B37A6"/>
    <w:rsid w:val="006B68CF"/>
    <w:rsid w:val="006C13D5"/>
    <w:rsid w:val="006C1944"/>
    <w:rsid w:val="006C3A40"/>
    <w:rsid w:val="006C44CE"/>
    <w:rsid w:val="006D0EE8"/>
    <w:rsid w:val="006D12C7"/>
    <w:rsid w:val="006D1610"/>
    <w:rsid w:val="006D175B"/>
    <w:rsid w:val="006D1BF7"/>
    <w:rsid w:val="006D23EF"/>
    <w:rsid w:val="006D463D"/>
    <w:rsid w:val="006D4DD6"/>
    <w:rsid w:val="006D59F8"/>
    <w:rsid w:val="006D61DA"/>
    <w:rsid w:val="006E0941"/>
    <w:rsid w:val="006E167A"/>
    <w:rsid w:val="006E1DC5"/>
    <w:rsid w:val="006E3420"/>
    <w:rsid w:val="006E3BD0"/>
    <w:rsid w:val="006E3FA9"/>
    <w:rsid w:val="006E4D14"/>
    <w:rsid w:val="006F0B1A"/>
    <w:rsid w:val="006F1A53"/>
    <w:rsid w:val="006F2196"/>
    <w:rsid w:val="006F2B29"/>
    <w:rsid w:val="006F5A87"/>
    <w:rsid w:val="00702D07"/>
    <w:rsid w:val="00705982"/>
    <w:rsid w:val="007078D6"/>
    <w:rsid w:val="007125D2"/>
    <w:rsid w:val="00712E4D"/>
    <w:rsid w:val="007133E9"/>
    <w:rsid w:val="00714837"/>
    <w:rsid w:val="007159F9"/>
    <w:rsid w:val="00716076"/>
    <w:rsid w:val="00717B00"/>
    <w:rsid w:val="00720DE3"/>
    <w:rsid w:val="00722F2C"/>
    <w:rsid w:val="00723293"/>
    <w:rsid w:val="00724D46"/>
    <w:rsid w:val="00727012"/>
    <w:rsid w:val="0072723A"/>
    <w:rsid w:val="007325B1"/>
    <w:rsid w:val="00733C05"/>
    <w:rsid w:val="0073460E"/>
    <w:rsid w:val="007402C2"/>
    <w:rsid w:val="00742700"/>
    <w:rsid w:val="00743577"/>
    <w:rsid w:val="00744C66"/>
    <w:rsid w:val="00745413"/>
    <w:rsid w:val="007468A2"/>
    <w:rsid w:val="00750C91"/>
    <w:rsid w:val="007512C3"/>
    <w:rsid w:val="00756FF4"/>
    <w:rsid w:val="007609D5"/>
    <w:rsid w:val="00760FDA"/>
    <w:rsid w:val="007624AC"/>
    <w:rsid w:val="00762F6A"/>
    <w:rsid w:val="00762FBA"/>
    <w:rsid w:val="00763887"/>
    <w:rsid w:val="00764748"/>
    <w:rsid w:val="0076479C"/>
    <w:rsid w:val="00765515"/>
    <w:rsid w:val="00766B61"/>
    <w:rsid w:val="00771AA1"/>
    <w:rsid w:val="00771BF5"/>
    <w:rsid w:val="00776698"/>
    <w:rsid w:val="0077740E"/>
    <w:rsid w:val="007804C9"/>
    <w:rsid w:val="00780583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4EB3"/>
    <w:rsid w:val="007A64C9"/>
    <w:rsid w:val="007A7A93"/>
    <w:rsid w:val="007A7B10"/>
    <w:rsid w:val="007B02A8"/>
    <w:rsid w:val="007B0B30"/>
    <w:rsid w:val="007B2394"/>
    <w:rsid w:val="007B5E3D"/>
    <w:rsid w:val="007B6B28"/>
    <w:rsid w:val="007B7B44"/>
    <w:rsid w:val="007C3FD7"/>
    <w:rsid w:val="007C4C83"/>
    <w:rsid w:val="007C6720"/>
    <w:rsid w:val="007D173E"/>
    <w:rsid w:val="007D1E88"/>
    <w:rsid w:val="007D24FB"/>
    <w:rsid w:val="007D275E"/>
    <w:rsid w:val="007D3A6D"/>
    <w:rsid w:val="007D3F75"/>
    <w:rsid w:val="007D4025"/>
    <w:rsid w:val="007E1035"/>
    <w:rsid w:val="007E18D1"/>
    <w:rsid w:val="007E19FF"/>
    <w:rsid w:val="007E4218"/>
    <w:rsid w:val="007E707F"/>
    <w:rsid w:val="007E770A"/>
    <w:rsid w:val="007F166D"/>
    <w:rsid w:val="007F1EDF"/>
    <w:rsid w:val="007F1F50"/>
    <w:rsid w:val="007F3143"/>
    <w:rsid w:val="007F35DD"/>
    <w:rsid w:val="007F3D74"/>
    <w:rsid w:val="007F40D6"/>
    <w:rsid w:val="007F43F8"/>
    <w:rsid w:val="007F65C1"/>
    <w:rsid w:val="007F742B"/>
    <w:rsid w:val="007F7CBC"/>
    <w:rsid w:val="008000AB"/>
    <w:rsid w:val="008004DB"/>
    <w:rsid w:val="00802F9F"/>
    <w:rsid w:val="00803E55"/>
    <w:rsid w:val="00804F92"/>
    <w:rsid w:val="008055EC"/>
    <w:rsid w:val="0080737E"/>
    <w:rsid w:val="00807F85"/>
    <w:rsid w:val="00810E94"/>
    <w:rsid w:val="008116DE"/>
    <w:rsid w:val="00811E22"/>
    <w:rsid w:val="00811F2C"/>
    <w:rsid w:val="00811FE2"/>
    <w:rsid w:val="00814FC2"/>
    <w:rsid w:val="00820A66"/>
    <w:rsid w:val="00823323"/>
    <w:rsid w:val="008242DA"/>
    <w:rsid w:val="00826371"/>
    <w:rsid w:val="0082668B"/>
    <w:rsid w:val="00830214"/>
    <w:rsid w:val="008308D3"/>
    <w:rsid w:val="00830902"/>
    <w:rsid w:val="00833DC8"/>
    <w:rsid w:val="00834366"/>
    <w:rsid w:val="008363D1"/>
    <w:rsid w:val="00837238"/>
    <w:rsid w:val="00842443"/>
    <w:rsid w:val="00843285"/>
    <w:rsid w:val="00843386"/>
    <w:rsid w:val="008466C4"/>
    <w:rsid w:val="008477F9"/>
    <w:rsid w:val="008508B5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659E6"/>
    <w:rsid w:val="0086769F"/>
    <w:rsid w:val="00870102"/>
    <w:rsid w:val="00872847"/>
    <w:rsid w:val="00872C9B"/>
    <w:rsid w:val="00873451"/>
    <w:rsid w:val="008746B8"/>
    <w:rsid w:val="00874DCB"/>
    <w:rsid w:val="0087619E"/>
    <w:rsid w:val="00877706"/>
    <w:rsid w:val="008810E3"/>
    <w:rsid w:val="00881B30"/>
    <w:rsid w:val="008825CE"/>
    <w:rsid w:val="0088460D"/>
    <w:rsid w:val="008851DC"/>
    <w:rsid w:val="008857AA"/>
    <w:rsid w:val="00885D28"/>
    <w:rsid w:val="0088650A"/>
    <w:rsid w:val="00886569"/>
    <w:rsid w:val="008866AA"/>
    <w:rsid w:val="00887608"/>
    <w:rsid w:val="00890B66"/>
    <w:rsid w:val="008921BF"/>
    <w:rsid w:val="00893E72"/>
    <w:rsid w:val="008A01D7"/>
    <w:rsid w:val="008A6398"/>
    <w:rsid w:val="008B08AC"/>
    <w:rsid w:val="008B19B7"/>
    <w:rsid w:val="008B1C16"/>
    <w:rsid w:val="008B2390"/>
    <w:rsid w:val="008B2E9A"/>
    <w:rsid w:val="008B44C3"/>
    <w:rsid w:val="008B683C"/>
    <w:rsid w:val="008B79F1"/>
    <w:rsid w:val="008C1507"/>
    <w:rsid w:val="008C5342"/>
    <w:rsid w:val="008C5671"/>
    <w:rsid w:val="008C5D4D"/>
    <w:rsid w:val="008C6E35"/>
    <w:rsid w:val="008C6E6E"/>
    <w:rsid w:val="008C7707"/>
    <w:rsid w:val="008D5604"/>
    <w:rsid w:val="008D6CA8"/>
    <w:rsid w:val="008E2336"/>
    <w:rsid w:val="008E78B4"/>
    <w:rsid w:val="008F047E"/>
    <w:rsid w:val="008F2959"/>
    <w:rsid w:val="008F2AE4"/>
    <w:rsid w:val="008F399F"/>
    <w:rsid w:val="008F432C"/>
    <w:rsid w:val="008F6E7F"/>
    <w:rsid w:val="009038F9"/>
    <w:rsid w:val="00905A54"/>
    <w:rsid w:val="00905AAB"/>
    <w:rsid w:val="009068C3"/>
    <w:rsid w:val="009139AF"/>
    <w:rsid w:val="00921BFB"/>
    <w:rsid w:val="00921E28"/>
    <w:rsid w:val="009220F2"/>
    <w:rsid w:val="009234FD"/>
    <w:rsid w:val="00924258"/>
    <w:rsid w:val="00924973"/>
    <w:rsid w:val="00924B74"/>
    <w:rsid w:val="00925221"/>
    <w:rsid w:val="00925450"/>
    <w:rsid w:val="0092631A"/>
    <w:rsid w:val="00931E42"/>
    <w:rsid w:val="009326E9"/>
    <w:rsid w:val="0093283A"/>
    <w:rsid w:val="00932892"/>
    <w:rsid w:val="0093545A"/>
    <w:rsid w:val="00935EAC"/>
    <w:rsid w:val="00937712"/>
    <w:rsid w:val="009436F5"/>
    <w:rsid w:val="00943C31"/>
    <w:rsid w:val="00944529"/>
    <w:rsid w:val="00944B29"/>
    <w:rsid w:val="00944D10"/>
    <w:rsid w:val="009454B6"/>
    <w:rsid w:val="00946929"/>
    <w:rsid w:val="009474F2"/>
    <w:rsid w:val="0095412A"/>
    <w:rsid w:val="009574F4"/>
    <w:rsid w:val="00962647"/>
    <w:rsid w:val="00962773"/>
    <w:rsid w:val="00962CB7"/>
    <w:rsid w:val="00963AA3"/>
    <w:rsid w:val="00963B80"/>
    <w:rsid w:val="009641FF"/>
    <w:rsid w:val="00966080"/>
    <w:rsid w:val="009664DD"/>
    <w:rsid w:val="00966F48"/>
    <w:rsid w:val="009704A0"/>
    <w:rsid w:val="00971E1A"/>
    <w:rsid w:val="009753FB"/>
    <w:rsid w:val="00975439"/>
    <w:rsid w:val="00976B2A"/>
    <w:rsid w:val="00977317"/>
    <w:rsid w:val="00980C11"/>
    <w:rsid w:val="009823E1"/>
    <w:rsid w:val="0098257D"/>
    <w:rsid w:val="00984F99"/>
    <w:rsid w:val="00987232"/>
    <w:rsid w:val="00990358"/>
    <w:rsid w:val="00990EC7"/>
    <w:rsid w:val="00991B95"/>
    <w:rsid w:val="0099241B"/>
    <w:rsid w:val="00992593"/>
    <w:rsid w:val="00992840"/>
    <w:rsid w:val="00994209"/>
    <w:rsid w:val="00994CC4"/>
    <w:rsid w:val="009968AC"/>
    <w:rsid w:val="009976E7"/>
    <w:rsid w:val="00997CF2"/>
    <w:rsid w:val="009A11ED"/>
    <w:rsid w:val="009A1795"/>
    <w:rsid w:val="009A1CB0"/>
    <w:rsid w:val="009A2A78"/>
    <w:rsid w:val="009A65F0"/>
    <w:rsid w:val="009A67A1"/>
    <w:rsid w:val="009A7026"/>
    <w:rsid w:val="009B393A"/>
    <w:rsid w:val="009B59AC"/>
    <w:rsid w:val="009B6DE2"/>
    <w:rsid w:val="009B7972"/>
    <w:rsid w:val="009C0DD6"/>
    <w:rsid w:val="009C1B29"/>
    <w:rsid w:val="009C40F8"/>
    <w:rsid w:val="009C50E5"/>
    <w:rsid w:val="009D0E39"/>
    <w:rsid w:val="009D0E88"/>
    <w:rsid w:val="009D24D7"/>
    <w:rsid w:val="009D256E"/>
    <w:rsid w:val="009D2DB6"/>
    <w:rsid w:val="009D2F47"/>
    <w:rsid w:val="009D633B"/>
    <w:rsid w:val="009D6624"/>
    <w:rsid w:val="009D7835"/>
    <w:rsid w:val="009E172B"/>
    <w:rsid w:val="009E1779"/>
    <w:rsid w:val="009E253A"/>
    <w:rsid w:val="009E39C0"/>
    <w:rsid w:val="009E5072"/>
    <w:rsid w:val="009E5367"/>
    <w:rsid w:val="009E7B93"/>
    <w:rsid w:val="009F0D9C"/>
    <w:rsid w:val="009F1E76"/>
    <w:rsid w:val="009F3268"/>
    <w:rsid w:val="009F4B19"/>
    <w:rsid w:val="009F5287"/>
    <w:rsid w:val="009F6749"/>
    <w:rsid w:val="009F6C56"/>
    <w:rsid w:val="00A028AD"/>
    <w:rsid w:val="00A031CC"/>
    <w:rsid w:val="00A0323B"/>
    <w:rsid w:val="00A04192"/>
    <w:rsid w:val="00A0762A"/>
    <w:rsid w:val="00A12CFF"/>
    <w:rsid w:val="00A13B7E"/>
    <w:rsid w:val="00A13D89"/>
    <w:rsid w:val="00A13F1D"/>
    <w:rsid w:val="00A153F9"/>
    <w:rsid w:val="00A155ED"/>
    <w:rsid w:val="00A1597F"/>
    <w:rsid w:val="00A15F37"/>
    <w:rsid w:val="00A163E3"/>
    <w:rsid w:val="00A214A3"/>
    <w:rsid w:val="00A22A52"/>
    <w:rsid w:val="00A2327C"/>
    <w:rsid w:val="00A25889"/>
    <w:rsid w:val="00A27D25"/>
    <w:rsid w:val="00A3034C"/>
    <w:rsid w:val="00A30776"/>
    <w:rsid w:val="00A30C1F"/>
    <w:rsid w:val="00A36B18"/>
    <w:rsid w:val="00A41C2A"/>
    <w:rsid w:val="00A425BA"/>
    <w:rsid w:val="00A430E2"/>
    <w:rsid w:val="00A4316F"/>
    <w:rsid w:val="00A4348E"/>
    <w:rsid w:val="00A45FC0"/>
    <w:rsid w:val="00A50571"/>
    <w:rsid w:val="00A510B1"/>
    <w:rsid w:val="00A5314F"/>
    <w:rsid w:val="00A54B25"/>
    <w:rsid w:val="00A555E0"/>
    <w:rsid w:val="00A55DD7"/>
    <w:rsid w:val="00A569E0"/>
    <w:rsid w:val="00A60311"/>
    <w:rsid w:val="00A60546"/>
    <w:rsid w:val="00A6319B"/>
    <w:rsid w:val="00A65377"/>
    <w:rsid w:val="00A676D3"/>
    <w:rsid w:val="00A709C5"/>
    <w:rsid w:val="00A7149F"/>
    <w:rsid w:val="00A72393"/>
    <w:rsid w:val="00A7250C"/>
    <w:rsid w:val="00A72FF3"/>
    <w:rsid w:val="00A7410C"/>
    <w:rsid w:val="00A814A3"/>
    <w:rsid w:val="00A832BA"/>
    <w:rsid w:val="00A8382E"/>
    <w:rsid w:val="00A85048"/>
    <w:rsid w:val="00A85E81"/>
    <w:rsid w:val="00A8635E"/>
    <w:rsid w:val="00A86F69"/>
    <w:rsid w:val="00A8750A"/>
    <w:rsid w:val="00A90878"/>
    <w:rsid w:val="00A91266"/>
    <w:rsid w:val="00A92A39"/>
    <w:rsid w:val="00A950F4"/>
    <w:rsid w:val="00A96385"/>
    <w:rsid w:val="00A96783"/>
    <w:rsid w:val="00A97F5A"/>
    <w:rsid w:val="00AA1257"/>
    <w:rsid w:val="00AA2D58"/>
    <w:rsid w:val="00AB09A4"/>
    <w:rsid w:val="00AB0ED1"/>
    <w:rsid w:val="00AB23B0"/>
    <w:rsid w:val="00AB365A"/>
    <w:rsid w:val="00AB3C42"/>
    <w:rsid w:val="00AB4201"/>
    <w:rsid w:val="00AB4CFC"/>
    <w:rsid w:val="00AB58F2"/>
    <w:rsid w:val="00AC0AAA"/>
    <w:rsid w:val="00AC1A0D"/>
    <w:rsid w:val="00AC221E"/>
    <w:rsid w:val="00AC24EC"/>
    <w:rsid w:val="00AC2A0F"/>
    <w:rsid w:val="00AC41F9"/>
    <w:rsid w:val="00AC4EEC"/>
    <w:rsid w:val="00AC56B7"/>
    <w:rsid w:val="00AC6BF0"/>
    <w:rsid w:val="00AC6C46"/>
    <w:rsid w:val="00AC6D5D"/>
    <w:rsid w:val="00AC7DE0"/>
    <w:rsid w:val="00AD03D9"/>
    <w:rsid w:val="00AD166B"/>
    <w:rsid w:val="00AD20AF"/>
    <w:rsid w:val="00AD3BBF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AF6EDC"/>
    <w:rsid w:val="00B00D10"/>
    <w:rsid w:val="00B01190"/>
    <w:rsid w:val="00B0191E"/>
    <w:rsid w:val="00B026BB"/>
    <w:rsid w:val="00B05777"/>
    <w:rsid w:val="00B07F77"/>
    <w:rsid w:val="00B11271"/>
    <w:rsid w:val="00B112A5"/>
    <w:rsid w:val="00B118CF"/>
    <w:rsid w:val="00B122F5"/>
    <w:rsid w:val="00B12833"/>
    <w:rsid w:val="00B15438"/>
    <w:rsid w:val="00B173CD"/>
    <w:rsid w:val="00B21BF3"/>
    <w:rsid w:val="00B222E2"/>
    <w:rsid w:val="00B22A62"/>
    <w:rsid w:val="00B2310C"/>
    <w:rsid w:val="00B242B1"/>
    <w:rsid w:val="00B24E54"/>
    <w:rsid w:val="00B257BC"/>
    <w:rsid w:val="00B25950"/>
    <w:rsid w:val="00B25CBC"/>
    <w:rsid w:val="00B27646"/>
    <w:rsid w:val="00B30A5A"/>
    <w:rsid w:val="00B33037"/>
    <w:rsid w:val="00B34F41"/>
    <w:rsid w:val="00B356A4"/>
    <w:rsid w:val="00B3585E"/>
    <w:rsid w:val="00B377F6"/>
    <w:rsid w:val="00B40138"/>
    <w:rsid w:val="00B4059C"/>
    <w:rsid w:val="00B42D63"/>
    <w:rsid w:val="00B44CCC"/>
    <w:rsid w:val="00B44EAC"/>
    <w:rsid w:val="00B461D2"/>
    <w:rsid w:val="00B465C8"/>
    <w:rsid w:val="00B47E17"/>
    <w:rsid w:val="00B506AC"/>
    <w:rsid w:val="00B50E2C"/>
    <w:rsid w:val="00B51364"/>
    <w:rsid w:val="00B54F8C"/>
    <w:rsid w:val="00B56D06"/>
    <w:rsid w:val="00B60C22"/>
    <w:rsid w:val="00B60FE8"/>
    <w:rsid w:val="00B672FC"/>
    <w:rsid w:val="00B67ADB"/>
    <w:rsid w:val="00B72E23"/>
    <w:rsid w:val="00B73636"/>
    <w:rsid w:val="00B7657E"/>
    <w:rsid w:val="00B76793"/>
    <w:rsid w:val="00B76C42"/>
    <w:rsid w:val="00B775C9"/>
    <w:rsid w:val="00B8029C"/>
    <w:rsid w:val="00B82916"/>
    <w:rsid w:val="00B8390E"/>
    <w:rsid w:val="00B84219"/>
    <w:rsid w:val="00B85068"/>
    <w:rsid w:val="00B85546"/>
    <w:rsid w:val="00B865A7"/>
    <w:rsid w:val="00B87EA2"/>
    <w:rsid w:val="00B90220"/>
    <w:rsid w:val="00B913AA"/>
    <w:rsid w:val="00B91B0E"/>
    <w:rsid w:val="00B927F9"/>
    <w:rsid w:val="00B94D99"/>
    <w:rsid w:val="00B95673"/>
    <w:rsid w:val="00B97FEC"/>
    <w:rsid w:val="00BA04E1"/>
    <w:rsid w:val="00BA18D1"/>
    <w:rsid w:val="00BA19E0"/>
    <w:rsid w:val="00BA1F8A"/>
    <w:rsid w:val="00BA46B0"/>
    <w:rsid w:val="00BA47DA"/>
    <w:rsid w:val="00BA4E91"/>
    <w:rsid w:val="00BA6D97"/>
    <w:rsid w:val="00BB32D4"/>
    <w:rsid w:val="00BB50DE"/>
    <w:rsid w:val="00BB559D"/>
    <w:rsid w:val="00BB561D"/>
    <w:rsid w:val="00BB7A89"/>
    <w:rsid w:val="00BC0409"/>
    <w:rsid w:val="00BC08D4"/>
    <w:rsid w:val="00BC0CB8"/>
    <w:rsid w:val="00BC162C"/>
    <w:rsid w:val="00BC1B82"/>
    <w:rsid w:val="00BC4519"/>
    <w:rsid w:val="00BC4A61"/>
    <w:rsid w:val="00BC4EFC"/>
    <w:rsid w:val="00BC5978"/>
    <w:rsid w:val="00BD0100"/>
    <w:rsid w:val="00BD297C"/>
    <w:rsid w:val="00BD4234"/>
    <w:rsid w:val="00BD483C"/>
    <w:rsid w:val="00BD5A85"/>
    <w:rsid w:val="00BD6F03"/>
    <w:rsid w:val="00BD6FDA"/>
    <w:rsid w:val="00BD79B8"/>
    <w:rsid w:val="00BD7A55"/>
    <w:rsid w:val="00BE00E4"/>
    <w:rsid w:val="00BE0270"/>
    <w:rsid w:val="00BE180E"/>
    <w:rsid w:val="00BE19CC"/>
    <w:rsid w:val="00BE21A8"/>
    <w:rsid w:val="00BE2827"/>
    <w:rsid w:val="00BE331A"/>
    <w:rsid w:val="00BE48B7"/>
    <w:rsid w:val="00BE53BC"/>
    <w:rsid w:val="00BE5574"/>
    <w:rsid w:val="00BE617D"/>
    <w:rsid w:val="00BE6F2B"/>
    <w:rsid w:val="00BE74B4"/>
    <w:rsid w:val="00BE7EC7"/>
    <w:rsid w:val="00BF0B84"/>
    <w:rsid w:val="00BF5F81"/>
    <w:rsid w:val="00BF6F8D"/>
    <w:rsid w:val="00C04F50"/>
    <w:rsid w:val="00C05E06"/>
    <w:rsid w:val="00C0748A"/>
    <w:rsid w:val="00C07AC1"/>
    <w:rsid w:val="00C10B09"/>
    <w:rsid w:val="00C1233D"/>
    <w:rsid w:val="00C12AFA"/>
    <w:rsid w:val="00C16E86"/>
    <w:rsid w:val="00C17244"/>
    <w:rsid w:val="00C2020E"/>
    <w:rsid w:val="00C2123B"/>
    <w:rsid w:val="00C21CA1"/>
    <w:rsid w:val="00C2648E"/>
    <w:rsid w:val="00C313E7"/>
    <w:rsid w:val="00C31725"/>
    <w:rsid w:val="00C34EEE"/>
    <w:rsid w:val="00C3654D"/>
    <w:rsid w:val="00C406A7"/>
    <w:rsid w:val="00C41DE8"/>
    <w:rsid w:val="00C41E47"/>
    <w:rsid w:val="00C42803"/>
    <w:rsid w:val="00C42F00"/>
    <w:rsid w:val="00C44924"/>
    <w:rsid w:val="00C461EB"/>
    <w:rsid w:val="00C47962"/>
    <w:rsid w:val="00C520D7"/>
    <w:rsid w:val="00C5372C"/>
    <w:rsid w:val="00C54CB6"/>
    <w:rsid w:val="00C55E39"/>
    <w:rsid w:val="00C57869"/>
    <w:rsid w:val="00C627A3"/>
    <w:rsid w:val="00C64C2F"/>
    <w:rsid w:val="00C6528A"/>
    <w:rsid w:val="00C6749F"/>
    <w:rsid w:val="00C71064"/>
    <w:rsid w:val="00C7375A"/>
    <w:rsid w:val="00C74048"/>
    <w:rsid w:val="00C74654"/>
    <w:rsid w:val="00C74775"/>
    <w:rsid w:val="00C75F55"/>
    <w:rsid w:val="00C8174A"/>
    <w:rsid w:val="00C81E68"/>
    <w:rsid w:val="00C828E2"/>
    <w:rsid w:val="00C84C3A"/>
    <w:rsid w:val="00C8685C"/>
    <w:rsid w:val="00C87795"/>
    <w:rsid w:val="00C90684"/>
    <w:rsid w:val="00C90FC8"/>
    <w:rsid w:val="00C948E7"/>
    <w:rsid w:val="00C97688"/>
    <w:rsid w:val="00C9786B"/>
    <w:rsid w:val="00CA0208"/>
    <w:rsid w:val="00CA1957"/>
    <w:rsid w:val="00CA1D3D"/>
    <w:rsid w:val="00CA3B9D"/>
    <w:rsid w:val="00CA3BA7"/>
    <w:rsid w:val="00CA77FE"/>
    <w:rsid w:val="00CA7866"/>
    <w:rsid w:val="00CB09DB"/>
    <w:rsid w:val="00CB1580"/>
    <w:rsid w:val="00CB4072"/>
    <w:rsid w:val="00CB4C9C"/>
    <w:rsid w:val="00CB517A"/>
    <w:rsid w:val="00CC3988"/>
    <w:rsid w:val="00CC5AF3"/>
    <w:rsid w:val="00CC68BF"/>
    <w:rsid w:val="00CC79AC"/>
    <w:rsid w:val="00CC7C45"/>
    <w:rsid w:val="00CD2DC8"/>
    <w:rsid w:val="00CD2F17"/>
    <w:rsid w:val="00CD561D"/>
    <w:rsid w:val="00CE4053"/>
    <w:rsid w:val="00CE4B40"/>
    <w:rsid w:val="00CF041D"/>
    <w:rsid w:val="00CF4CD4"/>
    <w:rsid w:val="00CF72AC"/>
    <w:rsid w:val="00D004E5"/>
    <w:rsid w:val="00D0142A"/>
    <w:rsid w:val="00D0150B"/>
    <w:rsid w:val="00D038D7"/>
    <w:rsid w:val="00D0418E"/>
    <w:rsid w:val="00D0419F"/>
    <w:rsid w:val="00D052E6"/>
    <w:rsid w:val="00D0654F"/>
    <w:rsid w:val="00D073F9"/>
    <w:rsid w:val="00D10717"/>
    <w:rsid w:val="00D13DF1"/>
    <w:rsid w:val="00D13EDA"/>
    <w:rsid w:val="00D14459"/>
    <w:rsid w:val="00D2261D"/>
    <w:rsid w:val="00D23CB0"/>
    <w:rsid w:val="00D24515"/>
    <w:rsid w:val="00D26F79"/>
    <w:rsid w:val="00D30E94"/>
    <w:rsid w:val="00D324DA"/>
    <w:rsid w:val="00D3283A"/>
    <w:rsid w:val="00D32A14"/>
    <w:rsid w:val="00D32B43"/>
    <w:rsid w:val="00D357A4"/>
    <w:rsid w:val="00D36238"/>
    <w:rsid w:val="00D4029D"/>
    <w:rsid w:val="00D451A5"/>
    <w:rsid w:val="00D475DF"/>
    <w:rsid w:val="00D477C3"/>
    <w:rsid w:val="00D47DE7"/>
    <w:rsid w:val="00D512B0"/>
    <w:rsid w:val="00D53DC5"/>
    <w:rsid w:val="00D54E78"/>
    <w:rsid w:val="00D55406"/>
    <w:rsid w:val="00D5707A"/>
    <w:rsid w:val="00D60759"/>
    <w:rsid w:val="00D623F0"/>
    <w:rsid w:val="00D6293F"/>
    <w:rsid w:val="00D670D3"/>
    <w:rsid w:val="00D67470"/>
    <w:rsid w:val="00D67FC9"/>
    <w:rsid w:val="00D701C4"/>
    <w:rsid w:val="00D75B0B"/>
    <w:rsid w:val="00D7654D"/>
    <w:rsid w:val="00D775D2"/>
    <w:rsid w:val="00D8118D"/>
    <w:rsid w:val="00D814EE"/>
    <w:rsid w:val="00D82BEB"/>
    <w:rsid w:val="00D85155"/>
    <w:rsid w:val="00D91CBD"/>
    <w:rsid w:val="00D92B66"/>
    <w:rsid w:val="00D93CC1"/>
    <w:rsid w:val="00D93EB9"/>
    <w:rsid w:val="00D942A3"/>
    <w:rsid w:val="00D97E49"/>
    <w:rsid w:val="00DA2818"/>
    <w:rsid w:val="00DA317A"/>
    <w:rsid w:val="00DA370A"/>
    <w:rsid w:val="00DA4875"/>
    <w:rsid w:val="00DA4917"/>
    <w:rsid w:val="00DA792F"/>
    <w:rsid w:val="00DB35F8"/>
    <w:rsid w:val="00DB3E0D"/>
    <w:rsid w:val="00DB3E3E"/>
    <w:rsid w:val="00DB4116"/>
    <w:rsid w:val="00DB67E5"/>
    <w:rsid w:val="00DC13F9"/>
    <w:rsid w:val="00DC1D72"/>
    <w:rsid w:val="00DC545A"/>
    <w:rsid w:val="00DC585F"/>
    <w:rsid w:val="00DC6678"/>
    <w:rsid w:val="00DC78DB"/>
    <w:rsid w:val="00DD1761"/>
    <w:rsid w:val="00DD2FAB"/>
    <w:rsid w:val="00DD4F3E"/>
    <w:rsid w:val="00DD50D0"/>
    <w:rsid w:val="00DD6A70"/>
    <w:rsid w:val="00DE2562"/>
    <w:rsid w:val="00DE3AB8"/>
    <w:rsid w:val="00DE3D58"/>
    <w:rsid w:val="00DF096E"/>
    <w:rsid w:val="00DF19F6"/>
    <w:rsid w:val="00DF431A"/>
    <w:rsid w:val="00DF504D"/>
    <w:rsid w:val="00DF675B"/>
    <w:rsid w:val="00DF6D21"/>
    <w:rsid w:val="00DF7447"/>
    <w:rsid w:val="00DF7DAD"/>
    <w:rsid w:val="00E00B05"/>
    <w:rsid w:val="00E01F2F"/>
    <w:rsid w:val="00E02136"/>
    <w:rsid w:val="00E03E17"/>
    <w:rsid w:val="00E04038"/>
    <w:rsid w:val="00E04379"/>
    <w:rsid w:val="00E06813"/>
    <w:rsid w:val="00E10053"/>
    <w:rsid w:val="00E11072"/>
    <w:rsid w:val="00E110F5"/>
    <w:rsid w:val="00E14161"/>
    <w:rsid w:val="00E145DF"/>
    <w:rsid w:val="00E15637"/>
    <w:rsid w:val="00E15B99"/>
    <w:rsid w:val="00E17805"/>
    <w:rsid w:val="00E21CDA"/>
    <w:rsid w:val="00E22AC9"/>
    <w:rsid w:val="00E257AF"/>
    <w:rsid w:val="00E26AF9"/>
    <w:rsid w:val="00E27F2F"/>
    <w:rsid w:val="00E315D6"/>
    <w:rsid w:val="00E330AB"/>
    <w:rsid w:val="00E3317B"/>
    <w:rsid w:val="00E3386F"/>
    <w:rsid w:val="00E350BD"/>
    <w:rsid w:val="00E373B4"/>
    <w:rsid w:val="00E37A69"/>
    <w:rsid w:val="00E42C3B"/>
    <w:rsid w:val="00E455B4"/>
    <w:rsid w:val="00E457CE"/>
    <w:rsid w:val="00E46FA7"/>
    <w:rsid w:val="00E479DF"/>
    <w:rsid w:val="00E50314"/>
    <w:rsid w:val="00E528C6"/>
    <w:rsid w:val="00E54596"/>
    <w:rsid w:val="00E55395"/>
    <w:rsid w:val="00E56000"/>
    <w:rsid w:val="00E56378"/>
    <w:rsid w:val="00E60BF8"/>
    <w:rsid w:val="00E641C3"/>
    <w:rsid w:val="00E642DC"/>
    <w:rsid w:val="00E64F71"/>
    <w:rsid w:val="00E67590"/>
    <w:rsid w:val="00E70298"/>
    <w:rsid w:val="00E703B1"/>
    <w:rsid w:val="00E7045C"/>
    <w:rsid w:val="00E707E4"/>
    <w:rsid w:val="00E718EA"/>
    <w:rsid w:val="00E71A6E"/>
    <w:rsid w:val="00E72E55"/>
    <w:rsid w:val="00E73EB6"/>
    <w:rsid w:val="00E74867"/>
    <w:rsid w:val="00E7493F"/>
    <w:rsid w:val="00E76297"/>
    <w:rsid w:val="00E77101"/>
    <w:rsid w:val="00E77EFB"/>
    <w:rsid w:val="00E8148D"/>
    <w:rsid w:val="00E82DCF"/>
    <w:rsid w:val="00E8561A"/>
    <w:rsid w:val="00E85DE8"/>
    <w:rsid w:val="00E878FD"/>
    <w:rsid w:val="00E900CF"/>
    <w:rsid w:val="00E90C78"/>
    <w:rsid w:val="00E9363C"/>
    <w:rsid w:val="00E9372A"/>
    <w:rsid w:val="00E96932"/>
    <w:rsid w:val="00E979A5"/>
    <w:rsid w:val="00EA0064"/>
    <w:rsid w:val="00EA2C1A"/>
    <w:rsid w:val="00EA4A83"/>
    <w:rsid w:val="00EA5747"/>
    <w:rsid w:val="00EB0F28"/>
    <w:rsid w:val="00EB340C"/>
    <w:rsid w:val="00EB3F96"/>
    <w:rsid w:val="00EB3FA2"/>
    <w:rsid w:val="00EB4281"/>
    <w:rsid w:val="00EB4A81"/>
    <w:rsid w:val="00EB54FA"/>
    <w:rsid w:val="00EB5B31"/>
    <w:rsid w:val="00EC03D2"/>
    <w:rsid w:val="00EC0719"/>
    <w:rsid w:val="00EC202F"/>
    <w:rsid w:val="00EC51C3"/>
    <w:rsid w:val="00EC5679"/>
    <w:rsid w:val="00ED03E9"/>
    <w:rsid w:val="00ED2264"/>
    <w:rsid w:val="00ED2996"/>
    <w:rsid w:val="00ED412E"/>
    <w:rsid w:val="00ED41A8"/>
    <w:rsid w:val="00ED452D"/>
    <w:rsid w:val="00ED459E"/>
    <w:rsid w:val="00ED5DD6"/>
    <w:rsid w:val="00EE29BE"/>
    <w:rsid w:val="00EE3CDA"/>
    <w:rsid w:val="00EE4038"/>
    <w:rsid w:val="00EE4385"/>
    <w:rsid w:val="00EE62D3"/>
    <w:rsid w:val="00EF038F"/>
    <w:rsid w:val="00EF07C3"/>
    <w:rsid w:val="00EF1061"/>
    <w:rsid w:val="00EF1641"/>
    <w:rsid w:val="00EF1AC5"/>
    <w:rsid w:val="00EF607A"/>
    <w:rsid w:val="00EF6331"/>
    <w:rsid w:val="00EF69C8"/>
    <w:rsid w:val="00F00241"/>
    <w:rsid w:val="00F01AED"/>
    <w:rsid w:val="00F02102"/>
    <w:rsid w:val="00F04ABD"/>
    <w:rsid w:val="00F05332"/>
    <w:rsid w:val="00F05D8A"/>
    <w:rsid w:val="00F109A7"/>
    <w:rsid w:val="00F114AF"/>
    <w:rsid w:val="00F1261B"/>
    <w:rsid w:val="00F1303C"/>
    <w:rsid w:val="00F15DA7"/>
    <w:rsid w:val="00F15E8D"/>
    <w:rsid w:val="00F175AF"/>
    <w:rsid w:val="00F22A61"/>
    <w:rsid w:val="00F236DC"/>
    <w:rsid w:val="00F236E4"/>
    <w:rsid w:val="00F2464A"/>
    <w:rsid w:val="00F247BC"/>
    <w:rsid w:val="00F24DE2"/>
    <w:rsid w:val="00F25DB5"/>
    <w:rsid w:val="00F2719D"/>
    <w:rsid w:val="00F313E8"/>
    <w:rsid w:val="00F316DA"/>
    <w:rsid w:val="00F31EFE"/>
    <w:rsid w:val="00F3277D"/>
    <w:rsid w:val="00F3367E"/>
    <w:rsid w:val="00F33D35"/>
    <w:rsid w:val="00F3435F"/>
    <w:rsid w:val="00F35253"/>
    <w:rsid w:val="00F36405"/>
    <w:rsid w:val="00F375E5"/>
    <w:rsid w:val="00F42120"/>
    <w:rsid w:val="00F428F8"/>
    <w:rsid w:val="00F42D11"/>
    <w:rsid w:val="00F527F0"/>
    <w:rsid w:val="00F53132"/>
    <w:rsid w:val="00F5456A"/>
    <w:rsid w:val="00F545FC"/>
    <w:rsid w:val="00F55C6F"/>
    <w:rsid w:val="00F56CB3"/>
    <w:rsid w:val="00F573F1"/>
    <w:rsid w:val="00F57CAC"/>
    <w:rsid w:val="00F60CDE"/>
    <w:rsid w:val="00F617CD"/>
    <w:rsid w:val="00F65BF3"/>
    <w:rsid w:val="00F66066"/>
    <w:rsid w:val="00F66320"/>
    <w:rsid w:val="00F663A8"/>
    <w:rsid w:val="00F6767A"/>
    <w:rsid w:val="00F67E6A"/>
    <w:rsid w:val="00F70BAD"/>
    <w:rsid w:val="00F7131B"/>
    <w:rsid w:val="00F71668"/>
    <w:rsid w:val="00F7179E"/>
    <w:rsid w:val="00F72672"/>
    <w:rsid w:val="00F73140"/>
    <w:rsid w:val="00F7568A"/>
    <w:rsid w:val="00F75B2F"/>
    <w:rsid w:val="00F80083"/>
    <w:rsid w:val="00F81073"/>
    <w:rsid w:val="00F83EEA"/>
    <w:rsid w:val="00F8461A"/>
    <w:rsid w:val="00F87FA4"/>
    <w:rsid w:val="00F90063"/>
    <w:rsid w:val="00F91222"/>
    <w:rsid w:val="00F9122C"/>
    <w:rsid w:val="00F9267B"/>
    <w:rsid w:val="00F94AE5"/>
    <w:rsid w:val="00F96F50"/>
    <w:rsid w:val="00F970A7"/>
    <w:rsid w:val="00F9738D"/>
    <w:rsid w:val="00FA2228"/>
    <w:rsid w:val="00FA2A03"/>
    <w:rsid w:val="00FA39C6"/>
    <w:rsid w:val="00FA40FE"/>
    <w:rsid w:val="00FA4890"/>
    <w:rsid w:val="00FA59C6"/>
    <w:rsid w:val="00FA5A3F"/>
    <w:rsid w:val="00FB15EB"/>
    <w:rsid w:val="00FB4A1C"/>
    <w:rsid w:val="00FB60CC"/>
    <w:rsid w:val="00FB60FB"/>
    <w:rsid w:val="00FC23C7"/>
    <w:rsid w:val="00FC2FA7"/>
    <w:rsid w:val="00FC3B9D"/>
    <w:rsid w:val="00FC52C1"/>
    <w:rsid w:val="00FC5632"/>
    <w:rsid w:val="00FC59BA"/>
    <w:rsid w:val="00FC5A6D"/>
    <w:rsid w:val="00FC5B2A"/>
    <w:rsid w:val="00FC6CC4"/>
    <w:rsid w:val="00FC7BAB"/>
    <w:rsid w:val="00FD12DB"/>
    <w:rsid w:val="00FD1306"/>
    <w:rsid w:val="00FD3713"/>
    <w:rsid w:val="00FD539D"/>
    <w:rsid w:val="00FD57E2"/>
    <w:rsid w:val="00FD77C2"/>
    <w:rsid w:val="00FD7EDE"/>
    <w:rsid w:val="00FE2ED7"/>
    <w:rsid w:val="00FE3E6F"/>
    <w:rsid w:val="00FE563B"/>
    <w:rsid w:val="00FE797F"/>
    <w:rsid w:val="00FF052C"/>
    <w:rsid w:val="00FF1B26"/>
    <w:rsid w:val="00FF27FB"/>
    <w:rsid w:val="00FF4658"/>
    <w:rsid w:val="00FF4A0D"/>
    <w:rsid w:val="00FF6DE4"/>
    <w:rsid w:val="03D5B010"/>
    <w:rsid w:val="05718071"/>
    <w:rsid w:val="0B618477"/>
    <w:rsid w:val="0BFB3B52"/>
    <w:rsid w:val="1CEA2FC0"/>
    <w:rsid w:val="2C9F9746"/>
    <w:rsid w:val="384CBDA9"/>
    <w:rsid w:val="4FAEC204"/>
    <w:rsid w:val="5A3BFE00"/>
    <w:rsid w:val="600A7E27"/>
    <w:rsid w:val="789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DD01E476-5A3B-4C76-80E8-B48BE4E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6207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26207"/>
    <w:rPr>
      <w:i/>
      <w:iCs/>
    </w:rPr>
  </w:style>
  <w:style w:type="table" w:styleId="Mkatabulky">
    <w:name w:val="Table Grid"/>
    <w:basedOn w:val="Normlntabulka"/>
    <w:uiPriority w:val="39"/>
    <w:rsid w:val="0011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1129E8"/>
    <w:pPr>
      <w:overflowPunct/>
      <w:autoSpaceDE/>
      <w:autoSpaceDN/>
      <w:adjustRightInd/>
      <w:ind w:left="708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A214A3"/>
    <w:pPr>
      <w:overflowPunct/>
      <w:autoSpaceDE/>
      <w:autoSpaceDN/>
      <w:adjustRightInd/>
      <w:ind w:left="2160" w:right="-288" w:hanging="2160"/>
      <w:jc w:val="left"/>
      <w:textAlignment w:val="auto"/>
    </w:pPr>
    <w:rPr>
      <w:rFonts w:ascii="Times New Roman" w:eastAsiaTheme="minorHAnsi" w:hAnsi="Times New Roman"/>
      <w:color w:val="333399"/>
      <w:sz w:val="24"/>
      <w:szCs w:val="24"/>
      <w:lang w:eastAsia="en-US"/>
    </w:rPr>
  </w:style>
  <w:style w:type="paragraph" w:customStyle="1" w:styleId="CBAPerex">
    <w:name w:val="CBA Perex"/>
    <w:basedOn w:val="Normln"/>
    <w:qFormat/>
    <w:rsid w:val="00563240"/>
    <w:pPr>
      <w:spacing w:before="240" w:after="240" w:line="276" w:lineRule="auto"/>
    </w:pPr>
    <w:rPr>
      <w:rFonts w:cs="Arial"/>
      <w:color w:val="13576B"/>
      <w:sz w:val="20"/>
    </w:rPr>
  </w:style>
  <w:style w:type="paragraph" w:customStyle="1" w:styleId="CBATitulek">
    <w:name w:val="CBA Titulek"/>
    <w:basedOn w:val="Normln"/>
    <w:qFormat/>
    <w:rsid w:val="00563240"/>
    <w:pPr>
      <w:spacing w:line="276" w:lineRule="auto"/>
      <w:jc w:val="left"/>
    </w:pPr>
    <w:rPr>
      <w:rFonts w:cs="Arial"/>
      <w:b/>
      <w:bCs/>
      <w:color w:val="13576B"/>
      <w:sz w:val="28"/>
      <w:szCs w:val="28"/>
    </w:rPr>
  </w:style>
  <w:style w:type="paragraph" w:customStyle="1" w:styleId="CBACitace">
    <w:name w:val="CBA Citace"/>
    <w:basedOn w:val="Normln"/>
    <w:qFormat/>
    <w:rsid w:val="00563240"/>
    <w:pPr>
      <w:spacing w:before="240" w:after="240" w:line="276" w:lineRule="auto"/>
    </w:pPr>
    <w:rPr>
      <w:rFonts w:cs="Arial"/>
      <w:i/>
      <w:iCs/>
      <w:sz w:val="20"/>
    </w:rPr>
  </w:style>
  <w:style w:type="paragraph" w:customStyle="1" w:styleId="CBANormalni">
    <w:name w:val="CBA Normalni"/>
    <w:basedOn w:val="Normln"/>
    <w:qFormat/>
    <w:rsid w:val="00563240"/>
    <w:pPr>
      <w:spacing w:before="240" w:after="240" w:line="276" w:lineRule="auto"/>
    </w:pPr>
    <w:rPr>
      <w:rFonts w:cs="Arial"/>
      <w:sz w:val="20"/>
    </w:rPr>
  </w:style>
  <w:style w:type="paragraph" w:customStyle="1" w:styleId="CBATitulektabulky">
    <w:name w:val="CBA Titulek tabulky"/>
    <w:basedOn w:val="Normln"/>
    <w:qFormat/>
    <w:rsid w:val="009A2A78"/>
    <w:pPr>
      <w:spacing w:before="240" w:after="240" w:line="276" w:lineRule="auto"/>
      <w:jc w:val="center"/>
    </w:pPr>
    <w:rPr>
      <w:rFonts w:cs="Arial"/>
      <w:b/>
      <w:bCs/>
      <w:color w:val="FFFFFF" w:themeColor="background1"/>
      <w:sz w:val="20"/>
    </w:rPr>
  </w:style>
  <w:style w:type="paragraph" w:customStyle="1" w:styleId="CBANadpisvTABULCE">
    <w:name w:val="CBA Nadpis v TABULCE"/>
    <w:basedOn w:val="Normln"/>
    <w:qFormat/>
    <w:rsid w:val="00134FF8"/>
    <w:pPr>
      <w:spacing w:before="120" w:after="120"/>
      <w:jc w:val="left"/>
    </w:pPr>
    <w:rPr>
      <w:b/>
      <w:bCs/>
      <w:color w:val="13576B"/>
    </w:rPr>
  </w:style>
  <w:style w:type="paragraph" w:customStyle="1" w:styleId="CBAodrazkavTABULCE">
    <w:name w:val="CBA odrazka v TABULCE"/>
    <w:basedOn w:val="Odstavecseseznamem"/>
    <w:qFormat/>
    <w:rsid w:val="00134FF8"/>
    <w:pPr>
      <w:numPr>
        <w:numId w:val="42"/>
      </w:numPr>
      <w:spacing w:before="120" w:after="120"/>
      <w:jc w:val="left"/>
    </w:pPr>
    <w:rPr>
      <w:color w:val="13576B"/>
    </w:rPr>
  </w:style>
  <w:style w:type="paragraph" w:customStyle="1" w:styleId="CBAodstavecvTABULCE">
    <w:name w:val="CBA odstavec v TABULCE"/>
    <w:basedOn w:val="Normln"/>
    <w:qFormat/>
    <w:rsid w:val="00134FF8"/>
    <w:pPr>
      <w:spacing w:before="120" w:after="120"/>
      <w:jc w:val="left"/>
    </w:pPr>
    <w:rPr>
      <w:color w:val="13576B"/>
    </w:rPr>
  </w:style>
  <w:style w:type="paragraph" w:customStyle="1" w:styleId="CBAvertikalnihlavickavTABULCE">
    <w:name w:val="CBA vertikalni hlavicka v TABULCE"/>
    <w:basedOn w:val="Normln"/>
    <w:qFormat/>
    <w:rsid w:val="00134FF8"/>
    <w:pPr>
      <w:spacing w:after="120" w:line="276" w:lineRule="auto"/>
      <w:ind w:left="113" w:right="113"/>
      <w:jc w:val="center"/>
    </w:pPr>
    <w:rPr>
      <w:rFonts w:cs="Arial"/>
      <w:b/>
      <w:bCs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alsa\Desktop\Templates\www.cbaonlin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sa\Desktop\rozhovory,%20&#269;l&#225;nky,%20TZ\duben\CBA-Hypomonitor-2022-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'Úrokové sazby - historie'!$B$2</c:f>
              <c:strCache>
                <c:ptCount val="1"/>
                <c:pt idx="0">
                  <c:v>Oficální data ČNB
(nové i refinancované)</c:v>
                </c:pt>
              </c:strCache>
            </c:strRef>
          </c:tx>
          <c:spPr>
            <a:ln w="19050" cap="rnd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'Úrokové sazby - historie'!$A$54:$A$222</c:f>
              <c:numCache>
                <c:formatCode>m/d/yyyy</c:formatCode>
                <c:ptCount val="169"/>
                <c:pt idx="0">
                  <c:v>39538</c:v>
                </c:pt>
                <c:pt idx="1">
                  <c:v>39568</c:v>
                </c:pt>
                <c:pt idx="2">
                  <c:v>39599</c:v>
                </c:pt>
                <c:pt idx="3">
                  <c:v>39629</c:v>
                </c:pt>
                <c:pt idx="4">
                  <c:v>39660</c:v>
                </c:pt>
                <c:pt idx="5">
                  <c:v>39691</c:v>
                </c:pt>
                <c:pt idx="6">
                  <c:v>39721</c:v>
                </c:pt>
                <c:pt idx="7">
                  <c:v>39752</c:v>
                </c:pt>
                <c:pt idx="8">
                  <c:v>39782</c:v>
                </c:pt>
                <c:pt idx="9">
                  <c:v>39813</c:v>
                </c:pt>
                <c:pt idx="10">
                  <c:v>39844</c:v>
                </c:pt>
                <c:pt idx="11">
                  <c:v>39872</c:v>
                </c:pt>
                <c:pt idx="12">
                  <c:v>39903</c:v>
                </c:pt>
                <c:pt idx="13">
                  <c:v>39933</c:v>
                </c:pt>
                <c:pt idx="14">
                  <c:v>39964</c:v>
                </c:pt>
                <c:pt idx="15">
                  <c:v>39994</c:v>
                </c:pt>
                <c:pt idx="16">
                  <c:v>40025</c:v>
                </c:pt>
                <c:pt idx="17">
                  <c:v>40056</c:v>
                </c:pt>
                <c:pt idx="18">
                  <c:v>40086</c:v>
                </c:pt>
                <c:pt idx="19">
                  <c:v>40117</c:v>
                </c:pt>
                <c:pt idx="20">
                  <c:v>40147</c:v>
                </c:pt>
                <c:pt idx="21">
                  <c:v>40178</c:v>
                </c:pt>
                <c:pt idx="22">
                  <c:v>40209</c:v>
                </c:pt>
                <c:pt idx="23">
                  <c:v>40237</c:v>
                </c:pt>
                <c:pt idx="24">
                  <c:v>40268</c:v>
                </c:pt>
                <c:pt idx="25">
                  <c:v>40298</c:v>
                </c:pt>
                <c:pt idx="26">
                  <c:v>40329</c:v>
                </c:pt>
                <c:pt idx="27">
                  <c:v>40359</c:v>
                </c:pt>
                <c:pt idx="28">
                  <c:v>40390</c:v>
                </c:pt>
                <c:pt idx="29">
                  <c:v>40421</c:v>
                </c:pt>
                <c:pt idx="30">
                  <c:v>40451</c:v>
                </c:pt>
                <c:pt idx="31">
                  <c:v>40482</c:v>
                </c:pt>
                <c:pt idx="32">
                  <c:v>40512</c:v>
                </c:pt>
                <c:pt idx="33">
                  <c:v>40543</c:v>
                </c:pt>
                <c:pt idx="34">
                  <c:v>40574</c:v>
                </c:pt>
                <c:pt idx="35">
                  <c:v>40602</c:v>
                </c:pt>
                <c:pt idx="36">
                  <c:v>40633</c:v>
                </c:pt>
                <c:pt idx="37">
                  <c:v>40663</c:v>
                </c:pt>
                <c:pt idx="38">
                  <c:v>40694</c:v>
                </c:pt>
                <c:pt idx="39">
                  <c:v>40724</c:v>
                </c:pt>
                <c:pt idx="40">
                  <c:v>40755</c:v>
                </c:pt>
                <c:pt idx="41">
                  <c:v>40786</c:v>
                </c:pt>
                <c:pt idx="42">
                  <c:v>40816</c:v>
                </c:pt>
                <c:pt idx="43">
                  <c:v>40847</c:v>
                </c:pt>
                <c:pt idx="44">
                  <c:v>40877</c:v>
                </c:pt>
                <c:pt idx="45">
                  <c:v>40908</c:v>
                </c:pt>
                <c:pt idx="46">
                  <c:v>40939</c:v>
                </c:pt>
                <c:pt idx="47">
                  <c:v>40968</c:v>
                </c:pt>
                <c:pt idx="48">
                  <c:v>40999</c:v>
                </c:pt>
                <c:pt idx="49">
                  <c:v>41029</c:v>
                </c:pt>
                <c:pt idx="50">
                  <c:v>41060</c:v>
                </c:pt>
                <c:pt idx="51">
                  <c:v>41090</c:v>
                </c:pt>
                <c:pt idx="52">
                  <c:v>41121</c:v>
                </c:pt>
                <c:pt idx="53">
                  <c:v>41152</c:v>
                </c:pt>
                <c:pt idx="54">
                  <c:v>41182</c:v>
                </c:pt>
                <c:pt idx="55">
                  <c:v>41213</c:v>
                </c:pt>
                <c:pt idx="56">
                  <c:v>41243</c:v>
                </c:pt>
                <c:pt idx="57">
                  <c:v>41274</c:v>
                </c:pt>
                <c:pt idx="58">
                  <c:v>41305</c:v>
                </c:pt>
                <c:pt idx="59">
                  <c:v>41333</c:v>
                </c:pt>
                <c:pt idx="60">
                  <c:v>41364</c:v>
                </c:pt>
                <c:pt idx="61">
                  <c:v>41394</c:v>
                </c:pt>
                <c:pt idx="62">
                  <c:v>41425</c:v>
                </c:pt>
                <c:pt idx="63">
                  <c:v>41455</c:v>
                </c:pt>
                <c:pt idx="64">
                  <c:v>41486</c:v>
                </c:pt>
                <c:pt idx="65">
                  <c:v>41517</c:v>
                </c:pt>
                <c:pt idx="66">
                  <c:v>41547</c:v>
                </c:pt>
                <c:pt idx="67">
                  <c:v>41578</c:v>
                </c:pt>
                <c:pt idx="68">
                  <c:v>41608</c:v>
                </c:pt>
                <c:pt idx="69">
                  <c:v>41639</c:v>
                </c:pt>
                <c:pt idx="70">
                  <c:v>41670</c:v>
                </c:pt>
                <c:pt idx="71">
                  <c:v>41698</c:v>
                </c:pt>
                <c:pt idx="72">
                  <c:v>41729</c:v>
                </c:pt>
                <c:pt idx="73">
                  <c:v>41759</c:v>
                </c:pt>
                <c:pt idx="74">
                  <c:v>41790</c:v>
                </c:pt>
                <c:pt idx="75">
                  <c:v>41820</c:v>
                </c:pt>
                <c:pt idx="76">
                  <c:v>41851</c:v>
                </c:pt>
                <c:pt idx="77">
                  <c:v>41882</c:v>
                </c:pt>
                <c:pt idx="78">
                  <c:v>41912</c:v>
                </c:pt>
                <c:pt idx="79">
                  <c:v>41943</c:v>
                </c:pt>
                <c:pt idx="80">
                  <c:v>41973</c:v>
                </c:pt>
                <c:pt idx="81">
                  <c:v>42004</c:v>
                </c:pt>
                <c:pt idx="82">
                  <c:v>42035</c:v>
                </c:pt>
                <c:pt idx="83">
                  <c:v>42063</c:v>
                </c:pt>
                <c:pt idx="84">
                  <c:v>42094</c:v>
                </c:pt>
                <c:pt idx="85">
                  <c:v>42124</c:v>
                </c:pt>
                <c:pt idx="86">
                  <c:v>42155</c:v>
                </c:pt>
                <c:pt idx="87">
                  <c:v>42185</c:v>
                </c:pt>
                <c:pt idx="88">
                  <c:v>42216</c:v>
                </c:pt>
                <c:pt idx="89">
                  <c:v>42247</c:v>
                </c:pt>
                <c:pt idx="90">
                  <c:v>42277</c:v>
                </c:pt>
                <c:pt idx="91">
                  <c:v>42308</c:v>
                </c:pt>
                <c:pt idx="92">
                  <c:v>42338</c:v>
                </c:pt>
                <c:pt idx="93">
                  <c:v>42369</c:v>
                </c:pt>
                <c:pt idx="94">
                  <c:v>42400</c:v>
                </c:pt>
                <c:pt idx="95">
                  <c:v>42429</c:v>
                </c:pt>
                <c:pt idx="96">
                  <c:v>42460</c:v>
                </c:pt>
                <c:pt idx="97">
                  <c:v>42490</c:v>
                </c:pt>
                <c:pt idx="98">
                  <c:v>42521</c:v>
                </c:pt>
                <c:pt idx="99">
                  <c:v>42551</c:v>
                </c:pt>
                <c:pt idx="100">
                  <c:v>42582</c:v>
                </c:pt>
                <c:pt idx="101">
                  <c:v>42613</c:v>
                </c:pt>
                <c:pt idx="102">
                  <c:v>42643</c:v>
                </c:pt>
                <c:pt idx="103">
                  <c:v>42674</c:v>
                </c:pt>
                <c:pt idx="104">
                  <c:v>42704</c:v>
                </c:pt>
                <c:pt idx="105">
                  <c:v>42735</c:v>
                </c:pt>
                <c:pt idx="106">
                  <c:v>42766</c:v>
                </c:pt>
                <c:pt idx="107">
                  <c:v>42794</c:v>
                </c:pt>
                <c:pt idx="108">
                  <c:v>42825</c:v>
                </c:pt>
                <c:pt idx="109">
                  <c:v>42855</c:v>
                </c:pt>
                <c:pt idx="110">
                  <c:v>42886</c:v>
                </c:pt>
                <c:pt idx="111">
                  <c:v>42916</c:v>
                </c:pt>
                <c:pt idx="112">
                  <c:v>42947</c:v>
                </c:pt>
                <c:pt idx="113">
                  <c:v>42978</c:v>
                </c:pt>
                <c:pt idx="114">
                  <c:v>43008</c:v>
                </c:pt>
                <c:pt idx="115">
                  <c:v>43039</c:v>
                </c:pt>
                <c:pt idx="116">
                  <c:v>43069</c:v>
                </c:pt>
                <c:pt idx="117">
                  <c:v>43100</c:v>
                </c:pt>
                <c:pt idx="118">
                  <c:v>43131</c:v>
                </c:pt>
                <c:pt idx="119">
                  <c:v>43159</c:v>
                </c:pt>
                <c:pt idx="120">
                  <c:v>43190</c:v>
                </c:pt>
                <c:pt idx="121">
                  <c:v>43220</c:v>
                </c:pt>
                <c:pt idx="122">
                  <c:v>43251</c:v>
                </c:pt>
                <c:pt idx="123">
                  <c:v>43281</c:v>
                </c:pt>
                <c:pt idx="124">
                  <c:v>43312</c:v>
                </c:pt>
                <c:pt idx="125">
                  <c:v>43343</c:v>
                </c:pt>
                <c:pt idx="126">
                  <c:v>43373</c:v>
                </c:pt>
                <c:pt idx="127">
                  <c:v>43404</c:v>
                </c:pt>
                <c:pt idx="128">
                  <c:v>43434</c:v>
                </c:pt>
                <c:pt idx="129">
                  <c:v>43465</c:v>
                </c:pt>
                <c:pt idx="130">
                  <c:v>43496</c:v>
                </c:pt>
                <c:pt idx="131">
                  <c:v>43524</c:v>
                </c:pt>
                <c:pt idx="132">
                  <c:v>43555</c:v>
                </c:pt>
                <c:pt idx="133">
                  <c:v>43585</c:v>
                </c:pt>
                <c:pt idx="134">
                  <c:v>43616</c:v>
                </c:pt>
                <c:pt idx="135">
                  <c:v>43646</c:v>
                </c:pt>
                <c:pt idx="136">
                  <c:v>43677</c:v>
                </c:pt>
                <c:pt idx="137">
                  <c:v>43708</c:v>
                </c:pt>
                <c:pt idx="138">
                  <c:v>43738</c:v>
                </c:pt>
                <c:pt idx="139">
                  <c:v>43769</c:v>
                </c:pt>
                <c:pt idx="140">
                  <c:v>43799</c:v>
                </c:pt>
                <c:pt idx="141">
                  <c:v>43830</c:v>
                </c:pt>
                <c:pt idx="142">
                  <c:v>43861</c:v>
                </c:pt>
                <c:pt idx="143">
                  <c:v>43890</c:v>
                </c:pt>
                <c:pt idx="144">
                  <c:v>43921</c:v>
                </c:pt>
                <c:pt idx="145">
                  <c:v>43951</c:v>
                </c:pt>
                <c:pt idx="146">
                  <c:v>43982</c:v>
                </c:pt>
                <c:pt idx="147">
                  <c:v>44012</c:v>
                </c:pt>
                <c:pt idx="148">
                  <c:v>44043</c:v>
                </c:pt>
                <c:pt idx="149">
                  <c:v>44074</c:v>
                </c:pt>
                <c:pt idx="150">
                  <c:v>44104</c:v>
                </c:pt>
                <c:pt idx="151">
                  <c:v>44135</c:v>
                </c:pt>
                <c:pt idx="152">
                  <c:v>44165</c:v>
                </c:pt>
                <c:pt idx="153">
                  <c:v>44196</c:v>
                </c:pt>
                <c:pt idx="154">
                  <c:v>44227</c:v>
                </c:pt>
                <c:pt idx="155">
                  <c:v>44255</c:v>
                </c:pt>
                <c:pt idx="156">
                  <c:v>44286</c:v>
                </c:pt>
                <c:pt idx="157">
                  <c:v>44316</c:v>
                </c:pt>
                <c:pt idx="158">
                  <c:v>44347</c:v>
                </c:pt>
                <c:pt idx="159">
                  <c:v>44377</c:v>
                </c:pt>
                <c:pt idx="160">
                  <c:v>44408</c:v>
                </c:pt>
                <c:pt idx="161">
                  <c:v>44439</c:v>
                </c:pt>
                <c:pt idx="162">
                  <c:v>44469</c:v>
                </c:pt>
                <c:pt idx="163">
                  <c:v>44500</c:v>
                </c:pt>
                <c:pt idx="164">
                  <c:v>44530</c:v>
                </c:pt>
                <c:pt idx="165">
                  <c:v>44561</c:v>
                </c:pt>
                <c:pt idx="166">
                  <c:v>44592</c:v>
                </c:pt>
                <c:pt idx="167">
                  <c:v>44620</c:v>
                </c:pt>
                <c:pt idx="168">
                  <c:v>44651</c:v>
                </c:pt>
              </c:numCache>
            </c:numRef>
          </c:cat>
          <c:val>
            <c:numRef>
              <c:f>'Úrokové sazby - historie'!$B$54:$B$222</c:f>
              <c:numCache>
                <c:formatCode>0.00</c:formatCode>
                <c:ptCount val="169"/>
                <c:pt idx="0">
                  <c:v>5.52</c:v>
                </c:pt>
                <c:pt idx="1">
                  <c:v>5.51</c:v>
                </c:pt>
                <c:pt idx="2">
                  <c:v>5.53</c:v>
                </c:pt>
                <c:pt idx="3">
                  <c:v>5.54</c:v>
                </c:pt>
                <c:pt idx="4">
                  <c:v>5.58</c:v>
                </c:pt>
                <c:pt idx="5">
                  <c:v>5.75</c:v>
                </c:pt>
                <c:pt idx="6">
                  <c:v>5.74</c:v>
                </c:pt>
                <c:pt idx="7">
                  <c:v>5.68</c:v>
                </c:pt>
                <c:pt idx="8">
                  <c:v>5.68</c:v>
                </c:pt>
                <c:pt idx="9">
                  <c:v>5.69</c:v>
                </c:pt>
                <c:pt idx="10">
                  <c:v>5.75</c:v>
                </c:pt>
                <c:pt idx="11">
                  <c:v>5.77</c:v>
                </c:pt>
                <c:pt idx="12">
                  <c:v>5.68</c:v>
                </c:pt>
                <c:pt idx="13">
                  <c:v>5.68</c:v>
                </c:pt>
                <c:pt idx="14">
                  <c:v>5.71</c:v>
                </c:pt>
                <c:pt idx="15">
                  <c:v>5.71</c:v>
                </c:pt>
                <c:pt idx="16">
                  <c:v>5.75</c:v>
                </c:pt>
                <c:pt idx="17">
                  <c:v>5.73</c:v>
                </c:pt>
                <c:pt idx="18">
                  <c:v>5.71</c:v>
                </c:pt>
                <c:pt idx="19">
                  <c:v>5.69</c:v>
                </c:pt>
                <c:pt idx="20">
                  <c:v>5.67</c:v>
                </c:pt>
                <c:pt idx="21">
                  <c:v>5.66</c:v>
                </c:pt>
                <c:pt idx="22">
                  <c:v>5.52</c:v>
                </c:pt>
                <c:pt idx="23">
                  <c:v>5.47</c:v>
                </c:pt>
                <c:pt idx="24">
                  <c:v>5.4</c:v>
                </c:pt>
                <c:pt idx="25">
                  <c:v>5.3</c:v>
                </c:pt>
                <c:pt idx="26">
                  <c:v>5.13</c:v>
                </c:pt>
                <c:pt idx="27">
                  <c:v>5.01</c:v>
                </c:pt>
                <c:pt idx="28">
                  <c:v>4.91</c:v>
                </c:pt>
                <c:pt idx="29">
                  <c:v>4.87</c:v>
                </c:pt>
                <c:pt idx="30">
                  <c:v>4.6500000000000004</c:v>
                </c:pt>
                <c:pt idx="31">
                  <c:v>4.5599999999999996</c:v>
                </c:pt>
                <c:pt idx="32">
                  <c:v>4.47</c:v>
                </c:pt>
                <c:pt idx="33">
                  <c:v>4.4000000000000004</c:v>
                </c:pt>
                <c:pt idx="34">
                  <c:v>4.37</c:v>
                </c:pt>
                <c:pt idx="35">
                  <c:v>4.4000000000000004</c:v>
                </c:pt>
                <c:pt idx="36">
                  <c:v>4.32</c:v>
                </c:pt>
                <c:pt idx="37">
                  <c:v>4.32</c:v>
                </c:pt>
                <c:pt idx="38">
                  <c:v>4.24</c:v>
                </c:pt>
                <c:pt idx="39">
                  <c:v>4.2300000000000004</c:v>
                </c:pt>
                <c:pt idx="40">
                  <c:v>4.2</c:v>
                </c:pt>
                <c:pt idx="41">
                  <c:v>4.1900000000000004</c:v>
                </c:pt>
                <c:pt idx="42">
                  <c:v>4.04</c:v>
                </c:pt>
                <c:pt idx="43">
                  <c:v>3.91</c:v>
                </c:pt>
                <c:pt idx="44">
                  <c:v>3.76</c:v>
                </c:pt>
                <c:pt idx="45">
                  <c:v>3.72</c:v>
                </c:pt>
                <c:pt idx="46">
                  <c:v>3.72</c:v>
                </c:pt>
                <c:pt idx="47">
                  <c:v>3.73</c:v>
                </c:pt>
                <c:pt idx="48">
                  <c:v>3.75</c:v>
                </c:pt>
                <c:pt idx="49">
                  <c:v>3.81</c:v>
                </c:pt>
                <c:pt idx="50">
                  <c:v>3.76</c:v>
                </c:pt>
                <c:pt idx="51">
                  <c:v>3.71</c:v>
                </c:pt>
                <c:pt idx="52">
                  <c:v>3.65</c:v>
                </c:pt>
                <c:pt idx="53">
                  <c:v>3.61</c:v>
                </c:pt>
                <c:pt idx="54">
                  <c:v>3.59</c:v>
                </c:pt>
                <c:pt idx="55">
                  <c:v>3.48</c:v>
                </c:pt>
                <c:pt idx="56">
                  <c:v>3.34</c:v>
                </c:pt>
                <c:pt idx="57">
                  <c:v>3.28</c:v>
                </c:pt>
                <c:pt idx="58">
                  <c:v>3.35</c:v>
                </c:pt>
                <c:pt idx="59">
                  <c:v>3.38</c:v>
                </c:pt>
                <c:pt idx="60">
                  <c:v>3.28</c:v>
                </c:pt>
                <c:pt idx="61">
                  <c:v>3.21</c:v>
                </c:pt>
                <c:pt idx="62">
                  <c:v>3.13</c:v>
                </c:pt>
                <c:pt idx="63">
                  <c:v>3.06</c:v>
                </c:pt>
                <c:pt idx="64">
                  <c:v>3.12</c:v>
                </c:pt>
                <c:pt idx="65">
                  <c:v>3.14</c:v>
                </c:pt>
                <c:pt idx="66">
                  <c:v>3.1</c:v>
                </c:pt>
                <c:pt idx="67">
                  <c:v>3.17</c:v>
                </c:pt>
                <c:pt idx="68">
                  <c:v>3.16</c:v>
                </c:pt>
                <c:pt idx="69">
                  <c:v>3.15</c:v>
                </c:pt>
                <c:pt idx="70">
                  <c:v>3.29</c:v>
                </c:pt>
                <c:pt idx="71">
                  <c:v>3.23</c:v>
                </c:pt>
                <c:pt idx="72">
                  <c:v>3.1</c:v>
                </c:pt>
                <c:pt idx="73">
                  <c:v>3.05</c:v>
                </c:pt>
                <c:pt idx="74">
                  <c:v>3</c:v>
                </c:pt>
                <c:pt idx="75">
                  <c:v>2.95</c:v>
                </c:pt>
                <c:pt idx="76">
                  <c:v>2.9</c:v>
                </c:pt>
                <c:pt idx="77">
                  <c:v>2.87</c:v>
                </c:pt>
                <c:pt idx="78">
                  <c:v>2.77</c:v>
                </c:pt>
                <c:pt idx="79">
                  <c:v>2.75</c:v>
                </c:pt>
                <c:pt idx="80">
                  <c:v>2.66</c:v>
                </c:pt>
                <c:pt idx="81">
                  <c:v>2.57</c:v>
                </c:pt>
                <c:pt idx="82">
                  <c:v>2.65</c:v>
                </c:pt>
                <c:pt idx="83">
                  <c:v>2.5099999999999998</c:v>
                </c:pt>
                <c:pt idx="84">
                  <c:v>2.38</c:v>
                </c:pt>
                <c:pt idx="85">
                  <c:v>2.37</c:v>
                </c:pt>
                <c:pt idx="86">
                  <c:v>2.2999999999999998</c:v>
                </c:pt>
                <c:pt idx="87">
                  <c:v>2.25</c:v>
                </c:pt>
                <c:pt idx="88">
                  <c:v>2.2999999999999998</c:v>
                </c:pt>
                <c:pt idx="89">
                  <c:v>2.29</c:v>
                </c:pt>
                <c:pt idx="90">
                  <c:v>2.2999999999999998</c:v>
                </c:pt>
                <c:pt idx="91">
                  <c:v>2.3199999999999998</c:v>
                </c:pt>
                <c:pt idx="92">
                  <c:v>2.2799999999999998</c:v>
                </c:pt>
                <c:pt idx="93">
                  <c:v>2.2200000000000002</c:v>
                </c:pt>
                <c:pt idx="94">
                  <c:v>2.2999999999999998</c:v>
                </c:pt>
                <c:pt idx="95">
                  <c:v>2.25</c:v>
                </c:pt>
                <c:pt idx="96">
                  <c:v>2.16</c:v>
                </c:pt>
                <c:pt idx="97">
                  <c:v>2.17</c:v>
                </c:pt>
                <c:pt idx="98">
                  <c:v>2.12</c:v>
                </c:pt>
                <c:pt idx="99">
                  <c:v>2.0699999999999998</c:v>
                </c:pt>
                <c:pt idx="100">
                  <c:v>2.1</c:v>
                </c:pt>
                <c:pt idx="101">
                  <c:v>2.0299999999999998</c:v>
                </c:pt>
                <c:pt idx="102">
                  <c:v>2</c:v>
                </c:pt>
                <c:pt idx="103">
                  <c:v>2</c:v>
                </c:pt>
                <c:pt idx="104">
                  <c:v>1.91</c:v>
                </c:pt>
                <c:pt idx="105">
                  <c:v>1.96</c:v>
                </c:pt>
                <c:pt idx="106">
                  <c:v>2.06</c:v>
                </c:pt>
                <c:pt idx="107">
                  <c:v>2.02</c:v>
                </c:pt>
                <c:pt idx="108">
                  <c:v>2.06</c:v>
                </c:pt>
                <c:pt idx="109">
                  <c:v>2.09</c:v>
                </c:pt>
                <c:pt idx="110">
                  <c:v>2.1</c:v>
                </c:pt>
                <c:pt idx="111">
                  <c:v>2.11</c:v>
                </c:pt>
                <c:pt idx="112">
                  <c:v>2.11</c:v>
                </c:pt>
                <c:pt idx="113">
                  <c:v>2.1</c:v>
                </c:pt>
                <c:pt idx="114">
                  <c:v>2.12</c:v>
                </c:pt>
                <c:pt idx="115">
                  <c:v>2.17</c:v>
                </c:pt>
                <c:pt idx="116">
                  <c:v>2.19</c:v>
                </c:pt>
                <c:pt idx="117">
                  <c:v>2.2200000000000002</c:v>
                </c:pt>
                <c:pt idx="118">
                  <c:v>2.2999999999999998</c:v>
                </c:pt>
                <c:pt idx="119">
                  <c:v>2.3199999999999998</c:v>
                </c:pt>
                <c:pt idx="120">
                  <c:v>2.41</c:v>
                </c:pt>
                <c:pt idx="121">
                  <c:v>2.44</c:v>
                </c:pt>
                <c:pt idx="122">
                  <c:v>2.4300000000000002</c:v>
                </c:pt>
                <c:pt idx="123">
                  <c:v>2.4300000000000002</c:v>
                </c:pt>
                <c:pt idx="124">
                  <c:v>2.4500000000000002</c:v>
                </c:pt>
                <c:pt idx="125">
                  <c:v>2.4900000000000002</c:v>
                </c:pt>
                <c:pt idx="126">
                  <c:v>2.54</c:v>
                </c:pt>
                <c:pt idx="127">
                  <c:v>2.61</c:v>
                </c:pt>
                <c:pt idx="128">
                  <c:v>2.68</c:v>
                </c:pt>
                <c:pt idx="129">
                  <c:v>2.79</c:v>
                </c:pt>
                <c:pt idx="130">
                  <c:v>2.79</c:v>
                </c:pt>
                <c:pt idx="131">
                  <c:v>2.82</c:v>
                </c:pt>
                <c:pt idx="132">
                  <c:v>2.8</c:v>
                </c:pt>
                <c:pt idx="133">
                  <c:v>2.76</c:v>
                </c:pt>
                <c:pt idx="134">
                  <c:v>2.75</c:v>
                </c:pt>
                <c:pt idx="135">
                  <c:v>2.71</c:v>
                </c:pt>
                <c:pt idx="136">
                  <c:v>2.65</c:v>
                </c:pt>
                <c:pt idx="137">
                  <c:v>2.61</c:v>
                </c:pt>
                <c:pt idx="138">
                  <c:v>2.4900000000000002</c:v>
                </c:pt>
                <c:pt idx="139">
                  <c:v>2.42</c:v>
                </c:pt>
                <c:pt idx="140">
                  <c:v>2.38</c:v>
                </c:pt>
                <c:pt idx="141">
                  <c:v>2.35</c:v>
                </c:pt>
                <c:pt idx="142">
                  <c:v>2.38</c:v>
                </c:pt>
                <c:pt idx="143">
                  <c:v>2.4300000000000002</c:v>
                </c:pt>
                <c:pt idx="144">
                  <c:v>2.42</c:v>
                </c:pt>
                <c:pt idx="145">
                  <c:v>2.37</c:v>
                </c:pt>
                <c:pt idx="146">
                  <c:v>2.39</c:v>
                </c:pt>
                <c:pt idx="147">
                  <c:v>2.2999999999999998</c:v>
                </c:pt>
                <c:pt idx="148">
                  <c:v>2.23</c:v>
                </c:pt>
                <c:pt idx="149">
                  <c:v>2.17</c:v>
                </c:pt>
                <c:pt idx="150">
                  <c:v>2.12</c:v>
                </c:pt>
                <c:pt idx="151">
                  <c:v>2.08</c:v>
                </c:pt>
                <c:pt idx="152">
                  <c:v>2.04</c:v>
                </c:pt>
                <c:pt idx="153">
                  <c:v>2.0099999999999998</c:v>
                </c:pt>
                <c:pt idx="154">
                  <c:v>1.99</c:v>
                </c:pt>
                <c:pt idx="155">
                  <c:v>1.99</c:v>
                </c:pt>
                <c:pt idx="156">
                  <c:v>1.98</c:v>
                </c:pt>
                <c:pt idx="157">
                  <c:v>2.0099999999999998</c:v>
                </c:pt>
                <c:pt idx="158">
                  <c:v>2.06</c:v>
                </c:pt>
                <c:pt idx="159">
                  <c:v>2.12</c:v>
                </c:pt>
                <c:pt idx="160">
                  <c:v>2.2000000000000002</c:v>
                </c:pt>
                <c:pt idx="161">
                  <c:v>2.27</c:v>
                </c:pt>
                <c:pt idx="162">
                  <c:v>2.37</c:v>
                </c:pt>
                <c:pt idx="163" formatCode="General">
                  <c:v>2.48</c:v>
                </c:pt>
                <c:pt idx="164" formatCode="General">
                  <c:v>2.63</c:v>
                </c:pt>
                <c:pt idx="165" formatCode="General">
                  <c:v>2.85</c:v>
                </c:pt>
                <c:pt idx="166" formatCode="General">
                  <c:v>3.16</c:v>
                </c:pt>
                <c:pt idx="167" formatCode="General">
                  <c:v>3.46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19-4C30-9713-823BAE5324CD}"/>
            </c:ext>
          </c:extLst>
        </c:ser>
        <c:ser>
          <c:idx val="2"/>
          <c:order val="1"/>
          <c:tx>
            <c:strRef>
              <c:f>'Úrokové sazby - historie'!$C$2</c:f>
              <c:strCache>
                <c:ptCount val="1"/>
                <c:pt idx="0">
                  <c:v>Oficální data ČNB
(nové)</c:v>
                </c:pt>
              </c:strCache>
            </c:strRef>
          </c:tx>
          <c:spPr>
            <a:ln w="952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'Úrokové sazby - historie'!$A$54:$A$222</c:f>
              <c:numCache>
                <c:formatCode>m/d/yyyy</c:formatCode>
                <c:ptCount val="169"/>
                <c:pt idx="0">
                  <c:v>39538</c:v>
                </c:pt>
                <c:pt idx="1">
                  <c:v>39568</c:v>
                </c:pt>
                <c:pt idx="2">
                  <c:v>39599</c:v>
                </c:pt>
                <c:pt idx="3">
                  <c:v>39629</c:v>
                </c:pt>
                <c:pt idx="4">
                  <c:v>39660</c:v>
                </c:pt>
                <c:pt idx="5">
                  <c:v>39691</c:v>
                </c:pt>
                <c:pt idx="6">
                  <c:v>39721</c:v>
                </c:pt>
                <c:pt idx="7">
                  <c:v>39752</c:v>
                </c:pt>
                <c:pt idx="8">
                  <c:v>39782</c:v>
                </c:pt>
                <c:pt idx="9">
                  <c:v>39813</c:v>
                </c:pt>
                <c:pt idx="10">
                  <c:v>39844</c:v>
                </c:pt>
                <c:pt idx="11">
                  <c:v>39872</c:v>
                </c:pt>
                <c:pt idx="12">
                  <c:v>39903</c:v>
                </c:pt>
                <c:pt idx="13">
                  <c:v>39933</c:v>
                </c:pt>
                <c:pt idx="14">
                  <c:v>39964</c:v>
                </c:pt>
                <c:pt idx="15">
                  <c:v>39994</c:v>
                </c:pt>
                <c:pt idx="16">
                  <c:v>40025</c:v>
                </c:pt>
                <c:pt idx="17">
                  <c:v>40056</c:v>
                </c:pt>
                <c:pt idx="18">
                  <c:v>40086</c:v>
                </c:pt>
                <c:pt idx="19">
                  <c:v>40117</c:v>
                </c:pt>
                <c:pt idx="20">
                  <c:v>40147</c:v>
                </c:pt>
                <c:pt idx="21">
                  <c:v>40178</c:v>
                </c:pt>
                <c:pt idx="22">
                  <c:v>40209</c:v>
                </c:pt>
                <c:pt idx="23">
                  <c:v>40237</c:v>
                </c:pt>
                <c:pt idx="24">
                  <c:v>40268</c:v>
                </c:pt>
                <c:pt idx="25">
                  <c:v>40298</c:v>
                </c:pt>
                <c:pt idx="26">
                  <c:v>40329</c:v>
                </c:pt>
                <c:pt idx="27">
                  <c:v>40359</c:v>
                </c:pt>
                <c:pt idx="28">
                  <c:v>40390</c:v>
                </c:pt>
                <c:pt idx="29">
                  <c:v>40421</c:v>
                </c:pt>
                <c:pt idx="30">
                  <c:v>40451</c:v>
                </c:pt>
                <c:pt idx="31">
                  <c:v>40482</c:v>
                </c:pt>
                <c:pt idx="32">
                  <c:v>40512</c:v>
                </c:pt>
                <c:pt idx="33">
                  <c:v>40543</c:v>
                </c:pt>
                <c:pt idx="34">
                  <c:v>40574</c:v>
                </c:pt>
                <c:pt idx="35">
                  <c:v>40602</c:v>
                </c:pt>
                <c:pt idx="36">
                  <c:v>40633</c:v>
                </c:pt>
                <c:pt idx="37">
                  <c:v>40663</c:v>
                </c:pt>
                <c:pt idx="38">
                  <c:v>40694</c:v>
                </c:pt>
                <c:pt idx="39">
                  <c:v>40724</c:v>
                </c:pt>
                <c:pt idx="40">
                  <c:v>40755</c:v>
                </c:pt>
                <c:pt idx="41">
                  <c:v>40786</c:v>
                </c:pt>
                <c:pt idx="42">
                  <c:v>40816</c:v>
                </c:pt>
                <c:pt idx="43">
                  <c:v>40847</c:v>
                </c:pt>
                <c:pt idx="44">
                  <c:v>40877</c:v>
                </c:pt>
                <c:pt idx="45">
                  <c:v>40908</c:v>
                </c:pt>
                <c:pt idx="46">
                  <c:v>40939</c:v>
                </c:pt>
                <c:pt idx="47">
                  <c:v>40968</c:v>
                </c:pt>
                <c:pt idx="48">
                  <c:v>40999</c:v>
                </c:pt>
                <c:pt idx="49">
                  <c:v>41029</c:v>
                </c:pt>
                <c:pt idx="50">
                  <c:v>41060</c:v>
                </c:pt>
                <c:pt idx="51">
                  <c:v>41090</c:v>
                </c:pt>
                <c:pt idx="52">
                  <c:v>41121</c:v>
                </c:pt>
                <c:pt idx="53">
                  <c:v>41152</c:v>
                </c:pt>
                <c:pt idx="54">
                  <c:v>41182</c:v>
                </c:pt>
                <c:pt idx="55">
                  <c:v>41213</c:v>
                </c:pt>
                <c:pt idx="56">
                  <c:v>41243</c:v>
                </c:pt>
                <c:pt idx="57">
                  <c:v>41274</c:v>
                </c:pt>
                <c:pt idx="58">
                  <c:v>41305</c:v>
                </c:pt>
                <c:pt idx="59">
                  <c:v>41333</c:v>
                </c:pt>
                <c:pt idx="60">
                  <c:v>41364</c:v>
                </c:pt>
                <c:pt idx="61">
                  <c:v>41394</c:v>
                </c:pt>
                <c:pt idx="62">
                  <c:v>41425</c:v>
                </c:pt>
                <c:pt idx="63">
                  <c:v>41455</c:v>
                </c:pt>
                <c:pt idx="64">
                  <c:v>41486</c:v>
                </c:pt>
                <c:pt idx="65">
                  <c:v>41517</c:v>
                </c:pt>
                <c:pt idx="66">
                  <c:v>41547</c:v>
                </c:pt>
                <c:pt idx="67">
                  <c:v>41578</c:v>
                </c:pt>
                <c:pt idx="68">
                  <c:v>41608</c:v>
                </c:pt>
                <c:pt idx="69">
                  <c:v>41639</c:v>
                </c:pt>
                <c:pt idx="70">
                  <c:v>41670</c:v>
                </c:pt>
                <c:pt idx="71">
                  <c:v>41698</c:v>
                </c:pt>
                <c:pt idx="72">
                  <c:v>41729</c:v>
                </c:pt>
                <c:pt idx="73">
                  <c:v>41759</c:v>
                </c:pt>
                <c:pt idx="74">
                  <c:v>41790</c:v>
                </c:pt>
                <c:pt idx="75">
                  <c:v>41820</c:v>
                </c:pt>
                <c:pt idx="76">
                  <c:v>41851</c:v>
                </c:pt>
                <c:pt idx="77">
                  <c:v>41882</c:v>
                </c:pt>
                <c:pt idx="78">
                  <c:v>41912</c:v>
                </c:pt>
                <c:pt idx="79">
                  <c:v>41943</c:v>
                </c:pt>
                <c:pt idx="80">
                  <c:v>41973</c:v>
                </c:pt>
                <c:pt idx="81">
                  <c:v>42004</c:v>
                </c:pt>
                <c:pt idx="82">
                  <c:v>42035</c:v>
                </c:pt>
                <c:pt idx="83">
                  <c:v>42063</c:v>
                </c:pt>
                <c:pt idx="84">
                  <c:v>42094</c:v>
                </c:pt>
                <c:pt idx="85">
                  <c:v>42124</c:v>
                </c:pt>
                <c:pt idx="86">
                  <c:v>42155</c:v>
                </c:pt>
                <c:pt idx="87">
                  <c:v>42185</c:v>
                </c:pt>
                <c:pt idx="88">
                  <c:v>42216</c:v>
                </c:pt>
                <c:pt idx="89">
                  <c:v>42247</c:v>
                </c:pt>
                <c:pt idx="90">
                  <c:v>42277</c:v>
                </c:pt>
                <c:pt idx="91">
                  <c:v>42308</c:v>
                </c:pt>
                <c:pt idx="92">
                  <c:v>42338</c:v>
                </c:pt>
                <c:pt idx="93">
                  <c:v>42369</c:v>
                </c:pt>
                <c:pt idx="94">
                  <c:v>42400</c:v>
                </c:pt>
                <c:pt idx="95">
                  <c:v>42429</c:v>
                </c:pt>
                <c:pt idx="96">
                  <c:v>42460</c:v>
                </c:pt>
                <c:pt idx="97">
                  <c:v>42490</c:v>
                </c:pt>
                <c:pt idx="98">
                  <c:v>42521</c:v>
                </c:pt>
                <c:pt idx="99">
                  <c:v>42551</c:v>
                </c:pt>
                <c:pt idx="100">
                  <c:v>42582</c:v>
                </c:pt>
                <c:pt idx="101">
                  <c:v>42613</c:v>
                </c:pt>
                <c:pt idx="102">
                  <c:v>42643</c:v>
                </c:pt>
                <c:pt idx="103">
                  <c:v>42674</c:v>
                </c:pt>
                <c:pt idx="104">
                  <c:v>42704</c:v>
                </c:pt>
                <c:pt idx="105">
                  <c:v>42735</c:v>
                </c:pt>
                <c:pt idx="106">
                  <c:v>42766</c:v>
                </c:pt>
                <c:pt idx="107">
                  <c:v>42794</c:v>
                </c:pt>
                <c:pt idx="108">
                  <c:v>42825</c:v>
                </c:pt>
                <c:pt idx="109">
                  <c:v>42855</c:v>
                </c:pt>
                <c:pt idx="110">
                  <c:v>42886</c:v>
                </c:pt>
                <c:pt idx="111">
                  <c:v>42916</c:v>
                </c:pt>
                <c:pt idx="112">
                  <c:v>42947</c:v>
                </c:pt>
                <c:pt idx="113">
                  <c:v>42978</c:v>
                </c:pt>
                <c:pt idx="114">
                  <c:v>43008</c:v>
                </c:pt>
                <c:pt idx="115">
                  <c:v>43039</c:v>
                </c:pt>
                <c:pt idx="116">
                  <c:v>43069</c:v>
                </c:pt>
                <c:pt idx="117">
                  <c:v>43100</c:v>
                </c:pt>
                <c:pt idx="118">
                  <c:v>43131</c:v>
                </c:pt>
                <c:pt idx="119">
                  <c:v>43159</c:v>
                </c:pt>
                <c:pt idx="120">
                  <c:v>43190</c:v>
                </c:pt>
                <c:pt idx="121">
                  <c:v>43220</c:v>
                </c:pt>
                <c:pt idx="122">
                  <c:v>43251</c:v>
                </c:pt>
                <c:pt idx="123">
                  <c:v>43281</c:v>
                </c:pt>
                <c:pt idx="124">
                  <c:v>43312</c:v>
                </c:pt>
                <c:pt idx="125">
                  <c:v>43343</c:v>
                </c:pt>
                <c:pt idx="126">
                  <c:v>43373</c:v>
                </c:pt>
                <c:pt idx="127">
                  <c:v>43404</c:v>
                </c:pt>
                <c:pt idx="128">
                  <c:v>43434</c:v>
                </c:pt>
                <c:pt idx="129">
                  <c:v>43465</c:v>
                </c:pt>
                <c:pt idx="130">
                  <c:v>43496</c:v>
                </c:pt>
                <c:pt idx="131">
                  <c:v>43524</c:v>
                </c:pt>
                <c:pt idx="132">
                  <c:v>43555</c:v>
                </c:pt>
                <c:pt idx="133">
                  <c:v>43585</c:v>
                </c:pt>
                <c:pt idx="134">
                  <c:v>43616</c:v>
                </c:pt>
                <c:pt idx="135">
                  <c:v>43646</c:v>
                </c:pt>
                <c:pt idx="136">
                  <c:v>43677</c:v>
                </c:pt>
                <c:pt idx="137">
                  <c:v>43708</c:v>
                </c:pt>
                <c:pt idx="138">
                  <c:v>43738</c:v>
                </c:pt>
                <c:pt idx="139">
                  <c:v>43769</c:v>
                </c:pt>
                <c:pt idx="140">
                  <c:v>43799</c:v>
                </c:pt>
                <c:pt idx="141">
                  <c:v>43830</c:v>
                </c:pt>
                <c:pt idx="142">
                  <c:v>43861</c:v>
                </c:pt>
                <c:pt idx="143">
                  <c:v>43890</c:v>
                </c:pt>
                <c:pt idx="144">
                  <c:v>43921</c:v>
                </c:pt>
                <c:pt idx="145">
                  <c:v>43951</c:v>
                </c:pt>
                <c:pt idx="146">
                  <c:v>43982</c:v>
                </c:pt>
                <c:pt idx="147">
                  <c:v>44012</c:v>
                </c:pt>
                <c:pt idx="148">
                  <c:v>44043</c:v>
                </c:pt>
                <c:pt idx="149">
                  <c:v>44074</c:v>
                </c:pt>
                <c:pt idx="150">
                  <c:v>44104</c:v>
                </c:pt>
                <c:pt idx="151">
                  <c:v>44135</c:v>
                </c:pt>
                <c:pt idx="152">
                  <c:v>44165</c:v>
                </c:pt>
                <c:pt idx="153">
                  <c:v>44196</c:v>
                </c:pt>
                <c:pt idx="154">
                  <c:v>44227</c:v>
                </c:pt>
                <c:pt idx="155">
                  <c:v>44255</c:v>
                </c:pt>
                <c:pt idx="156">
                  <c:v>44286</c:v>
                </c:pt>
                <c:pt idx="157">
                  <c:v>44316</c:v>
                </c:pt>
                <c:pt idx="158">
                  <c:v>44347</c:v>
                </c:pt>
                <c:pt idx="159">
                  <c:v>44377</c:v>
                </c:pt>
                <c:pt idx="160">
                  <c:v>44408</c:v>
                </c:pt>
                <c:pt idx="161">
                  <c:v>44439</c:v>
                </c:pt>
                <c:pt idx="162">
                  <c:v>44469</c:v>
                </c:pt>
                <c:pt idx="163">
                  <c:v>44500</c:v>
                </c:pt>
                <c:pt idx="164">
                  <c:v>44530</c:v>
                </c:pt>
                <c:pt idx="165">
                  <c:v>44561</c:v>
                </c:pt>
                <c:pt idx="166">
                  <c:v>44592</c:v>
                </c:pt>
                <c:pt idx="167">
                  <c:v>44620</c:v>
                </c:pt>
                <c:pt idx="168">
                  <c:v>44651</c:v>
                </c:pt>
              </c:numCache>
            </c:numRef>
          </c:cat>
          <c:val>
            <c:numRef>
              <c:f>'Úrokové sazby - historie'!$C$54:$C$222</c:f>
              <c:numCache>
                <c:formatCode>General</c:formatCode>
                <c:ptCount val="169"/>
                <c:pt idx="70" formatCode="0.00">
                  <c:v>3.2</c:v>
                </c:pt>
                <c:pt idx="71" formatCode="0.00">
                  <c:v>3.13</c:v>
                </c:pt>
                <c:pt idx="72" formatCode="0.00">
                  <c:v>2.99</c:v>
                </c:pt>
                <c:pt idx="73" formatCode="0.00">
                  <c:v>2.97</c:v>
                </c:pt>
                <c:pt idx="74" formatCode="0.00">
                  <c:v>2.88</c:v>
                </c:pt>
                <c:pt idx="75" formatCode="0.00">
                  <c:v>2.83</c:v>
                </c:pt>
                <c:pt idx="76" formatCode="0.00">
                  <c:v>2.76</c:v>
                </c:pt>
                <c:pt idx="77" formatCode="0.00">
                  <c:v>2.72</c:v>
                </c:pt>
                <c:pt idx="78" formatCode="0.00">
                  <c:v>2.56</c:v>
                </c:pt>
                <c:pt idx="79" formatCode="0.00">
                  <c:v>2.57</c:v>
                </c:pt>
                <c:pt idx="80" formatCode="0.00">
                  <c:v>2.5</c:v>
                </c:pt>
                <c:pt idx="81" formatCode="0.00">
                  <c:v>2.4</c:v>
                </c:pt>
                <c:pt idx="82" formatCode="0.00">
                  <c:v>2.46</c:v>
                </c:pt>
                <c:pt idx="83" formatCode="0.00">
                  <c:v>2.34</c:v>
                </c:pt>
                <c:pt idx="84" formatCode="0.00">
                  <c:v>2.19</c:v>
                </c:pt>
                <c:pt idx="85" formatCode="0.00">
                  <c:v>2.15</c:v>
                </c:pt>
                <c:pt idx="86" formatCode="0.00">
                  <c:v>2.1</c:v>
                </c:pt>
                <c:pt idx="87" formatCode="0.00">
                  <c:v>2.0699999999999998</c:v>
                </c:pt>
                <c:pt idx="88" formatCode="0.00">
                  <c:v>2.11</c:v>
                </c:pt>
                <c:pt idx="89" formatCode="0.00">
                  <c:v>2.13</c:v>
                </c:pt>
                <c:pt idx="90" formatCode="0.00">
                  <c:v>2.14</c:v>
                </c:pt>
                <c:pt idx="91" formatCode="0.00">
                  <c:v>2.16</c:v>
                </c:pt>
                <c:pt idx="92" formatCode="0.00">
                  <c:v>2.11</c:v>
                </c:pt>
                <c:pt idx="93" formatCode="0.00">
                  <c:v>2.09</c:v>
                </c:pt>
                <c:pt idx="94" formatCode="0.00">
                  <c:v>2.08</c:v>
                </c:pt>
                <c:pt idx="95" formatCode="0.00">
                  <c:v>2.0699999999999998</c:v>
                </c:pt>
                <c:pt idx="96" formatCode="0.00">
                  <c:v>2.0099999999999998</c:v>
                </c:pt>
                <c:pt idx="97" formatCode="0.00">
                  <c:v>2.02</c:v>
                </c:pt>
                <c:pt idx="98" formatCode="0.00">
                  <c:v>1.95</c:v>
                </c:pt>
                <c:pt idx="99" formatCode="0.00">
                  <c:v>1.93</c:v>
                </c:pt>
                <c:pt idx="100" formatCode="0.00">
                  <c:v>1.93</c:v>
                </c:pt>
                <c:pt idx="101" formatCode="0.00">
                  <c:v>1.89</c:v>
                </c:pt>
                <c:pt idx="102" formatCode="0.00">
                  <c:v>1.86</c:v>
                </c:pt>
                <c:pt idx="103" formatCode="0.00">
                  <c:v>1.86</c:v>
                </c:pt>
                <c:pt idx="104" formatCode="0.00">
                  <c:v>1.81</c:v>
                </c:pt>
                <c:pt idx="105" formatCode="0.00">
                  <c:v>1.8</c:v>
                </c:pt>
                <c:pt idx="106" formatCode="0.00">
                  <c:v>1.87</c:v>
                </c:pt>
                <c:pt idx="107" formatCode="0.00">
                  <c:v>1.91</c:v>
                </c:pt>
                <c:pt idx="108" formatCode="0.00">
                  <c:v>1.97</c:v>
                </c:pt>
                <c:pt idx="109" formatCode="0.00">
                  <c:v>2.02</c:v>
                </c:pt>
                <c:pt idx="110" formatCode="0.00">
                  <c:v>2.04</c:v>
                </c:pt>
                <c:pt idx="111" formatCode="0.00">
                  <c:v>2.0499999999999998</c:v>
                </c:pt>
                <c:pt idx="112" formatCode="0.00">
                  <c:v>2.0499999999999998</c:v>
                </c:pt>
                <c:pt idx="113" formatCode="0.00">
                  <c:v>2.04</c:v>
                </c:pt>
                <c:pt idx="114" formatCode="0.00">
                  <c:v>2.0499999999999998</c:v>
                </c:pt>
                <c:pt idx="115" formatCode="0.00">
                  <c:v>2.11</c:v>
                </c:pt>
                <c:pt idx="116" formatCode="0.00">
                  <c:v>2.15</c:v>
                </c:pt>
                <c:pt idx="117" formatCode="0.00">
                  <c:v>2.19</c:v>
                </c:pt>
                <c:pt idx="118" formatCode="0.00">
                  <c:v>2.2599999999999998</c:v>
                </c:pt>
                <c:pt idx="119" formatCode="0.00">
                  <c:v>2.33</c:v>
                </c:pt>
                <c:pt idx="120" formatCode="0.00">
                  <c:v>2.44</c:v>
                </c:pt>
                <c:pt idx="121" formatCode="0.00">
                  <c:v>2.48</c:v>
                </c:pt>
                <c:pt idx="122" formatCode="0.00">
                  <c:v>2.4900000000000002</c:v>
                </c:pt>
                <c:pt idx="123" formatCode="0.00">
                  <c:v>2.48</c:v>
                </c:pt>
                <c:pt idx="124" formatCode="0.00">
                  <c:v>2.4900000000000002</c:v>
                </c:pt>
                <c:pt idx="125" formatCode="0.00">
                  <c:v>2.5299999999999998</c:v>
                </c:pt>
                <c:pt idx="126" formatCode="0.00">
                  <c:v>2.58</c:v>
                </c:pt>
                <c:pt idx="127" formatCode="0.00">
                  <c:v>2.67</c:v>
                </c:pt>
                <c:pt idx="128" formatCode="0.00">
                  <c:v>2.78</c:v>
                </c:pt>
                <c:pt idx="129" formatCode="0.00">
                  <c:v>2.91</c:v>
                </c:pt>
                <c:pt idx="130" formatCode="0.00">
                  <c:v>2.97</c:v>
                </c:pt>
                <c:pt idx="131" formatCode="0.00">
                  <c:v>2.99</c:v>
                </c:pt>
                <c:pt idx="132" formatCode="0.00">
                  <c:v>2.92</c:v>
                </c:pt>
                <c:pt idx="133" formatCode="0.00">
                  <c:v>2.86</c:v>
                </c:pt>
                <c:pt idx="134" formatCode="0.00">
                  <c:v>2.82</c:v>
                </c:pt>
                <c:pt idx="135" formatCode="0.00">
                  <c:v>2.76</c:v>
                </c:pt>
                <c:pt idx="136" formatCode="0.00">
                  <c:v>2.69</c:v>
                </c:pt>
                <c:pt idx="137" formatCode="0.00">
                  <c:v>2.64</c:v>
                </c:pt>
                <c:pt idx="138" formatCode="0.00">
                  <c:v>2.4900000000000002</c:v>
                </c:pt>
                <c:pt idx="139" formatCode="0.00">
                  <c:v>2.4</c:v>
                </c:pt>
                <c:pt idx="140" formatCode="0.00">
                  <c:v>2.36</c:v>
                </c:pt>
                <c:pt idx="141" formatCode="0.00">
                  <c:v>2.35</c:v>
                </c:pt>
                <c:pt idx="142" formatCode="0.00">
                  <c:v>2.36</c:v>
                </c:pt>
                <c:pt idx="143" formatCode="0.00">
                  <c:v>2.4300000000000002</c:v>
                </c:pt>
                <c:pt idx="144" formatCode="0.00">
                  <c:v>2.44</c:v>
                </c:pt>
                <c:pt idx="145" formatCode="0.00">
                  <c:v>2.38</c:v>
                </c:pt>
                <c:pt idx="146" formatCode="0.00">
                  <c:v>2.2999999999999998</c:v>
                </c:pt>
                <c:pt idx="147" formatCode="0.00">
                  <c:v>2.21</c:v>
                </c:pt>
                <c:pt idx="148" formatCode="0.00">
                  <c:v>2.13</c:v>
                </c:pt>
                <c:pt idx="149" formatCode="0.00">
                  <c:v>2.1</c:v>
                </c:pt>
                <c:pt idx="150" formatCode="0.00">
                  <c:v>2.0699999999999998</c:v>
                </c:pt>
                <c:pt idx="151" formatCode="0.00">
                  <c:v>2.0299999999999998</c:v>
                </c:pt>
                <c:pt idx="152" formatCode="0.00">
                  <c:v>1.99</c:v>
                </c:pt>
                <c:pt idx="153" formatCode="0.00">
                  <c:v>1.96</c:v>
                </c:pt>
                <c:pt idx="154" formatCode="0.00">
                  <c:v>1.93</c:v>
                </c:pt>
                <c:pt idx="155" formatCode="0.00">
                  <c:v>1.94</c:v>
                </c:pt>
                <c:pt idx="156" formatCode="0.00">
                  <c:v>1.95</c:v>
                </c:pt>
                <c:pt idx="157" formatCode="0.00">
                  <c:v>1.99</c:v>
                </c:pt>
                <c:pt idx="158" formatCode="0.00">
                  <c:v>2.0499999999999998</c:v>
                </c:pt>
                <c:pt idx="159" formatCode="0.00">
                  <c:v>2.13</c:v>
                </c:pt>
                <c:pt idx="160" formatCode="0.00">
                  <c:v>2.2200000000000002</c:v>
                </c:pt>
                <c:pt idx="161" formatCode="0.00">
                  <c:v>2.31</c:v>
                </c:pt>
                <c:pt idx="162" formatCode="0.00">
                  <c:v>2.42</c:v>
                </c:pt>
                <c:pt idx="163" formatCode="0.00">
                  <c:v>2.54</c:v>
                </c:pt>
                <c:pt idx="164" formatCode="0.00">
                  <c:v>2.71</c:v>
                </c:pt>
                <c:pt idx="165" formatCode="0.00">
                  <c:v>3.01</c:v>
                </c:pt>
                <c:pt idx="166" formatCode="0.00">
                  <c:v>3.4</c:v>
                </c:pt>
                <c:pt idx="167">
                  <c:v>3.85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19-4C30-9713-823BAE5324CD}"/>
            </c:ext>
          </c:extLst>
        </c:ser>
        <c:ser>
          <c:idx val="1"/>
          <c:order val="2"/>
          <c:tx>
            <c:strRef>
              <c:f>'Úrokové sazby - historie'!$D$2</c:f>
              <c:strCache>
                <c:ptCount val="1"/>
                <c:pt idx="0">
                  <c:v>ČBA Hypomonitor
(nové)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'Úrokové sazby - historie'!$A$54:$A$222</c:f>
              <c:numCache>
                <c:formatCode>m/d/yyyy</c:formatCode>
                <c:ptCount val="169"/>
                <c:pt idx="0">
                  <c:v>39538</c:v>
                </c:pt>
                <c:pt idx="1">
                  <c:v>39568</c:v>
                </c:pt>
                <c:pt idx="2">
                  <c:v>39599</c:v>
                </c:pt>
                <c:pt idx="3">
                  <c:v>39629</c:v>
                </c:pt>
                <c:pt idx="4">
                  <c:v>39660</c:v>
                </c:pt>
                <c:pt idx="5">
                  <c:v>39691</c:v>
                </c:pt>
                <c:pt idx="6">
                  <c:v>39721</c:v>
                </c:pt>
                <c:pt idx="7">
                  <c:v>39752</c:v>
                </c:pt>
                <c:pt idx="8">
                  <c:v>39782</c:v>
                </c:pt>
                <c:pt idx="9">
                  <c:v>39813</c:v>
                </c:pt>
                <c:pt idx="10">
                  <c:v>39844</c:v>
                </c:pt>
                <c:pt idx="11">
                  <c:v>39872</c:v>
                </c:pt>
                <c:pt idx="12">
                  <c:v>39903</c:v>
                </c:pt>
                <c:pt idx="13">
                  <c:v>39933</c:v>
                </c:pt>
                <c:pt idx="14">
                  <c:v>39964</c:v>
                </c:pt>
                <c:pt idx="15">
                  <c:v>39994</c:v>
                </c:pt>
                <c:pt idx="16">
                  <c:v>40025</c:v>
                </c:pt>
                <c:pt idx="17">
                  <c:v>40056</c:v>
                </c:pt>
                <c:pt idx="18">
                  <c:v>40086</c:v>
                </c:pt>
                <c:pt idx="19">
                  <c:v>40117</c:v>
                </c:pt>
                <c:pt idx="20">
                  <c:v>40147</c:v>
                </c:pt>
                <c:pt idx="21">
                  <c:v>40178</c:v>
                </c:pt>
                <c:pt idx="22">
                  <c:v>40209</c:v>
                </c:pt>
                <c:pt idx="23">
                  <c:v>40237</c:v>
                </c:pt>
                <c:pt idx="24">
                  <c:v>40268</c:v>
                </c:pt>
                <c:pt idx="25">
                  <c:v>40298</c:v>
                </c:pt>
                <c:pt idx="26">
                  <c:v>40329</c:v>
                </c:pt>
                <c:pt idx="27">
                  <c:v>40359</c:v>
                </c:pt>
                <c:pt idx="28">
                  <c:v>40390</c:v>
                </c:pt>
                <c:pt idx="29">
                  <c:v>40421</c:v>
                </c:pt>
                <c:pt idx="30">
                  <c:v>40451</c:v>
                </c:pt>
                <c:pt idx="31">
                  <c:v>40482</c:v>
                </c:pt>
                <c:pt idx="32">
                  <c:v>40512</c:v>
                </c:pt>
                <c:pt idx="33">
                  <c:v>40543</c:v>
                </c:pt>
                <c:pt idx="34">
                  <c:v>40574</c:v>
                </c:pt>
                <c:pt idx="35">
                  <c:v>40602</c:v>
                </c:pt>
                <c:pt idx="36">
                  <c:v>40633</c:v>
                </c:pt>
                <c:pt idx="37">
                  <c:v>40663</c:v>
                </c:pt>
                <c:pt idx="38">
                  <c:v>40694</c:v>
                </c:pt>
                <c:pt idx="39">
                  <c:v>40724</c:v>
                </c:pt>
                <c:pt idx="40">
                  <c:v>40755</c:v>
                </c:pt>
                <c:pt idx="41">
                  <c:v>40786</c:v>
                </c:pt>
                <c:pt idx="42">
                  <c:v>40816</c:v>
                </c:pt>
                <c:pt idx="43">
                  <c:v>40847</c:v>
                </c:pt>
                <c:pt idx="44">
                  <c:v>40877</c:v>
                </c:pt>
                <c:pt idx="45">
                  <c:v>40908</c:v>
                </c:pt>
                <c:pt idx="46">
                  <c:v>40939</c:v>
                </c:pt>
                <c:pt idx="47">
                  <c:v>40968</c:v>
                </c:pt>
                <c:pt idx="48">
                  <c:v>40999</c:v>
                </c:pt>
                <c:pt idx="49">
                  <c:v>41029</c:v>
                </c:pt>
                <c:pt idx="50">
                  <c:v>41060</c:v>
                </c:pt>
                <c:pt idx="51">
                  <c:v>41090</c:v>
                </c:pt>
                <c:pt idx="52">
                  <c:v>41121</c:v>
                </c:pt>
                <c:pt idx="53">
                  <c:v>41152</c:v>
                </c:pt>
                <c:pt idx="54">
                  <c:v>41182</c:v>
                </c:pt>
                <c:pt idx="55">
                  <c:v>41213</c:v>
                </c:pt>
                <c:pt idx="56">
                  <c:v>41243</c:v>
                </c:pt>
                <c:pt idx="57">
                  <c:v>41274</c:v>
                </c:pt>
                <c:pt idx="58">
                  <c:v>41305</c:v>
                </c:pt>
                <c:pt idx="59">
                  <c:v>41333</c:v>
                </c:pt>
                <c:pt idx="60">
                  <c:v>41364</c:v>
                </c:pt>
                <c:pt idx="61">
                  <c:v>41394</c:v>
                </c:pt>
                <c:pt idx="62">
                  <c:v>41425</c:v>
                </c:pt>
                <c:pt idx="63">
                  <c:v>41455</c:v>
                </c:pt>
                <c:pt idx="64">
                  <c:v>41486</c:v>
                </c:pt>
                <c:pt idx="65">
                  <c:v>41517</c:v>
                </c:pt>
                <c:pt idx="66">
                  <c:v>41547</c:v>
                </c:pt>
                <c:pt idx="67">
                  <c:v>41578</c:v>
                </c:pt>
                <c:pt idx="68">
                  <c:v>41608</c:v>
                </c:pt>
                <c:pt idx="69">
                  <c:v>41639</c:v>
                </c:pt>
                <c:pt idx="70">
                  <c:v>41670</c:v>
                </c:pt>
                <c:pt idx="71">
                  <c:v>41698</c:v>
                </c:pt>
                <c:pt idx="72">
                  <c:v>41729</c:v>
                </c:pt>
                <c:pt idx="73">
                  <c:v>41759</c:v>
                </c:pt>
                <c:pt idx="74">
                  <c:v>41790</c:v>
                </c:pt>
                <c:pt idx="75">
                  <c:v>41820</c:v>
                </c:pt>
                <c:pt idx="76">
                  <c:v>41851</c:v>
                </c:pt>
                <c:pt idx="77">
                  <c:v>41882</c:v>
                </c:pt>
                <c:pt idx="78">
                  <c:v>41912</c:v>
                </c:pt>
                <c:pt idx="79">
                  <c:v>41943</c:v>
                </c:pt>
                <c:pt idx="80">
                  <c:v>41973</c:v>
                </c:pt>
                <c:pt idx="81">
                  <c:v>42004</c:v>
                </c:pt>
                <c:pt idx="82">
                  <c:v>42035</c:v>
                </c:pt>
                <c:pt idx="83">
                  <c:v>42063</c:v>
                </c:pt>
                <c:pt idx="84">
                  <c:v>42094</c:v>
                </c:pt>
                <c:pt idx="85">
                  <c:v>42124</c:v>
                </c:pt>
                <c:pt idx="86">
                  <c:v>42155</c:v>
                </c:pt>
                <c:pt idx="87">
                  <c:v>42185</c:v>
                </c:pt>
                <c:pt idx="88">
                  <c:v>42216</c:v>
                </c:pt>
                <c:pt idx="89">
                  <c:v>42247</c:v>
                </c:pt>
                <c:pt idx="90">
                  <c:v>42277</c:v>
                </c:pt>
                <c:pt idx="91">
                  <c:v>42308</c:v>
                </c:pt>
                <c:pt idx="92">
                  <c:v>42338</c:v>
                </c:pt>
                <c:pt idx="93">
                  <c:v>42369</c:v>
                </c:pt>
                <c:pt idx="94">
                  <c:v>42400</c:v>
                </c:pt>
                <c:pt idx="95">
                  <c:v>42429</c:v>
                </c:pt>
                <c:pt idx="96">
                  <c:v>42460</c:v>
                </c:pt>
                <c:pt idx="97">
                  <c:v>42490</c:v>
                </c:pt>
                <c:pt idx="98">
                  <c:v>42521</c:v>
                </c:pt>
                <c:pt idx="99">
                  <c:v>42551</c:v>
                </c:pt>
                <c:pt idx="100">
                  <c:v>42582</c:v>
                </c:pt>
                <c:pt idx="101">
                  <c:v>42613</c:v>
                </c:pt>
                <c:pt idx="102">
                  <c:v>42643</c:v>
                </c:pt>
                <c:pt idx="103">
                  <c:v>42674</c:v>
                </c:pt>
                <c:pt idx="104">
                  <c:v>42704</c:v>
                </c:pt>
                <c:pt idx="105">
                  <c:v>42735</c:v>
                </c:pt>
                <c:pt idx="106">
                  <c:v>42766</c:v>
                </c:pt>
                <c:pt idx="107">
                  <c:v>42794</c:v>
                </c:pt>
                <c:pt idx="108">
                  <c:v>42825</c:v>
                </c:pt>
                <c:pt idx="109">
                  <c:v>42855</c:v>
                </c:pt>
                <c:pt idx="110">
                  <c:v>42886</c:v>
                </c:pt>
                <c:pt idx="111">
                  <c:v>42916</c:v>
                </c:pt>
                <c:pt idx="112">
                  <c:v>42947</c:v>
                </c:pt>
                <c:pt idx="113">
                  <c:v>42978</c:v>
                </c:pt>
                <c:pt idx="114">
                  <c:v>43008</c:v>
                </c:pt>
                <c:pt idx="115">
                  <c:v>43039</c:v>
                </c:pt>
                <c:pt idx="116">
                  <c:v>43069</c:v>
                </c:pt>
                <c:pt idx="117">
                  <c:v>43100</c:v>
                </c:pt>
                <c:pt idx="118">
                  <c:v>43131</c:v>
                </c:pt>
                <c:pt idx="119">
                  <c:v>43159</c:v>
                </c:pt>
                <c:pt idx="120">
                  <c:v>43190</c:v>
                </c:pt>
                <c:pt idx="121">
                  <c:v>43220</c:v>
                </c:pt>
                <c:pt idx="122">
                  <c:v>43251</c:v>
                </c:pt>
                <c:pt idx="123">
                  <c:v>43281</c:v>
                </c:pt>
                <c:pt idx="124">
                  <c:v>43312</c:v>
                </c:pt>
                <c:pt idx="125">
                  <c:v>43343</c:v>
                </c:pt>
                <c:pt idx="126">
                  <c:v>43373</c:v>
                </c:pt>
                <c:pt idx="127">
                  <c:v>43404</c:v>
                </c:pt>
                <c:pt idx="128">
                  <c:v>43434</c:v>
                </c:pt>
                <c:pt idx="129">
                  <c:v>43465</c:v>
                </c:pt>
                <c:pt idx="130">
                  <c:v>43496</c:v>
                </c:pt>
                <c:pt idx="131">
                  <c:v>43524</c:v>
                </c:pt>
                <c:pt idx="132">
                  <c:v>43555</c:v>
                </c:pt>
                <c:pt idx="133">
                  <c:v>43585</c:v>
                </c:pt>
                <c:pt idx="134">
                  <c:v>43616</c:v>
                </c:pt>
                <c:pt idx="135">
                  <c:v>43646</c:v>
                </c:pt>
                <c:pt idx="136">
                  <c:v>43677</c:v>
                </c:pt>
                <c:pt idx="137">
                  <c:v>43708</c:v>
                </c:pt>
                <c:pt idx="138">
                  <c:v>43738</c:v>
                </c:pt>
                <c:pt idx="139">
                  <c:v>43769</c:v>
                </c:pt>
                <c:pt idx="140">
                  <c:v>43799</c:v>
                </c:pt>
                <c:pt idx="141">
                  <c:v>43830</c:v>
                </c:pt>
                <c:pt idx="142">
                  <c:v>43861</c:v>
                </c:pt>
                <c:pt idx="143">
                  <c:v>43890</c:v>
                </c:pt>
                <c:pt idx="144">
                  <c:v>43921</c:v>
                </c:pt>
                <c:pt idx="145">
                  <c:v>43951</c:v>
                </c:pt>
                <c:pt idx="146">
                  <c:v>43982</c:v>
                </c:pt>
                <c:pt idx="147">
                  <c:v>44012</c:v>
                </c:pt>
                <c:pt idx="148">
                  <c:v>44043</c:v>
                </c:pt>
                <c:pt idx="149">
                  <c:v>44074</c:v>
                </c:pt>
                <c:pt idx="150">
                  <c:v>44104</c:v>
                </c:pt>
                <c:pt idx="151">
                  <c:v>44135</c:v>
                </c:pt>
                <c:pt idx="152">
                  <c:v>44165</c:v>
                </c:pt>
                <c:pt idx="153">
                  <c:v>44196</c:v>
                </c:pt>
                <c:pt idx="154">
                  <c:v>44227</c:v>
                </c:pt>
                <c:pt idx="155">
                  <c:v>44255</c:v>
                </c:pt>
                <c:pt idx="156">
                  <c:v>44286</c:v>
                </c:pt>
                <c:pt idx="157">
                  <c:v>44316</c:v>
                </c:pt>
                <c:pt idx="158">
                  <c:v>44347</c:v>
                </c:pt>
                <c:pt idx="159">
                  <c:v>44377</c:v>
                </c:pt>
                <c:pt idx="160">
                  <c:v>44408</c:v>
                </c:pt>
                <c:pt idx="161">
                  <c:v>44439</c:v>
                </c:pt>
                <c:pt idx="162">
                  <c:v>44469</c:v>
                </c:pt>
                <c:pt idx="163">
                  <c:v>44500</c:v>
                </c:pt>
                <c:pt idx="164">
                  <c:v>44530</c:v>
                </c:pt>
                <c:pt idx="165">
                  <c:v>44561</c:v>
                </c:pt>
                <c:pt idx="166">
                  <c:v>44592</c:v>
                </c:pt>
                <c:pt idx="167">
                  <c:v>44620</c:v>
                </c:pt>
                <c:pt idx="168">
                  <c:v>44651</c:v>
                </c:pt>
              </c:numCache>
            </c:numRef>
          </c:cat>
          <c:val>
            <c:numRef>
              <c:f>'Úrokové sazby - historie'!$D$54:$D$222</c:f>
              <c:numCache>
                <c:formatCode>General</c:formatCode>
                <c:ptCount val="169"/>
                <c:pt idx="142" formatCode="0.00">
                  <c:v>2.3608547339539832</c:v>
                </c:pt>
                <c:pt idx="143" formatCode="0.00">
                  <c:v>2.420600617795488</c:v>
                </c:pt>
                <c:pt idx="144" formatCode="0.00">
                  <c:v>2.4242578720499393</c:v>
                </c:pt>
                <c:pt idx="145" formatCode="0.00">
                  <c:v>2.3656421777732262</c:v>
                </c:pt>
                <c:pt idx="146" formatCode="0.00">
                  <c:v>2.2871270697682111</c:v>
                </c:pt>
                <c:pt idx="147" formatCode="0.00">
                  <c:v>2.1978509315374741</c:v>
                </c:pt>
                <c:pt idx="148" formatCode="0.00">
                  <c:v>2.1358243306606695</c:v>
                </c:pt>
                <c:pt idx="149" formatCode="0.00">
                  <c:v>2.1098770548904344</c:v>
                </c:pt>
                <c:pt idx="150" formatCode="0.00">
                  <c:v>2.0769697492654866</c:v>
                </c:pt>
                <c:pt idx="151" formatCode="0.00">
                  <c:v>2.0355851377765015</c:v>
                </c:pt>
                <c:pt idx="152" formatCode="0.00">
                  <c:v>1.9929021486054639</c:v>
                </c:pt>
                <c:pt idx="153" formatCode="0.00">
                  <c:v>1.9747751950333787</c:v>
                </c:pt>
                <c:pt idx="154" formatCode="0.00">
                  <c:v>1.9504859507856065</c:v>
                </c:pt>
                <c:pt idx="155" formatCode="0.00">
                  <c:v>1.9513851682325805</c:v>
                </c:pt>
                <c:pt idx="156" formatCode="0.00">
                  <c:v>1.9643209636773027</c:v>
                </c:pt>
                <c:pt idx="157" formatCode="0.00">
                  <c:v>1.9980247855358573</c:v>
                </c:pt>
                <c:pt idx="158" formatCode="0.00">
                  <c:v>2.0700934285896042</c:v>
                </c:pt>
                <c:pt idx="159" formatCode="0.00">
                  <c:v>2.1341830259123373</c:v>
                </c:pt>
                <c:pt idx="160" formatCode="0.00">
                  <c:v>2.2212618413409753</c:v>
                </c:pt>
                <c:pt idx="161" formatCode="0.00">
                  <c:v>2.3153304615078834</c:v>
                </c:pt>
                <c:pt idx="162" formatCode="0.00">
                  <c:v>2.4302008435003519</c:v>
                </c:pt>
                <c:pt idx="163" formatCode="0.00">
                  <c:v>2.5422964195124065</c:v>
                </c:pt>
                <c:pt idx="164" formatCode="0.00">
                  <c:v>2.7026796741586585</c:v>
                </c:pt>
                <c:pt idx="165" formatCode="0.00">
                  <c:v>2.9970672731181733</c:v>
                </c:pt>
                <c:pt idx="166" formatCode="0.00">
                  <c:v>3.3861847190609131</c:v>
                </c:pt>
                <c:pt idx="167" formatCode="0.00">
                  <c:v>3.8364811917760142</c:v>
                </c:pt>
                <c:pt idx="168" formatCode="0.00">
                  <c:v>4.1493708136598295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19-4C30-9713-823BAE532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41266848"/>
        <c:axId val="941266432"/>
      </c:lineChart>
      <c:dateAx>
        <c:axId val="941266848"/>
        <c:scaling>
          <c:orientation val="minMax"/>
          <c:min val="39508"/>
        </c:scaling>
        <c:delete val="0"/>
        <c:axPos val="b"/>
        <c:numFmt formatCode="mm\/yy" sourceLinked="0"/>
        <c:majorTickMark val="out"/>
        <c:minorTickMark val="none"/>
        <c:tickLblPos val="low"/>
        <c:spPr>
          <a:noFill/>
          <a:ln w="3175" cap="flat" cmpd="sng" algn="ctr">
            <a:solidFill>
              <a:srgbClr val="767676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0000"/>
                </a:solidFill>
                <a:latin typeface="+mj-lt"/>
                <a:ea typeface="+mn-ea"/>
                <a:cs typeface="+mn-cs"/>
              </a:defRPr>
            </a:pPr>
            <a:endParaRPr lang="cs-CZ"/>
          </a:p>
        </c:txPr>
        <c:crossAx val="941266432"/>
        <c:crosses val="autoZero"/>
        <c:auto val="1"/>
        <c:lblOffset val="100"/>
        <c:baseTimeUnit val="months"/>
        <c:majorUnit val="12"/>
        <c:majorTimeUnit val="months"/>
      </c:dateAx>
      <c:valAx>
        <c:axId val="941266432"/>
        <c:scaling>
          <c:orientation val="minMax"/>
        </c:scaling>
        <c:delete val="1"/>
        <c:axPos val="l"/>
        <c:majorGridlines>
          <c:spPr>
            <a:ln w="3175" cap="flat" cmpd="sng" algn="ctr">
              <a:solidFill>
                <a:srgbClr val="DCDCDC"/>
              </a:solidFill>
              <a:round/>
            </a:ln>
            <a:effectLst/>
          </c:spPr>
        </c:majorGridlines>
        <c:numFmt formatCode="0.0" sourceLinked="0"/>
        <c:majorTickMark val="out"/>
        <c:minorTickMark val="none"/>
        <c:tickLblPos val="nextTo"/>
        <c:crossAx val="941266848"/>
        <c:crosses val="autoZero"/>
        <c:crossBetween val="midCat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2313475100527513"/>
          <c:w val="0.95733269094348794"/>
          <c:h val="0.24918362831938778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rgbClr val="000000"/>
              </a:solidFill>
              <a:latin typeface="+mj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5400" cap="flat" cmpd="sng" algn="ctr">
      <a:noFill/>
      <a:round/>
    </a:ln>
    <a:effectLst/>
  </c:spPr>
  <c:txPr>
    <a:bodyPr/>
    <a:lstStyle/>
    <a:p>
      <a:pPr>
        <a:defRPr sz="1200" b="0" i="0">
          <a:solidFill>
            <a:srgbClr val="000000"/>
          </a:solidFill>
          <a:latin typeface="+mj-lt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1FFD1AC5864C9AE2223036D552B1" ma:contentTypeVersion="11" ma:contentTypeDescription="Create a new document." ma:contentTypeScope="" ma:versionID="bb4871e8ec63205b39a96939af13b6e6">
  <xsd:schema xmlns:xsd="http://www.w3.org/2001/XMLSchema" xmlns:xs="http://www.w3.org/2001/XMLSchema" xmlns:p="http://schemas.microsoft.com/office/2006/metadata/properties" xmlns:ns2="a564d0cd-d6a9-472d-bcb7-604aa8cc4704" xmlns:ns3="9d24cfe3-6204-46e0-8944-f121c2eec419" targetNamespace="http://schemas.microsoft.com/office/2006/metadata/properties" ma:root="true" ma:fieldsID="df292c7fb4234792b057258c0d02597e" ns2:_="" ns3:_="">
    <xsd:import namespace="a564d0cd-d6a9-472d-bcb7-604aa8cc4704"/>
    <xsd:import namespace="9d24cfe3-6204-46e0-8944-f121c2ee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d0cd-d6a9-472d-bcb7-604aa8cc4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cfe3-6204-46e0-8944-f121c2ee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4cfe3-6204-46e0-8944-f121c2eec419">
      <UserInfo>
        <DisplayName>Bouc František</DisplayName>
        <AccountId>58</AccountId>
        <AccountType/>
      </UserInfo>
      <UserInfo>
        <DisplayName>Jeřábek Jakub</DisplayName>
        <AccountId>54</AccountId>
        <AccountType/>
      </UserInfo>
      <UserInfo>
        <DisplayName>Čech Pavel</DisplayName>
        <AccountId>59</AccountId>
        <AccountType/>
      </UserInfo>
      <UserInfo>
        <DisplayName>Púll Matúš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3B610-BFEC-417C-9B74-C1507005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d0cd-d6a9-472d-bcb7-604aa8cc4704"/>
    <ds:schemaRef ds:uri="9d24cfe3-6204-46e0-8944-f121c2ee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14F0DC-41AF-4875-A73A-F53429E4FE8D}">
  <ds:schemaRefs>
    <ds:schemaRef ds:uri="http://schemas.microsoft.com/office/2006/metadata/properties"/>
    <ds:schemaRef ds:uri="http://schemas.microsoft.com/office/infopath/2007/PartnerControls"/>
    <ds:schemaRef ds:uri="9d24cfe3-6204-46e0-8944-f121c2eec419"/>
  </ds:schemaRefs>
</ds:datastoreItem>
</file>

<file path=customXml/itemProps4.xml><?xml version="1.0" encoding="utf-8"?>
<ds:datastoreItem xmlns:ds="http://schemas.openxmlformats.org/officeDocument/2006/customXml" ds:itemID="{17DF8034-2D11-4BC8-9254-170BE890F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1243</Words>
  <Characters>7334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Markéta Dvořáčková</cp:lastModifiedBy>
  <cp:revision>2</cp:revision>
  <cp:lastPrinted>2022-04-19T07:05:00Z</cp:lastPrinted>
  <dcterms:created xsi:type="dcterms:W3CDTF">2022-04-25T07:59:00Z</dcterms:created>
  <dcterms:modified xsi:type="dcterms:W3CDTF">2022-04-25T07:59:00Z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0x010100D5A41FFD1AC5864C9AE2223036D552B1</vt:lpwstr>
  </property>
  <property fmtid="{D5CDD505-2E9C-101B-9397-08002B2CF9AE}" pid="3" name="Order">
    <vt:r8>844400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