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2549" w14:textId="5064FA0B" w:rsidR="0001227F" w:rsidRPr="0001227F" w:rsidRDefault="0001227F" w:rsidP="0001227F">
      <w:pPr>
        <w:rPr>
          <w:rFonts w:ascii="Calibri" w:hAnsi="Calibri" w:cs="Calibri"/>
          <w:b/>
          <w:color w:val="13576B"/>
          <w:sz w:val="32"/>
          <w:szCs w:val="32"/>
        </w:rPr>
      </w:pPr>
      <w:r w:rsidRPr="0001227F">
        <w:rPr>
          <w:rFonts w:ascii="Calibri" w:hAnsi="Calibri" w:cs="Calibri"/>
          <w:b/>
          <w:color w:val="13576B"/>
          <w:sz w:val="32"/>
          <w:szCs w:val="32"/>
        </w:rPr>
        <w:t>ČBA Hypomonitor</w:t>
      </w:r>
      <w:r w:rsidR="005E4132">
        <w:rPr>
          <w:rFonts w:ascii="Calibri" w:hAnsi="Calibri" w:cs="Calibri"/>
          <w:b/>
          <w:color w:val="13576B"/>
          <w:sz w:val="32"/>
          <w:szCs w:val="32"/>
        </w:rPr>
        <w:t xml:space="preserve"> </w:t>
      </w:r>
      <w:r w:rsidR="00235942">
        <w:rPr>
          <w:rFonts w:ascii="Calibri" w:hAnsi="Calibri" w:cs="Calibri"/>
          <w:b/>
          <w:color w:val="13576B"/>
          <w:sz w:val="32"/>
          <w:szCs w:val="32"/>
        </w:rPr>
        <w:t>březen</w:t>
      </w:r>
      <w:r w:rsidR="000264B4">
        <w:rPr>
          <w:rFonts w:ascii="Calibri" w:hAnsi="Calibri" w:cs="Calibri"/>
          <w:b/>
          <w:color w:val="13576B"/>
          <w:sz w:val="32"/>
          <w:szCs w:val="32"/>
        </w:rPr>
        <w:t xml:space="preserve"> </w:t>
      </w:r>
      <w:r w:rsidRPr="0001227F">
        <w:rPr>
          <w:rFonts w:ascii="Calibri" w:hAnsi="Calibri" w:cs="Calibri"/>
          <w:b/>
          <w:color w:val="13576B"/>
          <w:sz w:val="32"/>
          <w:szCs w:val="32"/>
        </w:rPr>
        <w:t>202</w:t>
      </w:r>
      <w:r w:rsidR="00F531DC">
        <w:rPr>
          <w:rFonts w:ascii="Calibri" w:hAnsi="Calibri" w:cs="Calibri"/>
          <w:b/>
          <w:color w:val="13576B"/>
          <w:sz w:val="32"/>
          <w:szCs w:val="32"/>
        </w:rPr>
        <w:t>2</w:t>
      </w:r>
      <w:r w:rsidRPr="0001227F">
        <w:rPr>
          <w:rFonts w:ascii="Calibri" w:hAnsi="Calibri" w:cs="Calibri"/>
          <w:b/>
          <w:color w:val="13576B"/>
          <w:sz w:val="32"/>
          <w:szCs w:val="32"/>
        </w:rPr>
        <w:t xml:space="preserve">: </w:t>
      </w:r>
      <w:r w:rsidR="00537D18">
        <w:rPr>
          <w:rFonts w:ascii="Calibri" w:hAnsi="Calibri" w:cs="Calibri"/>
          <w:b/>
          <w:color w:val="13576B"/>
          <w:sz w:val="32"/>
          <w:szCs w:val="32"/>
        </w:rPr>
        <w:t>O</w:t>
      </w:r>
      <w:r w:rsidR="004A5D84">
        <w:rPr>
          <w:rFonts w:ascii="Calibri" w:hAnsi="Calibri" w:cs="Calibri"/>
          <w:b/>
          <w:color w:val="13576B"/>
          <w:sz w:val="32"/>
          <w:szCs w:val="32"/>
        </w:rPr>
        <w:t>bjem</w:t>
      </w:r>
      <w:r w:rsidR="00676079">
        <w:rPr>
          <w:rFonts w:ascii="Calibri" w:hAnsi="Calibri" w:cs="Calibri"/>
          <w:b/>
          <w:color w:val="13576B"/>
          <w:sz w:val="32"/>
          <w:szCs w:val="32"/>
        </w:rPr>
        <w:t xml:space="preserve"> poskytnutých hypoték</w:t>
      </w:r>
      <w:r w:rsidR="000175B3">
        <w:rPr>
          <w:rFonts w:ascii="Calibri" w:hAnsi="Calibri" w:cs="Calibri"/>
          <w:b/>
          <w:color w:val="13576B"/>
          <w:sz w:val="32"/>
          <w:szCs w:val="32"/>
        </w:rPr>
        <w:t xml:space="preserve"> </w:t>
      </w:r>
      <w:r w:rsidR="00235942">
        <w:rPr>
          <w:rFonts w:ascii="Calibri" w:hAnsi="Calibri" w:cs="Calibri"/>
          <w:b/>
          <w:color w:val="13576B"/>
          <w:sz w:val="32"/>
          <w:szCs w:val="32"/>
        </w:rPr>
        <w:t xml:space="preserve">oproti </w:t>
      </w:r>
      <w:r w:rsidR="002027D4">
        <w:rPr>
          <w:rFonts w:ascii="Calibri" w:hAnsi="Calibri" w:cs="Calibri"/>
          <w:b/>
          <w:color w:val="13576B"/>
          <w:sz w:val="32"/>
          <w:szCs w:val="32"/>
        </w:rPr>
        <w:t>únoru</w:t>
      </w:r>
      <w:r w:rsidR="00235942">
        <w:rPr>
          <w:rFonts w:ascii="Calibri" w:hAnsi="Calibri" w:cs="Calibri"/>
          <w:b/>
          <w:color w:val="13576B"/>
          <w:sz w:val="32"/>
          <w:szCs w:val="32"/>
        </w:rPr>
        <w:t xml:space="preserve"> vzrostl</w:t>
      </w:r>
      <w:r w:rsidR="00B23B81">
        <w:rPr>
          <w:rFonts w:ascii="Calibri" w:hAnsi="Calibri" w:cs="Calibri"/>
          <w:b/>
          <w:color w:val="13576B"/>
          <w:sz w:val="32"/>
          <w:szCs w:val="32"/>
        </w:rPr>
        <w:t xml:space="preserve"> o pětinu</w:t>
      </w:r>
      <w:r w:rsidR="00235942">
        <w:rPr>
          <w:rFonts w:ascii="Calibri" w:hAnsi="Calibri" w:cs="Calibri"/>
          <w:b/>
          <w:color w:val="13576B"/>
          <w:sz w:val="32"/>
          <w:szCs w:val="32"/>
        </w:rPr>
        <w:t>, meziroční propad se</w:t>
      </w:r>
      <w:r w:rsidR="008B3ADE">
        <w:rPr>
          <w:rFonts w:ascii="Calibri" w:hAnsi="Calibri" w:cs="Calibri"/>
          <w:b/>
          <w:color w:val="13576B"/>
          <w:sz w:val="32"/>
          <w:szCs w:val="32"/>
        </w:rPr>
        <w:t xml:space="preserve"> dál</w:t>
      </w:r>
      <w:r w:rsidR="00235942">
        <w:rPr>
          <w:rFonts w:ascii="Calibri" w:hAnsi="Calibri" w:cs="Calibri"/>
          <w:b/>
          <w:color w:val="13576B"/>
          <w:sz w:val="32"/>
          <w:szCs w:val="32"/>
        </w:rPr>
        <w:t xml:space="preserve"> prohlubuje</w:t>
      </w:r>
      <w:r w:rsidR="008B3ADE">
        <w:rPr>
          <w:rFonts w:ascii="Calibri" w:hAnsi="Calibri" w:cs="Calibri"/>
          <w:b/>
          <w:color w:val="13576B"/>
          <w:sz w:val="32"/>
          <w:szCs w:val="32"/>
        </w:rPr>
        <w:t>.</w:t>
      </w:r>
      <w:r w:rsidR="00537D18">
        <w:rPr>
          <w:rFonts w:ascii="Calibri" w:hAnsi="Calibri" w:cs="Calibri"/>
          <w:b/>
          <w:color w:val="13576B"/>
          <w:sz w:val="32"/>
          <w:szCs w:val="32"/>
        </w:rPr>
        <w:t xml:space="preserve"> </w:t>
      </w:r>
      <w:r w:rsidR="008B3ADE">
        <w:rPr>
          <w:rFonts w:ascii="Calibri" w:hAnsi="Calibri" w:cs="Calibri"/>
          <w:b/>
          <w:color w:val="13576B"/>
          <w:sz w:val="32"/>
          <w:szCs w:val="32"/>
        </w:rPr>
        <w:t>P</w:t>
      </w:r>
      <w:r w:rsidR="003E7ED0">
        <w:rPr>
          <w:rFonts w:ascii="Calibri" w:hAnsi="Calibri" w:cs="Calibri"/>
          <w:b/>
          <w:color w:val="13576B"/>
          <w:sz w:val="32"/>
          <w:szCs w:val="32"/>
        </w:rPr>
        <w:t xml:space="preserve">růměrná sazba u nových úvěrů vzrostla na </w:t>
      </w:r>
      <w:r w:rsidR="00235942">
        <w:rPr>
          <w:rFonts w:ascii="Calibri" w:hAnsi="Calibri" w:cs="Calibri"/>
          <w:b/>
          <w:color w:val="13576B"/>
          <w:sz w:val="32"/>
          <w:szCs w:val="32"/>
        </w:rPr>
        <w:t>4</w:t>
      </w:r>
      <w:r w:rsidR="003E7ED0">
        <w:rPr>
          <w:rFonts w:ascii="Calibri" w:hAnsi="Calibri" w:cs="Calibri"/>
          <w:b/>
          <w:color w:val="13576B"/>
          <w:sz w:val="32"/>
          <w:szCs w:val="32"/>
        </w:rPr>
        <w:t>,</w:t>
      </w:r>
      <w:r w:rsidR="00235942">
        <w:rPr>
          <w:rFonts w:ascii="Calibri" w:hAnsi="Calibri" w:cs="Calibri"/>
          <w:b/>
          <w:color w:val="13576B"/>
          <w:sz w:val="32"/>
          <w:szCs w:val="32"/>
        </w:rPr>
        <w:t>1</w:t>
      </w:r>
      <w:r w:rsidR="00736EAE">
        <w:rPr>
          <w:rFonts w:ascii="Calibri" w:hAnsi="Calibri" w:cs="Calibri"/>
          <w:b/>
          <w:color w:val="13576B"/>
          <w:sz w:val="32"/>
          <w:szCs w:val="32"/>
        </w:rPr>
        <w:t>5</w:t>
      </w:r>
      <w:r w:rsidR="003E7ED0">
        <w:rPr>
          <w:rFonts w:ascii="Calibri" w:hAnsi="Calibri" w:cs="Calibri"/>
          <w:b/>
          <w:color w:val="13576B"/>
          <w:sz w:val="32"/>
          <w:szCs w:val="32"/>
        </w:rPr>
        <w:t xml:space="preserve"> %.</w:t>
      </w:r>
    </w:p>
    <w:p w14:paraId="5E7258BB" w14:textId="77777777" w:rsidR="0001227F" w:rsidRPr="0001227F" w:rsidRDefault="0001227F" w:rsidP="0001227F">
      <w:pPr>
        <w:rPr>
          <w:rFonts w:ascii="Calibri" w:hAnsi="Calibri" w:cs="Calibri"/>
          <w:b/>
          <w:bCs/>
        </w:rPr>
      </w:pPr>
    </w:p>
    <w:p w14:paraId="63C2D765" w14:textId="732E2B2B" w:rsidR="0001227F" w:rsidRPr="00235942" w:rsidRDefault="000C12F1" w:rsidP="0001227F">
      <w:pPr>
        <w:rPr>
          <w:rFonts w:ascii="Calibri" w:hAnsi="Calibri" w:cs="Calibri"/>
          <w:b/>
          <w:color w:val="13576B"/>
          <w:sz w:val="22"/>
          <w:szCs w:val="22"/>
        </w:rPr>
      </w:pPr>
      <w:r w:rsidRPr="00B649F7">
        <w:rPr>
          <w:rFonts w:ascii="Calibri" w:hAnsi="Calibri" w:cs="Calibri"/>
          <w:b/>
          <w:color w:val="13576B"/>
          <w:sz w:val="22"/>
          <w:szCs w:val="22"/>
        </w:rPr>
        <w:t>Praha, 1</w:t>
      </w:r>
      <w:r w:rsidR="00235942">
        <w:rPr>
          <w:rFonts w:ascii="Calibri" w:hAnsi="Calibri" w:cs="Calibri"/>
          <w:b/>
          <w:color w:val="13576B"/>
          <w:sz w:val="22"/>
          <w:szCs w:val="22"/>
        </w:rPr>
        <w:t>3</w:t>
      </w:r>
      <w:r w:rsidRPr="00B649F7">
        <w:rPr>
          <w:rFonts w:ascii="Calibri" w:hAnsi="Calibri" w:cs="Calibri"/>
          <w:b/>
          <w:color w:val="13576B"/>
          <w:sz w:val="22"/>
          <w:szCs w:val="22"/>
        </w:rPr>
        <w:t>.</w:t>
      </w:r>
      <w:r w:rsidR="00235942">
        <w:rPr>
          <w:rFonts w:ascii="Calibri" w:hAnsi="Calibri" w:cs="Calibri"/>
          <w:b/>
          <w:color w:val="13576B"/>
          <w:sz w:val="22"/>
          <w:szCs w:val="22"/>
        </w:rPr>
        <w:t xml:space="preserve"> dubna</w:t>
      </w:r>
      <w:r w:rsidR="002F4CDA" w:rsidRPr="00B649F7">
        <w:rPr>
          <w:rFonts w:ascii="Calibri" w:hAnsi="Calibri" w:cs="Calibri"/>
          <w:b/>
          <w:color w:val="13576B"/>
          <w:sz w:val="22"/>
          <w:szCs w:val="22"/>
        </w:rPr>
        <w:t xml:space="preserve"> </w:t>
      </w:r>
      <w:r w:rsidRPr="00B649F7">
        <w:rPr>
          <w:rFonts w:ascii="Calibri" w:hAnsi="Calibri" w:cs="Calibri"/>
          <w:b/>
          <w:color w:val="13576B"/>
          <w:sz w:val="22"/>
          <w:szCs w:val="22"/>
        </w:rPr>
        <w:t>202</w:t>
      </w:r>
      <w:r w:rsidR="002F4CDA" w:rsidRPr="00B649F7">
        <w:rPr>
          <w:rFonts w:ascii="Calibri" w:hAnsi="Calibri" w:cs="Calibri"/>
          <w:b/>
          <w:color w:val="13576B"/>
          <w:sz w:val="22"/>
          <w:szCs w:val="22"/>
        </w:rPr>
        <w:t>2</w:t>
      </w:r>
      <w:r w:rsidRPr="00B649F7">
        <w:rPr>
          <w:rFonts w:ascii="Calibri" w:hAnsi="Calibri" w:cs="Calibri"/>
          <w:b/>
          <w:color w:val="13576B"/>
          <w:sz w:val="22"/>
          <w:szCs w:val="22"/>
        </w:rPr>
        <w:t xml:space="preserve"> – Banky </w:t>
      </w:r>
      <w:r w:rsidR="0007638A" w:rsidRPr="00B649F7">
        <w:rPr>
          <w:rFonts w:ascii="Calibri" w:hAnsi="Calibri" w:cs="Calibri"/>
          <w:b/>
          <w:color w:val="13576B"/>
          <w:sz w:val="22"/>
          <w:szCs w:val="22"/>
        </w:rPr>
        <w:t xml:space="preserve">a stavební spořitelny </w:t>
      </w:r>
      <w:r w:rsidR="00F812E4" w:rsidRPr="00B649F7">
        <w:rPr>
          <w:rFonts w:ascii="Calibri" w:hAnsi="Calibri" w:cs="Calibri"/>
          <w:b/>
          <w:color w:val="13576B"/>
          <w:sz w:val="22"/>
          <w:szCs w:val="22"/>
        </w:rPr>
        <w:t xml:space="preserve">poskytly </w:t>
      </w:r>
      <w:r w:rsidRPr="00B649F7">
        <w:rPr>
          <w:rFonts w:ascii="Calibri" w:hAnsi="Calibri" w:cs="Calibri"/>
          <w:b/>
          <w:color w:val="13576B"/>
          <w:sz w:val="22"/>
          <w:szCs w:val="22"/>
        </w:rPr>
        <w:t>v</w:t>
      </w:r>
      <w:r w:rsidR="00910432">
        <w:rPr>
          <w:rFonts w:ascii="Calibri" w:hAnsi="Calibri" w:cs="Calibri"/>
          <w:b/>
          <w:color w:val="13576B"/>
          <w:sz w:val="22"/>
          <w:szCs w:val="22"/>
        </w:rPr>
        <w:t> </w:t>
      </w:r>
      <w:r w:rsidR="00235942">
        <w:rPr>
          <w:rFonts w:ascii="Calibri" w:hAnsi="Calibri" w:cs="Calibri"/>
          <w:b/>
          <w:color w:val="13576B"/>
          <w:sz w:val="22"/>
          <w:szCs w:val="22"/>
        </w:rPr>
        <w:t>březnu</w:t>
      </w:r>
      <w:r w:rsidR="00910432">
        <w:rPr>
          <w:rFonts w:ascii="Calibri" w:hAnsi="Calibri" w:cs="Calibri"/>
          <w:b/>
          <w:color w:val="13576B"/>
          <w:sz w:val="22"/>
          <w:szCs w:val="22"/>
        </w:rPr>
        <w:t xml:space="preserve"> </w:t>
      </w:r>
      <w:r w:rsidR="005C7FCE" w:rsidRPr="00B649F7">
        <w:rPr>
          <w:rFonts w:ascii="Calibri" w:hAnsi="Calibri" w:cs="Calibri"/>
          <w:b/>
          <w:color w:val="13576B"/>
          <w:sz w:val="22"/>
          <w:szCs w:val="22"/>
        </w:rPr>
        <w:t>hypoteční úvěry</w:t>
      </w:r>
      <w:r w:rsidRPr="00B649F7">
        <w:rPr>
          <w:rFonts w:ascii="Calibri" w:hAnsi="Calibri" w:cs="Calibri"/>
          <w:b/>
          <w:color w:val="13576B"/>
          <w:sz w:val="22"/>
          <w:szCs w:val="22"/>
        </w:rPr>
        <w:t xml:space="preserve"> v celkovém objemu přes </w:t>
      </w:r>
      <w:r w:rsidR="00A364F7">
        <w:rPr>
          <w:rFonts w:ascii="Calibri" w:hAnsi="Calibri" w:cs="Calibri"/>
          <w:b/>
          <w:color w:val="2E74B5" w:themeColor="accent1" w:themeShade="BF"/>
          <w:sz w:val="22"/>
          <w:szCs w:val="22"/>
        </w:rPr>
        <w:t>30</w:t>
      </w:r>
      <w:r w:rsidRPr="00E3258F">
        <w:rPr>
          <w:rFonts w:ascii="Calibri" w:hAnsi="Calibri" w:cs="Calibri"/>
          <w:b/>
          <w:color w:val="2E74B5" w:themeColor="accent1" w:themeShade="BF"/>
          <w:sz w:val="22"/>
          <w:szCs w:val="22"/>
        </w:rPr>
        <w:t xml:space="preserve"> mld. Kč</w:t>
      </w:r>
      <w:r w:rsidR="005761EE" w:rsidRPr="00E3258F">
        <w:rPr>
          <w:rFonts w:ascii="Calibri" w:hAnsi="Calibri" w:cs="Calibri"/>
          <w:b/>
          <w:color w:val="8EAADB" w:themeColor="accent5" w:themeTint="99"/>
          <w:sz w:val="22"/>
          <w:szCs w:val="22"/>
        </w:rPr>
        <w:t xml:space="preserve">. </w:t>
      </w:r>
      <w:r w:rsidR="00A364F7">
        <w:rPr>
          <w:rFonts w:ascii="Calibri" w:hAnsi="Calibri" w:cs="Calibri"/>
          <w:b/>
          <w:color w:val="13576B"/>
          <w:sz w:val="22"/>
          <w:szCs w:val="22"/>
        </w:rPr>
        <w:t>Ačkoli se oproti únoru objem poskytnutých hypoték zvýšil o 5 mld. Kč, z</w:t>
      </w:r>
      <w:r w:rsidR="002027D4">
        <w:rPr>
          <w:rFonts w:ascii="Calibri" w:hAnsi="Calibri" w:cs="Calibri"/>
          <w:b/>
          <w:color w:val="13576B"/>
          <w:sz w:val="22"/>
          <w:szCs w:val="22"/>
        </w:rPr>
        <w:t> </w:t>
      </w:r>
      <w:r w:rsidR="00A364F7">
        <w:rPr>
          <w:rFonts w:ascii="Calibri" w:hAnsi="Calibri" w:cs="Calibri"/>
          <w:b/>
          <w:color w:val="13576B"/>
          <w:sz w:val="22"/>
          <w:szCs w:val="22"/>
        </w:rPr>
        <w:t>meziročního</w:t>
      </w:r>
      <w:r w:rsidR="002027D4">
        <w:rPr>
          <w:rFonts w:ascii="Calibri" w:hAnsi="Calibri" w:cs="Calibri"/>
          <w:b/>
          <w:color w:val="13576B"/>
          <w:sz w:val="22"/>
          <w:szCs w:val="22"/>
        </w:rPr>
        <w:t xml:space="preserve"> pohledu</w:t>
      </w:r>
      <w:r w:rsidR="00A364F7">
        <w:rPr>
          <w:rFonts w:ascii="Calibri" w:hAnsi="Calibri" w:cs="Calibri"/>
          <w:b/>
          <w:color w:val="13576B"/>
          <w:sz w:val="22"/>
          <w:szCs w:val="22"/>
        </w:rPr>
        <w:t xml:space="preserve"> </w:t>
      </w:r>
      <w:r w:rsidR="00BC009D">
        <w:rPr>
          <w:rFonts w:ascii="Calibri" w:hAnsi="Calibri" w:cs="Calibri"/>
          <w:b/>
          <w:color w:val="13576B"/>
          <w:sz w:val="22"/>
          <w:szCs w:val="22"/>
        </w:rPr>
        <w:t>propadl téměř</w:t>
      </w:r>
      <w:r w:rsidR="008B3ADE">
        <w:rPr>
          <w:rFonts w:ascii="Calibri" w:hAnsi="Calibri" w:cs="Calibri"/>
          <w:b/>
          <w:color w:val="13576B"/>
          <w:sz w:val="22"/>
          <w:szCs w:val="22"/>
        </w:rPr>
        <w:t xml:space="preserve"> o</w:t>
      </w:r>
      <w:r w:rsidR="00A364F7">
        <w:rPr>
          <w:rFonts w:ascii="Calibri" w:hAnsi="Calibri" w:cs="Calibri"/>
          <w:b/>
          <w:color w:val="13576B"/>
          <w:sz w:val="22"/>
          <w:szCs w:val="22"/>
        </w:rPr>
        <w:t xml:space="preserve"> polovinu. Z celkového objemu březnových hypoték tvořily </w:t>
      </w:r>
      <w:r w:rsidR="009B27DF">
        <w:rPr>
          <w:rFonts w:ascii="Calibri" w:hAnsi="Calibri" w:cs="Calibri"/>
          <w:b/>
          <w:color w:val="13576B"/>
          <w:sz w:val="22"/>
          <w:szCs w:val="22"/>
        </w:rPr>
        <w:t xml:space="preserve">čistě nové úvěry </w:t>
      </w:r>
      <w:r w:rsidR="00F36950">
        <w:rPr>
          <w:rFonts w:ascii="Calibri" w:hAnsi="Calibri" w:cs="Calibri"/>
          <w:b/>
          <w:color w:val="13576B"/>
          <w:sz w:val="22"/>
          <w:szCs w:val="22"/>
        </w:rPr>
        <w:t xml:space="preserve">přes </w:t>
      </w:r>
      <w:r w:rsidR="00A364F7">
        <w:rPr>
          <w:rFonts w:ascii="Calibri" w:hAnsi="Calibri" w:cs="Calibri"/>
          <w:b/>
          <w:color w:val="13576B"/>
          <w:sz w:val="22"/>
          <w:szCs w:val="22"/>
        </w:rPr>
        <w:t>25 mld. Kč</w:t>
      </w:r>
      <w:r w:rsidR="009B27DF">
        <w:rPr>
          <w:rFonts w:ascii="Calibri" w:hAnsi="Calibri" w:cs="Calibri"/>
          <w:b/>
          <w:color w:val="13576B"/>
          <w:sz w:val="22"/>
          <w:szCs w:val="22"/>
        </w:rPr>
        <w:t>, refinancované úvěry pak</w:t>
      </w:r>
      <w:r w:rsidR="00F36950">
        <w:rPr>
          <w:rFonts w:ascii="Calibri" w:hAnsi="Calibri" w:cs="Calibri"/>
          <w:b/>
          <w:color w:val="13576B"/>
          <w:sz w:val="22"/>
          <w:szCs w:val="22"/>
        </w:rPr>
        <w:t xml:space="preserve"> </w:t>
      </w:r>
      <w:r w:rsidR="009B27DF">
        <w:rPr>
          <w:rFonts w:ascii="Calibri" w:hAnsi="Calibri" w:cs="Calibri"/>
          <w:b/>
          <w:color w:val="13576B"/>
          <w:sz w:val="22"/>
          <w:szCs w:val="22"/>
        </w:rPr>
        <w:t>necelých 5 mld. K</w:t>
      </w:r>
      <w:r w:rsidR="00F36950">
        <w:rPr>
          <w:rFonts w:ascii="Calibri" w:hAnsi="Calibri" w:cs="Calibri"/>
          <w:b/>
          <w:color w:val="13576B"/>
          <w:sz w:val="22"/>
          <w:szCs w:val="22"/>
        </w:rPr>
        <w:t xml:space="preserve">č. </w:t>
      </w:r>
      <w:r w:rsidRPr="00B649F7">
        <w:rPr>
          <w:rFonts w:ascii="Calibri" w:hAnsi="Calibri" w:cs="Calibri"/>
          <w:b/>
          <w:color w:val="13576B"/>
          <w:sz w:val="22"/>
          <w:szCs w:val="22"/>
        </w:rPr>
        <w:t xml:space="preserve">Úroková sazba </w:t>
      </w:r>
      <w:r w:rsidR="00BC009D" w:rsidRPr="00B649F7">
        <w:rPr>
          <w:rFonts w:ascii="Calibri" w:hAnsi="Calibri" w:cs="Calibri"/>
          <w:b/>
          <w:color w:val="13576B"/>
          <w:sz w:val="22"/>
          <w:szCs w:val="22"/>
        </w:rPr>
        <w:t>u skutečně</w:t>
      </w:r>
      <w:r w:rsidR="00B7214B" w:rsidRPr="00B649F7">
        <w:rPr>
          <w:rFonts w:ascii="Calibri" w:hAnsi="Calibri" w:cs="Calibri"/>
          <w:b/>
          <w:color w:val="13576B"/>
          <w:sz w:val="22"/>
          <w:szCs w:val="22"/>
        </w:rPr>
        <w:t xml:space="preserve"> </w:t>
      </w:r>
      <w:r w:rsidRPr="00B649F7">
        <w:rPr>
          <w:rFonts w:ascii="Calibri" w:hAnsi="Calibri" w:cs="Calibri"/>
          <w:b/>
          <w:color w:val="13576B"/>
          <w:sz w:val="22"/>
          <w:szCs w:val="22"/>
        </w:rPr>
        <w:t>nově poskytnutých</w:t>
      </w:r>
      <w:r w:rsidRPr="000C12F1">
        <w:rPr>
          <w:rFonts w:ascii="Calibri" w:hAnsi="Calibri" w:cs="Calibri"/>
          <w:b/>
          <w:color w:val="13576B"/>
          <w:sz w:val="22"/>
          <w:szCs w:val="22"/>
        </w:rPr>
        <w:t xml:space="preserve"> hypoték v</w:t>
      </w:r>
      <w:r w:rsidR="00B7214B">
        <w:rPr>
          <w:rFonts w:ascii="Calibri" w:hAnsi="Calibri" w:cs="Calibri"/>
          <w:b/>
          <w:color w:val="13576B"/>
          <w:sz w:val="22"/>
          <w:szCs w:val="22"/>
        </w:rPr>
        <w:t> </w:t>
      </w:r>
      <w:r w:rsidR="00235942">
        <w:rPr>
          <w:rFonts w:ascii="Calibri" w:hAnsi="Calibri" w:cs="Calibri"/>
          <w:b/>
          <w:color w:val="13576B"/>
          <w:sz w:val="22"/>
          <w:szCs w:val="22"/>
        </w:rPr>
        <w:t>březnu</w:t>
      </w:r>
      <w:r w:rsidR="00B7214B">
        <w:rPr>
          <w:rFonts w:ascii="Calibri" w:hAnsi="Calibri" w:cs="Calibri"/>
          <w:b/>
          <w:color w:val="13576B"/>
          <w:sz w:val="22"/>
          <w:szCs w:val="22"/>
        </w:rPr>
        <w:t xml:space="preserve"> </w:t>
      </w:r>
      <w:r w:rsidRPr="000C12F1">
        <w:rPr>
          <w:rFonts w:ascii="Calibri" w:hAnsi="Calibri" w:cs="Calibri"/>
          <w:b/>
          <w:color w:val="13576B"/>
          <w:sz w:val="22"/>
          <w:szCs w:val="22"/>
        </w:rPr>
        <w:t xml:space="preserve">vzrostla </w:t>
      </w:r>
      <w:r w:rsidR="00B7214B" w:rsidRPr="00E3258F">
        <w:rPr>
          <w:rFonts w:ascii="Calibri" w:hAnsi="Calibri" w:cs="Calibri"/>
          <w:b/>
          <w:color w:val="2E74B5" w:themeColor="accent1" w:themeShade="BF"/>
          <w:sz w:val="22"/>
          <w:szCs w:val="22"/>
        </w:rPr>
        <w:t>z</w:t>
      </w:r>
      <w:r w:rsidR="002027D4">
        <w:rPr>
          <w:rFonts w:ascii="Calibri" w:hAnsi="Calibri" w:cs="Calibri"/>
          <w:b/>
          <w:color w:val="2E74B5" w:themeColor="accent1" w:themeShade="BF"/>
          <w:sz w:val="22"/>
          <w:szCs w:val="22"/>
        </w:rPr>
        <w:t xml:space="preserve"> únorových </w:t>
      </w:r>
      <w:r w:rsidR="00247A4D" w:rsidRPr="00E3258F">
        <w:rPr>
          <w:rFonts w:ascii="Calibri" w:hAnsi="Calibri" w:cs="Calibri"/>
          <w:b/>
          <w:color w:val="2E74B5" w:themeColor="accent1" w:themeShade="BF"/>
          <w:sz w:val="22"/>
          <w:szCs w:val="22"/>
        </w:rPr>
        <w:t>3</w:t>
      </w:r>
      <w:r w:rsidR="00E3258F" w:rsidRPr="00E3258F">
        <w:rPr>
          <w:rFonts w:ascii="Calibri" w:hAnsi="Calibri" w:cs="Calibri"/>
          <w:b/>
          <w:color w:val="2E74B5" w:themeColor="accent1" w:themeShade="BF"/>
          <w:sz w:val="22"/>
          <w:szCs w:val="22"/>
        </w:rPr>
        <w:t>,</w:t>
      </w:r>
      <w:r w:rsidR="00A364F7">
        <w:rPr>
          <w:rFonts w:ascii="Calibri" w:hAnsi="Calibri" w:cs="Calibri"/>
          <w:b/>
          <w:color w:val="2E74B5" w:themeColor="accent1" w:themeShade="BF"/>
          <w:sz w:val="22"/>
          <w:szCs w:val="22"/>
        </w:rPr>
        <w:t>8</w:t>
      </w:r>
      <w:r w:rsidR="00E3258F" w:rsidRPr="00E3258F">
        <w:rPr>
          <w:rFonts w:ascii="Calibri" w:hAnsi="Calibri" w:cs="Calibri"/>
          <w:b/>
          <w:color w:val="2E74B5" w:themeColor="accent1" w:themeShade="BF"/>
          <w:sz w:val="22"/>
          <w:szCs w:val="22"/>
        </w:rPr>
        <w:t>4</w:t>
      </w:r>
      <w:r w:rsidR="00B7214B" w:rsidRPr="00E3258F">
        <w:rPr>
          <w:rFonts w:ascii="Calibri" w:hAnsi="Calibri" w:cs="Calibri"/>
          <w:b/>
          <w:color w:val="2E74B5" w:themeColor="accent1" w:themeShade="BF"/>
          <w:sz w:val="22"/>
          <w:szCs w:val="22"/>
        </w:rPr>
        <w:t xml:space="preserve"> na </w:t>
      </w:r>
      <w:r w:rsidR="00A364F7">
        <w:rPr>
          <w:rFonts w:ascii="Calibri" w:hAnsi="Calibri" w:cs="Calibri"/>
          <w:b/>
          <w:color w:val="2E74B5" w:themeColor="accent1" w:themeShade="BF"/>
          <w:sz w:val="22"/>
          <w:szCs w:val="22"/>
        </w:rPr>
        <w:t>4</w:t>
      </w:r>
      <w:r w:rsidR="00B7214B" w:rsidRPr="00E3258F">
        <w:rPr>
          <w:rFonts w:ascii="Calibri" w:hAnsi="Calibri" w:cs="Calibri"/>
          <w:b/>
          <w:color w:val="2E74B5" w:themeColor="accent1" w:themeShade="BF"/>
          <w:sz w:val="22"/>
          <w:szCs w:val="22"/>
        </w:rPr>
        <w:t>,</w:t>
      </w:r>
      <w:r w:rsidR="00A364F7">
        <w:rPr>
          <w:rFonts w:ascii="Calibri" w:hAnsi="Calibri" w:cs="Calibri"/>
          <w:b/>
          <w:color w:val="2E74B5" w:themeColor="accent1" w:themeShade="BF"/>
          <w:sz w:val="22"/>
          <w:szCs w:val="22"/>
        </w:rPr>
        <w:t>1</w:t>
      </w:r>
      <w:r w:rsidR="00736EAE">
        <w:rPr>
          <w:rFonts w:ascii="Calibri" w:hAnsi="Calibri" w:cs="Calibri"/>
          <w:b/>
          <w:color w:val="2E74B5" w:themeColor="accent1" w:themeShade="BF"/>
          <w:sz w:val="22"/>
          <w:szCs w:val="22"/>
        </w:rPr>
        <w:t>5</w:t>
      </w:r>
      <w:r w:rsidR="00B7214B" w:rsidRPr="00E3258F">
        <w:rPr>
          <w:rFonts w:ascii="Calibri" w:hAnsi="Calibri" w:cs="Calibri"/>
          <w:b/>
          <w:color w:val="2E74B5" w:themeColor="accent1" w:themeShade="BF"/>
          <w:sz w:val="22"/>
          <w:szCs w:val="22"/>
        </w:rPr>
        <w:t xml:space="preserve"> %</w:t>
      </w:r>
      <w:r w:rsidR="004D4156" w:rsidRPr="00E3258F">
        <w:rPr>
          <w:rFonts w:ascii="Calibri" w:hAnsi="Calibri" w:cs="Calibri"/>
          <w:b/>
          <w:color w:val="2E74B5" w:themeColor="accent1" w:themeShade="BF"/>
          <w:sz w:val="22"/>
          <w:szCs w:val="22"/>
        </w:rPr>
        <w:t xml:space="preserve">. </w:t>
      </w:r>
      <w:r w:rsidR="004D4156">
        <w:rPr>
          <w:rFonts w:ascii="Calibri" w:hAnsi="Calibri" w:cs="Calibri"/>
          <w:b/>
          <w:color w:val="13576B"/>
          <w:sz w:val="22"/>
          <w:szCs w:val="22"/>
        </w:rPr>
        <w:t xml:space="preserve">Růst </w:t>
      </w:r>
      <w:r w:rsidR="002027D4">
        <w:rPr>
          <w:rFonts w:ascii="Calibri" w:hAnsi="Calibri" w:cs="Calibri"/>
          <w:b/>
          <w:color w:val="13576B"/>
          <w:sz w:val="22"/>
          <w:szCs w:val="22"/>
        </w:rPr>
        <w:t xml:space="preserve">hypotečních </w:t>
      </w:r>
      <w:r w:rsidR="004D4156">
        <w:rPr>
          <w:rFonts w:ascii="Calibri" w:hAnsi="Calibri" w:cs="Calibri"/>
          <w:b/>
          <w:color w:val="13576B"/>
          <w:sz w:val="22"/>
          <w:szCs w:val="22"/>
        </w:rPr>
        <w:t xml:space="preserve">sazeb tak </w:t>
      </w:r>
      <w:r w:rsidR="00A364F7">
        <w:rPr>
          <w:rFonts w:ascii="Calibri" w:hAnsi="Calibri" w:cs="Calibri"/>
          <w:b/>
          <w:color w:val="13576B"/>
          <w:sz w:val="22"/>
          <w:szCs w:val="22"/>
        </w:rPr>
        <w:t>dle očekávání pokračuje</w:t>
      </w:r>
      <w:r w:rsidR="007D37BA">
        <w:rPr>
          <w:rFonts w:ascii="Calibri" w:hAnsi="Calibri" w:cs="Calibri"/>
          <w:b/>
          <w:color w:val="13576B"/>
          <w:sz w:val="22"/>
          <w:szCs w:val="22"/>
        </w:rPr>
        <w:t xml:space="preserve"> a tento trend uvidíme i v dalších měsících v</w:t>
      </w:r>
      <w:r w:rsidR="002027D4">
        <w:rPr>
          <w:rFonts w:ascii="Calibri" w:hAnsi="Calibri" w:cs="Calibri"/>
          <w:b/>
          <w:color w:val="13576B"/>
          <w:sz w:val="22"/>
          <w:szCs w:val="22"/>
        </w:rPr>
        <w:t>zhledem k dalšímu zvýšení tržních úrokových sazeb</w:t>
      </w:r>
      <w:r w:rsidR="008B3ADE">
        <w:rPr>
          <w:rFonts w:ascii="Calibri" w:hAnsi="Calibri" w:cs="Calibri"/>
          <w:b/>
          <w:color w:val="13576B"/>
          <w:sz w:val="22"/>
          <w:szCs w:val="22"/>
        </w:rPr>
        <w:t xml:space="preserve"> kvůli</w:t>
      </w:r>
      <w:r w:rsidR="002027D4">
        <w:rPr>
          <w:rFonts w:ascii="Calibri" w:hAnsi="Calibri" w:cs="Calibri"/>
          <w:b/>
          <w:color w:val="13576B"/>
          <w:sz w:val="22"/>
          <w:szCs w:val="22"/>
        </w:rPr>
        <w:t xml:space="preserve"> zrychlující infla</w:t>
      </w:r>
      <w:r w:rsidR="00635832">
        <w:rPr>
          <w:rFonts w:ascii="Calibri" w:hAnsi="Calibri" w:cs="Calibri"/>
          <w:b/>
          <w:color w:val="13576B"/>
          <w:sz w:val="22"/>
          <w:szCs w:val="22"/>
        </w:rPr>
        <w:t>ci</w:t>
      </w:r>
      <w:r w:rsidR="002027D4">
        <w:rPr>
          <w:rFonts w:ascii="Calibri" w:hAnsi="Calibri" w:cs="Calibri"/>
          <w:b/>
          <w:color w:val="13576B"/>
          <w:sz w:val="22"/>
          <w:szCs w:val="22"/>
        </w:rPr>
        <w:t xml:space="preserve">. </w:t>
      </w:r>
      <w:r w:rsidR="00757649" w:rsidRPr="00B649F7">
        <w:rPr>
          <w:rFonts w:ascii="Calibri" w:hAnsi="Calibri" w:cs="Calibri"/>
          <w:b/>
          <w:color w:val="13576B"/>
          <w:sz w:val="22"/>
          <w:szCs w:val="22"/>
        </w:rPr>
        <w:t xml:space="preserve">Uvedené informace plynou </w:t>
      </w:r>
      <w:r w:rsidRPr="00B649F7">
        <w:rPr>
          <w:rFonts w:ascii="Calibri" w:hAnsi="Calibri" w:cs="Calibri"/>
          <w:b/>
          <w:color w:val="13576B"/>
          <w:sz w:val="22"/>
          <w:szCs w:val="22"/>
        </w:rPr>
        <w:t>z dat ČBA Hypomonitoru</w:t>
      </w:r>
      <w:r w:rsidR="00052C6A" w:rsidRPr="00B649F7">
        <w:rPr>
          <w:rFonts w:ascii="Calibri" w:hAnsi="Calibri" w:cs="Calibri"/>
          <w:b/>
          <w:color w:val="13576B"/>
          <w:sz w:val="22"/>
          <w:szCs w:val="22"/>
        </w:rPr>
        <w:t xml:space="preserve">, který </w:t>
      </w:r>
      <w:r w:rsidR="00E3258F">
        <w:rPr>
          <w:rFonts w:ascii="Calibri" w:hAnsi="Calibri" w:cs="Calibri"/>
          <w:b/>
          <w:color w:val="13576B"/>
          <w:sz w:val="22"/>
          <w:szCs w:val="22"/>
        </w:rPr>
        <w:t xml:space="preserve">zachycuje </w:t>
      </w:r>
      <w:r w:rsidR="00B649F7">
        <w:rPr>
          <w:rFonts w:ascii="Calibri" w:hAnsi="Calibri" w:cs="Calibri"/>
          <w:b/>
          <w:color w:val="13576B"/>
          <w:sz w:val="22"/>
          <w:szCs w:val="22"/>
        </w:rPr>
        <w:t>data</w:t>
      </w:r>
      <w:r w:rsidR="00291BE8" w:rsidRPr="00B649F7">
        <w:rPr>
          <w:rFonts w:ascii="Calibri" w:hAnsi="Calibri" w:cs="Calibri"/>
          <w:b/>
          <w:color w:val="13576B"/>
          <w:sz w:val="22"/>
          <w:szCs w:val="22"/>
        </w:rPr>
        <w:t xml:space="preserve"> </w:t>
      </w:r>
      <w:r w:rsidR="001C7200" w:rsidRPr="00B649F7">
        <w:rPr>
          <w:rFonts w:ascii="Calibri" w:hAnsi="Calibri" w:cs="Calibri"/>
          <w:b/>
          <w:color w:val="13576B"/>
          <w:sz w:val="22"/>
          <w:szCs w:val="22"/>
        </w:rPr>
        <w:t>všech tuzemských bank</w:t>
      </w:r>
      <w:r w:rsidR="00C665F2" w:rsidRPr="00B649F7">
        <w:rPr>
          <w:rFonts w:ascii="Calibri" w:hAnsi="Calibri" w:cs="Calibri"/>
          <w:b/>
          <w:color w:val="13576B"/>
          <w:sz w:val="22"/>
          <w:szCs w:val="22"/>
        </w:rPr>
        <w:t xml:space="preserve"> a stavebních spořitelen</w:t>
      </w:r>
      <w:r w:rsidR="001C7200" w:rsidRPr="00B649F7">
        <w:rPr>
          <w:rFonts w:ascii="Calibri" w:hAnsi="Calibri" w:cs="Calibri"/>
          <w:b/>
          <w:color w:val="13576B"/>
          <w:sz w:val="22"/>
          <w:szCs w:val="22"/>
        </w:rPr>
        <w:t xml:space="preserve"> poskytujících hypoteční úvěry</w:t>
      </w:r>
      <w:r w:rsidR="00C665F2" w:rsidRPr="00B649F7">
        <w:rPr>
          <w:rFonts w:ascii="Calibri" w:hAnsi="Calibri" w:cs="Calibri"/>
          <w:b/>
          <w:color w:val="13576B"/>
          <w:sz w:val="22"/>
          <w:szCs w:val="22"/>
        </w:rPr>
        <w:t xml:space="preserve"> na domácím trhu.</w:t>
      </w:r>
      <w:r w:rsidR="00461E79" w:rsidRPr="008A072D">
        <w:rPr>
          <w:rFonts w:ascii="Calibri" w:hAnsi="Calibri" w:cs="Calibri"/>
          <w:b/>
          <w:i/>
          <w:iCs/>
          <w:color w:val="13576B"/>
          <w:sz w:val="22"/>
          <w:szCs w:val="22"/>
        </w:rPr>
        <w:t xml:space="preserve"> </w:t>
      </w:r>
    </w:p>
    <w:p w14:paraId="44CE3940" w14:textId="77777777" w:rsidR="0001227F" w:rsidRPr="0001227F" w:rsidRDefault="0001227F" w:rsidP="0001227F">
      <w:pPr>
        <w:rPr>
          <w:rFonts w:ascii="Calibri" w:hAnsi="Calibri" w:cs="Calibri"/>
          <w:b/>
          <w:bCs/>
          <w:sz w:val="22"/>
          <w:szCs w:val="22"/>
        </w:rPr>
      </w:pPr>
    </w:p>
    <w:p w14:paraId="367713E2" w14:textId="491231E5" w:rsidR="0001227F" w:rsidRPr="008A072D" w:rsidRDefault="002027D4" w:rsidP="0001227F">
      <w:pPr>
        <w:rPr>
          <w:rFonts w:ascii="Calibri" w:hAnsi="Calibri" w:cs="Calibri"/>
          <w:b/>
          <w:color w:val="13576B"/>
          <w:sz w:val="24"/>
          <w:szCs w:val="24"/>
        </w:rPr>
      </w:pPr>
      <w:r>
        <w:rPr>
          <w:rFonts w:ascii="Calibri" w:hAnsi="Calibri" w:cs="Calibri"/>
          <w:b/>
          <w:color w:val="13576B"/>
          <w:sz w:val="24"/>
          <w:szCs w:val="24"/>
        </w:rPr>
        <w:t xml:space="preserve">Meziroční propad </w:t>
      </w:r>
      <w:r w:rsidR="002E6C7C" w:rsidRPr="008A072D">
        <w:rPr>
          <w:rFonts w:ascii="Calibri" w:hAnsi="Calibri" w:cs="Calibri"/>
          <w:b/>
          <w:color w:val="13576B"/>
          <w:sz w:val="24"/>
          <w:szCs w:val="24"/>
        </w:rPr>
        <w:t>poskytnutých</w:t>
      </w:r>
      <w:r w:rsidR="00703676" w:rsidRPr="008A072D">
        <w:rPr>
          <w:rFonts w:ascii="Calibri" w:hAnsi="Calibri" w:cs="Calibri"/>
          <w:b/>
          <w:color w:val="13576B"/>
          <w:sz w:val="24"/>
          <w:szCs w:val="24"/>
        </w:rPr>
        <w:t xml:space="preserve"> hypoték</w:t>
      </w:r>
      <w:r w:rsidR="00475D5E" w:rsidRPr="008A072D">
        <w:rPr>
          <w:rFonts w:ascii="Calibri" w:hAnsi="Calibri" w:cs="Calibri"/>
          <w:b/>
          <w:color w:val="13576B"/>
          <w:sz w:val="24"/>
          <w:szCs w:val="24"/>
        </w:rPr>
        <w:t xml:space="preserve"> </w:t>
      </w:r>
      <w:r>
        <w:rPr>
          <w:rFonts w:ascii="Calibri" w:hAnsi="Calibri" w:cs="Calibri"/>
          <w:b/>
          <w:color w:val="13576B"/>
          <w:sz w:val="24"/>
          <w:szCs w:val="24"/>
        </w:rPr>
        <w:t>zesiluje,</w:t>
      </w:r>
      <w:r w:rsidR="00373FC2">
        <w:rPr>
          <w:rFonts w:ascii="Calibri" w:hAnsi="Calibri" w:cs="Calibri"/>
          <w:b/>
          <w:color w:val="13576B"/>
          <w:sz w:val="24"/>
          <w:szCs w:val="24"/>
        </w:rPr>
        <w:t xml:space="preserve"> a to jak z pohledu nových, tak r</w:t>
      </w:r>
      <w:r w:rsidR="00504229">
        <w:rPr>
          <w:rFonts w:ascii="Calibri" w:hAnsi="Calibri" w:cs="Calibri"/>
          <w:b/>
          <w:color w:val="13576B"/>
          <w:sz w:val="24"/>
          <w:szCs w:val="24"/>
        </w:rPr>
        <w:t>e</w:t>
      </w:r>
      <w:r w:rsidR="00373FC2">
        <w:rPr>
          <w:rFonts w:ascii="Calibri" w:hAnsi="Calibri" w:cs="Calibri"/>
          <w:b/>
          <w:color w:val="13576B"/>
          <w:sz w:val="24"/>
          <w:szCs w:val="24"/>
        </w:rPr>
        <w:t>financovaných úvěrů</w:t>
      </w:r>
    </w:p>
    <w:p w14:paraId="0752ACEC" w14:textId="33D93D04" w:rsidR="00C1041E" w:rsidRDefault="00F36950" w:rsidP="0001227F">
      <w:pPr>
        <w:rPr>
          <w:rFonts w:ascii="Calibri" w:hAnsi="Calibri" w:cs="Calibri"/>
          <w:sz w:val="22"/>
          <w:szCs w:val="22"/>
        </w:rPr>
      </w:pPr>
      <w:r>
        <w:rPr>
          <w:rFonts w:ascii="Calibri" w:hAnsi="Calibri" w:cs="Calibri"/>
          <w:b/>
          <w:bCs/>
          <w:sz w:val="22"/>
          <w:szCs w:val="22"/>
        </w:rPr>
        <w:t>Březnové objemy poskytnutých hypoték bývají obvykle ve srovnání s únorem příznivější, což potvrzují i letošní čísla</w:t>
      </w:r>
      <w:r w:rsidR="00C11E3B">
        <w:rPr>
          <w:rFonts w:ascii="Calibri" w:hAnsi="Calibri" w:cs="Calibri"/>
          <w:b/>
          <w:bCs/>
          <w:sz w:val="22"/>
          <w:szCs w:val="22"/>
        </w:rPr>
        <w:t xml:space="preserve">. Objem i počet hypoték v březnu oproti předešlému měsíci vzrostl o pětinu. </w:t>
      </w:r>
      <w:r w:rsidR="00AD3A59">
        <w:rPr>
          <w:rFonts w:ascii="Calibri" w:hAnsi="Calibri" w:cs="Calibri"/>
          <w:sz w:val="22"/>
          <w:szCs w:val="22"/>
        </w:rPr>
        <w:t>Banky a stavební spořitelny</w:t>
      </w:r>
      <w:r w:rsidR="0001227F" w:rsidRPr="0001227F">
        <w:rPr>
          <w:rFonts w:ascii="Calibri" w:hAnsi="Calibri" w:cs="Calibri"/>
          <w:sz w:val="22"/>
          <w:szCs w:val="22"/>
        </w:rPr>
        <w:t xml:space="preserve"> dle</w:t>
      </w:r>
      <w:r w:rsidR="006E0EAD">
        <w:rPr>
          <w:rFonts w:ascii="Calibri" w:hAnsi="Calibri" w:cs="Calibri"/>
          <w:sz w:val="22"/>
          <w:szCs w:val="22"/>
        </w:rPr>
        <w:t xml:space="preserve"> </w:t>
      </w:r>
      <w:r w:rsidR="00235942">
        <w:rPr>
          <w:rFonts w:ascii="Calibri" w:hAnsi="Calibri" w:cs="Calibri"/>
          <w:sz w:val="22"/>
          <w:szCs w:val="22"/>
        </w:rPr>
        <w:t>březn</w:t>
      </w:r>
      <w:r w:rsidR="006E0EAD">
        <w:rPr>
          <w:rFonts w:ascii="Calibri" w:hAnsi="Calibri" w:cs="Calibri"/>
          <w:sz w:val="22"/>
          <w:szCs w:val="22"/>
        </w:rPr>
        <w:t>ového</w:t>
      </w:r>
      <w:r w:rsidR="00AD3A59">
        <w:rPr>
          <w:rFonts w:ascii="Calibri" w:hAnsi="Calibri" w:cs="Calibri"/>
          <w:sz w:val="22"/>
          <w:szCs w:val="22"/>
        </w:rPr>
        <w:t xml:space="preserve"> </w:t>
      </w:r>
      <w:r w:rsidR="0001227F" w:rsidRPr="001457AA">
        <w:rPr>
          <w:rFonts w:ascii="Calibri" w:hAnsi="Calibri" w:cs="Calibri"/>
          <w:b/>
          <w:bCs/>
          <w:sz w:val="22"/>
          <w:szCs w:val="22"/>
        </w:rPr>
        <w:t>ČBA Hypomonitoru</w:t>
      </w:r>
      <w:r w:rsidR="0001227F" w:rsidRPr="0001227F">
        <w:rPr>
          <w:rFonts w:ascii="Calibri" w:hAnsi="Calibri" w:cs="Calibri"/>
          <w:sz w:val="22"/>
          <w:szCs w:val="22"/>
        </w:rPr>
        <w:t xml:space="preserve"> </w:t>
      </w:r>
      <w:r w:rsidR="00AD3A59">
        <w:rPr>
          <w:rFonts w:ascii="Calibri" w:hAnsi="Calibri" w:cs="Calibri"/>
          <w:sz w:val="22"/>
          <w:szCs w:val="22"/>
        </w:rPr>
        <w:t xml:space="preserve">poskytly domácnostem hypotéky </w:t>
      </w:r>
      <w:r w:rsidR="0001227F" w:rsidRPr="0001227F">
        <w:rPr>
          <w:rFonts w:ascii="Calibri" w:hAnsi="Calibri" w:cs="Calibri"/>
          <w:sz w:val="22"/>
          <w:szCs w:val="22"/>
        </w:rPr>
        <w:t>v</w:t>
      </w:r>
      <w:r w:rsidR="005C7FCE">
        <w:rPr>
          <w:rFonts w:ascii="Calibri" w:hAnsi="Calibri" w:cs="Calibri"/>
          <w:sz w:val="22"/>
          <w:szCs w:val="22"/>
        </w:rPr>
        <w:t xml:space="preserve"> celkovém </w:t>
      </w:r>
      <w:r w:rsidR="0001227F" w:rsidRPr="0001227F">
        <w:rPr>
          <w:rFonts w:ascii="Calibri" w:hAnsi="Calibri" w:cs="Calibri"/>
          <w:sz w:val="22"/>
          <w:szCs w:val="22"/>
        </w:rPr>
        <w:t>objemu</w:t>
      </w:r>
      <w:r w:rsidR="00BE0DD9">
        <w:rPr>
          <w:rFonts w:ascii="Calibri" w:hAnsi="Calibri" w:cs="Calibri"/>
          <w:sz w:val="22"/>
          <w:szCs w:val="22"/>
        </w:rPr>
        <w:t xml:space="preserve"> </w:t>
      </w:r>
      <w:r w:rsidR="00C11E3B">
        <w:rPr>
          <w:rFonts w:ascii="Calibri" w:hAnsi="Calibri" w:cs="Calibri"/>
          <w:b/>
          <w:bCs/>
          <w:sz w:val="22"/>
          <w:szCs w:val="22"/>
        </w:rPr>
        <w:t>30</w:t>
      </w:r>
      <w:r w:rsidR="006E0EAD" w:rsidRPr="006E0EAD">
        <w:rPr>
          <w:rFonts w:ascii="Calibri" w:hAnsi="Calibri" w:cs="Calibri"/>
          <w:b/>
          <w:bCs/>
          <w:sz w:val="22"/>
          <w:szCs w:val="22"/>
        </w:rPr>
        <w:t>,</w:t>
      </w:r>
      <w:r w:rsidR="00C11E3B">
        <w:rPr>
          <w:rFonts w:ascii="Calibri" w:hAnsi="Calibri" w:cs="Calibri"/>
          <w:b/>
          <w:bCs/>
          <w:sz w:val="22"/>
          <w:szCs w:val="22"/>
        </w:rPr>
        <w:t>3</w:t>
      </w:r>
      <w:r w:rsidR="006E0EAD" w:rsidRPr="006E0EAD">
        <w:rPr>
          <w:rFonts w:ascii="Calibri" w:hAnsi="Calibri" w:cs="Calibri"/>
          <w:b/>
          <w:bCs/>
          <w:sz w:val="22"/>
          <w:szCs w:val="22"/>
        </w:rPr>
        <w:t xml:space="preserve"> mld. Kč.</w:t>
      </w:r>
      <w:r w:rsidR="006E0EAD">
        <w:rPr>
          <w:rFonts w:ascii="Calibri" w:hAnsi="Calibri" w:cs="Calibri"/>
          <w:sz w:val="22"/>
          <w:szCs w:val="22"/>
        </w:rPr>
        <w:t xml:space="preserve"> </w:t>
      </w:r>
      <w:r w:rsidR="00BE0DD9">
        <w:rPr>
          <w:rFonts w:ascii="Calibri" w:hAnsi="Calibri" w:cs="Calibri"/>
          <w:sz w:val="22"/>
          <w:szCs w:val="22"/>
        </w:rPr>
        <w:t>Ve srovnání s</w:t>
      </w:r>
      <w:r w:rsidR="00C11E3B">
        <w:rPr>
          <w:rFonts w:ascii="Calibri" w:hAnsi="Calibri" w:cs="Calibri"/>
          <w:sz w:val="22"/>
          <w:szCs w:val="22"/>
        </w:rPr>
        <w:t>e silným březnem minulého roku jde však téměř</w:t>
      </w:r>
      <w:r w:rsidR="00B23B81">
        <w:rPr>
          <w:rFonts w:ascii="Calibri" w:hAnsi="Calibri" w:cs="Calibri"/>
          <w:sz w:val="22"/>
          <w:szCs w:val="22"/>
        </w:rPr>
        <w:t xml:space="preserve"> o</w:t>
      </w:r>
      <w:r w:rsidR="00C11E3B">
        <w:rPr>
          <w:rFonts w:ascii="Calibri" w:hAnsi="Calibri" w:cs="Calibri"/>
          <w:sz w:val="22"/>
          <w:szCs w:val="22"/>
        </w:rPr>
        <w:t xml:space="preserve"> 50% propad, a to jak z pohled</w:t>
      </w:r>
      <w:r w:rsidR="00207CB1">
        <w:rPr>
          <w:rFonts w:ascii="Calibri" w:hAnsi="Calibri" w:cs="Calibri"/>
          <w:sz w:val="22"/>
          <w:szCs w:val="22"/>
        </w:rPr>
        <w:t>u</w:t>
      </w:r>
      <w:r w:rsidR="00C11E3B">
        <w:rPr>
          <w:rFonts w:ascii="Calibri" w:hAnsi="Calibri" w:cs="Calibri"/>
          <w:sz w:val="22"/>
          <w:szCs w:val="22"/>
        </w:rPr>
        <w:t xml:space="preserve"> počtu, tak objemu poskytnutých hypoték. </w:t>
      </w:r>
      <w:r w:rsidR="0076473F">
        <w:rPr>
          <w:rFonts w:ascii="Calibri" w:hAnsi="Calibri" w:cs="Calibri"/>
          <w:sz w:val="22"/>
          <w:szCs w:val="22"/>
        </w:rPr>
        <w:t>M</w:t>
      </w:r>
      <w:r w:rsidR="00C11E3B">
        <w:rPr>
          <w:rFonts w:ascii="Calibri" w:hAnsi="Calibri" w:cs="Calibri"/>
          <w:sz w:val="22"/>
          <w:szCs w:val="22"/>
        </w:rPr>
        <w:t xml:space="preserve">eziroční propad </w:t>
      </w:r>
      <w:r w:rsidR="0076473F">
        <w:rPr>
          <w:rFonts w:ascii="Calibri" w:hAnsi="Calibri" w:cs="Calibri"/>
          <w:sz w:val="22"/>
          <w:szCs w:val="22"/>
        </w:rPr>
        <w:t xml:space="preserve">tak </w:t>
      </w:r>
      <w:r w:rsidR="00C11E3B">
        <w:rPr>
          <w:rFonts w:ascii="Calibri" w:hAnsi="Calibri" w:cs="Calibri"/>
          <w:sz w:val="22"/>
          <w:szCs w:val="22"/>
        </w:rPr>
        <w:t>dál zesílil z únorových 30 %</w:t>
      </w:r>
      <w:r w:rsidR="00B23B81">
        <w:rPr>
          <w:rFonts w:ascii="Calibri" w:hAnsi="Calibri" w:cs="Calibri"/>
          <w:sz w:val="22"/>
          <w:szCs w:val="22"/>
        </w:rPr>
        <w:t>.</w:t>
      </w:r>
      <w:r w:rsidR="00C11E3B">
        <w:rPr>
          <w:rFonts w:ascii="Calibri" w:hAnsi="Calibri" w:cs="Calibri"/>
          <w:sz w:val="22"/>
          <w:szCs w:val="22"/>
        </w:rPr>
        <w:t xml:space="preserve"> </w:t>
      </w:r>
      <w:r w:rsidR="00635832">
        <w:rPr>
          <w:rFonts w:ascii="Calibri" w:hAnsi="Calibri" w:cs="Calibri"/>
          <w:sz w:val="22"/>
          <w:szCs w:val="22"/>
        </w:rPr>
        <w:t>A t</w:t>
      </w:r>
      <w:r w:rsidR="00C11E3B">
        <w:rPr>
          <w:rFonts w:ascii="Calibri" w:hAnsi="Calibri" w:cs="Calibri"/>
          <w:sz w:val="22"/>
          <w:szCs w:val="22"/>
        </w:rPr>
        <w:t xml:space="preserve">o </w:t>
      </w:r>
      <w:r w:rsidR="00594C44">
        <w:rPr>
          <w:rFonts w:ascii="Calibri" w:hAnsi="Calibri" w:cs="Calibri"/>
          <w:sz w:val="22"/>
          <w:szCs w:val="22"/>
        </w:rPr>
        <w:t>navzdory skutečnosti</w:t>
      </w:r>
      <w:r w:rsidR="00C11E3B">
        <w:rPr>
          <w:rFonts w:ascii="Calibri" w:hAnsi="Calibri" w:cs="Calibri"/>
          <w:sz w:val="22"/>
          <w:szCs w:val="22"/>
        </w:rPr>
        <w:t xml:space="preserve">, že očekávané zpřísnění úvěrových limitů ze strany České národní banky </w:t>
      </w:r>
      <w:r w:rsidR="00207CB1">
        <w:rPr>
          <w:rFonts w:ascii="Calibri" w:hAnsi="Calibri" w:cs="Calibri"/>
          <w:sz w:val="22"/>
          <w:szCs w:val="22"/>
        </w:rPr>
        <w:t xml:space="preserve">od prvního dubna </w:t>
      </w:r>
      <w:r w:rsidR="00C11E3B">
        <w:rPr>
          <w:rFonts w:ascii="Calibri" w:hAnsi="Calibri" w:cs="Calibri"/>
          <w:sz w:val="22"/>
          <w:szCs w:val="22"/>
        </w:rPr>
        <w:t>přineslo i určité předzásobení</w:t>
      </w:r>
      <w:r w:rsidR="00CD6EF5">
        <w:rPr>
          <w:rFonts w:ascii="Calibri" w:hAnsi="Calibri" w:cs="Calibri"/>
          <w:sz w:val="22"/>
          <w:szCs w:val="22"/>
        </w:rPr>
        <w:t xml:space="preserve"> a vyšší zájem domácností o vyřízení hypotečního úvěru </w:t>
      </w:r>
      <w:r w:rsidR="00635832">
        <w:rPr>
          <w:rFonts w:ascii="Calibri" w:hAnsi="Calibri" w:cs="Calibri"/>
          <w:sz w:val="22"/>
          <w:szCs w:val="22"/>
        </w:rPr>
        <w:t>v</w:t>
      </w:r>
      <w:r w:rsidR="00CD6EF5">
        <w:rPr>
          <w:rFonts w:ascii="Calibri" w:hAnsi="Calibri" w:cs="Calibri"/>
          <w:sz w:val="22"/>
          <w:szCs w:val="22"/>
        </w:rPr>
        <w:t xml:space="preserve"> průběhu března.</w:t>
      </w:r>
    </w:p>
    <w:p w14:paraId="0D8F6C53" w14:textId="523B6852" w:rsidR="00F43B83" w:rsidRDefault="00F43B83" w:rsidP="0001227F">
      <w:pPr>
        <w:rPr>
          <w:rFonts w:ascii="Calibri" w:hAnsi="Calibri" w:cs="Calibri"/>
          <w:sz w:val="22"/>
          <w:szCs w:val="22"/>
        </w:rPr>
      </w:pPr>
    </w:p>
    <w:p w14:paraId="32137A9A" w14:textId="071CBF44" w:rsidR="00F43B83" w:rsidRDefault="00F43B83" w:rsidP="00F43B83">
      <w:pPr>
        <w:rPr>
          <w:rFonts w:ascii="Calibri" w:hAnsi="Calibri" w:cs="Calibri"/>
          <w:sz w:val="22"/>
          <w:szCs w:val="22"/>
        </w:rPr>
      </w:pPr>
      <w:r w:rsidRPr="00C410EB">
        <w:rPr>
          <w:rFonts w:ascii="Calibri" w:hAnsi="Calibri" w:cs="Calibri"/>
          <w:sz w:val="22"/>
          <w:szCs w:val="22"/>
        </w:rPr>
        <w:t>„</w:t>
      </w:r>
      <w:r w:rsidR="00A55882" w:rsidRPr="00A55882">
        <w:rPr>
          <w:rFonts w:ascii="Calibri" w:hAnsi="Calibri" w:cs="Calibri"/>
          <w:i/>
          <w:iCs/>
          <w:sz w:val="22"/>
          <w:szCs w:val="22"/>
        </w:rPr>
        <w:t>Meziroční pokles objemu prodaných hypotečních úvěrů v zásadě odpovídá našemu očekávání. Při takto rychle rostoucích úrokových sazbách se jedná o poměrně slušný výsledek. Oproti únoru naopak objem prodaných hypoték rostl. To je dáno i takzvaným efektem předzásobení, jaký jsme na hypotečním trhu za poslední roky již několikrát viděli. Od 1. dubna platí regulace ČNB omezující maximální výši LTV, DTI a DSTI, a tak někteří klienti uspíšili své rozhodnutí vzít si hypoteční úvěr a narychlo podepisovali smlouvy v posledním březnovém týdnu</w:t>
      </w:r>
      <w:r w:rsidRPr="00C410EB">
        <w:rPr>
          <w:rFonts w:ascii="Calibri" w:hAnsi="Calibri" w:cs="Calibri"/>
          <w:sz w:val="22"/>
          <w:szCs w:val="22"/>
        </w:rPr>
        <w:t xml:space="preserve">,“ říká </w:t>
      </w:r>
      <w:r w:rsidR="00A55882" w:rsidRPr="00A55882">
        <w:rPr>
          <w:rFonts w:ascii="Calibri" w:hAnsi="Calibri" w:cs="Calibri"/>
          <w:sz w:val="22"/>
          <w:szCs w:val="22"/>
        </w:rPr>
        <w:t>Ondřej Šuchman</w:t>
      </w:r>
      <w:r w:rsidRPr="00C410EB">
        <w:rPr>
          <w:rFonts w:ascii="Calibri" w:hAnsi="Calibri" w:cs="Calibri"/>
          <w:sz w:val="22"/>
          <w:szCs w:val="22"/>
        </w:rPr>
        <w:t xml:space="preserve">, </w:t>
      </w:r>
      <w:r w:rsidR="00285A75">
        <w:rPr>
          <w:rFonts w:ascii="Calibri" w:hAnsi="Calibri" w:cs="Calibri"/>
          <w:sz w:val="22"/>
          <w:szCs w:val="22"/>
        </w:rPr>
        <w:t>m</w:t>
      </w:r>
      <w:r w:rsidR="00A55882" w:rsidRPr="00A55882">
        <w:rPr>
          <w:rFonts w:ascii="Calibri" w:hAnsi="Calibri" w:cs="Calibri"/>
          <w:sz w:val="22"/>
          <w:szCs w:val="22"/>
        </w:rPr>
        <w:t>anažer pro hypotéky v</w:t>
      </w:r>
      <w:r w:rsidR="00A55882">
        <w:rPr>
          <w:rFonts w:ascii="Calibri" w:hAnsi="Calibri" w:cs="Calibri"/>
          <w:sz w:val="22"/>
          <w:szCs w:val="22"/>
        </w:rPr>
        <w:t> </w:t>
      </w:r>
      <w:r w:rsidR="00A55882" w:rsidRPr="00A55882">
        <w:rPr>
          <w:rFonts w:ascii="Calibri" w:hAnsi="Calibri" w:cs="Calibri"/>
          <w:sz w:val="22"/>
          <w:szCs w:val="22"/>
        </w:rPr>
        <w:t>K</w:t>
      </w:r>
      <w:r w:rsidR="00A55882">
        <w:rPr>
          <w:rFonts w:ascii="Calibri" w:hAnsi="Calibri" w:cs="Calibri"/>
          <w:sz w:val="22"/>
          <w:szCs w:val="22"/>
        </w:rPr>
        <w:t>omerční bance</w:t>
      </w:r>
      <w:r>
        <w:rPr>
          <w:rFonts w:ascii="Calibri" w:hAnsi="Calibri" w:cs="Calibri"/>
          <w:sz w:val="22"/>
          <w:szCs w:val="22"/>
        </w:rPr>
        <w:t>.</w:t>
      </w:r>
    </w:p>
    <w:p w14:paraId="26310041" w14:textId="77777777" w:rsidR="004D114D" w:rsidRDefault="004D114D" w:rsidP="0001227F">
      <w:pPr>
        <w:rPr>
          <w:rFonts w:ascii="Calibri" w:hAnsi="Calibri" w:cs="Calibri"/>
          <w:sz w:val="22"/>
          <w:szCs w:val="22"/>
        </w:rPr>
      </w:pPr>
    </w:p>
    <w:p w14:paraId="15602D7E" w14:textId="7AA68566" w:rsidR="00E24E04" w:rsidRDefault="00493A20" w:rsidP="0001227F">
      <w:pPr>
        <w:rPr>
          <w:rFonts w:ascii="Calibri" w:hAnsi="Calibri" w:cs="Calibri"/>
          <w:sz w:val="22"/>
          <w:szCs w:val="22"/>
        </w:rPr>
      </w:pPr>
      <w:r w:rsidRPr="002244BA">
        <w:rPr>
          <w:rFonts w:ascii="Calibri" w:hAnsi="Calibri" w:cs="Calibri"/>
          <w:b/>
          <w:bCs/>
          <w:sz w:val="22"/>
          <w:szCs w:val="22"/>
        </w:rPr>
        <w:t>Objem skutečně</w:t>
      </w:r>
      <w:r w:rsidR="00BE5CDB" w:rsidRPr="002244BA">
        <w:rPr>
          <w:rFonts w:ascii="Calibri" w:hAnsi="Calibri" w:cs="Calibri"/>
          <w:b/>
          <w:bCs/>
          <w:sz w:val="22"/>
          <w:szCs w:val="22"/>
        </w:rPr>
        <w:t xml:space="preserve"> nově poskytnutých hypoték v </w:t>
      </w:r>
      <w:r w:rsidR="00235942">
        <w:rPr>
          <w:rFonts w:ascii="Calibri" w:hAnsi="Calibri" w:cs="Calibri"/>
          <w:b/>
          <w:bCs/>
          <w:sz w:val="22"/>
          <w:szCs w:val="22"/>
        </w:rPr>
        <w:t>březnu</w:t>
      </w:r>
      <w:r w:rsidR="00BE5CDB" w:rsidRPr="002244BA">
        <w:rPr>
          <w:rFonts w:ascii="Calibri" w:hAnsi="Calibri" w:cs="Calibri"/>
          <w:b/>
          <w:bCs/>
          <w:sz w:val="22"/>
          <w:szCs w:val="22"/>
        </w:rPr>
        <w:t xml:space="preserve"> </w:t>
      </w:r>
      <w:r w:rsidR="00207CB1">
        <w:rPr>
          <w:rFonts w:ascii="Calibri" w:hAnsi="Calibri" w:cs="Calibri"/>
          <w:b/>
          <w:bCs/>
          <w:sz w:val="22"/>
          <w:szCs w:val="22"/>
        </w:rPr>
        <w:t xml:space="preserve">vzrostl </w:t>
      </w:r>
      <w:r w:rsidR="00B17281">
        <w:rPr>
          <w:rFonts w:ascii="Calibri" w:hAnsi="Calibri" w:cs="Calibri"/>
          <w:b/>
          <w:bCs/>
          <w:sz w:val="22"/>
          <w:szCs w:val="22"/>
        </w:rPr>
        <w:t xml:space="preserve">o 5 mld. Kč </w:t>
      </w:r>
      <w:r w:rsidR="00207CB1">
        <w:rPr>
          <w:rFonts w:ascii="Calibri" w:hAnsi="Calibri" w:cs="Calibri"/>
          <w:b/>
          <w:bCs/>
          <w:sz w:val="22"/>
          <w:szCs w:val="22"/>
        </w:rPr>
        <w:t>z</w:t>
      </w:r>
      <w:r w:rsidR="005574AF">
        <w:rPr>
          <w:rFonts w:ascii="Calibri" w:hAnsi="Calibri" w:cs="Calibri"/>
          <w:b/>
          <w:bCs/>
          <w:sz w:val="22"/>
          <w:szCs w:val="22"/>
        </w:rPr>
        <w:t> </w:t>
      </w:r>
      <w:r w:rsidR="00BE5CDB" w:rsidRPr="002244BA">
        <w:rPr>
          <w:rFonts w:ascii="Calibri" w:hAnsi="Calibri" w:cs="Calibri"/>
          <w:b/>
          <w:bCs/>
          <w:sz w:val="22"/>
          <w:szCs w:val="22"/>
        </w:rPr>
        <w:t>2</w:t>
      </w:r>
      <w:r w:rsidR="005574AF">
        <w:rPr>
          <w:rFonts w:ascii="Calibri" w:hAnsi="Calibri" w:cs="Calibri"/>
          <w:b/>
          <w:bCs/>
          <w:sz w:val="22"/>
          <w:szCs w:val="22"/>
        </w:rPr>
        <w:t>0</w:t>
      </w:r>
      <w:r w:rsidR="00BE5CDB" w:rsidRPr="002244BA">
        <w:rPr>
          <w:rFonts w:ascii="Calibri" w:hAnsi="Calibri" w:cs="Calibri"/>
          <w:b/>
          <w:bCs/>
          <w:sz w:val="22"/>
          <w:szCs w:val="22"/>
        </w:rPr>
        <w:t>,</w:t>
      </w:r>
      <w:r w:rsidR="005574AF">
        <w:rPr>
          <w:rFonts w:ascii="Calibri" w:hAnsi="Calibri" w:cs="Calibri"/>
          <w:b/>
          <w:bCs/>
          <w:sz w:val="22"/>
          <w:szCs w:val="22"/>
        </w:rPr>
        <w:t>8</w:t>
      </w:r>
      <w:r w:rsidR="00BE5CDB" w:rsidRPr="002244BA">
        <w:rPr>
          <w:rFonts w:ascii="Calibri" w:hAnsi="Calibri" w:cs="Calibri"/>
          <w:b/>
          <w:bCs/>
          <w:sz w:val="22"/>
          <w:szCs w:val="22"/>
        </w:rPr>
        <w:t xml:space="preserve"> mld. K</w:t>
      </w:r>
      <w:r w:rsidR="00C72AE9">
        <w:rPr>
          <w:rFonts w:ascii="Calibri" w:hAnsi="Calibri" w:cs="Calibri"/>
          <w:b/>
          <w:bCs/>
          <w:sz w:val="22"/>
          <w:szCs w:val="22"/>
        </w:rPr>
        <w:t>č</w:t>
      </w:r>
      <w:r w:rsidR="00207CB1">
        <w:rPr>
          <w:rFonts w:ascii="Calibri" w:hAnsi="Calibri" w:cs="Calibri"/>
          <w:b/>
          <w:bCs/>
          <w:sz w:val="22"/>
          <w:szCs w:val="22"/>
        </w:rPr>
        <w:t xml:space="preserve"> na 25,4 mld. Kč</w:t>
      </w:r>
      <w:r w:rsidR="00962E64">
        <w:rPr>
          <w:rFonts w:ascii="Calibri" w:hAnsi="Calibri" w:cs="Calibri"/>
          <w:b/>
          <w:bCs/>
          <w:sz w:val="22"/>
          <w:szCs w:val="22"/>
        </w:rPr>
        <w:t>.</w:t>
      </w:r>
      <w:r w:rsidR="00BE5CDB" w:rsidRPr="002244BA">
        <w:rPr>
          <w:rFonts w:ascii="Calibri" w:hAnsi="Calibri" w:cs="Calibri"/>
          <w:b/>
          <w:bCs/>
          <w:sz w:val="22"/>
          <w:szCs w:val="22"/>
        </w:rPr>
        <w:t xml:space="preserve"> </w:t>
      </w:r>
      <w:r w:rsidR="00962E64">
        <w:rPr>
          <w:rFonts w:ascii="Calibri" w:hAnsi="Calibri" w:cs="Calibri"/>
          <w:b/>
          <w:bCs/>
          <w:sz w:val="22"/>
          <w:szCs w:val="22"/>
        </w:rPr>
        <w:t>U</w:t>
      </w:r>
      <w:r w:rsidR="00BE5CDB" w:rsidRPr="002244BA">
        <w:rPr>
          <w:rFonts w:ascii="Calibri" w:hAnsi="Calibri" w:cs="Calibri"/>
          <w:b/>
          <w:bCs/>
          <w:sz w:val="22"/>
          <w:szCs w:val="22"/>
        </w:rPr>
        <w:t xml:space="preserve"> refinancovaných úvěrů</w:t>
      </w:r>
      <w:r w:rsidR="00402D75" w:rsidRPr="002244BA">
        <w:rPr>
          <w:rFonts w:ascii="Calibri" w:hAnsi="Calibri" w:cs="Calibri"/>
          <w:b/>
          <w:bCs/>
          <w:sz w:val="22"/>
          <w:szCs w:val="22"/>
        </w:rPr>
        <w:t xml:space="preserve"> (interně či z jiné instituce) pak </w:t>
      </w:r>
      <w:r w:rsidR="00FA5B04" w:rsidRPr="002244BA">
        <w:rPr>
          <w:rFonts w:ascii="Calibri" w:hAnsi="Calibri" w:cs="Calibri"/>
          <w:b/>
          <w:bCs/>
          <w:sz w:val="22"/>
          <w:szCs w:val="22"/>
        </w:rPr>
        <w:t>z</w:t>
      </w:r>
      <w:r w:rsidR="005574AF">
        <w:rPr>
          <w:rFonts w:ascii="Calibri" w:hAnsi="Calibri" w:cs="Calibri"/>
          <w:b/>
          <w:bCs/>
          <w:sz w:val="22"/>
          <w:szCs w:val="22"/>
        </w:rPr>
        <w:t> 4,3</w:t>
      </w:r>
      <w:r w:rsidR="00FA5B04" w:rsidRPr="002244BA">
        <w:rPr>
          <w:rFonts w:ascii="Calibri" w:hAnsi="Calibri" w:cs="Calibri"/>
          <w:b/>
          <w:bCs/>
          <w:sz w:val="22"/>
          <w:szCs w:val="22"/>
        </w:rPr>
        <w:t xml:space="preserve"> mld. Kč</w:t>
      </w:r>
      <w:r w:rsidR="00207CB1">
        <w:rPr>
          <w:rFonts w:ascii="Calibri" w:hAnsi="Calibri" w:cs="Calibri"/>
          <w:b/>
          <w:bCs/>
          <w:sz w:val="22"/>
          <w:szCs w:val="22"/>
        </w:rPr>
        <w:t xml:space="preserve"> na 4,9 ml</w:t>
      </w:r>
      <w:r w:rsidR="00B17281">
        <w:rPr>
          <w:rFonts w:ascii="Calibri" w:hAnsi="Calibri" w:cs="Calibri"/>
          <w:b/>
          <w:bCs/>
          <w:sz w:val="22"/>
          <w:szCs w:val="22"/>
        </w:rPr>
        <w:t>d</w:t>
      </w:r>
      <w:r w:rsidR="00207CB1">
        <w:rPr>
          <w:rFonts w:ascii="Calibri" w:hAnsi="Calibri" w:cs="Calibri"/>
          <w:b/>
          <w:bCs/>
          <w:sz w:val="22"/>
          <w:szCs w:val="22"/>
        </w:rPr>
        <w:t>. Kč.</w:t>
      </w:r>
      <w:r w:rsidR="00942405">
        <w:rPr>
          <w:rFonts w:ascii="Calibri" w:hAnsi="Calibri" w:cs="Calibri"/>
          <w:b/>
          <w:bCs/>
          <w:sz w:val="22"/>
          <w:szCs w:val="22"/>
        </w:rPr>
        <w:t xml:space="preserve"> </w:t>
      </w:r>
      <w:r w:rsidR="002A23FA" w:rsidRPr="00C72AE9">
        <w:rPr>
          <w:rFonts w:ascii="Calibri" w:hAnsi="Calibri" w:cs="Calibri"/>
          <w:b/>
          <w:bCs/>
          <w:sz w:val="22"/>
          <w:szCs w:val="22"/>
        </w:rPr>
        <w:t xml:space="preserve">Počet </w:t>
      </w:r>
      <w:r w:rsidR="001C1FAA" w:rsidRPr="00C72AE9">
        <w:rPr>
          <w:rFonts w:ascii="Calibri" w:hAnsi="Calibri" w:cs="Calibri"/>
          <w:b/>
          <w:bCs/>
          <w:sz w:val="22"/>
          <w:szCs w:val="22"/>
        </w:rPr>
        <w:t xml:space="preserve">nově poskytnutých hypoték </w:t>
      </w:r>
      <w:r w:rsidR="00B17281">
        <w:rPr>
          <w:rFonts w:ascii="Calibri" w:hAnsi="Calibri" w:cs="Calibri"/>
          <w:b/>
          <w:bCs/>
          <w:sz w:val="22"/>
          <w:szCs w:val="22"/>
        </w:rPr>
        <w:t>se také navýšil z únorových 6,1 na 7,4 tisíce</w:t>
      </w:r>
      <w:r w:rsidR="005574AF">
        <w:rPr>
          <w:rFonts w:ascii="Calibri" w:hAnsi="Calibri" w:cs="Calibri"/>
          <w:b/>
          <w:bCs/>
          <w:sz w:val="22"/>
          <w:szCs w:val="22"/>
        </w:rPr>
        <w:t>.</w:t>
      </w:r>
      <w:r w:rsidR="005122E9">
        <w:rPr>
          <w:rFonts w:ascii="Calibri" w:hAnsi="Calibri" w:cs="Calibri"/>
          <w:sz w:val="22"/>
          <w:szCs w:val="22"/>
        </w:rPr>
        <w:t xml:space="preserve"> </w:t>
      </w:r>
      <w:r w:rsidR="00B17281">
        <w:rPr>
          <w:rFonts w:ascii="Calibri" w:hAnsi="Calibri" w:cs="Calibri"/>
          <w:sz w:val="22"/>
          <w:szCs w:val="22"/>
        </w:rPr>
        <w:t xml:space="preserve">Příznivější meziměsíční </w:t>
      </w:r>
      <w:r w:rsidR="00BC009D">
        <w:rPr>
          <w:rFonts w:ascii="Calibri" w:hAnsi="Calibri" w:cs="Calibri"/>
          <w:sz w:val="22"/>
          <w:szCs w:val="22"/>
        </w:rPr>
        <w:t>čísla ale</w:t>
      </w:r>
      <w:r w:rsidR="00B17281">
        <w:rPr>
          <w:rFonts w:ascii="Calibri" w:hAnsi="Calibri" w:cs="Calibri"/>
          <w:sz w:val="22"/>
          <w:szCs w:val="22"/>
        </w:rPr>
        <w:t xml:space="preserve"> neznamenají změnu trendu, jde totiž o tradiční sezónnost. První měsíce roku bývají v tomto ohledu vždy </w:t>
      </w:r>
      <w:r w:rsidR="00116003">
        <w:rPr>
          <w:rFonts w:ascii="Calibri" w:hAnsi="Calibri" w:cs="Calibri"/>
          <w:sz w:val="22"/>
          <w:szCs w:val="22"/>
        </w:rPr>
        <w:t xml:space="preserve">nejslabší a v březnu se začíná situace obracet. </w:t>
      </w:r>
      <w:r w:rsidR="005574AF">
        <w:rPr>
          <w:rFonts w:ascii="Calibri" w:hAnsi="Calibri" w:cs="Calibri"/>
          <w:sz w:val="22"/>
          <w:szCs w:val="22"/>
        </w:rPr>
        <w:t xml:space="preserve">V meziročním srovnání </w:t>
      </w:r>
      <w:r w:rsidR="00116003">
        <w:rPr>
          <w:rFonts w:ascii="Calibri" w:hAnsi="Calibri" w:cs="Calibri"/>
          <w:sz w:val="22"/>
          <w:szCs w:val="22"/>
        </w:rPr>
        <w:t>však v březnu pokračoval dvouciferný pokles v objemech i počtech poskytnutých hypoték, který oproti únoru dále zesílil, a to na téměř 30 %. Ještě v</w:t>
      </w:r>
      <w:r w:rsidR="00667828">
        <w:rPr>
          <w:rFonts w:ascii="Calibri" w:hAnsi="Calibri" w:cs="Calibri"/>
          <w:sz w:val="22"/>
          <w:szCs w:val="22"/>
        </w:rPr>
        <w:t>ýraznější meziroční propad je pak patrný u refinancovaných úvěrů</w:t>
      </w:r>
      <w:r w:rsidR="00425A84">
        <w:rPr>
          <w:rFonts w:ascii="Calibri" w:hAnsi="Calibri" w:cs="Calibri"/>
          <w:sz w:val="22"/>
          <w:szCs w:val="22"/>
        </w:rPr>
        <w:t>. Zatímco v </w:t>
      </w:r>
      <w:r w:rsidR="00235942">
        <w:rPr>
          <w:rFonts w:ascii="Calibri" w:hAnsi="Calibri" w:cs="Calibri"/>
          <w:sz w:val="22"/>
          <w:szCs w:val="22"/>
        </w:rPr>
        <w:t>březnu</w:t>
      </w:r>
      <w:r w:rsidR="00425A84">
        <w:rPr>
          <w:rFonts w:ascii="Calibri" w:hAnsi="Calibri" w:cs="Calibri"/>
          <w:sz w:val="22"/>
          <w:szCs w:val="22"/>
        </w:rPr>
        <w:t xml:space="preserve"> minulého roku byly refinancovány interně či z jiné instituce hypotéky v objemu bezmála </w:t>
      </w:r>
      <w:r w:rsidR="00116003">
        <w:rPr>
          <w:rFonts w:ascii="Calibri" w:hAnsi="Calibri" w:cs="Calibri"/>
          <w:sz w:val="22"/>
          <w:szCs w:val="22"/>
        </w:rPr>
        <w:t>21</w:t>
      </w:r>
      <w:r w:rsidR="00425A84">
        <w:rPr>
          <w:rFonts w:ascii="Calibri" w:hAnsi="Calibri" w:cs="Calibri"/>
          <w:sz w:val="22"/>
          <w:szCs w:val="22"/>
        </w:rPr>
        <w:t xml:space="preserve"> mld. Kč, v letošním </w:t>
      </w:r>
      <w:r w:rsidR="00235942">
        <w:rPr>
          <w:rFonts w:ascii="Calibri" w:hAnsi="Calibri" w:cs="Calibri"/>
          <w:sz w:val="22"/>
          <w:szCs w:val="22"/>
        </w:rPr>
        <w:t>březnu</w:t>
      </w:r>
      <w:r w:rsidR="00425A84">
        <w:rPr>
          <w:rFonts w:ascii="Calibri" w:hAnsi="Calibri" w:cs="Calibri"/>
          <w:sz w:val="22"/>
          <w:szCs w:val="22"/>
        </w:rPr>
        <w:t xml:space="preserve"> činil objem necelých 5 mld. Kč. </w:t>
      </w:r>
    </w:p>
    <w:p w14:paraId="0310976D" w14:textId="77777777" w:rsidR="00E24E04" w:rsidRDefault="00E24E04" w:rsidP="0001227F">
      <w:pPr>
        <w:rPr>
          <w:rFonts w:ascii="Calibri" w:hAnsi="Calibri" w:cs="Calibri"/>
          <w:sz w:val="22"/>
          <w:szCs w:val="22"/>
        </w:rPr>
      </w:pPr>
    </w:p>
    <w:p w14:paraId="19A8427B" w14:textId="42549EFC" w:rsidR="00F43B83" w:rsidRDefault="00E24E04" w:rsidP="00A72C93">
      <w:pPr>
        <w:rPr>
          <w:rFonts w:ascii="Calibri" w:hAnsi="Calibri" w:cs="Calibri"/>
          <w:sz w:val="22"/>
          <w:szCs w:val="22"/>
        </w:rPr>
      </w:pPr>
      <w:r>
        <w:rPr>
          <w:rFonts w:ascii="Calibri" w:hAnsi="Calibri" w:cs="Calibri"/>
          <w:sz w:val="22"/>
          <w:szCs w:val="22"/>
        </w:rPr>
        <w:t xml:space="preserve">V dalším vývoji </w:t>
      </w:r>
      <w:r w:rsidR="0076473F">
        <w:rPr>
          <w:rFonts w:ascii="Calibri" w:hAnsi="Calibri" w:cs="Calibri"/>
          <w:sz w:val="22"/>
          <w:szCs w:val="22"/>
        </w:rPr>
        <w:t xml:space="preserve">hypotečního trhu </w:t>
      </w:r>
      <w:r>
        <w:rPr>
          <w:rFonts w:ascii="Calibri" w:hAnsi="Calibri" w:cs="Calibri"/>
          <w:sz w:val="22"/>
          <w:szCs w:val="22"/>
        </w:rPr>
        <w:t>se bude promítat cela řada faktorů</w:t>
      </w:r>
      <w:r w:rsidR="00E5252F">
        <w:rPr>
          <w:rFonts w:ascii="Calibri" w:hAnsi="Calibri" w:cs="Calibri"/>
          <w:sz w:val="22"/>
          <w:szCs w:val="22"/>
        </w:rPr>
        <w:t>.</w:t>
      </w:r>
      <w:r>
        <w:rPr>
          <w:rFonts w:ascii="Calibri" w:hAnsi="Calibri" w:cs="Calibri"/>
          <w:sz w:val="22"/>
          <w:szCs w:val="22"/>
        </w:rPr>
        <w:t xml:space="preserve"> </w:t>
      </w:r>
      <w:r w:rsidR="00E5252F">
        <w:rPr>
          <w:rFonts w:ascii="Calibri" w:hAnsi="Calibri" w:cs="Calibri"/>
          <w:sz w:val="22"/>
          <w:szCs w:val="22"/>
        </w:rPr>
        <w:t xml:space="preserve">Nepůjde jen o </w:t>
      </w:r>
      <w:r w:rsidR="00BC009D">
        <w:rPr>
          <w:rFonts w:ascii="Calibri" w:hAnsi="Calibri" w:cs="Calibri"/>
          <w:sz w:val="22"/>
          <w:szCs w:val="22"/>
        </w:rPr>
        <w:t>výši hypotečních</w:t>
      </w:r>
      <w:r>
        <w:rPr>
          <w:rFonts w:ascii="Calibri" w:hAnsi="Calibri" w:cs="Calibri"/>
          <w:sz w:val="22"/>
          <w:szCs w:val="22"/>
        </w:rPr>
        <w:t xml:space="preserve"> sazeb, ale také</w:t>
      </w:r>
      <w:r w:rsidR="00E5252F">
        <w:rPr>
          <w:rFonts w:ascii="Calibri" w:hAnsi="Calibri" w:cs="Calibri"/>
          <w:sz w:val="22"/>
          <w:szCs w:val="22"/>
        </w:rPr>
        <w:t xml:space="preserve"> o</w:t>
      </w:r>
      <w:r>
        <w:rPr>
          <w:rFonts w:ascii="Calibri" w:hAnsi="Calibri" w:cs="Calibri"/>
          <w:sz w:val="22"/>
          <w:szCs w:val="22"/>
        </w:rPr>
        <w:t xml:space="preserve"> vývoj cen nemovitostí a bezesporu také</w:t>
      </w:r>
      <w:r w:rsidR="00E5252F">
        <w:rPr>
          <w:rFonts w:ascii="Calibri" w:hAnsi="Calibri" w:cs="Calibri"/>
          <w:sz w:val="22"/>
          <w:szCs w:val="22"/>
        </w:rPr>
        <w:t xml:space="preserve"> o</w:t>
      </w:r>
      <w:r>
        <w:rPr>
          <w:rFonts w:ascii="Calibri" w:hAnsi="Calibri" w:cs="Calibri"/>
          <w:sz w:val="22"/>
          <w:szCs w:val="22"/>
        </w:rPr>
        <w:t xml:space="preserve"> současn</w:t>
      </w:r>
      <w:r w:rsidR="00E5252F">
        <w:rPr>
          <w:rFonts w:ascii="Calibri" w:hAnsi="Calibri" w:cs="Calibri"/>
          <w:sz w:val="22"/>
          <w:szCs w:val="22"/>
        </w:rPr>
        <w:t>ou</w:t>
      </w:r>
      <w:r>
        <w:rPr>
          <w:rFonts w:ascii="Calibri" w:hAnsi="Calibri" w:cs="Calibri"/>
          <w:sz w:val="22"/>
          <w:szCs w:val="22"/>
        </w:rPr>
        <w:t xml:space="preserve"> nejistot</w:t>
      </w:r>
      <w:r w:rsidR="00E5252F">
        <w:rPr>
          <w:rFonts w:ascii="Calibri" w:hAnsi="Calibri" w:cs="Calibri"/>
          <w:sz w:val="22"/>
          <w:szCs w:val="22"/>
        </w:rPr>
        <w:t>u</w:t>
      </w:r>
      <w:r>
        <w:rPr>
          <w:rFonts w:ascii="Calibri" w:hAnsi="Calibri" w:cs="Calibri"/>
          <w:sz w:val="22"/>
          <w:szCs w:val="22"/>
        </w:rPr>
        <w:t xml:space="preserve"> spojen</w:t>
      </w:r>
      <w:r w:rsidR="00E5252F">
        <w:rPr>
          <w:rFonts w:ascii="Calibri" w:hAnsi="Calibri" w:cs="Calibri"/>
          <w:sz w:val="22"/>
          <w:szCs w:val="22"/>
        </w:rPr>
        <w:t>ou</w:t>
      </w:r>
      <w:r>
        <w:rPr>
          <w:rFonts w:ascii="Calibri" w:hAnsi="Calibri" w:cs="Calibri"/>
          <w:sz w:val="22"/>
          <w:szCs w:val="22"/>
        </w:rPr>
        <w:t xml:space="preserve"> s válkou na Ukrajině</w:t>
      </w:r>
      <w:r w:rsidR="005F2341">
        <w:rPr>
          <w:rFonts w:ascii="Calibri" w:hAnsi="Calibri" w:cs="Calibri"/>
          <w:sz w:val="22"/>
          <w:szCs w:val="22"/>
        </w:rPr>
        <w:t xml:space="preserve">. Ta na jednu stranu zhoršuje ekonomické vyhlídky, na druhou stranu zvyšuje inflaci a může tak některé domácnosti motivovat k pořízení nemovitosti. Do celkových čísel však </w:t>
      </w:r>
      <w:r w:rsidR="00BC009D">
        <w:rPr>
          <w:rFonts w:ascii="Calibri" w:hAnsi="Calibri" w:cs="Calibri"/>
          <w:sz w:val="22"/>
          <w:szCs w:val="22"/>
        </w:rPr>
        <w:t>promluví ještě</w:t>
      </w:r>
      <w:r w:rsidR="005F2341">
        <w:rPr>
          <w:rFonts w:ascii="Calibri" w:hAnsi="Calibri" w:cs="Calibri"/>
          <w:sz w:val="22"/>
          <w:szCs w:val="22"/>
        </w:rPr>
        <w:t xml:space="preserve"> nové přísnější </w:t>
      </w:r>
      <w:r w:rsidR="006A0D71">
        <w:rPr>
          <w:rFonts w:ascii="Calibri" w:hAnsi="Calibri" w:cs="Calibri"/>
          <w:sz w:val="22"/>
          <w:szCs w:val="22"/>
        </w:rPr>
        <w:t>úvěrové limity ze strany České národní banky.</w:t>
      </w:r>
      <w:r w:rsidR="003A46D3">
        <w:rPr>
          <w:rFonts w:ascii="Calibri" w:hAnsi="Calibri" w:cs="Calibri"/>
          <w:sz w:val="22"/>
          <w:szCs w:val="22"/>
        </w:rPr>
        <w:t xml:space="preserve"> </w:t>
      </w:r>
      <w:bookmarkStart w:id="0" w:name="_Hlk97808792"/>
    </w:p>
    <w:p w14:paraId="716E4A03" w14:textId="1B4466D0" w:rsidR="003A46D3" w:rsidRDefault="003A46D3" w:rsidP="00A72C93">
      <w:pPr>
        <w:rPr>
          <w:rFonts w:ascii="Calibri" w:hAnsi="Calibri" w:cs="Calibri"/>
          <w:sz w:val="22"/>
          <w:szCs w:val="22"/>
        </w:rPr>
      </w:pPr>
    </w:p>
    <w:p w14:paraId="2A28FBA7" w14:textId="014AF117" w:rsidR="00D339A1" w:rsidRDefault="00D339A1" w:rsidP="00A72C93">
      <w:pPr>
        <w:rPr>
          <w:rFonts w:ascii="Calibri" w:hAnsi="Calibri" w:cs="Calibri"/>
          <w:sz w:val="22"/>
          <w:szCs w:val="22"/>
        </w:rPr>
      </w:pPr>
    </w:p>
    <w:p w14:paraId="330FB468" w14:textId="77777777" w:rsidR="00D339A1" w:rsidRDefault="00D339A1" w:rsidP="00A72C93">
      <w:pPr>
        <w:rPr>
          <w:rFonts w:ascii="Calibri" w:hAnsi="Calibri" w:cs="Calibri"/>
          <w:sz w:val="22"/>
          <w:szCs w:val="22"/>
        </w:rPr>
      </w:pPr>
    </w:p>
    <w:p w14:paraId="4AB0C441" w14:textId="77777777" w:rsidR="00586418" w:rsidRDefault="00586418" w:rsidP="00F43B83">
      <w:pPr>
        <w:rPr>
          <w:rFonts w:ascii="Calibri" w:hAnsi="Calibri" w:cs="Calibri"/>
          <w:sz w:val="22"/>
          <w:szCs w:val="22"/>
        </w:rPr>
      </w:pPr>
    </w:p>
    <w:bookmarkEnd w:id="0"/>
    <w:p w14:paraId="26528D4A" w14:textId="14008B8E" w:rsidR="00F43B83" w:rsidRDefault="00F43B83" w:rsidP="00F43B83">
      <w:pPr>
        <w:rPr>
          <w:rFonts w:ascii="Calibri" w:hAnsi="Calibri" w:cs="Calibri"/>
          <w:sz w:val="22"/>
          <w:szCs w:val="22"/>
        </w:rPr>
      </w:pPr>
      <w:r w:rsidRPr="00E3540A">
        <w:rPr>
          <w:rFonts w:ascii="Calibri" w:hAnsi="Calibri" w:cs="Calibri"/>
          <w:b/>
          <w:color w:val="13576B"/>
          <w:sz w:val="23"/>
          <w:szCs w:val="23"/>
        </w:rPr>
        <w:lastRenderedPageBreak/>
        <w:t xml:space="preserve">Tabulka č. 1: Shrnutí objemu poskytnutých hypoték a průměrných úrokových sazeb za </w:t>
      </w:r>
      <w:r w:rsidR="00235942">
        <w:rPr>
          <w:rFonts w:ascii="Calibri" w:hAnsi="Calibri" w:cs="Calibri"/>
          <w:b/>
          <w:color w:val="13576B"/>
          <w:sz w:val="23"/>
          <w:szCs w:val="23"/>
        </w:rPr>
        <w:t>březen</w:t>
      </w:r>
      <w:r w:rsidR="00425A84">
        <w:rPr>
          <w:rFonts w:ascii="Calibri" w:hAnsi="Calibri" w:cs="Calibri"/>
          <w:b/>
          <w:color w:val="13576B"/>
          <w:sz w:val="23"/>
          <w:szCs w:val="23"/>
        </w:rPr>
        <w:t xml:space="preserve"> </w:t>
      </w:r>
      <w:r w:rsidRPr="00E3540A">
        <w:rPr>
          <w:rFonts w:ascii="Calibri" w:hAnsi="Calibri" w:cs="Calibri"/>
          <w:b/>
          <w:color w:val="13576B"/>
          <w:sz w:val="23"/>
          <w:szCs w:val="23"/>
        </w:rPr>
        <w:t>2022</w:t>
      </w:r>
    </w:p>
    <w:tbl>
      <w:tblPr>
        <w:tblW w:w="6560" w:type="dxa"/>
        <w:tblCellMar>
          <w:left w:w="70" w:type="dxa"/>
          <w:right w:w="70" w:type="dxa"/>
        </w:tblCellMar>
        <w:tblLook w:val="04A0" w:firstRow="1" w:lastRow="0" w:firstColumn="1" w:lastColumn="0" w:noHBand="0" w:noVBand="1"/>
      </w:tblPr>
      <w:tblGrid>
        <w:gridCol w:w="3539"/>
        <w:gridCol w:w="1101"/>
        <w:gridCol w:w="960"/>
        <w:gridCol w:w="960"/>
      </w:tblGrid>
      <w:tr w:rsidR="00F43B83" w:rsidRPr="00027099" w14:paraId="3D624CD7" w14:textId="77777777" w:rsidTr="007A3C35">
        <w:trPr>
          <w:trHeight w:val="510"/>
        </w:trPr>
        <w:tc>
          <w:tcPr>
            <w:tcW w:w="4640" w:type="dxa"/>
            <w:gridSpan w:val="2"/>
            <w:tcBorders>
              <w:top w:val="nil"/>
              <w:left w:val="nil"/>
              <w:bottom w:val="nil"/>
              <w:right w:val="nil"/>
            </w:tcBorders>
            <w:shd w:val="clear" w:color="000000" w:fill="FFFFFF"/>
            <w:noWrap/>
            <w:vAlign w:val="center"/>
            <w:hideMark/>
          </w:tcPr>
          <w:p w14:paraId="48030F59" w14:textId="5025FB76" w:rsidR="00F43B83" w:rsidRPr="00027099" w:rsidRDefault="00F43B83" w:rsidP="007A3C35">
            <w:pPr>
              <w:overflowPunct/>
              <w:autoSpaceDE/>
              <w:autoSpaceDN/>
              <w:adjustRightInd/>
              <w:jc w:val="left"/>
              <w:textAlignment w:val="auto"/>
              <w:rPr>
                <w:rFonts w:ascii="Calibri Light" w:hAnsi="Calibri Light" w:cs="Calibri Light"/>
                <w:b/>
                <w:bCs/>
                <w:color w:val="13576B"/>
                <w:sz w:val="28"/>
                <w:szCs w:val="28"/>
              </w:rPr>
            </w:pPr>
            <w:r w:rsidRPr="00027099">
              <w:rPr>
                <w:rFonts w:ascii="Calibri Light" w:hAnsi="Calibri Light" w:cs="Calibri Light"/>
                <w:b/>
                <w:bCs/>
                <w:color w:val="13576B"/>
                <w:sz w:val="28"/>
                <w:szCs w:val="28"/>
              </w:rPr>
              <w:t xml:space="preserve">ČBA Hypomonitor </w:t>
            </w:r>
            <w:r w:rsidR="00235942">
              <w:rPr>
                <w:rFonts w:ascii="Calibri Light" w:hAnsi="Calibri Light" w:cs="Calibri Light"/>
                <w:b/>
                <w:bCs/>
                <w:color w:val="13576B"/>
                <w:sz w:val="28"/>
                <w:szCs w:val="28"/>
              </w:rPr>
              <w:t>březen</w:t>
            </w:r>
            <w:r w:rsidRPr="00027099">
              <w:rPr>
                <w:rFonts w:ascii="Calibri Light" w:hAnsi="Calibri Light" w:cs="Calibri Light"/>
                <w:b/>
                <w:bCs/>
                <w:color w:val="13576B"/>
                <w:sz w:val="28"/>
                <w:szCs w:val="28"/>
              </w:rPr>
              <w:t xml:space="preserve"> 2022</w:t>
            </w:r>
          </w:p>
        </w:tc>
        <w:tc>
          <w:tcPr>
            <w:tcW w:w="960" w:type="dxa"/>
            <w:tcBorders>
              <w:top w:val="nil"/>
              <w:left w:val="nil"/>
              <w:bottom w:val="nil"/>
              <w:right w:val="nil"/>
            </w:tcBorders>
            <w:shd w:val="clear" w:color="000000" w:fill="FFFFFF"/>
            <w:noWrap/>
            <w:vAlign w:val="bottom"/>
            <w:hideMark/>
          </w:tcPr>
          <w:p w14:paraId="38709D67" w14:textId="77777777" w:rsidR="00F43B83" w:rsidRPr="00027099" w:rsidRDefault="00F43B83" w:rsidP="007A3C35">
            <w:pPr>
              <w:overflowPunct/>
              <w:autoSpaceDE/>
              <w:autoSpaceDN/>
              <w:adjustRightInd/>
              <w:jc w:val="left"/>
              <w:textAlignment w:val="auto"/>
              <w:rPr>
                <w:rFonts w:ascii="Calibri Light" w:hAnsi="Calibri Light" w:cs="Calibri Light"/>
                <w:color w:val="000000"/>
                <w:sz w:val="22"/>
                <w:szCs w:val="22"/>
              </w:rPr>
            </w:pPr>
            <w:r w:rsidRPr="00027099">
              <w:rPr>
                <w:rFonts w:ascii="Calibri Light" w:hAnsi="Calibri Light" w:cs="Calibri Light"/>
                <w:color w:val="000000"/>
                <w:sz w:val="22"/>
                <w:szCs w:val="22"/>
              </w:rPr>
              <w:t> </w:t>
            </w:r>
          </w:p>
        </w:tc>
        <w:tc>
          <w:tcPr>
            <w:tcW w:w="960" w:type="dxa"/>
            <w:tcBorders>
              <w:top w:val="nil"/>
              <w:left w:val="nil"/>
              <w:bottom w:val="nil"/>
              <w:right w:val="nil"/>
            </w:tcBorders>
            <w:shd w:val="clear" w:color="000000" w:fill="FFFFFF"/>
            <w:noWrap/>
            <w:vAlign w:val="bottom"/>
            <w:hideMark/>
          </w:tcPr>
          <w:p w14:paraId="53534A9D" w14:textId="77777777" w:rsidR="00F43B83" w:rsidRPr="00027099" w:rsidRDefault="00F43B83" w:rsidP="007A3C35">
            <w:pPr>
              <w:overflowPunct/>
              <w:autoSpaceDE/>
              <w:autoSpaceDN/>
              <w:adjustRightInd/>
              <w:jc w:val="left"/>
              <w:textAlignment w:val="auto"/>
              <w:rPr>
                <w:rFonts w:ascii="Calibri Light" w:hAnsi="Calibri Light" w:cs="Calibri Light"/>
                <w:color w:val="000000"/>
                <w:sz w:val="22"/>
                <w:szCs w:val="22"/>
              </w:rPr>
            </w:pPr>
            <w:r w:rsidRPr="00027099">
              <w:rPr>
                <w:rFonts w:ascii="Calibri Light" w:hAnsi="Calibri Light" w:cs="Calibri Light"/>
                <w:color w:val="000000"/>
                <w:sz w:val="22"/>
                <w:szCs w:val="22"/>
              </w:rPr>
              <w:t> </w:t>
            </w:r>
          </w:p>
        </w:tc>
      </w:tr>
      <w:tr w:rsidR="00F43B83" w:rsidRPr="00027099" w14:paraId="285DF4B8" w14:textId="77777777" w:rsidTr="007A3C35">
        <w:trPr>
          <w:trHeight w:val="300"/>
        </w:trPr>
        <w:tc>
          <w:tcPr>
            <w:tcW w:w="3539" w:type="dxa"/>
            <w:tcBorders>
              <w:top w:val="nil"/>
              <w:left w:val="nil"/>
              <w:bottom w:val="nil"/>
              <w:right w:val="nil"/>
            </w:tcBorders>
            <w:shd w:val="clear" w:color="000000" w:fill="FFFFFF"/>
            <w:noWrap/>
            <w:vAlign w:val="bottom"/>
            <w:hideMark/>
          </w:tcPr>
          <w:p w14:paraId="7F2AABD8" w14:textId="77777777" w:rsidR="00F43B83" w:rsidRPr="00027099" w:rsidRDefault="00F43B83" w:rsidP="007A3C35">
            <w:pPr>
              <w:overflowPunct/>
              <w:autoSpaceDE/>
              <w:autoSpaceDN/>
              <w:adjustRightInd/>
              <w:jc w:val="left"/>
              <w:textAlignment w:val="auto"/>
              <w:rPr>
                <w:rFonts w:ascii="Calibri" w:hAnsi="Calibri" w:cs="Calibri"/>
                <w:color w:val="000000"/>
                <w:sz w:val="22"/>
                <w:szCs w:val="22"/>
              </w:rPr>
            </w:pPr>
            <w:r w:rsidRPr="00027099">
              <w:rPr>
                <w:rFonts w:ascii="Calibri" w:hAnsi="Calibri" w:cs="Calibri"/>
                <w:color w:val="000000"/>
                <w:sz w:val="22"/>
                <w:szCs w:val="22"/>
              </w:rPr>
              <w:t> </w:t>
            </w:r>
          </w:p>
        </w:tc>
        <w:tc>
          <w:tcPr>
            <w:tcW w:w="1101" w:type="dxa"/>
            <w:vMerge w:val="restart"/>
            <w:tcBorders>
              <w:top w:val="nil"/>
              <w:left w:val="nil"/>
              <w:bottom w:val="single" w:sz="4" w:space="0" w:color="000000"/>
              <w:right w:val="single" w:sz="4" w:space="0" w:color="auto"/>
            </w:tcBorders>
            <w:shd w:val="clear" w:color="000000" w:fill="FFFFFF"/>
            <w:vAlign w:val="bottom"/>
            <w:hideMark/>
          </w:tcPr>
          <w:p w14:paraId="230F7236" w14:textId="77777777" w:rsidR="00F43B83" w:rsidRPr="00027099" w:rsidRDefault="00F43B83" w:rsidP="007A3C35">
            <w:pPr>
              <w:overflowPunct/>
              <w:autoSpaceDE/>
              <w:autoSpaceDN/>
              <w:adjustRightInd/>
              <w:jc w:val="center"/>
              <w:textAlignment w:val="auto"/>
              <w:rPr>
                <w:rFonts w:ascii="Calibri Light" w:hAnsi="Calibri Light" w:cs="Calibri Light"/>
                <w:b/>
                <w:bCs/>
                <w:color w:val="13576B"/>
                <w:sz w:val="22"/>
                <w:szCs w:val="22"/>
              </w:rPr>
            </w:pPr>
            <w:r w:rsidRPr="00027099">
              <w:rPr>
                <w:rFonts w:ascii="Calibri Light" w:hAnsi="Calibri Light" w:cs="Calibri Light"/>
                <w:b/>
                <w:bCs/>
                <w:color w:val="13576B"/>
                <w:sz w:val="22"/>
                <w:szCs w:val="22"/>
              </w:rPr>
              <w:t>Objem</w:t>
            </w:r>
            <w:r w:rsidRPr="00027099">
              <w:rPr>
                <w:rFonts w:ascii="Calibri Light" w:hAnsi="Calibri Light" w:cs="Calibri Light"/>
                <w:b/>
                <w:bCs/>
                <w:color w:val="13576B"/>
                <w:sz w:val="22"/>
                <w:szCs w:val="22"/>
              </w:rPr>
              <w:br/>
              <w:t>(mld. Kč)</w:t>
            </w: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9D3518" w14:textId="77777777" w:rsidR="00F43B83" w:rsidRPr="00027099" w:rsidRDefault="00F43B83" w:rsidP="007A3C35">
            <w:pPr>
              <w:overflowPunct/>
              <w:autoSpaceDE/>
              <w:autoSpaceDN/>
              <w:adjustRightInd/>
              <w:jc w:val="center"/>
              <w:textAlignment w:val="auto"/>
              <w:rPr>
                <w:rFonts w:ascii="Calibri Light" w:hAnsi="Calibri Light" w:cs="Calibri Light"/>
                <w:b/>
                <w:bCs/>
                <w:color w:val="13576B"/>
                <w:sz w:val="22"/>
                <w:szCs w:val="22"/>
              </w:rPr>
            </w:pPr>
            <w:r w:rsidRPr="00027099">
              <w:rPr>
                <w:rFonts w:ascii="Calibri Light" w:hAnsi="Calibri Light" w:cs="Calibri Light"/>
                <w:b/>
                <w:bCs/>
                <w:color w:val="13576B"/>
                <w:sz w:val="22"/>
                <w:szCs w:val="22"/>
              </w:rPr>
              <w:t>Počet</w:t>
            </w:r>
          </w:p>
        </w:tc>
        <w:tc>
          <w:tcPr>
            <w:tcW w:w="960" w:type="dxa"/>
            <w:vMerge w:val="restart"/>
            <w:tcBorders>
              <w:top w:val="nil"/>
              <w:left w:val="nil"/>
              <w:bottom w:val="single" w:sz="4" w:space="0" w:color="000000"/>
              <w:right w:val="nil"/>
            </w:tcBorders>
            <w:shd w:val="clear" w:color="000000" w:fill="FFFFFF"/>
            <w:vAlign w:val="bottom"/>
            <w:hideMark/>
          </w:tcPr>
          <w:p w14:paraId="040AAB65" w14:textId="77777777" w:rsidR="00F43B83" w:rsidRPr="00027099" w:rsidRDefault="00F43B83" w:rsidP="007A3C35">
            <w:pPr>
              <w:overflowPunct/>
              <w:autoSpaceDE/>
              <w:autoSpaceDN/>
              <w:adjustRightInd/>
              <w:jc w:val="center"/>
              <w:textAlignment w:val="auto"/>
              <w:rPr>
                <w:rFonts w:ascii="Calibri Light" w:hAnsi="Calibri Light" w:cs="Calibri Light"/>
                <w:b/>
                <w:bCs/>
                <w:color w:val="13576B"/>
                <w:sz w:val="22"/>
                <w:szCs w:val="22"/>
              </w:rPr>
            </w:pPr>
            <w:r w:rsidRPr="00027099">
              <w:rPr>
                <w:rFonts w:ascii="Calibri Light" w:hAnsi="Calibri Light" w:cs="Calibri Light"/>
                <w:b/>
                <w:bCs/>
                <w:color w:val="13576B"/>
                <w:sz w:val="22"/>
                <w:szCs w:val="22"/>
              </w:rPr>
              <w:t>Sazba</w:t>
            </w:r>
            <w:r w:rsidRPr="00027099">
              <w:rPr>
                <w:rFonts w:ascii="Calibri Light" w:hAnsi="Calibri Light" w:cs="Calibri Light"/>
                <w:b/>
                <w:bCs/>
                <w:color w:val="13576B"/>
                <w:sz w:val="22"/>
                <w:szCs w:val="22"/>
              </w:rPr>
              <w:br/>
              <w:t xml:space="preserve"> (%)</w:t>
            </w:r>
          </w:p>
        </w:tc>
      </w:tr>
      <w:tr w:rsidR="00F43B83" w:rsidRPr="00027099" w14:paraId="1837F061" w14:textId="77777777" w:rsidTr="007A3C35">
        <w:trPr>
          <w:trHeight w:val="300"/>
        </w:trPr>
        <w:tc>
          <w:tcPr>
            <w:tcW w:w="3539" w:type="dxa"/>
            <w:tcBorders>
              <w:top w:val="nil"/>
              <w:left w:val="nil"/>
              <w:bottom w:val="single" w:sz="4" w:space="0" w:color="auto"/>
              <w:right w:val="nil"/>
            </w:tcBorders>
            <w:shd w:val="clear" w:color="000000" w:fill="FFFFFF"/>
            <w:noWrap/>
            <w:vAlign w:val="bottom"/>
            <w:hideMark/>
          </w:tcPr>
          <w:p w14:paraId="37820512" w14:textId="77777777" w:rsidR="00F43B83" w:rsidRPr="00027099" w:rsidRDefault="00F43B83" w:rsidP="007A3C35">
            <w:pPr>
              <w:overflowPunct/>
              <w:autoSpaceDE/>
              <w:autoSpaceDN/>
              <w:adjustRightInd/>
              <w:jc w:val="left"/>
              <w:textAlignment w:val="auto"/>
              <w:rPr>
                <w:rFonts w:ascii="Calibri Light" w:hAnsi="Calibri Light" w:cs="Calibri Light"/>
                <w:color w:val="000000"/>
                <w:sz w:val="22"/>
                <w:szCs w:val="22"/>
              </w:rPr>
            </w:pPr>
            <w:r w:rsidRPr="00027099">
              <w:rPr>
                <w:rFonts w:ascii="Calibri Light" w:hAnsi="Calibri Light" w:cs="Calibri Light"/>
                <w:color w:val="000000"/>
                <w:sz w:val="22"/>
                <w:szCs w:val="22"/>
              </w:rPr>
              <w:t> </w:t>
            </w:r>
          </w:p>
        </w:tc>
        <w:tc>
          <w:tcPr>
            <w:tcW w:w="1101" w:type="dxa"/>
            <w:vMerge/>
            <w:tcBorders>
              <w:top w:val="nil"/>
              <w:left w:val="nil"/>
              <w:bottom w:val="single" w:sz="4" w:space="0" w:color="000000"/>
              <w:right w:val="single" w:sz="4" w:space="0" w:color="auto"/>
            </w:tcBorders>
            <w:vAlign w:val="center"/>
            <w:hideMark/>
          </w:tcPr>
          <w:p w14:paraId="12094F4B" w14:textId="77777777" w:rsidR="00F43B83" w:rsidRPr="00027099" w:rsidRDefault="00F43B83" w:rsidP="007A3C35">
            <w:pPr>
              <w:overflowPunct/>
              <w:autoSpaceDE/>
              <w:autoSpaceDN/>
              <w:adjustRightInd/>
              <w:jc w:val="left"/>
              <w:textAlignment w:val="auto"/>
              <w:rPr>
                <w:rFonts w:ascii="Calibri Light" w:hAnsi="Calibri Light" w:cs="Calibri Light"/>
                <w:b/>
                <w:bCs/>
                <w:color w:val="13576B"/>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0A33BC3A" w14:textId="77777777" w:rsidR="00F43B83" w:rsidRPr="00027099" w:rsidRDefault="00F43B83" w:rsidP="007A3C35">
            <w:pPr>
              <w:overflowPunct/>
              <w:autoSpaceDE/>
              <w:autoSpaceDN/>
              <w:adjustRightInd/>
              <w:jc w:val="left"/>
              <w:textAlignment w:val="auto"/>
              <w:rPr>
                <w:rFonts w:ascii="Calibri Light" w:hAnsi="Calibri Light" w:cs="Calibri Light"/>
                <w:b/>
                <w:bCs/>
                <w:color w:val="13576B"/>
                <w:sz w:val="22"/>
                <w:szCs w:val="22"/>
              </w:rPr>
            </w:pPr>
          </w:p>
        </w:tc>
        <w:tc>
          <w:tcPr>
            <w:tcW w:w="960" w:type="dxa"/>
            <w:vMerge/>
            <w:tcBorders>
              <w:top w:val="nil"/>
              <w:left w:val="nil"/>
              <w:bottom w:val="single" w:sz="4" w:space="0" w:color="000000"/>
              <w:right w:val="nil"/>
            </w:tcBorders>
            <w:vAlign w:val="center"/>
            <w:hideMark/>
          </w:tcPr>
          <w:p w14:paraId="7DC8B796" w14:textId="77777777" w:rsidR="00F43B83" w:rsidRPr="00027099" w:rsidRDefault="00F43B83" w:rsidP="007A3C35">
            <w:pPr>
              <w:overflowPunct/>
              <w:autoSpaceDE/>
              <w:autoSpaceDN/>
              <w:adjustRightInd/>
              <w:jc w:val="left"/>
              <w:textAlignment w:val="auto"/>
              <w:rPr>
                <w:rFonts w:ascii="Calibri Light" w:hAnsi="Calibri Light" w:cs="Calibri Light"/>
                <w:b/>
                <w:bCs/>
                <w:color w:val="13576B"/>
                <w:sz w:val="22"/>
                <w:szCs w:val="22"/>
              </w:rPr>
            </w:pPr>
          </w:p>
        </w:tc>
      </w:tr>
      <w:tr w:rsidR="0009101B" w:rsidRPr="00027099" w14:paraId="7E38946F" w14:textId="77777777" w:rsidTr="007A3C35">
        <w:trPr>
          <w:trHeight w:val="300"/>
        </w:trPr>
        <w:tc>
          <w:tcPr>
            <w:tcW w:w="3539" w:type="dxa"/>
            <w:tcBorders>
              <w:top w:val="nil"/>
              <w:left w:val="nil"/>
              <w:bottom w:val="single" w:sz="4" w:space="0" w:color="auto"/>
              <w:right w:val="nil"/>
            </w:tcBorders>
            <w:shd w:val="clear" w:color="000000" w:fill="FFFFFF"/>
            <w:noWrap/>
            <w:vAlign w:val="bottom"/>
            <w:hideMark/>
          </w:tcPr>
          <w:p w14:paraId="350D6885" w14:textId="77777777" w:rsidR="0009101B" w:rsidRPr="00027099" w:rsidRDefault="0009101B" w:rsidP="0009101B">
            <w:pPr>
              <w:overflowPunct/>
              <w:autoSpaceDE/>
              <w:autoSpaceDN/>
              <w:adjustRightInd/>
              <w:jc w:val="left"/>
              <w:textAlignment w:val="auto"/>
              <w:rPr>
                <w:rFonts w:ascii="Calibri Light" w:hAnsi="Calibri Light" w:cs="Calibri Light"/>
                <w:b/>
                <w:bCs/>
                <w:color w:val="000000"/>
                <w:sz w:val="22"/>
                <w:szCs w:val="22"/>
              </w:rPr>
            </w:pPr>
            <w:r w:rsidRPr="00027099">
              <w:rPr>
                <w:rFonts w:ascii="Calibri Light" w:hAnsi="Calibri Light" w:cs="Calibri Light"/>
                <w:b/>
                <w:bCs/>
                <w:color w:val="000000"/>
                <w:sz w:val="22"/>
                <w:szCs w:val="22"/>
              </w:rPr>
              <w:t>Celkem</w:t>
            </w:r>
          </w:p>
        </w:tc>
        <w:tc>
          <w:tcPr>
            <w:tcW w:w="1101" w:type="dxa"/>
            <w:tcBorders>
              <w:top w:val="nil"/>
              <w:left w:val="nil"/>
              <w:bottom w:val="single" w:sz="4" w:space="0" w:color="auto"/>
              <w:right w:val="single" w:sz="4" w:space="0" w:color="auto"/>
            </w:tcBorders>
            <w:shd w:val="clear" w:color="000000" w:fill="FFFFFF"/>
            <w:noWrap/>
            <w:vAlign w:val="center"/>
            <w:hideMark/>
          </w:tcPr>
          <w:p w14:paraId="5E6F8165" w14:textId="447CF93C" w:rsidR="0009101B" w:rsidRPr="00027099" w:rsidRDefault="0009101B" w:rsidP="0009101B">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b/>
                <w:bCs/>
                <w:color w:val="000000"/>
                <w:sz w:val="22"/>
                <w:szCs w:val="22"/>
              </w:rPr>
              <w:t>30,3</w:t>
            </w:r>
          </w:p>
        </w:tc>
        <w:tc>
          <w:tcPr>
            <w:tcW w:w="960" w:type="dxa"/>
            <w:tcBorders>
              <w:top w:val="nil"/>
              <w:left w:val="nil"/>
              <w:bottom w:val="single" w:sz="4" w:space="0" w:color="auto"/>
              <w:right w:val="single" w:sz="4" w:space="0" w:color="auto"/>
            </w:tcBorders>
            <w:shd w:val="clear" w:color="000000" w:fill="FFFFFF"/>
            <w:noWrap/>
            <w:vAlign w:val="center"/>
            <w:hideMark/>
          </w:tcPr>
          <w:p w14:paraId="76C3D9AD" w14:textId="307E15E4"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9,484</w:t>
            </w:r>
          </w:p>
        </w:tc>
        <w:tc>
          <w:tcPr>
            <w:tcW w:w="960" w:type="dxa"/>
            <w:tcBorders>
              <w:top w:val="nil"/>
              <w:left w:val="nil"/>
              <w:bottom w:val="single" w:sz="4" w:space="0" w:color="auto"/>
              <w:right w:val="nil"/>
            </w:tcBorders>
            <w:shd w:val="clear" w:color="000000" w:fill="FFFFFF"/>
            <w:noWrap/>
            <w:vAlign w:val="center"/>
            <w:hideMark/>
          </w:tcPr>
          <w:p w14:paraId="5282C7D2" w14:textId="0290C845"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4,13</w:t>
            </w:r>
          </w:p>
        </w:tc>
      </w:tr>
      <w:tr w:rsidR="0009101B" w:rsidRPr="00027099" w14:paraId="30D9F7D1" w14:textId="77777777" w:rsidTr="007A3C35">
        <w:trPr>
          <w:trHeight w:val="300"/>
        </w:trPr>
        <w:tc>
          <w:tcPr>
            <w:tcW w:w="3539" w:type="dxa"/>
            <w:tcBorders>
              <w:top w:val="nil"/>
              <w:left w:val="nil"/>
              <w:bottom w:val="nil"/>
              <w:right w:val="nil"/>
            </w:tcBorders>
            <w:shd w:val="clear" w:color="000000" w:fill="FFFFFF"/>
            <w:noWrap/>
            <w:vAlign w:val="bottom"/>
            <w:hideMark/>
          </w:tcPr>
          <w:p w14:paraId="5BA35BA9" w14:textId="77777777" w:rsidR="0009101B" w:rsidRPr="00027099" w:rsidRDefault="0009101B" w:rsidP="0009101B">
            <w:pPr>
              <w:overflowPunct/>
              <w:autoSpaceDE/>
              <w:autoSpaceDN/>
              <w:adjustRightInd/>
              <w:ind w:firstLineChars="100" w:firstLine="221"/>
              <w:jc w:val="left"/>
              <w:textAlignment w:val="auto"/>
              <w:rPr>
                <w:rFonts w:ascii="Calibri Light" w:hAnsi="Calibri Light" w:cs="Calibri Light"/>
                <w:b/>
                <w:bCs/>
                <w:color w:val="000000"/>
                <w:sz w:val="22"/>
                <w:szCs w:val="22"/>
              </w:rPr>
            </w:pPr>
            <w:r w:rsidRPr="00027099">
              <w:rPr>
                <w:rFonts w:ascii="Calibri Light" w:hAnsi="Calibri Light" w:cs="Calibri Light"/>
                <w:b/>
                <w:bCs/>
                <w:color w:val="000000"/>
                <w:sz w:val="22"/>
                <w:szCs w:val="22"/>
              </w:rPr>
              <w:t xml:space="preserve">Nové úvěry </w:t>
            </w:r>
          </w:p>
        </w:tc>
        <w:tc>
          <w:tcPr>
            <w:tcW w:w="1101" w:type="dxa"/>
            <w:tcBorders>
              <w:top w:val="nil"/>
              <w:left w:val="nil"/>
              <w:bottom w:val="nil"/>
              <w:right w:val="single" w:sz="4" w:space="0" w:color="auto"/>
            </w:tcBorders>
            <w:shd w:val="clear" w:color="000000" w:fill="FFFFFF"/>
            <w:noWrap/>
            <w:vAlign w:val="center"/>
            <w:hideMark/>
          </w:tcPr>
          <w:p w14:paraId="25004D9E" w14:textId="7A8E2FFB" w:rsidR="0009101B" w:rsidRPr="00027099" w:rsidRDefault="0009101B" w:rsidP="0009101B">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b/>
                <w:bCs/>
                <w:color w:val="000000"/>
                <w:sz w:val="22"/>
                <w:szCs w:val="22"/>
              </w:rPr>
              <w:t>25,4</w:t>
            </w:r>
          </w:p>
        </w:tc>
        <w:tc>
          <w:tcPr>
            <w:tcW w:w="960" w:type="dxa"/>
            <w:tcBorders>
              <w:top w:val="nil"/>
              <w:left w:val="nil"/>
              <w:bottom w:val="nil"/>
              <w:right w:val="single" w:sz="4" w:space="0" w:color="auto"/>
            </w:tcBorders>
            <w:shd w:val="clear" w:color="000000" w:fill="FFFFFF"/>
            <w:noWrap/>
            <w:vAlign w:val="center"/>
            <w:hideMark/>
          </w:tcPr>
          <w:p w14:paraId="17AE7D78" w14:textId="59F85A73" w:rsidR="0009101B" w:rsidRPr="00027099" w:rsidRDefault="0009101B" w:rsidP="0009101B">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b/>
                <w:bCs/>
                <w:color w:val="000000"/>
                <w:sz w:val="22"/>
                <w:szCs w:val="22"/>
              </w:rPr>
              <w:t>7,419</w:t>
            </w:r>
          </w:p>
        </w:tc>
        <w:tc>
          <w:tcPr>
            <w:tcW w:w="960" w:type="dxa"/>
            <w:tcBorders>
              <w:top w:val="nil"/>
              <w:left w:val="nil"/>
              <w:bottom w:val="nil"/>
              <w:right w:val="nil"/>
            </w:tcBorders>
            <w:shd w:val="clear" w:color="000000" w:fill="FFFFFF"/>
            <w:noWrap/>
            <w:vAlign w:val="center"/>
            <w:hideMark/>
          </w:tcPr>
          <w:p w14:paraId="1C101A9F" w14:textId="43365ADF" w:rsidR="0009101B" w:rsidRPr="00027099" w:rsidRDefault="0009101B" w:rsidP="0009101B">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b/>
                <w:bCs/>
                <w:color w:val="000000"/>
                <w:sz w:val="22"/>
                <w:szCs w:val="22"/>
              </w:rPr>
              <w:t>4,15</w:t>
            </w:r>
          </w:p>
        </w:tc>
      </w:tr>
      <w:tr w:rsidR="0009101B" w:rsidRPr="00027099" w14:paraId="2F0F8742" w14:textId="77777777" w:rsidTr="007A3C35">
        <w:trPr>
          <w:trHeight w:val="300"/>
        </w:trPr>
        <w:tc>
          <w:tcPr>
            <w:tcW w:w="3539" w:type="dxa"/>
            <w:tcBorders>
              <w:top w:val="nil"/>
              <w:left w:val="nil"/>
              <w:bottom w:val="nil"/>
              <w:right w:val="nil"/>
            </w:tcBorders>
            <w:shd w:val="clear" w:color="000000" w:fill="FFFFFF"/>
            <w:noWrap/>
            <w:vAlign w:val="bottom"/>
            <w:hideMark/>
          </w:tcPr>
          <w:p w14:paraId="3504CD4A" w14:textId="77777777" w:rsidR="0009101B" w:rsidRPr="00027099" w:rsidRDefault="0009101B" w:rsidP="0009101B">
            <w:pPr>
              <w:overflowPunct/>
              <w:autoSpaceDE/>
              <w:autoSpaceDN/>
              <w:adjustRightInd/>
              <w:ind w:firstLineChars="200" w:firstLine="440"/>
              <w:jc w:val="left"/>
              <w:textAlignment w:val="auto"/>
              <w:rPr>
                <w:rFonts w:ascii="Calibri Light" w:hAnsi="Calibri Light" w:cs="Calibri Light"/>
                <w:color w:val="000000"/>
                <w:sz w:val="22"/>
                <w:szCs w:val="22"/>
              </w:rPr>
            </w:pPr>
            <w:r w:rsidRPr="00027099">
              <w:rPr>
                <w:rFonts w:ascii="Calibri Light" w:hAnsi="Calibri Light" w:cs="Calibri Light"/>
                <w:color w:val="000000"/>
                <w:sz w:val="22"/>
                <w:szCs w:val="22"/>
              </w:rPr>
              <w:t xml:space="preserve">z toho: </w:t>
            </w:r>
          </w:p>
        </w:tc>
        <w:tc>
          <w:tcPr>
            <w:tcW w:w="1101" w:type="dxa"/>
            <w:tcBorders>
              <w:top w:val="nil"/>
              <w:left w:val="nil"/>
              <w:bottom w:val="nil"/>
              <w:right w:val="single" w:sz="4" w:space="0" w:color="auto"/>
            </w:tcBorders>
            <w:shd w:val="clear" w:color="000000" w:fill="FFFFFF"/>
            <w:noWrap/>
            <w:vAlign w:val="center"/>
            <w:hideMark/>
          </w:tcPr>
          <w:p w14:paraId="14446AD9" w14:textId="33EC0994"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 </w:t>
            </w:r>
          </w:p>
        </w:tc>
        <w:tc>
          <w:tcPr>
            <w:tcW w:w="960" w:type="dxa"/>
            <w:tcBorders>
              <w:top w:val="nil"/>
              <w:left w:val="nil"/>
              <w:bottom w:val="nil"/>
              <w:right w:val="single" w:sz="4" w:space="0" w:color="auto"/>
            </w:tcBorders>
            <w:shd w:val="clear" w:color="000000" w:fill="FFFFFF"/>
            <w:noWrap/>
            <w:vAlign w:val="center"/>
            <w:hideMark/>
          </w:tcPr>
          <w:p w14:paraId="1FC3CDF1" w14:textId="63E05605"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 </w:t>
            </w:r>
          </w:p>
        </w:tc>
        <w:tc>
          <w:tcPr>
            <w:tcW w:w="960" w:type="dxa"/>
            <w:tcBorders>
              <w:top w:val="nil"/>
              <w:left w:val="nil"/>
              <w:bottom w:val="nil"/>
              <w:right w:val="nil"/>
            </w:tcBorders>
            <w:shd w:val="clear" w:color="000000" w:fill="FFFFFF"/>
            <w:noWrap/>
            <w:vAlign w:val="center"/>
            <w:hideMark/>
          </w:tcPr>
          <w:p w14:paraId="35C0587D" w14:textId="29C155E9"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 </w:t>
            </w:r>
          </w:p>
        </w:tc>
      </w:tr>
      <w:tr w:rsidR="0009101B" w:rsidRPr="00027099" w14:paraId="7F7D28E7" w14:textId="77777777" w:rsidTr="007A3C35">
        <w:trPr>
          <w:trHeight w:val="300"/>
        </w:trPr>
        <w:tc>
          <w:tcPr>
            <w:tcW w:w="3539" w:type="dxa"/>
            <w:tcBorders>
              <w:top w:val="nil"/>
              <w:left w:val="nil"/>
              <w:bottom w:val="nil"/>
              <w:right w:val="nil"/>
            </w:tcBorders>
            <w:shd w:val="clear" w:color="000000" w:fill="FFFFFF"/>
            <w:noWrap/>
            <w:vAlign w:val="bottom"/>
            <w:hideMark/>
          </w:tcPr>
          <w:p w14:paraId="01C4AC46" w14:textId="77777777" w:rsidR="0009101B" w:rsidRPr="00027099" w:rsidRDefault="0009101B" w:rsidP="0009101B">
            <w:pPr>
              <w:overflowPunct/>
              <w:autoSpaceDE/>
              <w:autoSpaceDN/>
              <w:adjustRightInd/>
              <w:ind w:firstLineChars="300" w:firstLine="660"/>
              <w:jc w:val="left"/>
              <w:textAlignment w:val="auto"/>
              <w:rPr>
                <w:rFonts w:ascii="Calibri Light" w:hAnsi="Calibri Light" w:cs="Calibri Light"/>
                <w:color w:val="000000"/>
                <w:sz w:val="22"/>
                <w:szCs w:val="22"/>
              </w:rPr>
            </w:pPr>
            <w:r w:rsidRPr="00027099">
              <w:rPr>
                <w:rFonts w:ascii="Calibri Light" w:hAnsi="Calibri Light" w:cs="Calibri Light"/>
                <w:color w:val="000000"/>
                <w:sz w:val="22"/>
                <w:szCs w:val="22"/>
              </w:rPr>
              <w:t>na koupi</w:t>
            </w:r>
          </w:p>
        </w:tc>
        <w:tc>
          <w:tcPr>
            <w:tcW w:w="1101" w:type="dxa"/>
            <w:tcBorders>
              <w:top w:val="nil"/>
              <w:left w:val="nil"/>
              <w:bottom w:val="nil"/>
              <w:right w:val="single" w:sz="4" w:space="0" w:color="auto"/>
            </w:tcBorders>
            <w:shd w:val="clear" w:color="000000" w:fill="FFFFFF"/>
            <w:noWrap/>
            <w:vAlign w:val="center"/>
            <w:hideMark/>
          </w:tcPr>
          <w:p w14:paraId="71119CDE" w14:textId="62951900"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15,8</w:t>
            </w:r>
          </w:p>
        </w:tc>
        <w:tc>
          <w:tcPr>
            <w:tcW w:w="960" w:type="dxa"/>
            <w:tcBorders>
              <w:top w:val="nil"/>
              <w:left w:val="nil"/>
              <w:bottom w:val="nil"/>
              <w:right w:val="single" w:sz="4" w:space="0" w:color="auto"/>
            </w:tcBorders>
            <w:shd w:val="clear" w:color="000000" w:fill="FFFFFF"/>
            <w:noWrap/>
            <w:vAlign w:val="center"/>
            <w:hideMark/>
          </w:tcPr>
          <w:p w14:paraId="4BBBEDA1" w14:textId="080969E7"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4,465</w:t>
            </w:r>
          </w:p>
        </w:tc>
        <w:tc>
          <w:tcPr>
            <w:tcW w:w="960" w:type="dxa"/>
            <w:tcBorders>
              <w:top w:val="nil"/>
              <w:left w:val="nil"/>
              <w:bottom w:val="nil"/>
              <w:right w:val="nil"/>
            </w:tcBorders>
            <w:shd w:val="clear" w:color="000000" w:fill="FFFFFF"/>
            <w:noWrap/>
            <w:vAlign w:val="center"/>
            <w:hideMark/>
          </w:tcPr>
          <w:p w14:paraId="03982983" w14:textId="78AD5E9C"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4,16</w:t>
            </w:r>
          </w:p>
        </w:tc>
      </w:tr>
      <w:tr w:rsidR="0009101B" w:rsidRPr="00027099" w14:paraId="51961343" w14:textId="77777777" w:rsidTr="007A3C35">
        <w:trPr>
          <w:trHeight w:val="300"/>
        </w:trPr>
        <w:tc>
          <w:tcPr>
            <w:tcW w:w="3539" w:type="dxa"/>
            <w:tcBorders>
              <w:top w:val="nil"/>
              <w:left w:val="nil"/>
              <w:bottom w:val="nil"/>
              <w:right w:val="nil"/>
            </w:tcBorders>
            <w:shd w:val="clear" w:color="000000" w:fill="FFFFFF"/>
            <w:noWrap/>
            <w:vAlign w:val="bottom"/>
            <w:hideMark/>
          </w:tcPr>
          <w:p w14:paraId="7F972D76" w14:textId="77777777" w:rsidR="0009101B" w:rsidRPr="00027099" w:rsidRDefault="0009101B" w:rsidP="0009101B">
            <w:pPr>
              <w:overflowPunct/>
              <w:autoSpaceDE/>
              <w:autoSpaceDN/>
              <w:adjustRightInd/>
              <w:ind w:firstLineChars="300" w:firstLine="660"/>
              <w:jc w:val="left"/>
              <w:textAlignment w:val="auto"/>
              <w:rPr>
                <w:rFonts w:ascii="Calibri Light" w:hAnsi="Calibri Light" w:cs="Calibri Light"/>
                <w:color w:val="000000"/>
                <w:sz w:val="22"/>
                <w:szCs w:val="22"/>
              </w:rPr>
            </w:pPr>
            <w:r w:rsidRPr="00027099">
              <w:rPr>
                <w:rFonts w:ascii="Calibri Light" w:hAnsi="Calibri Light" w:cs="Calibri Light"/>
                <w:color w:val="000000"/>
                <w:sz w:val="22"/>
                <w:szCs w:val="22"/>
              </w:rPr>
              <w:t>na výstavbu</w:t>
            </w:r>
          </w:p>
        </w:tc>
        <w:tc>
          <w:tcPr>
            <w:tcW w:w="1101" w:type="dxa"/>
            <w:tcBorders>
              <w:top w:val="nil"/>
              <w:left w:val="nil"/>
              <w:bottom w:val="nil"/>
              <w:right w:val="single" w:sz="4" w:space="0" w:color="auto"/>
            </w:tcBorders>
            <w:shd w:val="clear" w:color="000000" w:fill="FFFFFF"/>
            <w:noWrap/>
            <w:vAlign w:val="center"/>
            <w:hideMark/>
          </w:tcPr>
          <w:p w14:paraId="65B7F855" w14:textId="3E49AFC6"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7,3</w:t>
            </w:r>
          </w:p>
        </w:tc>
        <w:tc>
          <w:tcPr>
            <w:tcW w:w="960" w:type="dxa"/>
            <w:tcBorders>
              <w:top w:val="nil"/>
              <w:left w:val="nil"/>
              <w:bottom w:val="nil"/>
              <w:right w:val="single" w:sz="4" w:space="0" w:color="auto"/>
            </w:tcBorders>
            <w:shd w:val="clear" w:color="000000" w:fill="FFFFFF"/>
            <w:noWrap/>
            <w:vAlign w:val="center"/>
            <w:hideMark/>
          </w:tcPr>
          <w:p w14:paraId="5DBEC771" w14:textId="55C2E14A"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2,201</w:t>
            </w:r>
          </w:p>
        </w:tc>
        <w:tc>
          <w:tcPr>
            <w:tcW w:w="960" w:type="dxa"/>
            <w:tcBorders>
              <w:top w:val="nil"/>
              <w:left w:val="nil"/>
              <w:bottom w:val="nil"/>
              <w:right w:val="nil"/>
            </w:tcBorders>
            <w:shd w:val="clear" w:color="000000" w:fill="FFFFFF"/>
            <w:noWrap/>
            <w:vAlign w:val="center"/>
            <w:hideMark/>
          </w:tcPr>
          <w:p w14:paraId="7AF62FD6" w14:textId="296223FD"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4,04</w:t>
            </w:r>
          </w:p>
        </w:tc>
      </w:tr>
      <w:tr w:rsidR="0009101B" w:rsidRPr="00027099" w14:paraId="7F550A7D" w14:textId="77777777" w:rsidTr="007A3C35">
        <w:trPr>
          <w:trHeight w:val="300"/>
        </w:trPr>
        <w:tc>
          <w:tcPr>
            <w:tcW w:w="3539" w:type="dxa"/>
            <w:tcBorders>
              <w:top w:val="nil"/>
              <w:left w:val="nil"/>
              <w:bottom w:val="single" w:sz="4" w:space="0" w:color="auto"/>
              <w:right w:val="nil"/>
            </w:tcBorders>
            <w:shd w:val="clear" w:color="000000" w:fill="FFFFFF"/>
            <w:noWrap/>
            <w:vAlign w:val="bottom"/>
            <w:hideMark/>
          </w:tcPr>
          <w:p w14:paraId="056DC830" w14:textId="77777777" w:rsidR="0009101B" w:rsidRPr="00027099" w:rsidRDefault="0009101B" w:rsidP="0009101B">
            <w:pPr>
              <w:overflowPunct/>
              <w:autoSpaceDE/>
              <w:autoSpaceDN/>
              <w:adjustRightInd/>
              <w:ind w:firstLineChars="300" w:firstLine="660"/>
              <w:jc w:val="left"/>
              <w:textAlignment w:val="auto"/>
              <w:rPr>
                <w:rFonts w:ascii="Calibri Light" w:hAnsi="Calibri Light" w:cs="Calibri Light"/>
                <w:color w:val="000000"/>
                <w:sz w:val="22"/>
                <w:szCs w:val="22"/>
              </w:rPr>
            </w:pPr>
            <w:r w:rsidRPr="00027099">
              <w:rPr>
                <w:rFonts w:ascii="Calibri Light" w:hAnsi="Calibri Light" w:cs="Calibri Light"/>
                <w:color w:val="000000"/>
                <w:sz w:val="22"/>
                <w:szCs w:val="22"/>
              </w:rPr>
              <w:t>ostatní</w:t>
            </w:r>
          </w:p>
        </w:tc>
        <w:tc>
          <w:tcPr>
            <w:tcW w:w="1101" w:type="dxa"/>
            <w:tcBorders>
              <w:top w:val="nil"/>
              <w:left w:val="nil"/>
              <w:bottom w:val="single" w:sz="4" w:space="0" w:color="auto"/>
              <w:right w:val="single" w:sz="4" w:space="0" w:color="auto"/>
            </w:tcBorders>
            <w:shd w:val="clear" w:color="000000" w:fill="FFFFFF"/>
            <w:noWrap/>
            <w:vAlign w:val="center"/>
            <w:hideMark/>
          </w:tcPr>
          <w:p w14:paraId="5FA57A8E" w14:textId="1262E117"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2,2</w:t>
            </w:r>
          </w:p>
        </w:tc>
        <w:tc>
          <w:tcPr>
            <w:tcW w:w="960" w:type="dxa"/>
            <w:tcBorders>
              <w:top w:val="nil"/>
              <w:left w:val="nil"/>
              <w:bottom w:val="single" w:sz="4" w:space="0" w:color="auto"/>
              <w:right w:val="single" w:sz="4" w:space="0" w:color="auto"/>
            </w:tcBorders>
            <w:shd w:val="clear" w:color="000000" w:fill="FFFFFF"/>
            <w:noWrap/>
            <w:vAlign w:val="center"/>
            <w:hideMark/>
          </w:tcPr>
          <w:p w14:paraId="6A5B7E5D" w14:textId="05D9F0BB"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753</w:t>
            </w:r>
          </w:p>
        </w:tc>
        <w:tc>
          <w:tcPr>
            <w:tcW w:w="960" w:type="dxa"/>
            <w:tcBorders>
              <w:top w:val="nil"/>
              <w:left w:val="nil"/>
              <w:bottom w:val="single" w:sz="4" w:space="0" w:color="auto"/>
              <w:right w:val="nil"/>
            </w:tcBorders>
            <w:shd w:val="clear" w:color="000000" w:fill="FFFFFF"/>
            <w:noWrap/>
            <w:vAlign w:val="center"/>
            <w:hideMark/>
          </w:tcPr>
          <w:p w14:paraId="530B9B63" w14:textId="27FF4C3F"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4,48</w:t>
            </w:r>
          </w:p>
        </w:tc>
      </w:tr>
      <w:tr w:rsidR="0009101B" w:rsidRPr="00027099" w14:paraId="3B5EF16B" w14:textId="77777777" w:rsidTr="007A3C35">
        <w:trPr>
          <w:trHeight w:val="300"/>
        </w:trPr>
        <w:tc>
          <w:tcPr>
            <w:tcW w:w="3539" w:type="dxa"/>
            <w:tcBorders>
              <w:top w:val="nil"/>
              <w:left w:val="nil"/>
              <w:bottom w:val="single" w:sz="4" w:space="0" w:color="auto"/>
              <w:right w:val="nil"/>
            </w:tcBorders>
            <w:shd w:val="clear" w:color="000000" w:fill="FFFFFF"/>
            <w:noWrap/>
            <w:vAlign w:val="bottom"/>
            <w:hideMark/>
          </w:tcPr>
          <w:p w14:paraId="7C806254" w14:textId="77777777" w:rsidR="0009101B" w:rsidRPr="00027099" w:rsidRDefault="0009101B" w:rsidP="0009101B">
            <w:pPr>
              <w:overflowPunct/>
              <w:autoSpaceDE/>
              <w:autoSpaceDN/>
              <w:adjustRightInd/>
              <w:ind w:firstLineChars="100" w:firstLine="221"/>
              <w:jc w:val="left"/>
              <w:textAlignment w:val="auto"/>
              <w:rPr>
                <w:rFonts w:ascii="Calibri Light" w:hAnsi="Calibri Light" w:cs="Calibri Light"/>
                <w:b/>
                <w:bCs/>
                <w:color w:val="000000"/>
                <w:sz w:val="22"/>
                <w:szCs w:val="22"/>
              </w:rPr>
            </w:pPr>
            <w:r w:rsidRPr="00027099">
              <w:rPr>
                <w:rFonts w:ascii="Calibri Light" w:hAnsi="Calibri Light" w:cs="Calibri Light"/>
                <w:b/>
                <w:bCs/>
                <w:color w:val="000000"/>
                <w:sz w:val="22"/>
                <w:szCs w:val="22"/>
              </w:rPr>
              <w:t>Refinancované z jiné instituce</w:t>
            </w:r>
          </w:p>
        </w:tc>
        <w:tc>
          <w:tcPr>
            <w:tcW w:w="1101" w:type="dxa"/>
            <w:tcBorders>
              <w:top w:val="nil"/>
              <w:left w:val="nil"/>
              <w:bottom w:val="single" w:sz="4" w:space="0" w:color="auto"/>
              <w:right w:val="single" w:sz="4" w:space="0" w:color="auto"/>
            </w:tcBorders>
            <w:shd w:val="clear" w:color="000000" w:fill="FFFFFF"/>
            <w:noWrap/>
            <w:vAlign w:val="center"/>
            <w:hideMark/>
          </w:tcPr>
          <w:p w14:paraId="644939B5" w14:textId="548AA4BF" w:rsidR="0009101B" w:rsidRPr="00027099" w:rsidRDefault="0009101B" w:rsidP="0009101B">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b/>
                <w:bCs/>
                <w:color w:val="000000"/>
                <w:sz w:val="22"/>
                <w:szCs w:val="22"/>
              </w:rPr>
              <w:t>4,2</w:t>
            </w:r>
          </w:p>
        </w:tc>
        <w:tc>
          <w:tcPr>
            <w:tcW w:w="960" w:type="dxa"/>
            <w:tcBorders>
              <w:top w:val="nil"/>
              <w:left w:val="nil"/>
              <w:bottom w:val="single" w:sz="4" w:space="0" w:color="auto"/>
              <w:right w:val="single" w:sz="4" w:space="0" w:color="auto"/>
            </w:tcBorders>
            <w:shd w:val="clear" w:color="000000" w:fill="FFFFFF"/>
            <w:noWrap/>
            <w:vAlign w:val="center"/>
            <w:hideMark/>
          </w:tcPr>
          <w:p w14:paraId="6837C512" w14:textId="3C61D64C"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1,758</w:t>
            </w:r>
          </w:p>
        </w:tc>
        <w:tc>
          <w:tcPr>
            <w:tcW w:w="960" w:type="dxa"/>
            <w:tcBorders>
              <w:top w:val="nil"/>
              <w:left w:val="nil"/>
              <w:bottom w:val="single" w:sz="4" w:space="0" w:color="auto"/>
              <w:right w:val="nil"/>
            </w:tcBorders>
            <w:shd w:val="clear" w:color="000000" w:fill="FFFFFF"/>
            <w:noWrap/>
            <w:vAlign w:val="center"/>
            <w:hideMark/>
          </w:tcPr>
          <w:p w14:paraId="3E902818" w14:textId="39DA326E" w:rsidR="0009101B" w:rsidRPr="00027099" w:rsidRDefault="0009101B" w:rsidP="0009101B">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b/>
                <w:bCs/>
                <w:color w:val="000000"/>
                <w:sz w:val="22"/>
                <w:szCs w:val="22"/>
              </w:rPr>
              <w:t>4,02</w:t>
            </w:r>
          </w:p>
        </w:tc>
      </w:tr>
      <w:tr w:rsidR="0009101B" w:rsidRPr="00027099" w14:paraId="2FC10CCF" w14:textId="77777777" w:rsidTr="007A3C35">
        <w:trPr>
          <w:trHeight w:val="300"/>
        </w:trPr>
        <w:tc>
          <w:tcPr>
            <w:tcW w:w="3539" w:type="dxa"/>
            <w:tcBorders>
              <w:top w:val="nil"/>
              <w:left w:val="nil"/>
              <w:bottom w:val="single" w:sz="4" w:space="0" w:color="auto"/>
              <w:right w:val="nil"/>
            </w:tcBorders>
            <w:shd w:val="clear" w:color="000000" w:fill="FFFFFF"/>
            <w:noWrap/>
            <w:vAlign w:val="bottom"/>
            <w:hideMark/>
          </w:tcPr>
          <w:p w14:paraId="44606166" w14:textId="77777777" w:rsidR="0009101B" w:rsidRPr="00027099" w:rsidRDefault="0009101B" w:rsidP="0009101B">
            <w:pPr>
              <w:overflowPunct/>
              <w:autoSpaceDE/>
              <w:autoSpaceDN/>
              <w:adjustRightInd/>
              <w:ind w:firstLineChars="100" w:firstLine="221"/>
              <w:jc w:val="left"/>
              <w:textAlignment w:val="auto"/>
              <w:rPr>
                <w:rFonts w:ascii="Calibri Light" w:hAnsi="Calibri Light" w:cs="Calibri Light"/>
                <w:b/>
                <w:bCs/>
                <w:color w:val="000000"/>
                <w:sz w:val="22"/>
                <w:szCs w:val="22"/>
              </w:rPr>
            </w:pPr>
            <w:r w:rsidRPr="00027099">
              <w:rPr>
                <w:rFonts w:ascii="Calibri Light" w:hAnsi="Calibri Light" w:cs="Calibri Light"/>
                <w:b/>
                <w:bCs/>
                <w:color w:val="000000"/>
                <w:sz w:val="22"/>
                <w:szCs w:val="22"/>
              </w:rPr>
              <w:t>Refinancované interně</w:t>
            </w:r>
          </w:p>
        </w:tc>
        <w:tc>
          <w:tcPr>
            <w:tcW w:w="1101" w:type="dxa"/>
            <w:tcBorders>
              <w:top w:val="nil"/>
              <w:left w:val="nil"/>
              <w:bottom w:val="single" w:sz="4" w:space="0" w:color="auto"/>
              <w:right w:val="single" w:sz="4" w:space="0" w:color="auto"/>
            </w:tcBorders>
            <w:shd w:val="clear" w:color="000000" w:fill="FFFFFF"/>
            <w:noWrap/>
            <w:vAlign w:val="center"/>
            <w:hideMark/>
          </w:tcPr>
          <w:p w14:paraId="4085637E" w14:textId="22225C56" w:rsidR="0009101B" w:rsidRPr="00027099" w:rsidRDefault="0009101B" w:rsidP="0009101B">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b/>
                <w:bCs/>
                <w:color w:val="000000"/>
                <w:sz w:val="22"/>
                <w:szCs w:val="22"/>
              </w:rPr>
              <w:t>0,7</w:t>
            </w:r>
          </w:p>
        </w:tc>
        <w:tc>
          <w:tcPr>
            <w:tcW w:w="960" w:type="dxa"/>
            <w:tcBorders>
              <w:top w:val="nil"/>
              <w:left w:val="nil"/>
              <w:bottom w:val="single" w:sz="4" w:space="0" w:color="auto"/>
              <w:right w:val="single" w:sz="4" w:space="0" w:color="auto"/>
            </w:tcBorders>
            <w:shd w:val="clear" w:color="000000" w:fill="FFFFFF"/>
            <w:noWrap/>
            <w:vAlign w:val="center"/>
            <w:hideMark/>
          </w:tcPr>
          <w:p w14:paraId="58469FA8" w14:textId="060EFDCF" w:rsidR="0009101B" w:rsidRPr="00027099" w:rsidRDefault="0009101B" w:rsidP="0009101B">
            <w:pPr>
              <w:overflowPunct/>
              <w:autoSpaceDE/>
              <w:autoSpaceDN/>
              <w:adjustRightInd/>
              <w:jc w:val="center"/>
              <w:textAlignment w:val="auto"/>
              <w:rPr>
                <w:rFonts w:ascii="Calibri Light" w:hAnsi="Calibri Light" w:cs="Calibri Light"/>
                <w:color w:val="000000"/>
                <w:sz w:val="22"/>
                <w:szCs w:val="22"/>
              </w:rPr>
            </w:pPr>
            <w:r>
              <w:rPr>
                <w:rFonts w:ascii="Calibri Light" w:hAnsi="Calibri Light" w:cs="Calibri Light"/>
                <w:color w:val="000000"/>
                <w:sz w:val="22"/>
                <w:szCs w:val="22"/>
              </w:rPr>
              <w:t>307</w:t>
            </w:r>
          </w:p>
        </w:tc>
        <w:tc>
          <w:tcPr>
            <w:tcW w:w="960" w:type="dxa"/>
            <w:tcBorders>
              <w:top w:val="nil"/>
              <w:left w:val="nil"/>
              <w:bottom w:val="single" w:sz="4" w:space="0" w:color="auto"/>
              <w:right w:val="nil"/>
            </w:tcBorders>
            <w:shd w:val="clear" w:color="000000" w:fill="FFFFFF"/>
            <w:noWrap/>
            <w:vAlign w:val="center"/>
            <w:hideMark/>
          </w:tcPr>
          <w:p w14:paraId="2867C36E" w14:textId="0EC0B3F8" w:rsidR="0009101B" w:rsidRPr="00027099" w:rsidRDefault="0009101B" w:rsidP="0009101B">
            <w:pPr>
              <w:overflowPunct/>
              <w:autoSpaceDE/>
              <w:autoSpaceDN/>
              <w:adjustRightInd/>
              <w:jc w:val="center"/>
              <w:textAlignment w:val="auto"/>
              <w:rPr>
                <w:rFonts w:ascii="Calibri Light" w:hAnsi="Calibri Light" w:cs="Calibri Light"/>
                <w:b/>
                <w:bCs/>
                <w:color w:val="000000"/>
                <w:sz w:val="22"/>
                <w:szCs w:val="22"/>
              </w:rPr>
            </w:pPr>
            <w:r>
              <w:rPr>
                <w:rFonts w:ascii="Calibri Light" w:hAnsi="Calibri Light" w:cs="Calibri Light"/>
                <w:b/>
                <w:bCs/>
                <w:color w:val="000000"/>
                <w:sz w:val="22"/>
                <w:szCs w:val="22"/>
              </w:rPr>
              <w:t>4,03</w:t>
            </w:r>
          </w:p>
        </w:tc>
      </w:tr>
      <w:tr w:rsidR="00F43B83" w:rsidRPr="00027099" w14:paraId="2DE0419D" w14:textId="77777777" w:rsidTr="007A3C35">
        <w:trPr>
          <w:trHeight w:val="300"/>
        </w:trPr>
        <w:tc>
          <w:tcPr>
            <w:tcW w:w="3539" w:type="dxa"/>
            <w:tcBorders>
              <w:top w:val="nil"/>
              <w:left w:val="nil"/>
              <w:bottom w:val="nil"/>
              <w:right w:val="nil"/>
            </w:tcBorders>
            <w:shd w:val="clear" w:color="000000" w:fill="FFFFFF"/>
            <w:noWrap/>
            <w:vAlign w:val="bottom"/>
            <w:hideMark/>
          </w:tcPr>
          <w:p w14:paraId="1C151D5F" w14:textId="77777777" w:rsidR="00F43B83" w:rsidRPr="00027099" w:rsidRDefault="00F43B83" w:rsidP="007A3C35">
            <w:pPr>
              <w:overflowPunct/>
              <w:autoSpaceDE/>
              <w:autoSpaceDN/>
              <w:adjustRightInd/>
              <w:jc w:val="left"/>
              <w:textAlignment w:val="auto"/>
              <w:rPr>
                <w:rFonts w:ascii="Calibri Light" w:hAnsi="Calibri Light" w:cs="Calibri Light"/>
                <w:color w:val="13576B"/>
                <w:sz w:val="20"/>
              </w:rPr>
            </w:pPr>
            <w:r w:rsidRPr="00027099">
              <w:rPr>
                <w:rFonts w:ascii="Calibri Light" w:hAnsi="Calibri Light" w:cs="Calibri Light"/>
                <w:color w:val="13576B"/>
                <w:sz w:val="20"/>
              </w:rPr>
              <w:t>Pramen: ČBA Hypomonitor</w:t>
            </w:r>
          </w:p>
        </w:tc>
        <w:tc>
          <w:tcPr>
            <w:tcW w:w="1101" w:type="dxa"/>
            <w:tcBorders>
              <w:top w:val="nil"/>
              <w:left w:val="nil"/>
              <w:bottom w:val="nil"/>
              <w:right w:val="nil"/>
            </w:tcBorders>
            <w:shd w:val="clear" w:color="000000" w:fill="FFFFFF"/>
            <w:noWrap/>
            <w:vAlign w:val="bottom"/>
            <w:hideMark/>
          </w:tcPr>
          <w:p w14:paraId="71147384" w14:textId="77777777" w:rsidR="00F43B83" w:rsidRPr="00027099" w:rsidRDefault="00F43B83" w:rsidP="007A3C35">
            <w:pPr>
              <w:overflowPunct/>
              <w:autoSpaceDE/>
              <w:autoSpaceDN/>
              <w:adjustRightInd/>
              <w:jc w:val="left"/>
              <w:textAlignment w:val="auto"/>
              <w:rPr>
                <w:rFonts w:ascii="Calibri Light" w:hAnsi="Calibri Light" w:cs="Calibri Light"/>
                <w:color w:val="000000"/>
                <w:sz w:val="22"/>
                <w:szCs w:val="22"/>
              </w:rPr>
            </w:pPr>
            <w:r w:rsidRPr="00027099">
              <w:rPr>
                <w:rFonts w:ascii="Calibri Light" w:hAnsi="Calibri Light" w:cs="Calibri Light"/>
                <w:color w:val="000000"/>
                <w:sz w:val="22"/>
                <w:szCs w:val="22"/>
              </w:rPr>
              <w:t> </w:t>
            </w:r>
          </w:p>
        </w:tc>
        <w:tc>
          <w:tcPr>
            <w:tcW w:w="960" w:type="dxa"/>
            <w:tcBorders>
              <w:top w:val="nil"/>
              <w:left w:val="nil"/>
              <w:bottom w:val="nil"/>
              <w:right w:val="nil"/>
            </w:tcBorders>
            <w:shd w:val="clear" w:color="000000" w:fill="FFFFFF"/>
            <w:noWrap/>
            <w:vAlign w:val="bottom"/>
            <w:hideMark/>
          </w:tcPr>
          <w:p w14:paraId="38A07D06" w14:textId="77777777" w:rsidR="00F43B83" w:rsidRPr="00027099" w:rsidRDefault="00F43B83" w:rsidP="007A3C35">
            <w:pPr>
              <w:overflowPunct/>
              <w:autoSpaceDE/>
              <w:autoSpaceDN/>
              <w:adjustRightInd/>
              <w:jc w:val="left"/>
              <w:textAlignment w:val="auto"/>
              <w:rPr>
                <w:rFonts w:ascii="Calibri Light" w:hAnsi="Calibri Light" w:cs="Calibri Light"/>
                <w:color w:val="000000"/>
                <w:sz w:val="22"/>
                <w:szCs w:val="22"/>
              </w:rPr>
            </w:pPr>
            <w:r w:rsidRPr="00027099">
              <w:rPr>
                <w:rFonts w:ascii="Calibri Light" w:hAnsi="Calibri Light" w:cs="Calibri Light"/>
                <w:color w:val="000000"/>
                <w:sz w:val="22"/>
                <w:szCs w:val="22"/>
              </w:rPr>
              <w:t> </w:t>
            </w:r>
          </w:p>
        </w:tc>
        <w:tc>
          <w:tcPr>
            <w:tcW w:w="960" w:type="dxa"/>
            <w:tcBorders>
              <w:top w:val="nil"/>
              <w:left w:val="nil"/>
              <w:bottom w:val="nil"/>
              <w:right w:val="nil"/>
            </w:tcBorders>
            <w:shd w:val="clear" w:color="000000" w:fill="FFFFFF"/>
            <w:noWrap/>
            <w:vAlign w:val="bottom"/>
            <w:hideMark/>
          </w:tcPr>
          <w:p w14:paraId="7FE92292" w14:textId="77777777" w:rsidR="00F43B83" w:rsidRPr="00027099" w:rsidRDefault="00F43B83" w:rsidP="007A3C35">
            <w:pPr>
              <w:overflowPunct/>
              <w:autoSpaceDE/>
              <w:autoSpaceDN/>
              <w:adjustRightInd/>
              <w:jc w:val="left"/>
              <w:textAlignment w:val="auto"/>
              <w:rPr>
                <w:rFonts w:ascii="Calibri Light" w:hAnsi="Calibri Light" w:cs="Calibri Light"/>
                <w:color w:val="000000"/>
                <w:sz w:val="22"/>
                <w:szCs w:val="22"/>
              </w:rPr>
            </w:pPr>
            <w:r w:rsidRPr="00027099">
              <w:rPr>
                <w:rFonts w:ascii="Calibri Light" w:hAnsi="Calibri Light" w:cs="Calibri Light"/>
                <w:color w:val="000000"/>
                <w:sz w:val="22"/>
                <w:szCs w:val="22"/>
              </w:rPr>
              <w:t> </w:t>
            </w:r>
          </w:p>
        </w:tc>
      </w:tr>
    </w:tbl>
    <w:p w14:paraId="254A9E79" w14:textId="77777777" w:rsidR="00667828" w:rsidRDefault="00667828" w:rsidP="00667828">
      <w:pPr>
        <w:rPr>
          <w:rFonts w:ascii="Calibri" w:hAnsi="Calibri" w:cs="Calibri"/>
          <w:i/>
          <w:iCs/>
          <w:sz w:val="22"/>
          <w:szCs w:val="22"/>
        </w:rPr>
      </w:pPr>
    </w:p>
    <w:p w14:paraId="3DADF212" w14:textId="4CA8DAC6" w:rsidR="00667828" w:rsidRDefault="00667828" w:rsidP="00667828">
      <w:pPr>
        <w:rPr>
          <w:rFonts w:ascii="Calibri" w:hAnsi="Calibri" w:cs="Calibri"/>
          <w:i/>
          <w:iCs/>
          <w:sz w:val="22"/>
          <w:szCs w:val="22"/>
        </w:rPr>
      </w:pPr>
      <w:r w:rsidRPr="001E4032">
        <w:rPr>
          <w:rFonts w:ascii="Calibri" w:hAnsi="Calibri" w:cs="Calibri"/>
          <w:color w:val="13576B"/>
          <w:sz w:val="22"/>
          <w:szCs w:val="22"/>
        </w:rPr>
        <w:t xml:space="preserve">Pozn.: </w:t>
      </w:r>
      <w:r w:rsidRPr="00667828">
        <w:rPr>
          <w:rFonts w:ascii="Calibri" w:hAnsi="Calibri" w:cs="Calibri"/>
          <w:color w:val="13576B"/>
          <w:sz w:val="22"/>
          <w:szCs w:val="22"/>
        </w:rPr>
        <w:t>Bližší dělení poskytnutých hypoték, a to zvlášť za banky a stavební spořitelny, je dostupné od ledna 2020 v excelu na webu ČBA.</w:t>
      </w:r>
    </w:p>
    <w:p w14:paraId="0F41E035" w14:textId="77777777" w:rsidR="00F43B83" w:rsidRDefault="00F43B83" w:rsidP="00F43B83">
      <w:pPr>
        <w:rPr>
          <w:rFonts w:ascii="Calibri" w:hAnsi="Calibri" w:cs="Calibri"/>
          <w:sz w:val="22"/>
          <w:szCs w:val="22"/>
        </w:rPr>
      </w:pPr>
    </w:p>
    <w:p w14:paraId="7AE0CCC0" w14:textId="44CE4BAC" w:rsidR="00A72C93" w:rsidRPr="00477CEB" w:rsidRDefault="0000363D" w:rsidP="00A72C93">
      <w:pPr>
        <w:rPr>
          <w:rFonts w:ascii="Calibri" w:hAnsi="Calibri" w:cs="Calibri"/>
          <w:b/>
          <w:color w:val="13576B"/>
          <w:sz w:val="23"/>
          <w:szCs w:val="23"/>
        </w:rPr>
      </w:pPr>
      <w:r>
        <w:rPr>
          <w:rFonts w:ascii="Calibri" w:hAnsi="Calibri" w:cs="Calibri"/>
          <w:b/>
          <w:color w:val="13576B"/>
          <w:sz w:val="23"/>
          <w:szCs w:val="23"/>
        </w:rPr>
        <w:t>Průměrná hypoteční sazba</w:t>
      </w:r>
      <w:r w:rsidR="002E6312">
        <w:rPr>
          <w:rFonts w:ascii="Calibri" w:hAnsi="Calibri" w:cs="Calibri"/>
          <w:b/>
          <w:color w:val="13576B"/>
          <w:sz w:val="23"/>
          <w:szCs w:val="23"/>
        </w:rPr>
        <w:t xml:space="preserve"> bude dál postupně růst</w:t>
      </w:r>
      <w:r w:rsidR="00425A84">
        <w:rPr>
          <w:rFonts w:ascii="Calibri" w:hAnsi="Calibri" w:cs="Calibri"/>
          <w:b/>
          <w:color w:val="13576B"/>
          <w:sz w:val="23"/>
          <w:szCs w:val="23"/>
        </w:rPr>
        <w:t xml:space="preserve"> a dohánět nabídkové ceny</w:t>
      </w:r>
    </w:p>
    <w:p w14:paraId="0C44E908" w14:textId="6ED45F48" w:rsidR="00AC1771" w:rsidRDefault="0001227F" w:rsidP="007826E0">
      <w:pPr>
        <w:rPr>
          <w:rFonts w:ascii="Calibri" w:hAnsi="Calibri" w:cs="Calibri"/>
          <w:sz w:val="22"/>
          <w:szCs w:val="22"/>
        </w:rPr>
      </w:pPr>
      <w:r w:rsidRPr="006C090C">
        <w:rPr>
          <w:rFonts w:ascii="Calibri" w:hAnsi="Calibri" w:cs="Calibri"/>
          <w:b/>
          <w:bCs/>
          <w:sz w:val="22"/>
          <w:szCs w:val="22"/>
        </w:rPr>
        <w:t>Úroková sazba u </w:t>
      </w:r>
      <w:r w:rsidR="00BD532D">
        <w:rPr>
          <w:rFonts w:ascii="Calibri" w:hAnsi="Calibri" w:cs="Calibri"/>
          <w:b/>
          <w:bCs/>
          <w:sz w:val="22"/>
          <w:szCs w:val="22"/>
        </w:rPr>
        <w:t xml:space="preserve">skutečně </w:t>
      </w:r>
      <w:r w:rsidRPr="006C090C">
        <w:rPr>
          <w:rFonts w:ascii="Calibri" w:hAnsi="Calibri" w:cs="Calibri"/>
          <w:b/>
          <w:bCs/>
          <w:sz w:val="22"/>
          <w:szCs w:val="22"/>
        </w:rPr>
        <w:t>nově poskytnutých hypotečních úvěrů</w:t>
      </w:r>
      <w:r w:rsidR="006C3F79" w:rsidRPr="006C090C">
        <w:rPr>
          <w:rFonts w:ascii="Calibri" w:hAnsi="Calibri" w:cs="Calibri"/>
          <w:b/>
          <w:bCs/>
          <w:sz w:val="22"/>
          <w:szCs w:val="22"/>
        </w:rPr>
        <w:t xml:space="preserve"> </w:t>
      </w:r>
      <w:r w:rsidRPr="006C090C">
        <w:rPr>
          <w:rFonts w:ascii="Calibri" w:hAnsi="Calibri" w:cs="Calibri"/>
          <w:b/>
          <w:bCs/>
          <w:sz w:val="22"/>
          <w:szCs w:val="22"/>
        </w:rPr>
        <w:t>v</w:t>
      </w:r>
      <w:r w:rsidR="00E36335" w:rsidRPr="006C090C">
        <w:rPr>
          <w:rFonts w:ascii="Calibri" w:hAnsi="Calibri" w:cs="Calibri"/>
          <w:b/>
          <w:bCs/>
          <w:sz w:val="22"/>
          <w:szCs w:val="22"/>
        </w:rPr>
        <w:t xml:space="preserve"> </w:t>
      </w:r>
      <w:r w:rsidR="00235942">
        <w:rPr>
          <w:rFonts w:ascii="Calibri" w:hAnsi="Calibri" w:cs="Calibri"/>
          <w:b/>
          <w:bCs/>
          <w:sz w:val="22"/>
          <w:szCs w:val="22"/>
        </w:rPr>
        <w:t>březnu</w:t>
      </w:r>
      <w:r w:rsidRPr="006C090C">
        <w:rPr>
          <w:rFonts w:ascii="Calibri" w:hAnsi="Calibri" w:cs="Calibri"/>
          <w:b/>
          <w:bCs/>
          <w:sz w:val="22"/>
          <w:szCs w:val="22"/>
        </w:rPr>
        <w:t xml:space="preserve"> </w:t>
      </w:r>
      <w:r w:rsidR="006C3F79" w:rsidRPr="006C090C">
        <w:rPr>
          <w:rFonts w:ascii="Calibri" w:hAnsi="Calibri" w:cs="Calibri"/>
          <w:b/>
          <w:bCs/>
          <w:sz w:val="22"/>
          <w:szCs w:val="22"/>
        </w:rPr>
        <w:t>vzrostla</w:t>
      </w:r>
      <w:r w:rsidRPr="006C090C">
        <w:rPr>
          <w:rFonts w:ascii="Calibri" w:hAnsi="Calibri" w:cs="Calibri"/>
          <w:b/>
          <w:bCs/>
          <w:sz w:val="22"/>
          <w:szCs w:val="22"/>
        </w:rPr>
        <w:t xml:space="preserve"> </w:t>
      </w:r>
      <w:r w:rsidR="008D3273">
        <w:rPr>
          <w:rFonts w:ascii="Calibri" w:hAnsi="Calibri" w:cs="Calibri"/>
          <w:b/>
          <w:bCs/>
          <w:sz w:val="22"/>
          <w:szCs w:val="22"/>
        </w:rPr>
        <w:t xml:space="preserve">na </w:t>
      </w:r>
      <w:r w:rsidR="006A0D71">
        <w:rPr>
          <w:rFonts w:ascii="Calibri" w:hAnsi="Calibri" w:cs="Calibri"/>
          <w:b/>
          <w:bCs/>
          <w:sz w:val="22"/>
          <w:szCs w:val="22"/>
        </w:rPr>
        <w:t>4</w:t>
      </w:r>
      <w:r w:rsidR="00BD532D">
        <w:rPr>
          <w:rFonts w:ascii="Calibri" w:hAnsi="Calibri" w:cs="Calibri"/>
          <w:b/>
          <w:bCs/>
          <w:sz w:val="22"/>
          <w:szCs w:val="22"/>
        </w:rPr>
        <w:t>,</w:t>
      </w:r>
      <w:r w:rsidR="006A0D71">
        <w:rPr>
          <w:rFonts w:ascii="Calibri" w:hAnsi="Calibri" w:cs="Calibri"/>
          <w:b/>
          <w:bCs/>
          <w:sz w:val="22"/>
          <w:szCs w:val="22"/>
        </w:rPr>
        <w:t>1</w:t>
      </w:r>
      <w:r w:rsidR="00D339A1">
        <w:rPr>
          <w:rFonts w:ascii="Calibri" w:hAnsi="Calibri" w:cs="Calibri"/>
          <w:b/>
          <w:bCs/>
          <w:sz w:val="22"/>
          <w:szCs w:val="22"/>
        </w:rPr>
        <w:t>5</w:t>
      </w:r>
      <w:r w:rsidR="008D3273">
        <w:rPr>
          <w:rFonts w:ascii="Calibri" w:hAnsi="Calibri" w:cs="Calibri"/>
          <w:b/>
          <w:bCs/>
          <w:sz w:val="22"/>
          <w:szCs w:val="22"/>
        </w:rPr>
        <w:t xml:space="preserve"> % z</w:t>
      </w:r>
      <w:r w:rsidR="00670F37">
        <w:rPr>
          <w:rFonts w:ascii="Calibri" w:hAnsi="Calibri" w:cs="Calibri"/>
          <w:b/>
          <w:bCs/>
          <w:sz w:val="22"/>
          <w:szCs w:val="22"/>
        </w:rPr>
        <w:t> </w:t>
      </w:r>
      <w:r w:rsidR="006A0D71">
        <w:rPr>
          <w:rFonts w:ascii="Calibri" w:hAnsi="Calibri" w:cs="Calibri"/>
          <w:b/>
          <w:bCs/>
          <w:sz w:val="22"/>
          <w:szCs w:val="22"/>
        </w:rPr>
        <w:t>únorových</w:t>
      </w:r>
      <w:r w:rsidR="00670F37">
        <w:rPr>
          <w:rFonts w:ascii="Calibri" w:hAnsi="Calibri" w:cs="Calibri"/>
          <w:b/>
          <w:bCs/>
          <w:sz w:val="22"/>
          <w:szCs w:val="22"/>
        </w:rPr>
        <w:t xml:space="preserve"> </w:t>
      </w:r>
      <w:r w:rsidR="00BD532D">
        <w:rPr>
          <w:rFonts w:ascii="Calibri" w:hAnsi="Calibri" w:cs="Calibri"/>
          <w:b/>
          <w:bCs/>
          <w:sz w:val="22"/>
          <w:szCs w:val="22"/>
        </w:rPr>
        <w:t>3</w:t>
      </w:r>
      <w:r w:rsidR="00670F37">
        <w:rPr>
          <w:rFonts w:ascii="Calibri" w:hAnsi="Calibri" w:cs="Calibri"/>
          <w:b/>
          <w:bCs/>
          <w:sz w:val="22"/>
          <w:szCs w:val="22"/>
        </w:rPr>
        <w:t>,</w:t>
      </w:r>
      <w:r w:rsidR="006A0D71">
        <w:rPr>
          <w:rFonts w:ascii="Calibri" w:hAnsi="Calibri" w:cs="Calibri"/>
          <w:b/>
          <w:bCs/>
          <w:sz w:val="22"/>
          <w:szCs w:val="22"/>
        </w:rPr>
        <w:t>8</w:t>
      </w:r>
      <w:r w:rsidR="00670F37">
        <w:rPr>
          <w:rFonts w:ascii="Calibri" w:hAnsi="Calibri" w:cs="Calibri"/>
          <w:b/>
          <w:bCs/>
          <w:sz w:val="22"/>
          <w:szCs w:val="22"/>
        </w:rPr>
        <w:t>4</w:t>
      </w:r>
      <w:r w:rsidR="00D339A1">
        <w:rPr>
          <w:rFonts w:ascii="Calibri" w:hAnsi="Calibri" w:cs="Calibri"/>
          <w:b/>
          <w:bCs/>
          <w:sz w:val="22"/>
          <w:szCs w:val="22"/>
        </w:rPr>
        <w:t> </w:t>
      </w:r>
      <w:r w:rsidRPr="006C090C">
        <w:rPr>
          <w:rFonts w:ascii="Calibri" w:hAnsi="Calibri" w:cs="Calibri"/>
          <w:b/>
          <w:bCs/>
          <w:sz w:val="22"/>
          <w:szCs w:val="22"/>
        </w:rPr>
        <w:t>%</w:t>
      </w:r>
      <w:r w:rsidR="008D3273">
        <w:rPr>
          <w:rFonts w:ascii="Calibri" w:hAnsi="Calibri" w:cs="Calibri"/>
          <w:b/>
          <w:bCs/>
          <w:sz w:val="22"/>
          <w:szCs w:val="22"/>
        </w:rPr>
        <w:t xml:space="preserve">. </w:t>
      </w:r>
      <w:r w:rsidR="00D926E9">
        <w:rPr>
          <w:rFonts w:ascii="Calibri" w:hAnsi="Calibri" w:cs="Calibri"/>
          <w:sz w:val="22"/>
          <w:szCs w:val="22"/>
        </w:rPr>
        <w:t>Růst sazeb tak</w:t>
      </w:r>
      <w:r w:rsidR="00DF376E">
        <w:rPr>
          <w:rFonts w:ascii="Calibri" w:hAnsi="Calibri" w:cs="Calibri"/>
          <w:sz w:val="22"/>
          <w:szCs w:val="22"/>
        </w:rPr>
        <w:t xml:space="preserve"> dle očekávání</w:t>
      </w:r>
      <w:r w:rsidR="00D926E9">
        <w:rPr>
          <w:rFonts w:ascii="Calibri" w:hAnsi="Calibri" w:cs="Calibri"/>
          <w:sz w:val="22"/>
          <w:szCs w:val="22"/>
        </w:rPr>
        <w:t xml:space="preserve"> </w:t>
      </w:r>
      <w:r w:rsidR="006A0D71">
        <w:rPr>
          <w:rFonts w:ascii="Calibri" w:hAnsi="Calibri" w:cs="Calibri"/>
          <w:sz w:val="22"/>
          <w:szCs w:val="22"/>
        </w:rPr>
        <w:t>pokračuje</w:t>
      </w:r>
      <w:r w:rsidR="00DF376E">
        <w:rPr>
          <w:rFonts w:ascii="Calibri" w:hAnsi="Calibri" w:cs="Calibri"/>
          <w:sz w:val="22"/>
          <w:szCs w:val="22"/>
        </w:rPr>
        <w:t xml:space="preserve"> a p</w:t>
      </w:r>
      <w:r w:rsidR="00EE3C34">
        <w:rPr>
          <w:rFonts w:ascii="Calibri" w:hAnsi="Calibri" w:cs="Calibri"/>
          <w:sz w:val="22"/>
          <w:szCs w:val="22"/>
        </w:rPr>
        <w:t>růměrná hypoteční sazba se v </w:t>
      </w:r>
      <w:r w:rsidR="00235942">
        <w:rPr>
          <w:rFonts w:ascii="Calibri" w:hAnsi="Calibri" w:cs="Calibri"/>
          <w:sz w:val="22"/>
          <w:szCs w:val="22"/>
        </w:rPr>
        <w:t>březnu</w:t>
      </w:r>
      <w:r w:rsidR="00EE3C34">
        <w:rPr>
          <w:rFonts w:ascii="Calibri" w:hAnsi="Calibri" w:cs="Calibri"/>
          <w:sz w:val="22"/>
          <w:szCs w:val="22"/>
        </w:rPr>
        <w:t xml:space="preserve"> dostala na nejvyšší úroveň od </w:t>
      </w:r>
      <w:r w:rsidR="006A0D71">
        <w:rPr>
          <w:rFonts w:ascii="Calibri" w:hAnsi="Calibri" w:cs="Calibri"/>
          <w:sz w:val="22"/>
          <w:szCs w:val="22"/>
        </w:rPr>
        <w:t xml:space="preserve">poloviny </w:t>
      </w:r>
      <w:r w:rsidR="00E413A5">
        <w:rPr>
          <w:rFonts w:ascii="Calibri" w:hAnsi="Calibri" w:cs="Calibri"/>
          <w:sz w:val="22"/>
          <w:szCs w:val="22"/>
        </w:rPr>
        <w:t xml:space="preserve">roku 2011. </w:t>
      </w:r>
      <w:r w:rsidR="0013407D">
        <w:rPr>
          <w:rFonts w:ascii="Calibri" w:hAnsi="Calibri" w:cs="Calibri"/>
          <w:sz w:val="22"/>
          <w:szCs w:val="22"/>
        </w:rPr>
        <w:t xml:space="preserve">Stejně jako v předchozích měsících však </w:t>
      </w:r>
      <w:r w:rsidR="00D86169">
        <w:rPr>
          <w:rFonts w:ascii="Calibri" w:hAnsi="Calibri" w:cs="Calibri"/>
          <w:sz w:val="22"/>
          <w:szCs w:val="22"/>
        </w:rPr>
        <w:t xml:space="preserve">ještě zachycuje </w:t>
      </w:r>
      <w:r w:rsidR="00001E72">
        <w:rPr>
          <w:rFonts w:ascii="Calibri" w:hAnsi="Calibri" w:cs="Calibri"/>
          <w:sz w:val="22"/>
          <w:szCs w:val="22"/>
        </w:rPr>
        <w:t xml:space="preserve">uzavřené </w:t>
      </w:r>
      <w:r w:rsidR="00D86169">
        <w:rPr>
          <w:rFonts w:ascii="Calibri" w:hAnsi="Calibri" w:cs="Calibri"/>
          <w:sz w:val="22"/>
          <w:szCs w:val="22"/>
        </w:rPr>
        <w:t xml:space="preserve">smlouvy, které byly rozjednány s klienty </w:t>
      </w:r>
      <w:r w:rsidR="00DE2574">
        <w:rPr>
          <w:rFonts w:ascii="Calibri" w:hAnsi="Calibri" w:cs="Calibri"/>
          <w:sz w:val="22"/>
          <w:szCs w:val="22"/>
        </w:rPr>
        <w:t>v </w:t>
      </w:r>
      <w:r w:rsidR="00E042FF">
        <w:rPr>
          <w:rFonts w:ascii="Calibri" w:hAnsi="Calibri" w:cs="Calibri"/>
          <w:sz w:val="22"/>
          <w:szCs w:val="22"/>
        </w:rPr>
        <w:t>dřívějších</w:t>
      </w:r>
      <w:r w:rsidR="00DE2574">
        <w:rPr>
          <w:rFonts w:ascii="Calibri" w:hAnsi="Calibri" w:cs="Calibri"/>
          <w:sz w:val="22"/>
          <w:szCs w:val="22"/>
        </w:rPr>
        <w:t xml:space="preserve"> měsících, </w:t>
      </w:r>
      <w:r w:rsidR="0013407D">
        <w:rPr>
          <w:rFonts w:ascii="Calibri" w:hAnsi="Calibri" w:cs="Calibri"/>
          <w:sz w:val="22"/>
          <w:szCs w:val="22"/>
        </w:rPr>
        <w:t xml:space="preserve">kdy byly </w:t>
      </w:r>
      <w:r w:rsidR="00FE5C0B">
        <w:rPr>
          <w:rFonts w:ascii="Calibri" w:hAnsi="Calibri" w:cs="Calibri"/>
          <w:sz w:val="22"/>
          <w:szCs w:val="22"/>
        </w:rPr>
        <w:t xml:space="preserve">úrokové sazby </w:t>
      </w:r>
      <w:r w:rsidR="00D339A1">
        <w:rPr>
          <w:rFonts w:ascii="Calibri" w:hAnsi="Calibri" w:cs="Calibri"/>
          <w:sz w:val="22"/>
          <w:szCs w:val="22"/>
        </w:rPr>
        <w:t xml:space="preserve">mírně </w:t>
      </w:r>
      <w:r w:rsidR="00FE5C0B">
        <w:rPr>
          <w:rFonts w:ascii="Calibri" w:hAnsi="Calibri" w:cs="Calibri"/>
          <w:sz w:val="22"/>
          <w:szCs w:val="22"/>
        </w:rPr>
        <w:t xml:space="preserve">nižší. </w:t>
      </w:r>
      <w:r w:rsidR="00FE5C0B" w:rsidRPr="00137050">
        <w:rPr>
          <w:rFonts w:ascii="Calibri" w:hAnsi="Calibri" w:cs="Calibri"/>
          <w:b/>
          <w:bCs/>
          <w:sz w:val="22"/>
          <w:szCs w:val="22"/>
        </w:rPr>
        <w:t xml:space="preserve">Proto </w:t>
      </w:r>
      <w:r w:rsidR="00D339A1">
        <w:rPr>
          <w:rFonts w:ascii="Calibri" w:hAnsi="Calibri" w:cs="Calibri"/>
          <w:b/>
          <w:bCs/>
          <w:sz w:val="22"/>
          <w:szCs w:val="22"/>
        </w:rPr>
        <w:t>je</w:t>
      </w:r>
      <w:r w:rsidR="00FE5C0B" w:rsidRPr="00137050">
        <w:rPr>
          <w:rFonts w:ascii="Calibri" w:hAnsi="Calibri" w:cs="Calibri"/>
          <w:b/>
          <w:bCs/>
          <w:sz w:val="22"/>
          <w:szCs w:val="22"/>
        </w:rPr>
        <w:t xml:space="preserve"> průměrná hypoteční sazba u nově uzavřených smluv stále pod nabídkovými </w:t>
      </w:r>
      <w:r w:rsidR="00B66DB7" w:rsidRPr="00137050">
        <w:rPr>
          <w:rFonts w:ascii="Calibri" w:hAnsi="Calibri" w:cs="Calibri"/>
          <w:b/>
          <w:bCs/>
          <w:sz w:val="22"/>
          <w:szCs w:val="22"/>
        </w:rPr>
        <w:t>sazbami hypoték.</w:t>
      </w:r>
      <w:r w:rsidR="00B66DB7">
        <w:rPr>
          <w:rFonts w:ascii="Calibri" w:hAnsi="Calibri" w:cs="Calibri"/>
          <w:sz w:val="22"/>
          <w:szCs w:val="22"/>
        </w:rPr>
        <w:t xml:space="preserve"> </w:t>
      </w:r>
      <w:r w:rsidR="0080130F">
        <w:rPr>
          <w:rFonts w:ascii="Calibri" w:hAnsi="Calibri" w:cs="Calibri"/>
          <w:sz w:val="22"/>
          <w:szCs w:val="22"/>
        </w:rPr>
        <w:t xml:space="preserve">Ty se </w:t>
      </w:r>
      <w:r w:rsidR="00836C3B">
        <w:rPr>
          <w:rFonts w:ascii="Calibri" w:hAnsi="Calibri" w:cs="Calibri"/>
          <w:sz w:val="22"/>
          <w:szCs w:val="22"/>
        </w:rPr>
        <w:t xml:space="preserve">v současnosti pohybují ve velmi </w:t>
      </w:r>
      <w:r w:rsidR="00B66DB7">
        <w:rPr>
          <w:rFonts w:ascii="Calibri" w:hAnsi="Calibri" w:cs="Calibri"/>
          <w:sz w:val="22"/>
          <w:szCs w:val="22"/>
        </w:rPr>
        <w:t>širokém rozmezí od 4</w:t>
      </w:r>
      <w:r w:rsidR="00DF376E">
        <w:rPr>
          <w:rFonts w:ascii="Calibri" w:hAnsi="Calibri" w:cs="Calibri"/>
          <w:sz w:val="22"/>
          <w:szCs w:val="22"/>
        </w:rPr>
        <w:t>,5</w:t>
      </w:r>
      <w:r w:rsidR="00B66DB7">
        <w:rPr>
          <w:rFonts w:ascii="Calibri" w:hAnsi="Calibri" w:cs="Calibri"/>
          <w:sz w:val="22"/>
          <w:szCs w:val="22"/>
        </w:rPr>
        <w:t xml:space="preserve"> do </w:t>
      </w:r>
      <w:r w:rsidR="00836C3B">
        <w:rPr>
          <w:rFonts w:ascii="Calibri" w:hAnsi="Calibri" w:cs="Calibri"/>
          <w:sz w:val="22"/>
          <w:szCs w:val="22"/>
        </w:rPr>
        <w:t>6</w:t>
      </w:r>
      <w:r w:rsidR="00B66DB7">
        <w:rPr>
          <w:rFonts w:ascii="Calibri" w:hAnsi="Calibri" w:cs="Calibri"/>
          <w:sz w:val="22"/>
          <w:szCs w:val="22"/>
        </w:rPr>
        <w:t xml:space="preserve"> %</w:t>
      </w:r>
      <w:r w:rsidR="00836C3B">
        <w:rPr>
          <w:rFonts w:ascii="Calibri" w:hAnsi="Calibri" w:cs="Calibri"/>
          <w:sz w:val="22"/>
          <w:szCs w:val="22"/>
        </w:rPr>
        <w:t xml:space="preserve"> v závislosti na konkrétních parametrech hypotéky.</w:t>
      </w:r>
      <w:r w:rsidR="00425A84">
        <w:rPr>
          <w:rFonts w:ascii="Calibri" w:hAnsi="Calibri" w:cs="Calibri"/>
          <w:sz w:val="22"/>
          <w:szCs w:val="22"/>
        </w:rPr>
        <w:t xml:space="preserve"> </w:t>
      </w:r>
      <w:r w:rsidR="00BB6DED">
        <w:rPr>
          <w:rFonts w:ascii="Calibri" w:hAnsi="Calibri" w:cs="Calibri"/>
          <w:sz w:val="22"/>
          <w:szCs w:val="22"/>
        </w:rPr>
        <w:t>Nesoulad mezi nabídkovou a realizovanou úrokovou sazbou byl v posledních měsících v</w:t>
      </w:r>
      <w:r w:rsidR="00483FA6">
        <w:rPr>
          <w:rFonts w:ascii="Calibri" w:hAnsi="Calibri" w:cs="Calibri"/>
          <w:sz w:val="22"/>
          <w:szCs w:val="22"/>
        </w:rPr>
        <w:t>ýraznější</w:t>
      </w:r>
      <w:r w:rsidR="00D5465D">
        <w:rPr>
          <w:rFonts w:ascii="Calibri" w:hAnsi="Calibri" w:cs="Calibri"/>
          <w:sz w:val="22"/>
          <w:szCs w:val="22"/>
        </w:rPr>
        <w:t xml:space="preserve"> vzhledem k rychlému růstu úrokových sazeb</w:t>
      </w:r>
      <w:r w:rsidR="00DA7808">
        <w:rPr>
          <w:rFonts w:ascii="Calibri" w:hAnsi="Calibri" w:cs="Calibri"/>
          <w:sz w:val="22"/>
          <w:szCs w:val="22"/>
        </w:rPr>
        <w:t>.</w:t>
      </w:r>
      <w:r w:rsidR="00D5465D">
        <w:rPr>
          <w:rFonts w:ascii="Calibri" w:hAnsi="Calibri" w:cs="Calibri"/>
          <w:sz w:val="22"/>
          <w:szCs w:val="22"/>
        </w:rPr>
        <w:t xml:space="preserve"> </w:t>
      </w:r>
      <w:r w:rsidR="00DA7808">
        <w:rPr>
          <w:rFonts w:ascii="Calibri" w:hAnsi="Calibri" w:cs="Calibri"/>
          <w:sz w:val="22"/>
          <w:szCs w:val="22"/>
        </w:rPr>
        <w:t>P</w:t>
      </w:r>
      <w:r w:rsidR="006A0D71">
        <w:rPr>
          <w:rFonts w:ascii="Calibri" w:hAnsi="Calibri" w:cs="Calibri"/>
          <w:sz w:val="22"/>
          <w:szCs w:val="22"/>
        </w:rPr>
        <w:t xml:space="preserve">ostupně se </w:t>
      </w:r>
      <w:r w:rsidR="00DA7808">
        <w:rPr>
          <w:rFonts w:ascii="Calibri" w:hAnsi="Calibri" w:cs="Calibri"/>
          <w:sz w:val="22"/>
          <w:szCs w:val="22"/>
        </w:rPr>
        <w:t>ale</w:t>
      </w:r>
      <w:r w:rsidR="006A0D71">
        <w:rPr>
          <w:rFonts w:ascii="Calibri" w:hAnsi="Calibri" w:cs="Calibri"/>
          <w:sz w:val="22"/>
          <w:szCs w:val="22"/>
        </w:rPr>
        <w:t xml:space="preserve"> budou </w:t>
      </w:r>
      <w:r w:rsidR="00BC009D">
        <w:rPr>
          <w:rFonts w:ascii="Calibri" w:hAnsi="Calibri" w:cs="Calibri"/>
          <w:sz w:val="22"/>
          <w:szCs w:val="22"/>
        </w:rPr>
        <w:t>obě sazby</w:t>
      </w:r>
      <w:r w:rsidR="006A0D71">
        <w:rPr>
          <w:rFonts w:ascii="Calibri" w:hAnsi="Calibri" w:cs="Calibri"/>
          <w:sz w:val="22"/>
          <w:szCs w:val="22"/>
        </w:rPr>
        <w:t xml:space="preserve"> opět sbližovat. </w:t>
      </w:r>
    </w:p>
    <w:p w14:paraId="6602F780" w14:textId="1ADDCDD5" w:rsidR="00836C3B" w:rsidRDefault="00836C3B" w:rsidP="007826E0">
      <w:pPr>
        <w:rPr>
          <w:rFonts w:ascii="Calibri" w:hAnsi="Calibri" w:cs="Calibri"/>
          <w:sz w:val="22"/>
          <w:szCs w:val="22"/>
        </w:rPr>
      </w:pPr>
    </w:p>
    <w:p w14:paraId="2A64830A" w14:textId="3304DC68" w:rsidR="00106D78" w:rsidRDefault="00106D78" w:rsidP="00D5465D">
      <w:pPr>
        <w:rPr>
          <w:rFonts w:ascii="Calibri" w:hAnsi="Calibri" w:cs="Calibri"/>
          <w:sz w:val="22"/>
          <w:szCs w:val="22"/>
        </w:rPr>
      </w:pPr>
      <w:bookmarkStart w:id="1" w:name="_Hlk100672905"/>
      <w:r w:rsidRPr="003C2D27">
        <w:rPr>
          <w:rFonts w:ascii="Calibri" w:hAnsi="Calibri" w:cs="Calibri"/>
          <w:sz w:val="22"/>
          <w:szCs w:val="22"/>
        </w:rPr>
        <w:t>„</w:t>
      </w:r>
      <w:r w:rsidR="00D5465D" w:rsidRPr="003C2D27">
        <w:rPr>
          <w:rFonts w:ascii="Calibri" w:hAnsi="Calibri" w:cs="Calibri"/>
          <w:i/>
          <w:iCs/>
          <w:sz w:val="22"/>
          <w:szCs w:val="22"/>
        </w:rPr>
        <w:t>Průměrná sazba hypoték po více než deseti letech opět překročila hranici 4 %. Je třeba ale dodat, že se jedná ještě o sazbu zkreslenou úrokovými garancemi, tedy sazbu z žádostí podaných v únoru tohoto roku</w:t>
      </w:r>
      <w:r w:rsidR="00B0149D" w:rsidRPr="003C2D27">
        <w:rPr>
          <w:rFonts w:ascii="Calibri" w:hAnsi="Calibri" w:cs="Calibri"/>
          <w:i/>
          <w:iCs/>
          <w:sz w:val="22"/>
          <w:szCs w:val="22"/>
        </w:rPr>
        <w:t xml:space="preserve"> či dříve</w:t>
      </w:r>
      <w:r w:rsidR="00D5465D" w:rsidRPr="003C2D27">
        <w:rPr>
          <w:rFonts w:ascii="Calibri" w:hAnsi="Calibri" w:cs="Calibri"/>
          <w:i/>
          <w:iCs/>
          <w:sz w:val="22"/>
          <w:szCs w:val="22"/>
        </w:rPr>
        <w:t>. V mezidobí cena dlouhodobých peněz</w:t>
      </w:r>
      <w:r w:rsidR="00356528" w:rsidRPr="003C2D27">
        <w:rPr>
          <w:rFonts w:ascii="Calibri" w:hAnsi="Calibri" w:cs="Calibri"/>
          <w:i/>
          <w:iCs/>
          <w:sz w:val="22"/>
          <w:szCs w:val="22"/>
        </w:rPr>
        <w:t xml:space="preserve"> silně vzrostla a </w:t>
      </w:r>
      <w:r w:rsidR="00D5465D" w:rsidRPr="003C2D27">
        <w:rPr>
          <w:rFonts w:ascii="Calibri" w:hAnsi="Calibri" w:cs="Calibri"/>
          <w:i/>
          <w:iCs/>
          <w:sz w:val="22"/>
          <w:szCs w:val="22"/>
        </w:rPr>
        <w:t xml:space="preserve">v půlce dubna atakuje 5% hranici. Jinými slovy to znamená, že poskytovat aktuálně </w:t>
      </w:r>
      <w:r w:rsidR="008C59BA">
        <w:rPr>
          <w:rFonts w:ascii="Calibri" w:hAnsi="Calibri" w:cs="Calibri"/>
          <w:i/>
          <w:iCs/>
          <w:sz w:val="22"/>
          <w:szCs w:val="22"/>
        </w:rPr>
        <w:t>úvěry na pořízení nemovitosti</w:t>
      </w:r>
      <w:r w:rsidR="00D5465D" w:rsidRPr="003C2D27">
        <w:rPr>
          <w:rFonts w:ascii="Calibri" w:hAnsi="Calibri" w:cs="Calibri"/>
          <w:i/>
          <w:iCs/>
          <w:sz w:val="22"/>
          <w:szCs w:val="22"/>
        </w:rPr>
        <w:t xml:space="preserve"> za 5 % je stejné, jako prodávat housky za </w:t>
      </w:r>
      <w:r w:rsidR="003C2D27" w:rsidRPr="003C2D27">
        <w:rPr>
          <w:rFonts w:ascii="Calibri" w:hAnsi="Calibri" w:cs="Calibri"/>
          <w:i/>
          <w:iCs/>
          <w:sz w:val="22"/>
          <w:szCs w:val="22"/>
        </w:rPr>
        <w:t xml:space="preserve">cenu mouky, </w:t>
      </w:r>
      <w:r w:rsidR="00D5465D" w:rsidRPr="003C2D27">
        <w:rPr>
          <w:rFonts w:ascii="Calibri" w:hAnsi="Calibri" w:cs="Calibri"/>
          <w:i/>
          <w:iCs/>
          <w:sz w:val="22"/>
          <w:szCs w:val="22"/>
        </w:rPr>
        <w:t xml:space="preserve">tedy bez jakékoli marže. </w:t>
      </w:r>
      <w:r w:rsidR="003C2D27" w:rsidRPr="003C2D27">
        <w:rPr>
          <w:rFonts w:ascii="Calibri" w:hAnsi="Calibri" w:cs="Calibri"/>
          <w:i/>
          <w:iCs/>
          <w:sz w:val="22"/>
          <w:szCs w:val="22"/>
        </w:rPr>
        <w:t xml:space="preserve">Žadatel </w:t>
      </w:r>
      <w:r w:rsidR="003C2D27">
        <w:rPr>
          <w:rFonts w:ascii="Calibri" w:hAnsi="Calibri" w:cs="Calibri"/>
          <w:i/>
          <w:iCs/>
          <w:sz w:val="22"/>
          <w:szCs w:val="22"/>
        </w:rPr>
        <w:t>o novou</w:t>
      </w:r>
      <w:r w:rsidR="00D5465D" w:rsidRPr="00356528">
        <w:rPr>
          <w:rFonts w:ascii="Calibri" w:hAnsi="Calibri" w:cs="Calibri"/>
          <w:i/>
          <w:iCs/>
          <w:sz w:val="22"/>
          <w:szCs w:val="22"/>
        </w:rPr>
        <w:t xml:space="preserve"> hypotéku</w:t>
      </w:r>
      <w:r w:rsidR="003C2D27">
        <w:rPr>
          <w:rFonts w:ascii="Calibri" w:hAnsi="Calibri" w:cs="Calibri"/>
          <w:i/>
          <w:iCs/>
          <w:sz w:val="22"/>
          <w:szCs w:val="22"/>
        </w:rPr>
        <w:t xml:space="preserve"> proto </w:t>
      </w:r>
      <w:r w:rsidR="00D5465D" w:rsidRPr="00356528">
        <w:rPr>
          <w:rFonts w:ascii="Calibri" w:hAnsi="Calibri" w:cs="Calibri"/>
          <w:i/>
          <w:iCs/>
          <w:sz w:val="22"/>
          <w:szCs w:val="22"/>
        </w:rPr>
        <w:t>jinou sazbu než kolem 5 %</w:t>
      </w:r>
      <w:r w:rsidR="003C2D27">
        <w:rPr>
          <w:rFonts w:ascii="Calibri" w:hAnsi="Calibri" w:cs="Calibri"/>
          <w:i/>
          <w:iCs/>
          <w:sz w:val="22"/>
          <w:szCs w:val="22"/>
        </w:rPr>
        <w:t xml:space="preserve"> nemůže</w:t>
      </w:r>
      <w:r w:rsidR="00D5465D" w:rsidRPr="00356528">
        <w:rPr>
          <w:rFonts w:ascii="Calibri" w:hAnsi="Calibri" w:cs="Calibri"/>
          <w:i/>
          <w:iCs/>
          <w:sz w:val="22"/>
          <w:szCs w:val="22"/>
        </w:rPr>
        <w:t xml:space="preserve"> očekávat. Naplní-li se očekávaný scénář, sazby hypoték se do poloviny roku ustálí na hranici kolem 5,5 % </w:t>
      </w:r>
      <w:r w:rsidR="00356528" w:rsidRPr="00356528">
        <w:rPr>
          <w:rFonts w:ascii="Calibri" w:hAnsi="Calibri" w:cs="Calibri"/>
          <w:i/>
          <w:iCs/>
          <w:sz w:val="22"/>
          <w:szCs w:val="22"/>
        </w:rPr>
        <w:t>až</w:t>
      </w:r>
      <w:r w:rsidR="00D5465D" w:rsidRPr="00356528">
        <w:rPr>
          <w:rFonts w:ascii="Calibri" w:hAnsi="Calibri" w:cs="Calibri"/>
          <w:i/>
          <w:iCs/>
          <w:sz w:val="22"/>
          <w:szCs w:val="22"/>
        </w:rPr>
        <w:t xml:space="preserve"> 6,0 %</w:t>
      </w:r>
      <w:r w:rsidRPr="00356528">
        <w:rPr>
          <w:rFonts w:ascii="Calibri" w:hAnsi="Calibri" w:cs="Calibri"/>
          <w:sz w:val="22"/>
          <w:szCs w:val="22"/>
        </w:rPr>
        <w:t xml:space="preserve">,“ říká </w:t>
      </w:r>
      <w:r w:rsidR="008C59BA">
        <w:rPr>
          <w:rFonts w:ascii="Calibri" w:hAnsi="Calibri" w:cs="Calibri"/>
          <w:sz w:val="22"/>
          <w:szCs w:val="22"/>
        </w:rPr>
        <w:t>Michal Noha</w:t>
      </w:r>
      <w:r w:rsidRPr="00356528">
        <w:rPr>
          <w:rFonts w:ascii="Calibri" w:hAnsi="Calibri" w:cs="Calibri"/>
          <w:sz w:val="22"/>
          <w:szCs w:val="22"/>
        </w:rPr>
        <w:t xml:space="preserve">, </w:t>
      </w:r>
      <w:r w:rsidR="008C59BA">
        <w:rPr>
          <w:rFonts w:ascii="Calibri" w:hAnsi="Calibri" w:cs="Calibri"/>
          <w:sz w:val="22"/>
          <w:szCs w:val="22"/>
        </w:rPr>
        <w:t>ředitel produktového managementu Raiffeisen stavební spořiteln</w:t>
      </w:r>
      <w:r w:rsidR="0076473F">
        <w:rPr>
          <w:rFonts w:ascii="Calibri" w:hAnsi="Calibri" w:cs="Calibri"/>
          <w:sz w:val="22"/>
          <w:szCs w:val="22"/>
        </w:rPr>
        <w:t>y</w:t>
      </w:r>
      <w:r w:rsidRPr="00356528">
        <w:rPr>
          <w:rFonts w:ascii="Calibri" w:hAnsi="Calibri" w:cs="Calibri"/>
          <w:sz w:val="22"/>
          <w:szCs w:val="22"/>
        </w:rPr>
        <w:t>.</w:t>
      </w:r>
    </w:p>
    <w:p w14:paraId="1C1C54BF" w14:textId="671641AD" w:rsidR="00D339A1" w:rsidRDefault="00D339A1" w:rsidP="00D5465D">
      <w:pPr>
        <w:rPr>
          <w:rFonts w:ascii="Calibri" w:hAnsi="Calibri" w:cs="Calibri"/>
          <w:sz w:val="22"/>
          <w:szCs w:val="22"/>
        </w:rPr>
      </w:pPr>
    </w:p>
    <w:p w14:paraId="5BE26F86" w14:textId="72A42E12" w:rsidR="00D339A1" w:rsidRDefault="00D339A1" w:rsidP="00D5465D">
      <w:pPr>
        <w:rPr>
          <w:rFonts w:ascii="Calibri" w:hAnsi="Calibri" w:cs="Calibri"/>
          <w:sz w:val="22"/>
          <w:szCs w:val="22"/>
        </w:rPr>
      </w:pPr>
    </w:p>
    <w:p w14:paraId="1F886DD7" w14:textId="10D16EFE" w:rsidR="00D339A1" w:rsidRDefault="00D339A1" w:rsidP="00D5465D">
      <w:pPr>
        <w:rPr>
          <w:rFonts w:ascii="Calibri" w:hAnsi="Calibri" w:cs="Calibri"/>
          <w:sz w:val="22"/>
          <w:szCs w:val="22"/>
        </w:rPr>
      </w:pPr>
    </w:p>
    <w:p w14:paraId="4D9BC92F" w14:textId="43FE6632" w:rsidR="00D339A1" w:rsidRDefault="00D339A1" w:rsidP="00D5465D">
      <w:pPr>
        <w:rPr>
          <w:rFonts w:ascii="Calibri" w:hAnsi="Calibri" w:cs="Calibri"/>
          <w:sz w:val="22"/>
          <w:szCs w:val="22"/>
        </w:rPr>
      </w:pPr>
    </w:p>
    <w:p w14:paraId="11A36256" w14:textId="5346A7AF" w:rsidR="00D339A1" w:rsidRDefault="00D339A1" w:rsidP="00D5465D">
      <w:pPr>
        <w:rPr>
          <w:rFonts w:ascii="Calibri" w:hAnsi="Calibri" w:cs="Calibri"/>
          <w:sz w:val="22"/>
          <w:szCs w:val="22"/>
        </w:rPr>
      </w:pPr>
    </w:p>
    <w:p w14:paraId="589BC36F" w14:textId="0451C143" w:rsidR="00D339A1" w:rsidRDefault="00D339A1" w:rsidP="00D5465D">
      <w:pPr>
        <w:rPr>
          <w:rFonts w:ascii="Calibri" w:hAnsi="Calibri" w:cs="Calibri"/>
          <w:sz w:val="22"/>
          <w:szCs w:val="22"/>
        </w:rPr>
      </w:pPr>
    </w:p>
    <w:p w14:paraId="4F6FC6F5" w14:textId="0293C3F4" w:rsidR="00D339A1" w:rsidRDefault="00D339A1" w:rsidP="00D5465D">
      <w:pPr>
        <w:rPr>
          <w:rFonts w:ascii="Calibri" w:hAnsi="Calibri" w:cs="Calibri"/>
          <w:sz w:val="22"/>
          <w:szCs w:val="22"/>
        </w:rPr>
      </w:pPr>
    </w:p>
    <w:p w14:paraId="79D1199D" w14:textId="17AB474D" w:rsidR="00D339A1" w:rsidRDefault="00D339A1" w:rsidP="00D5465D">
      <w:pPr>
        <w:rPr>
          <w:rFonts w:ascii="Calibri" w:hAnsi="Calibri" w:cs="Calibri"/>
          <w:sz w:val="22"/>
          <w:szCs w:val="22"/>
        </w:rPr>
      </w:pPr>
    </w:p>
    <w:p w14:paraId="20DB1723" w14:textId="7A44A596" w:rsidR="00D339A1" w:rsidRDefault="00D339A1" w:rsidP="00D5465D">
      <w:pPr>
        <w:rPr>
          <w:rFonts w:ascii="Calibri" w:hAnsi="Calibri" w:cs="Calibri"/>
          <w:sz w:val="22"/>
          <w:szCs w:val="22"/>
        </w:rPr>
      </w:pPr>
    </w:p>
    <w:p w14:paraId="36915DE9" w14:textId="2E4A2AA9" w:rsidR="00D339A1" w:rsidRDefault="00D339A1" w:rsidP="00D5465D">
      <w:pPr>
        <w:rPr>
          <w:rFonts w:ascii="Calibri" w:hAnsi="Calibri" w:cs="Calibri"/>
          <w:sz w:val="22"/>
          <w:szCs w:val="22"/>
        </w:rPr>
      </w:pPr>
    </w:p>
    <w:p w14:paraId="6E537454" w14:textId="77777777" w:rsidR="00D339A1" w:rsidRDefault="00D339A1" w:rsidP="00D5465D">
      <w:pPr>
        <w:rPr>
          <w:rFonts w:ascii="Calibri" w:hAnsi="Calibri" w:cs="Calibri"/>
          <w:sz w:val="22"/>
          <w:szCs w:val="22"/>
        </w:rPr>
      </w:pPr>
    </w:p>
    <w:bookmarkEnd w:id="1"/>
    <w:p w14:paraId="0C178533" w14:textId="7D1AE80B" w:rsidR="007826E0" w:rsidRPr="00E341F0" w:rsidRDefault="007826E0" w:rsidP="007826E0">
      <w:pPr>
        <w:rPr>
          <w:rFonts w:ascii="Calibri" w:hAnsi="Calibri" w:cs="Calibri"/>
          <w:b/>
          <w:color w:val="13576B"/>
          <w:sz w:val="23"/>
          <w:szCs w:val="23"/>
        </w:rPr>
      </w:pPr>
      <w:r w:rsidRPr="00E341F0">
        <w:rPr>
          <w:rFonts w:ascii="Calibri" w:hAnsi="Calibri" w:cs="Calibri"/>
          <w:b/>
          <w:color w:val="13576B"/>
          <w:sz w:val="23"/>
          <w:szCs w:val="23"/>
        </w:rPr>
        <w:t>Graf č. 1: Průměrná hypoteční sazba u nových obchodů dle oficiálních dat ČNB a ČBA Hypomonitoru</w:t>
      </w:r>
    </w:p>
    <w:p w14:paraId="7D5DA434" w14:textId="77777777" w:rsidR="007826E0" w:rsidRDefault="007826E0" w:rsidP="007826E0">
      <w:pPr>
        <w:rPr>
          <w:rFonts w:ascii="Calibri" w:hAnsi="Calibri" w:cs="Calibri"/>
          <w:b/>
          <w:color w:val="13576B"/>
          <w:sz w:val="22"/>
          <w:szCs w:val="22"/>
        </w:rPr>
      </w:pPr>
    </w:p>
    <w:p w14:paraId="0C716551" w14:textId="606087A2" w:rsidR="007826E0" w:rsidRDefault="0009101B" w:rsidP="007826E0">
      <w:pPr>
        <w:rPr>
          <w:rFonts w:ascii="Calibri" w:hAnsi="Calibri" w:cs="Calibri"/>
          <w:b/>
          <w:color w:val="13576B"/>
          <w:sz w:val="22"/>
          <w:szCs w:val="22"/>
        </w:rPr>
      </w:pPr>
      <w:r w:rsidRPr="0009101B">
        <w:rPr>
          <w:noProof/>
        </w:rPr>
        <w:drawing>
          <wp:inline distT="0" distB="0" distL="0" distR="0" wp14:anchorId="373DCC82" wp14:editId="60FC1F9A">
            <wp:extent cx="4322732" cy="292395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64" cy="2925057"/>
                    </a:xfrm>
                    <a:prstGeom prst="rect">
                      <a:avLst/>
                    </a:prstGeom>
                    <a:noFill/>
                    <a:ln>
                      <a:noFill/>
                    </a:ln>
                  </pic:spPr>
                </pic:pic>
              </a:graphicData>
            </a:graphic>
          </wp:inline>
        </w:drawing>
      </w:r>
    </w:p>
    <w:p w14:paraId="6184DDAA" w14:textId="77777777" w:rsidR="007826E0" w:rsidRDefault="007826E0" w:rsidP="0001227F">
      <w:pPr>
        <w:rPr>
          <w:rFonts w:ascii="Calibri" w:hAnsi="Calibri" w:cs="Calibri"/>
          <w:sz w:val="22"/>
          <w:szCs w:val="22"/>
        </w:rPr>
      </w:pPr>
    </w:p>
    <w:p w14:paraId="3A190CDC" w14:textId="27E21386" w:rsidR="00CE20E9" w:rsidRDefault="00597DD9" w:rsidP="0001227F">
      <w:pPr>
        <w:rPr>
          <w:rFonts w:ascii="Calibri" w:hAnsi="Calibri" w:cs="Calibri"/>
          <w:sz w:val="22"/>
          <w:szCs w:val="22"/>
        </w:rPr>
      </w:pPr>
      <w:r w:rsidRPr="00597DD9">
        <w:rPr>
          <w:rFonts w:ascii="Calibri" w:hAnsi="Calibri" w:cs="Calibri"/>
          <w:sz w:val="22"/>
          <w:szCs w:val="22"/>
        </w:rPr>
        <w:t xml:space="preserve">Hypoteční sazby reagují </w:t>
      </w:r>
      <w:r w:rsidR="00FE34B0">
        <w:rPr>
          <w:rFonts w:ascii="Calibri" w:hAnsi="Calibri" w:cs="Calibri"/>
          <w:sz w:val="22"/>
          <w:szCs w:val="22"/>
        </w:rPr>
        <w:t>s</w:t>
      </w:r>
      <w:r w:rsidR="00B5765A">
        <w:rPr>
          <w:rFonts w:ascii="Calibri" w:hAnsi="Calibri" w:cs="Calibri"/>
          <w:sz w:val="22"/>
          <w:szCs w:val="22"/>
        </w:rPr>
        <w:t xml:space="preserve"> mírným </w:t>
      </w:r>
      <w:r w:rsidR="00FE34B0">
        <w:rPr>
          <w:rFonts w:ascii="Calibri" w:hAnsi="Calibri" w:cs="Calibri"/>
          <w:sz w:val="22"/>
          <w:szCs w:val="22"/>
        </w:rPr>
        <w:t xml:space="preserve">zpožděním </w:t>
      </w:r>
      <w:r w:rsidRPr="00597DD9">
        <w:rPr>
          <w:rFonts w:ascii="Calibri" w:hAnsi="Calibri" w:cs="Calibri"/>
          <w:sz w:val="22"/>
          <w:szCs w:val="22"/>
        </w:rPr>
        <w:t xml:space="preserve">především na </w:t>
      </w:r>
      <w:r w:rsidR="00B5765A">
        <w:rPr>
          <w:rFonts w:ascii="Calibri" w:hAnsi="Calibri" w:cs="Calibri"/>
          <w:sz w:val="22"/>
          <w:szCs w:val="22"/>
        </w:rPr>
        <w:t xml:space="preserve">vývoj </w:t>
      </w:r>
      <w:r w:rsidRPr="00597DD9">
        <w:rPr>
          <w:rFonts w:ascii="Calibri" w:hAnsi="Calibri" w:cs="Calibri"/>
          <w:sz w:val="22"/>
          <w:szCs w:val="22"/>
        </w:rPr>
        <w:t>tržní</w:t>
      </w:r>
      <w:r w:rsidR="00B5765A">
        <w:rPr>
          <w:rFonts w:ascii="Calibri" w:hAnsi="Calibri" w:cs="Calibri"/>
          <w:sz w:val="22"/>
          <w:szCs w:val="22"/>
        </w:rPr>
        <w:t>ch</w:t>
      </w:r>
      <w:r w:rsidRPr="00597DD9">
        <w:rPr>
          <w:rFonts w:ascii="Calibri" w:hAnsi="Calibri" w:cs="Calibri"/>
          <w:sz w:val="22"/>
          <w:szCs w:val="22"/>
        </w:rPr>
        <w:t xml:space="preserve"> úrokov</w:t>
      </w:r>
      <w:r w:rsidR="00B5765A">
        <w:rPr>
          <w:rFonts w:ascii="Calibri" w:hAnsi="Calibri" w:cs="Calibri"/>
          <w:sz w:val="22"/>
          <w:szCs w:val="22"/>
        </w:rPr>
        <w:t>ých</w:t>
      </w:r>
      <w:r w:rsidRPr="00597DD9">
        <w:rPr>
          <w:rFonts w:ascii="Calibri" w:hAnsi="Calibri" w:cs="Calibri"/>
          <w:sz w:val="22"/>
          <w:szCs w:val="22"/>
        </w:rPr>
        <w:t xml:space="preserve"> saz</w:t>
      </w:r>
      <w:r w:rsidR="00B5765A">
        <w:rPr>
          <w:rFonts w:ascii="Calibri" w:hAnsi="Calibri" w:cs="Calibri"/>
          <w:sz w:val="22"/>
          <w:szCs w:val="22"/>
        </w:rPr>
        <w:t>eb</w:t>
      </w:r>
      <w:r w:rsidRPr="00597DD9">
        <w:rPr>
          <w:rFonts w:ascii="Calibri" w:hAnsi="Calibri" w:cs="Calibri"/>
          <w:sz w:val="22"/>
          <w:szCs w:val="22"/>
        </w:rPr>
        <w:t xml:space="preserve"> delších splatností. </w:t>
      </w:r>
      <w:r w:rsidR="0076473F">
        <w:rPr>
          <w:rFonts w:ascii="Calibri" w:hAnsi="Calibri" w:cs="Calibri"/>
          <w:sz w:val="22"/>
          <w:szCs w:val="22"/>
        </w:rPr>
        <w:t xml:space="preserve">Promítá se do </w:t>
      </w:r>
      <w:r w:rsidRPr="00597DD9">
        <w:rPr>
          <w:rFonts w:ascii="Calibri" w:hAnsi="Calibri" w:cs="Calibri"/>
          <w:sz w:val="22"/>
          <w:szCs w:val="22"/>
        </w:rPr>
        <w:t>nich řada faktorů</w:t>
      </w:r>
      <w:r w:rsidR="00824A84">
        <w:rPr>
          <w:rFonts w:ascii="Calibri" w:hAnsi="Calibri" w:cs="Calibri"/>
          <w:sz w:val="22"/>
          <w:szCs w:val="22"/>
        </w:rPr>
        <w:t xml:space="preserve"> </w:t>
      </w:r>
      <w:r w:rsidR="00922AFA" w:rsidRPr="00922AFA">
        <w:rPr>
          <w:rFonts w:ascii="Calibri" w:hAnsi="Calibri" w:cs="Calibri"/>
        </w:rPr>
        <w:t>–</w:t>
      </w:r>
      <w:r w:rsidRPr="00597DD9">
        <w:rPr>
          <w:rFonts w:ascii="Calibri" w:hAnsi="Calibri" w:cs="Calibri"/>
          <w:sz w:val="22"/>
          <w:szCs w:val="22"/>
        </w:rPr>
        <w:t xml:space="preserve"> nejen očekáváný vývoj základních sazeb ČNB, ale i výhled na inflaci, ekonomický vývoj či dynamik</w:t>
      </w:r>
      <w:r w:rsidR="001F72D8">
        <w:rPr>
          <w:rFonts w:ascii="Calibri" w:hAnsi="Calibri" w:cs="Calibri"/>
          <w:sz w:val="22"/>
          <w:szCs w:val="22"/>
        </w:rPr>
        <w:t>a</w:t>
      </w:r>
      <w:r w:rsidRPr="00597DD9">
        <w:rPr>
          <w:rFonts w:ascii="Calibri" w:hAnsi="Calibri" w:cs="Calibri"/>
          <w:sz w:val="22"/>
          <w:szCs w:val="22"/>
        </w:rPr>
        <w:t xml:space="preserve"> obdobných úrokových sazeb v zahraničí. Zmíněné tržní úrokové sazby delších splatností</w:t>
      </w:r>
      <w:r>
        <w:rPr>
          <w:rStyle w:val="Znakapoznpodarou"/>
          <w:rFonts w:ascii="Calibri" w:hAnsi="Calibri" w:cs="Calibri"/>
          <w:i/>
          <w:iCs/>
          <w:sz w:val="22"/>
          <w:szCs w:val="22"/>
        </w:rPr>
        <w:footnoteReference w:id="1"/>
      </w:r>
      <w:r w:rsidR="00833EC7">
        <w:rPr>
          <w:rFonts w:ascii="Calibri" w:hAnsi="Calibri" w:cs="Calibri"/>
          <w:sz w:val="22"/>
          <w:szCs w:val="22"/>
        </w:rPr>
        <w:t xml:space="preserve"> </w:t>
      </w:r>
      <w:r w:rsidR="002A266C">
        <w:rPr>
          <w:rFonts w:ascii="Calibri" w:hAnsi="Calibri" w:cs="Calibri"/>
          <w:sz w:val="22"/>
          <w:szCs w:val="22"/>
        </w:rPr>
        <w:t xml:space="preserve">se nacházejí na nejvyšší úrovni </w:t>
      </w:r>
      <w:r w:rsidR="00840749">
        <w:rPr>
          <w:rFonts w:ascii="Calibri" w:hAnsi="Calibri" w:cs="Calibri"/>
          <w:sz w:val="22"/>
          <w:szCs w:val="22"/>
        </w:rPr>
        <w:t xml:space="preserve">od </w:t>
      </w:r>
      <w:r w:rsidR="00D339A1">
        <w:rPr>
          <w:rFonts w:ascii="Calibri" w:hAnsi="Calibri" w:cs="Calibri"/>
          <w:sz w:val="22"/>
          <w:szCs w:val="22"/>
        </w:rPr>
        <w:t>roku 2008</w:t>
      </w:r>
      <w:r w:rsidR="00942818">
        <w:rPr>
          <w:rFonts w:ascii="Calibri" w:hAnsi="Calibri" w:cs="Calibri"/>
          <w:sz w:val="22"/>
          <w:szCs w:val="22"/>
        </w:rPr>
        <w:t>.</w:t>
      </w:r>
      <w:r w:rsidR="00D339A1">
        <w:rPr>
          <w:rFonts w:ascii="Calibri" w:hAnsi="Calibri" w:cs="Calibri"/>
          <w:sz w:val="22"/>
          <w:szCs w:val="22"/>
        </w:rPr>
        <w:t xml:space="preserve"> </w:t>
      </w:r>
      <w:r w:rsidR="00942818">
        <w:rPr>
          <w:rFonts w:ascii="Calibri" w:hAnsi="Calibri" w:cs="Calibri"/>
          <w:sz w:val="22"/>
          <w:szCs w:val="22"/>
        </w:rPr>
        <w:t>Ú</w:t>
      </w:r>
      <w:r w:rsidR="00D339A1">
        <w:rPr>
          <w:rFonts w:ascii="Calibri" w:hAnsi="Calibri" w:cs="Calibri"/>
          <w:sz w:val="22"/>
          <w:szCs w:val="22"/>
        </w:rPr>
        <w:t xml:space="preserve">rokové sazby kratších splatností jsou nejvyšší za posledních dvacet let. Struktura úrokových sazeb na tuzemském trhu tak znamená, že hypoteční sazba delších fixací je mírně </w:t>
      </w:r>
      <w:r w:rsidR="00BC009D">
        <w:rPr>
          <w:rFonts w:ascii="Calibri" w:hAnsi="Calibri" w:cs="Calibri"/>
          <w:sz w:val="22"/>
          <w:szCs w:val="22"/>
        </w:rPr>
        <w:t>nižší</w:t>
      </w:r>
      <w:r w:rsidR="00D339A1">
        <w:rPr>
          <w:rFonts w:ascii="Calibri" w:hAnsi="Calibri" w:cs="Calibri"/>
          <w:sz w:val="22"/>
          <w:szCs w:val="22"/>
        </w:rPr>
        <w:t xml:space="preserve"> než u fixací kratších.</w:t>
      </w:r>
      <w:r w:rsidR="0051508B">
        <w:rPr>
          <w:rFonts w:ascii="Calibri" w:hAnsi="Calibri" w:cs="Calibri"/>
          <w:sz w:val="22"/>
          <w:szCs w:val="22"/>
        </w:rPr>
        <w:t xml:space="preserve"> </w:t>
      </w:r>
    </w:p>
    <w:p w14:paraId="5CADB7B1" w14:textId="44DAE182" w:rsidR="00C975A8" w:rsidRDefault="00C975A8" w:rsidP="0001227F">
      <w:pPr>
        <w:rPr>
          <w:rFonts w:ascii="Calibri" w:hAnsi="Calibri" w:cs="Calibri"/>
          <w:sz w:val="22"/>
          <w:szCs w:val="22"/>
        </w:rPr>
      </w:pPr>
    </w:p>
    <w:p w14:paraId="0DB9B084" w14:textId="25AB8655" w:rsidR="00C975A8" w:rsidRDefault="00336412" w:rsidP="00C975A8">
      <w:pPr>
        <w:rPr>
          <w:rFonts w:ascii="Calibri" w:hAnsi="Calibri" w:cs="Calibri"/>
          <w:sz w:val="22"/>
          <w:szCs w:val="22"/>
        </w:rPr>
      </w:pPr>
      <w:r>
        <w:rPr>
          <w:rFonts w:ascii="Calibri" w:hAnsi="Calibri" w:cs="Calibri"/>
          <w:i/>
          <w:iCs/>
          <w:sz w:val="22"/>
          <w:szCs w:val="22"/>
        </w:rPr>
        <w:t>„</w:t>
      </w:r>
      <w:r w:rsidR="00254CA2">
        <w:rPr>
          <w:rFonts w:ascii="Calibri" w:hAnsi="Calibri" w:cs="Calibri"/>
          <w:i/>
          <w:iCs/>
          <w:sz w:val="22"/>
          <w:szCs w:val="22"/>
        </w:rPr>
        <w:t>Tr</w:t>
      </w:r>
      <w:r w:rsidR="0053659F">
        <w:rPr>
          <w:rFonts w:ascii="Calibri" w:hAnsi="Calibri" w:cs="Calibri"/>
          <w:i/>
          <w:iCs/>
          <w:sz w:val="22"/>
          <w:szCs w:val="22"/>
        </w:rPr>
        <w:t>ž</w:t>
      </w:r>
      <w:r w:rsidR="00254CA2">
        <w:rPr>
          <w:rFonts w:ascii="Calibri" w:hAnsi="Calibri" w:cs="Calibri"/>
          <w:i/>
          <w:iCs/>
          <w:sz w:val="22"/>
          <w:szCs w:val="22"/>
        </w:rPr>
        <w:t>ní úrokové sazby</w:t>
      </w:r>
      <w:r w:rsidR="009804C2">
        <w:rPr>
          <w:rFonts w:ascii="Calibri" w:hAnsi="Calibri" w:cs="Calibri"/>
          <w:i/>
          <w:iCs/>
          <w:sz w:val="22"/>
          <w:szCs w:val="22"/>
        </w:rPr>
        <w:t xml:space="preserve"> </w:t>
      </w:r>
      <w:r w:rsidR="00306844">
        <w:rPr>
          <w:rFonts w:ascii="Calibri" w:hAnsi="Calibri" w:cs="Calibri"/>
          <w:i/>
          <w:iCs/>
          <w:sz w:val="22"/>
          <w:szCs w:val="22"/>
        </w:rPr>
        <w:t xml:space="preserve">delších </w:t>
      </w:r>
      <w:r w:rsidR="009804C2">
        <w:rPr>
          <w:rFonts w:ascii="Calibri" w:hAnsi="Calibri" w:cs="Calibri"/>
          <w:i/>
          <w:iCs/>
          <w:sz w:val="22"/>
          <w:szCs w:val="22"/>
        </w:rPr>
        <w:t>splatností</w:t>
      </w:r>
      <w:r w:rsidR="00306844">
        <w:rPr>
          <w:rFonts w:ascii="Calibri" w:hAnsi="Calibri" w:cs="Calibri"/>
          <w:i/>
          <w:iCs/>
          <w:sz w:val="22"/>
          <w:szCs w:val="22"/>
        </w:rPr>
        <w:t xml:space="preserve"> </w:t>
      </w:r>
      <w:r w:rsidR="00E413A5">
        <w:rPr>
          <w:rFonts w:ascii="Calibri" w:hAnsi="Calibri" w:cs="Calibri"/>
          <w:i/>
          <w:iCs/>
          <w:sz w:val="22"/>
          <w:szCs w:val="22"/>
        </w:rPr>
        <w:t>začaly po zahájení ruské agrese</w:t>
      </w:r>
      <w:r w:rsidR="00D5465D">
        <w:rPr>
          <w:rFonts w:ascii="Calibri" w:hAnsi="Calibri" w:cs="Calibri"/>
          <w:i/>
          <w:iCs/>
          <w:sz w:val="22"/>
          <w:szCs w:val="22"/>
        </w:rPr>
        <w:t xml:space="preserve"> </w:t>
      </w:r>
      <w:r w:rsidR="00E413A5">
        <w:rPr>
          <w:rFonts w:ascii="Calibri" w:hAnsi="Calibri" w:cs="Calibri"/>
          <w:i/>
          <w:iCs/>
          <w:sz w:val="22"/>
          <w:szCs w:val="22"/>
        </w:rPr>
        <w:t xml:space="preserve">na Ukrajině </w:t>
      </w:r>
      <w:r w:rsidR="00F25EAF">
        <w:rPr>
          <w:rFonts w:ascii="Calibri" w:hAnsi="Calibri" w:cs="Calibri"/>
          <w:i/>
          <w:iCs/>
          <w:sz w:val="22"/>
          <w:szCs w:val="22"/>
        </w:rPr>
        <w:t>z titulu růstu nejistoty</w:t>
      </w:r>
      <w:r w:rsidR="00E413A5">
        <w:rPr>
          <w:rFonts w:ascii="Calibri" w:hAnsi="Calibri" w:cs="Calibri"/>
          <w:i/>
          <w:iCs/>
          <w:sz w:val="22"/>
          <w:szCs w:val="22"/>
        </w:rPr>
        <w:t xml:space="preserve"> klesat. Poté se však vývoj </w:t>
      </w:r>
      <w:r w:rsidR="00F25EAF">
        <w:rPr>
          <w:rFonts w:ascii="Calibri" w:hAnsi="Calibri" w:cs="Calibri"/>
          <w:i/>
          <w:iCs/>
          <w:sz w:val="22"/>
          <w:szCs w:val="22"/>
        </w:rPr>
        <w:t>vzhledem k</w:t>
      </w:r>
      <w:r w:rsidR="003C2D27">
        <w:rPr>
          <w:rFonts w:ascii="Calibri" w:hAnsi="Calibri" w:cs="Calibri"/>
          <w:i/>
          <w:iCs/>
          <w:sz w:val="22"/>
          <w:szCs w:val="22"/>
        </w:rPr>
        <w:t xml:space="preserve"> očekávanému </w:t>
      </w:r>
      <w:r w:rsidR="00D5465D">
        <w:rPr>
          <w:rFonts w:ascii="Calibri" w:hAnsi="Calibri" w:cs="Calibri"/>
          <w:i/>
          <w:iCs/>
          <w:sz w:val="22"/>
          <w:szCs w:val="22"/>
        </w:rPr>
        <w:t xml:space="preserve">zrychlování inflace a </w:t>
      </w:r>
      <w:r w:rsidR="00F25EAF">
        <w:rPr>
          <w:rFonts w:ascii="Calibri" w:hAnsi="Calibri" w:cs="Calibri"/>
          <w:i/>
          <w:iCs/>
          <w:sz w:val="22"/>
          <w:szCs w:val="22"/>
        </w:rPr>
        <w:t>další</w:t>
      </w:r>
      <w:r w:rsidR="003C2D27">
        <w:rPr>
          <w:rFonts w:ascii="Calibri" w:hAnsi="Calibri" w:cs="Calibri"/>
          <w:i/>
          <w:iCs/>
          <w:sz w:val="22"/>
          <w:szCs w:val="22"/>
        </w:rPr>
        <w:t xml:space="preserve"> reakc</w:t>
      </w:r>
      <w:r w:rsidR="00635832">
        <w:rPr>
          <w:rFonts w:ascii="Calibri" w:hAnsi="Calibri" w:cs="Calibri"/>
          <w:i/>
          <w:iCs/>
          <w:sz w:val="22"/>
          <w:szCs w:val="22"/>
        </w:rPr>
        <w:t>i</w:t>
      </w:r>
      <w:r w:rsidR="003C2D27">
        <w:rPr>
          <w:rFonts w:ascii="Calibri" w:hAnsi="Calibri" w:cs="Calibri"/>
          <w:i/>
          <w:iCs/>
          <w:sz w:val="22"/>
          <w:szCs w:val="22"/>
        </w:rPr>
        <w:t xml:space="preserve"> ze strany centrální banky</w:t>
      </w:r>
      <w:r w:rsidR="00D5465D">
        <w:rPr>
          <w:rFonts w:ascii="Calibri" w:hAnsi="Calibri" w:cs="Calibri"/>
          <w:i/>
          <w:iCs/>
          <w:sz w:val="22"/>
          <w:szCs w:val="22"/>
        </w:rPr>
        <w:t xml:space="preserve"> opět </w:t>
      </w:r>
      <w:r w:rsidR="00E413A5">
        <w:rPr>
          <w:rFonts w:ascii="Calibri" w:hAnsi="Calibri" w:cs="Calibri"/>
          <w:i/>
          <w:iCs/>
          <w:sz w:val="22"/>
          <w:szCs w:val="22"/>
        </w:rPr>
        <w:t xml:space="preserve">obrátil a úrokové sazby se </w:t>
      </w:r>
      <w:r w:rsidR="00D5465D">
        <w:rPr>
          <w:rFonts w:ascii="Calibri" w:hAnsi="Calibri" w:cs="Calibri"/>
          <w:i/>
          <w:iCs/>
          <w:sz w:val="22"/>
          <w:szCs w:val="22"/>
        </w:rPr>
        <w:t xml:space="preserve">nejen </w:t>
      </w:r>
      <w:r w:rsidR="00E413A5">
        <w:rPr>
          <w:rFonts w:ascii="Calibri" w:hAnsi="Calibri" w:cs="Calibri"/>
          <w:i/>
          <w:iCs/>
          <w:sz w:val="22"/>
          <w:szCs w:val="22"/>
        </w:rPr>
        <w:t>vrátily na své dřívější hodnoty</w:t>
      </w:r>
      <w:r w:rsidR="00D5465D">
        <w:rPr>
          <w:rFonts w:ascii="Calibri" w:hAnsi="Calibri" w:cs="Calibri"/>
          <w:i/>
          <w:iCs/>
          <w:sz w:val="22"/>
          <w:szCs w:val="22"/>
        </w:rPr>
        <w:t xml:space="preserve">, ale </w:t>
      </w:r>
      <w:r w:rsidR="00F94ACE">
        <w:rPr>
          <w:rFonts w:ascii="Calibri" w:hAnsi="Calibri" w:cs="Calibri"/>
          <w:i/>
          <w:iCs/>
          <w:sz w:val="22"/>
          <w:szCs w:val="22"/>
        </w:rPr>
        <w:t xml:space="preserve">jsou </w:t>
      </w:r>
      <w:r w:rsidR="00F25EAF">
        <w:rPr>
          <w:rFonts w:ascii="Calibri" w:hAnsi="Calibri" w:cs="Calibri"/>
          <w:i/>
          <w:iCs/>
          <w:sz w:val="22"/>
          <w:szCs w:val="22"/>
        </w:rPr>
        <w:t xml:space="preserve">v současnosti </w:t>
      </w:r>
      <w:r w:rsidR="00F94ACE">
        <w:rPr>
          <w:rFonts w:ascii="Calibri" w:hAnsi="Calibri" w:cs="Calibri"/>
          <w:i/>
          <w:iCs/>
          <w:sz w:val="22"/>
          <w:szCs w:val="22"/>
        </w:rPr>
        <w:t xml:space="preserve">až o </w:t>
      </w:r>
      <w:r w:rsidR="001B3197">
        <w:rPr>
          <w:rFonts w:ascii="Calibri" w:hAnsi="Calibri" w:cs="Calibri"/>
          <w:i/>
          <w:iCs/>
          <w:sz w:val="22"/>
          <w:szCs w:val="22"/>
        </w:rPr>
        <w:t>jeden</w:t>
      </w:r>
      <w:r w:rsidR="00F94ACE">
        <w:rPr>
          <w:rFonts w:ascii="Calibri" w:hAnsi="Calibri" w:cs="Calibri"/>
          <w:i/>
          <w:iCs/>
          <w:sz w:val="22"/>
          <w:szCs w:val="22"/>
        </w:rPr>
        <w:t xml:space="preserve"> procentní bod vyšší. </w:t>
      </w:r>
      <w:r w:rsidR="00F25EAF">
        <w:rPr>
          <w:rFonts w:ascii="Calibri" w:hAnsi="Calibri" w:cs="Calibri"/>
          <w:i/>
          <w:iCs/>
          <w:sz w:val="22"/>
          <w:szCs w:val="22"/>
        </w:rPr>
        <w:t>Ú</w:t>
      </w:r>
      <w:r w:rsidR="00F94ACE">
        <w:rPr>
          <w:rFonts w:ascii="Calibri" w:hAnsi="Calibri" w:cs="Calibri"/>
          <w:i/>
          <w:iCs/>
          <w:sz w:val="22"/>
          <w:szCs w:val="22"/>
        </w:rPr>
        <w:t>rokové</w:t>
      </w:r>
      <w:r w:rsidR="009D094F">
        <w:rPr>
          <w:rFonts w:ascii="Calibri" w:hAnsi="Calibri" w:cs="Calibri"/>
          <w:i/>
          <w:iCs/>
          <w:sz w:val="22"/>
          <w:szCs w:val="22"/>
        </w:rPr>
        <w:t xml:space="preserve"> sazby delších splatností </w:t>
      </w:r>
      <w:r w:rsidR="00F25EAF">
        <w:rPr>
          <w:rFonts w:ascii="Calibri" w:hAnsi="Calibri" w:cs="Calibri"/>
          <w:i/>
          <w:iCs/>
          <w:sz w:val="22"/>
          <w:szCs w:val="22"/>
        </w:rPr>
        <w:t xml:space="preserve">se tak </w:t>
      </w:r>
      <w:r w:rsidR="00E413A5">
        <w:rPr>
          <w:rFonts w:ascii="Calibri" w:hAnsi="Calibri" w:cs="Calibri"/>
          <w:i/>
          <w:iCs/>
          <w:sz w:val="22"/>
          <w:szCs w:val="22"/>
        </w:rPr>
        <w:t xml:space="preserve">pohybují </w:t>
      </w:r>
      <w:r w:rsidR="00FE5ADE">
        <w:rPr>
          <w:rFonts w:ascii="Calibri" w:hAnsi="Calibri" w:cs="Calibri"/>
          <w:i/>
          <w:iCs/>
          <w:sz w:val="22"/>
          <w:szCs w:val="22"/>
        </w:rPr>
        <w:t>na nejvyšší úrovni od rok</w:t>
      </w:r>
      <w:r w:rsidR="009D094F">
        <w:rPr>
          <w:rFonts w:ascii="Calibri" w:hAnsi="Calibri" w:cs="Calibri"/>
          <w:i/>
          <w:iCs/>
          <w:sz w:val="22"/>
          <w:szCs w:val="22"/>
        </w:rPr>
        <w:t>u</w:t>
      </w:r>
      <w:r w:rsidR="00FE5ADE">
        <w:rPr>
          <w:rFonts w:ascii="Calibri" w:hAnsi="Calibri" w:cs="Calibri"/>
          <w:i/>
          <w:iCs/>
          <w:sz w:val="22"/>
          <w:szCs w:val="22"/>
        </w:rPr>
        <w:t xml:space="preserve"> 2008</w:t>
      </w:r>
      <w:r w:rsidR="009D094F">
        <w:rPr>
          <w:rFonts w:ascii="Calibri" w:hAnsi="Calibri" w:cs="Calibri"/>
          <w:i/>
          <w:iCs/>
          <w:sz w:val="22"/>
          <w:szCs w:val="22"/>
        </w:rPr>
        <w:t xml:space="preserve">, u kratších splatností jsou </w:t>
      </w:r>
      <w:r w:rsidR="003C2D27">
        <w:rPr>
          <w:rFonts w:ascii="Calibri" w:hAnsi="Calibri" w:cs="Calibri"/>
          <w:i/>
          <w:iCs/>
          <w:sz w:val="22"/>
          <w:szCs w:val="22"/>
        </w:rPr>
        <w:t xml:space="preserve">pak </w:t>
      </w:r>
      <w:r w:rsidR="009D094F">
        <w:rPr>
          <w:rFonts w:ascii="Calibri" w:hAnsi="Calibri" w:cs="Calibri"/>
          <w:i/>
          <w:iCs/>
          <w:sz w:val="22"/>
          <w:szCs w:val="22"/>
        </w:rPr>
        <w:t xml:space="preserve">nejvyšší za poslední dvě dekády. Tento vývoj znamená další tlak na </w:t>
      </w:r>
      <w:r w:rsidR="00F94ACE">
        <w:rPr>
          <w:rFonts w:ascii="Calibri" w:hAnsi="Calibri" w:cs="Calibri"/>
          <w:i/>
          <w:iCs/>
          <w:sz w:val="22"/>
          <w:szCs w:val="22"/>
        </w:rPr>
        <w:t xml:space="preserve">zvyšování </w:t>
      </w:r>
      <w:r w:rsidR="009D094F">
        <w:rPr>
          <w:rFonts w:ascii="Calibri" w:hAnsi="Calibri" w:cs="Calibri"/>
          <w:i/>
          <w:iCs/>
          <w:sz w:val="22"/>
          <w:szCs w:val="22"/>
        </w:rPr>
        <w:t xml:space="preserve">hypotečních sazeb, které se letos patrně postupně </w:t>
      </w:r>
      <w:proofErr w:type="gramStart"/>
      <w:r w:rsidR="00356528">
        <w:rPr>
          <w:rFonts w:ascii="Calibri" w:hAnsi="Calibri" w:cs="Calibri"/>
          <w:i/>
          <w:iCs/>
          <w:sz w:val="22"/>
          <w:szCs w:val="22"/>
        </w:rPr>
        <w:t>přiblíží</w:t>
      </w:r>
      <w:proofErr w:type="gramEnd"/>
      <w:r w:rsidR="00356528">
        <w:rPr>
          <w:rFonts w:ascii="Calibri" w:hAnsi="Calibri" w:cs="Calibri"/>
          <w:i/>
          <w:iCs/>
          <w:sz w:val="22"/>
          <w:szCs w:val="22"/>
        </w:rPr>
        <w:t xml:space="preserve"> až </w:t>
      </w:r>
      <w:r w:rsidR="00F25EAF">
        <w:rPr>
          <w:rFonts w:ascii="Calibri" w:hAnsi="Calibri" w:cs="Calibri"/>
          <w:i/>
          <w:iCs/>
          <w:sz w:val="22"/>
          <w:szCs w:val="22"/>
        </w:rPr>
        <w:t>k</w:t>
      </w:r>
      <w:r w:rsidR="009D094F">
        <w:rPr>
          <w:rFonts w:ascii="Calibri" w:hAnsi="Calibri" w:cs="Calibri"/>
          <w:i/>
          <w:iCs/>
          <w:sz w:val="22"/>
          <w:szCs w:val="22"/>
        </w:rPr>
        <w:t xml:space="preserve"> 6% hranic</w:t>
      </w:r>
      <w:r w:rsidR="00F25EAF">
        <w:rPr>
          <w:rFonts w:ascii="Calibri" w:hAnsi="Calibri" w:cs="Calibri"/>
          <w:i/>
          <w:iCs/>
          <w:sz w:val="22"/>
          <w:szCs w:val="22"/>
        </w:rPr>
        <w:t>i</w:t>
      </w:r>
      <w:r w:rsidR="005B2CB5">
        <w:rPr>
          <w:rFonts w:ascii="Calibri" w:hAnsi="Calibri" w:cs="Calibri"/>
          <w:i/>
          <w:iCs/>
          <w:sz w:val="22"/>
          <w:szCs w:val="22"/>
        </w:rPr>
        <w:t>,</w:t>
      </w:r>
      <w:r>
        <w:rPr>
          <w:rFonts w:ascii="Calibri" w:hAnsi="Calibri" w:cs="Calibri"/>
          <w:i/>
          <w:iCs/>
          <w:sz w:val="22"/>
          <w:szCs w:val="22"/>
        </w:rPr>
        <w:t>“</w:t>
      </w:r>
      <w:r w:rsidR="005B2CB5">
        <w:rPr>
          <w:rFonts w:ascii="Calibri" w:hAnsi="Calibri" w:cs="Calibri"/>
          <w:i/>
          <w:iCs/>
          <w:sz w:val="22"/>
          <w:szCs w:val="22"/>
        </w:rPr>
        <w:t xml:space="preserve"> </w:t>
      </w:r>
      <w:r w:rsidR="005B2CB5" w:rsidRPr="00476A2A">
        <w:rPr>
          <w:rFonts w:ascii="Calibri" w:hAnsi="Calibri" w:cs="Calibri"/>
          <w:sz w:val="22"/>
          <w:szCs w:val="22"/>
        </w:rPr>
        <w:t xml:space="preserve">říká Jakub Seidler, </w:t>
      </w:r>
      <w:r w:rsidR="00FE34B0" w:rsidRPr="00476A2A">
        <w:rPr>
          <w:rFonts w:ascii="Calibri" w:hAnsi="Calibri" w:cs="Calibri"/>
          <w:sz w:val="22"/>
          <w:szCs w:val="22"/>
        </w:rPr>
        <w:t>h</w:t>
      </w:r>
      <w:r w:rsidR="005B2CB5" w:rsidRPr="00476A2A">
        <w:rPr>
          <w:rFonts w:ascii="Calibri" w:hAnsi="Calibri" w:cs="Calibri"/>
          <w:sz w:val="22"/>
          <w:szCs w:val="22"/>
        </w:rPr>
        <w:t>lavní ekonom ČBA.</w:t>
      </w:r>
    </w:p>
    <w:p w14:paraId="56DFC912" w14:textId="5C93A1D3" w:rsidR="00CE20E9" w:rsidRDefault="00CE20E9" w:rsidP="0001227F">
      <w:pPr>
        <w:rPr>
          <w:rFonts w:ascii="Calibri" w:hAnsi="Calibri" w:cs="Calibri"/>
          <w:sz w:val="22"/>
          <w:szCs w:val="22"/>
        </w:rPr>
      </w:pPr>
    </w:p>
    <w:p w14:paraId="26B404EE" w14:textId="77777777" w:rsidR="003417B4" w:rsidRDefault="003417B4" w:rsidP="0001227F">
      <w:pPr>
        <w:rPr>
          <w:rFonts w:ascii="Calibri" w:hAnsi="Calibri" w:cs="Calibri"/>
          <w:sz w:val="22"/>
          <w:szCs w:val="22"/>
        </w:rPr>
      </w:pPr>
    </w:p>
    <w:p w14:paraId="5B3CAEED" w14:textId="04D8CCCD" w:rsidR="007826E0" w:rsidRDefault="009D3067" w:rsidP="007826E0">
      <w:pPr>
        <w:rPr>
          <w:rFonts w:ascii="Calibri" w:hAnsi="Calibri" w:cs="Calibri"/>
          <w:b/>
          <w:color w:val="13576B"/>
          <w:sz w:val="24"/>
          <w:szCs w:val="24"/>
        </w:rPr>
      </w:pPr>
      <w:r w:rsidRPr="007D73E5">
        <w:rPr>
          <w:rFonts w:ascii="Calibri" w:hAnsi="Calibri" w:cs="Calibri"/>
          <w:b/>
          <w:color w:val="13576B"/>
          <w:sz w:val="24"/>
          <w:szCs w:val="24"/>
        </w:rPr>
        <w:t xml:space="preserve">Průměrná splátka hypotéky </w:t>
      </w:r>
      <w:r w:rsidR="007826E0">
        <w:rPr>
          <w:rFonts w:ascii="Calibri" w:hAnsi="Calibri" w:cs="Calibri"/>
          <w:b/>
          <w:color w:val="13576B"/>
          <w:sz w:val="24"/>
          <w:szCs w:val="24"/>
        </w:rPr>
        <w:t>se zvyšuje</w:t>
      </w:r>
      <w:r w:rsidRPr="007D73E5">
        <w:rPr>
          <w:rFonts w:ascii="Calibri" w:hAnsi="Calibri" w:cs="Calibri"/>
          <w:b/>
          <w:color w:val="13576B"/>
          <w:sz w:val="24"/>
          <w:szCs w:val="24"/>
        </w:rPr>
        <w:t xml:space="preserve"> </w:t>
      </w:r>
    </w:p>
    <w:p w14:paraId="7310FE59" w14:textId="58F73471" w:rsidR="009D3067" w:rsidRDefault="009D3067" w:rsidP="007826E0">
      <w:pPr>
        <w:overflowPunct/>
        <w:autoSpaceDE/>
        <w:autoSpaceDN/>
        <w:adjustRightInd/>
        <w:spacing w:after="160" w:line="259" w:lineRule="auto"/>
        <w:jc w:val="left"/>
        <w:textAlignment w:val="auto"/>
        <w:rPr>
          <w:rFonts w:ascii="Calibri" w:hAnsi="Calibri" w:cs="Calibri"/>
          <w:sz w:val="22"/>
          <w:szCs w:val="22"/>
        </w:rPr>
      </w:pPr>
      <w:r w:rsidRPr="0001227F">
        <w:rPr>
          <w:rFonts w:ascii="Calibri" w:hAnsi="Calibri" w:cs="Calibri"/>
          <w:sz w:val="22"/>
          <w:szCs w:val="22"/>
        </w:rPr>
        <w:t>Průměrná výše hypotéky v</w:t>
      </w:r>
      <w:r w:rsidR="00412763">
        <w:rPr>
          <w:rFonts w:ascii="Calibri" w:hAnsi="Calibri" w:cs="Calibri"/>
          <w:sz w:val="22"/>
          <w:szCs w:val="22"/>
        </w:rPr>
        <w:t> </w:t>
      </w:r>
      <w:r w:rsidR="00235942">
        <w:rPr>
          <w:rFonts w:ascii="Calibri" w:hAnsi="Calibri" w:cs="Calibri"/>
          <w:sz w:val="22"/>
          <w:szCs w:val="22"/>
        </w:rPr>
        <w:t>březnu</w:t>
      </w:r>
      <w:r w:rsidR="00412763">
        <w:rPr>
          <w:rFonts w:ascii="Calibri" w:hAnsi="Calibri" w:cs="Calibri"/>
          <w:sz w:val="22"/>
          <w:szCs w:val="22"/>
        </w:rPr>
        <w:t xml:space="preserve"> nepatrně </w:t>
      </w:r>
      <w:r w:rsidR="006A0D71">
        <w:rPr>
          <w:rFonts w:ascii="Calibri" w:hAnsi="Calibri" w:cs="Calibri"/>
          <w:sz w:val="22"/>
          <w:szCs w:val="22"/>
        </w:rPr>
        <w:t>vzrostla</w:t>
      </w:r>
      <w:r w:rsidR="00412763">
        <w:rPr>
          <w:rFonts w:ascii="Calibri" w:hAnsi="Calibri" w:cs="Calibri"/>
          <w:sz w:val="22"/>
          <w:szCs w:val="22"/>
        </w:rPr>
        <w:t xml:space="preserve">, </w:t>
      </w:r>
      <w:r w:rsidR="00105ACC">
        <w:rPr>
          <w:rFonts w:ascii="Calibri" w:hAnsi="Calibri" w:cs="Calibri"/>
          <w:sz w:val="22"/>
          <w:szCs w:val="22"/>
        </w:rPr>
        <w:t>pohybovala se však na podobné úrovní jako v</w:t>
      </w:r>
      <w:r w:rsidR="006D7F80">
        <w:rPr>
          <w:rFonts w:ascii="Calibri" w:hAnsi="Calibri" w:cs="Calibri"/>
          <w:sz w:val="22"/>
          <w:szCs w:val="22"/>
        </w:rPr>
        <w:t xml:space="preserve"> předchozích měsících, a to </w:t>
      </w:r>
      <w:r w:rsidR="002A1748">
        <w:rPr>
          <w:rFonts w:ascii="Calibri" w:hAnsi="Calibri" w:cs="Calibri"/>
          <w:sz w:val="22"/>
          <w:szCs w:val="22"/>
        </w:rPr>
        <w:t xml:space="preserve">kolem </w:t>
      </w:r>
      <w:r w:rsidR="00105ACC">
        <w:rPr>
          <w:rFonts w:ascii="Calibri" w:hAnsi="Calibri" w:cs="Calibri"/>
          <w:sz w:val="22"/>
          <w:szCs w:val="22"/>
        </w:rPr>
        <w:t>3,4 mil</w:t>
      </w:r>
      <w:r w:rsidR="002A1748">
        <w:rPr>
          <w:rFonts w:ascii="Calibri" w:hAnsi="Calibri" w:cs="Calibri"/>
          <w:sz w:val="22"/>
          <w:szCs w:val="22"/>
        </w:rPr>
        <w:t>.</w:t>
      </w:r>
      <w:r w:rsidR="00105ACC">
        <w:rPr>
          <w:rFonts w:ascii="Calibri" w:hAnsi="Calibri" w:cs="Calibri"/>
          <w:sz w:val="22"/>
          <w:szCs w:val="22"/>
        </w:rPr>
        <w:t xml:space="preserve"> Kč. </w:t>
      </w:r>
      <w:r>
        <w:rPr>
          <w:rFonts w:ascii="Calibri" w:hAnsi="Calibri" w:cs="Calibri"/>
          <w:sz w:val="22"/>
          <w:szCs w:val="22"/>
        </w:rPr>
        <w:t xml:space="preserve">S očekávaným růstem úrokových sazeb </w:t>
      </w:r>
      <w:r w:rsidR="003608A1">
        <w:rPr>
          <w:rFonts w:ascii="Calibri" w:hAnsi="Calibri" w:cs="Calibri"/>
          <w:sz w:val="22"/>
          <w:szCs w:val="22"/>
        </w:rPr>
        <w:t xml:space="preserve">se zvyšuje </w:t>
      </w:r>
      <w:r>
        <w:rPr>
          <w:rFonts w:ascii="Calibri" w:hAnsi="Calibri" w:cs="Calibri"/>
          <w:sz w:val="22"/>
          <w:szCs w:val="22"/>
        </w:rPr>
        <w:t>i měsíční splátka u nových či refixovaných úvěrů. Scénáře vývoje měsíční splátky pro různé délky splatnosti hypotéky</w:t>
      </w:r>
      <w:r w:rsidR="003608A1">
        <w:rPr>
          <w:rFonts w:ascii="Calibri" w:hAnsi="Calibri" w:cs="Calibri"/>
          <w:sz w:val="22"/>
          <w:szCs w:val="22"/>
        </w:rPr>
        <w:t xml:space="preserve"> </w:t>
      </w:r>
      <w:r>
        <w:rPr>
          <w:rFonts w:ascii="Calibri" w:hAnsi="Calibri" w:cs="Calibri"/>
          <w:sz w:val="22"/>
          <w:szCs w:val="22"/>
        </w:rPr>
        <w:t xml:space="preserve">udává tabulka č. 2. Z ní je patrné, že </w:t>
      </w:r>
      <w:r w:rsidR="008B2EB5">
        <w:rPr>
          <w:rFonts w:ascii="Calibri" w:hAnsi="Calibri" w:cs="Calibri"/>
          <w:sz w:val="22"/>
          <w:szCs w:val="22"/>
        </w:rPr>
        <w:t xml:space="preserve">růst hypotečních sazeb o jeden procentní bod </w:t>
      </w:r>
      <w:r w:rsidR="00C81867">
        <w:rPr>
          <w:rFonts w:ascii="Calibri" w:hAnsi="Calibri" w:cs="Calibri"/>
          <w:sz w:val="22"/>
          <w:szCs w:val="22"/>
        </w:rPr>
        <w:t xml:space="preserve">znamená pro </w:t>
      </w:r>
      <w:r>
        <w:rPr>
          <w:rFonts w:ascii="Calibri" w:hAnsi="Calibri" w:cs="Calibri"/>
          <w:sz w:val="22"/>
          <w:szCs w:val="22"/>
        </w:rPr>
        <w:t xml:space="preserve">průměrnou velikost hypotéky </w:t>
      </w:r>
      <w:r w:rsidR="009001B0">
        <w:rPr>
          <w:rFonts w:ascii="Calibri" w:hAnsi="Calibri" w:cs="Calibri"/>
          <w:sz w:val="22"/>
          <w:szCs w:val="22"/>
        </w:rPr>
        <w:t xml:space="preserve">zvýšení </w:t>
      </w:r>
      <w:r w:rsidR="00C81867">
        <w:rPr>
          <w:rFonts w:ascii="Calibri" w:hAnsi="Calibri" w:cs="Calibri"/>
          <w:sz w:val="22"/>
          <w:szCs w:val="22"/>
        </w:rPr>
        <w:t>měsíční splátky o</w:t>
      </w:r>
      <w:r w:rsidR="009001B0">
        <w:rPr>
          <w:rFonts w:ascii="Calibri" w:hAnsi="Calibri" w:cs="Calibri"/>
          <w:sz w:val="22"/>
          <w:szCs w:val="22"/>
        </w:rPr>
        <w:t xml:space="preserve"> 1,</w:t>
      </w:r>
      <w:r w:rsidR="00084CF9">
        <w:rPr>
          <w:rFonts w:ascii="Calibri" w:hAnsi="Calibri" w:cs="Calibri"/>
          <w:sz w:val="22"/>
          <w:szCs w:val="22"/>
        </w:rPr>
        <w:t>6</w:t>
      </w:r>
      <w:r w:rsidR="009001B0">
        <w:rPr>
          <w:rFonts w:ascii="Calibri" w:hAnsi="Calibri" w:cs="Calibri"/>
          <w:sz w:val="22"/>
          <w:szCs w:val="22"/>
        </w:rPr>
        <w:t xml:space="preserve"> až 2 tisíce Kč. </w:t>
      </w:r>
      <w:r w:rsidR="00316BAA">
        <w:rPr>
          <w:rFonts w:ascii="Calibri" w:hAnsi="Calibri" w:cs="Calibri"/>
          <w:sz w:val="22"/>
          <w:szCs w:val="22"/>
        </w:rPr>
        <w:t>Ve srovnání s</w:t>
      </w:r>
      <w:r w:rsidR="0051570C">
        <w:rPr>
          <w:rFonts w:ascii="Calibri" w:hAnsi="Calibri" w:cs="Calibri"/>
          <w:sz w:val="22"/>
          <w:szCs w:val="22"/>
        </w:rPr>
        <w:t> 2% úrokovou sazbou</w:t>
      </w:r>
      <w:r w:rsidR="009D0BF3">
        <w:rPr>
          <w:rFonts w:ascii="Calibri" w:hAnsi="Calibri" w:cs="Calibri"/>
          <w:sz w:val="22"/>
          <w:szCs w:val="22"/>
        </w:rPr>
        <w:t>, kter</w:t>
      </w:r>
      <w:r w:rsidR="00B472C9">
        <w:rPr>
          <w:rFonts w:ascii="Calibri" w:hAnsi="Calibri" w:cs="Calibri"/>
          <w:sz w:val="22"/>
          <w:szCs w:val="22"/>
        </w:rPr>
        <w:t>á</w:t>
      </w:r>
      <w:r w:rsidR="009D0BF3">
        <w:rPr>
          <w:rFonts w:ascii="Calibri" w:hAnsi="Calibri" w:cs="Calibri"/>
          <w:sz w:val="22"/>
          <w:szCs w:val="22"/>
        </w:rPr>
        <w:t xml:space="preserve"> byl</w:t>
      </w:r>
      <w:r w:rsidR="00F27A13">
        <w:rPr>
          <w:rFonts w:ascii="Calibri" w:hAnsi="Calibri" w:cs="Calibri"/>
          <w:sz w:val="22"/>
          <w:szCs w:val="22"/>
        </w:rPr>
        <w:t>a</w:t>
      </w:r>
      <w:r w:rsidR="009D0BF3">
        <w:rPr>
          <w:rFonts w:ascii="Calibri" w:hAnsi="Calibri" w:cs="Calibri"/>
          <w:sz w:val="22"/>
          <w:szCs w:val="22"/>
        </w:rPr>
        <w:t xml:space="preserve"> na trhu běžn</w:t>
      </w:r>
      <w:r w:rsidR="00B472C9">
        <w:rPr>
          <w:rFonts w:ascii="Calibri" w:hAnsi="Calibri" w:cs="Calibri"/>
          <w:sz w:val="22"/>
          <w:szCs w:val="22"/>
        </w:rPr>
        <w:t>á</w:t>
      </w:r>
      <w:r w:rsidR="009D0BF3">
        <w:rPr>
          <w:rFonts w:ascii="Calibri" w:hAnsi="Calibri" w:cs="Calibri"/>
          <w:sz w:val="22"/>
          <w:szCs w:val="22"/>
        </w:rPr>
        <w:t xml:space="preserve"> v</w:t>
      </w:r>
      <w:r w:rsidR="00395549">
        <w:rPr>
          <w:rFonts w:ascii="Calibri" w:hAnsi="Calibri" w:cs="Calibri"/>
          <w:sz w:val="22"/>
          <w:szCs w:val="22"/>
        </w:rPr>
        <w:t> dřívějších letech</w:t>
      </w:r>
      <w:r w:rsidR="009D0BF3">
        <w:rPr>
          <w:rFonts w:ascii="Calibri" w:hAnsi="Calibri" w:cs="Calibri"/>
          <w:sz w:val="22"/>
          <w:szCs w:val="22"/>
        </w:rPr>
        <w:t xml:space="preserve">, </w:t>
      </w:r>
      <w:r w:rsidR="00E47328">
        <w:rPr>
          <w:rFonts w:ascii="Calibri" w:hAnsi="Calibri" w:cs="Calibri"/>
          <w:sz w:val="22"/>
          <w:szCs w:val="22"/>
        </w:rPr>
        <w:t>by</w:t>
      </w:r>
      <w:r w:rsidR="00557A53">
        <w:rPr>
          <w:rFonts w:ascii="Calibri" w:hAnsi="Calibri" w:cs="Calibri"/>
          <w:sz w:val="22"/>
          <w:szCs w:val="22"/>
        </w:rPr>
        <w:t xml:space="preserve"> hypoteční saz</w:t>
      </w:r>
      <w:r w:rsidR="00E47328">
        <w:rPr>
          <w:rFonts w:ascii="Calibri" w:hAnsi="Calibri" w:cs="Calibri"/>
          <w:sz w:val="22"/>
          <w:szCs w:val="22"/>
        </w:rPr>
        <w:t>b</w:t>
      </w:r>
      <w:r w:rsidR="00710F87">
        <w:rPr>
          <w:rFonts w:ascii="Calibri" w:hAnsi="Calibri" w:cs="Calibri"/>
          <w:sz w:val="22"/>
          <w:szCs w:val="22"/>
        </w:rPr>
        <w:t>a</w:t>
      </w:r>
      <w:r w:rsidR="00557A53">
        <w:rPr>
          <w:rFonts w:ascii="Calibri" w:hAnsi="Calibri" w:cs="Calibri"/>
          <w:sz w:val="22"/>
          <w:szCs w:val="22"/>
        </w:rPr>
        <w:t xml:space="preserve"> 5 % znamena</w:t>
      </w:r>
      <w:r w:rsidR="00E47328">
        <w:rPr>
          <w:rFonts w:ascii="Calibri" w:hAnsi="Calibri" w:cs="Calibri"/>
          <w:sz w:val="22"/>
          <w:szCs w:val="22"/>
        </w:rPr>
        <w:t>l</w:t>
      </w:r>
      <w:r w:rsidR="00F27A13">
        <w:rPr>
          <w:rFonts w:ascii="Calibri" w:hAnsi="Calibri" w:cs="Calibri"/>
          <w:sz w:val="22"/>
          <w:szCs w:val="22"/>
        </w:rPr>
        <w:t>a</w:t>
      </w:r>
      <w:r w:rsidR="00557A53">
        <w:rPr>
          <w:rFonts w:ascii="Calibri" w:hAnsi="Calibri" w:cs="Calibri"/>
          <w:sz w:val="22"/>
          <w:szCs w:val="22"/>
        </w:rPr>
        <w:t xml:space="preserve"> růst měsíční splátky u </w:t>
      </w:r>
      <w:r w:rsidR="0033298A">
        <w:rPr>
          <w:rFonts w:ascii="Calibri" w:hAnsi="Calibri" w:cs="Calibri"/>
          <w:sz w:val="22"/>
          <w:szCs w:val="22"/>
        </w:rPr>
        <w:t>průměrné</w:t>
      </w:r>
      <w:r w:rsidR="00557A53">
        <w:rPr>
          <w:rFonts w:ascii="Calibri" w:hAnsi="Calibri" w:cs="Calibri"/>
          <w:sz w:val="22"/>
          <w:szCs w:val="22"/>
        </w:rPr>
        <w:t xml:space="preserve"> hypotéky </w:t>
      </w:r>
      <w:r w:rsidR="0033298A">
        <w:rPr>
          <w:rFonts w:ascii="Calibri" w:hAnsi="Calibri" w:cs="Calibri"/>
          <w:sz w:val="22"/>
          <w:szCs w:val="22"/>
        </w:rPr>
        <w:t>o 5 až 6 tisíc Kč měsíčně</w:t>
      </w:r>
      <w:r>
        <w:rPr>
          <w:rFonts w:ascii="Calibri" w:hAnsi="Calibri" w:cs="Calibri"/>
          <w:sz w:val="22"/>
          <w:szCs w:val="22"/>
        </w:rPr>
        <w:t xml:space="preserve">. </w:t>
      </w:r>
      <w:r>
        <w:rPr>
          <w:rStyle w:val="Znakapoznpodarou"/>
          <w:rFonts w:ascii="Calibri" w:hAnsi="Calibri" w:cs="Calibri"/>
          <w:sz w:val="22"/>
          <w:szCs w:val="22"/>
        </w:rPr>
        <w:footnoteReference w:id="2"/>
      </w:r>
      <w:r w:rsidR="00684AB4">
        <w:rPr>
          <w:rFonts w:ascii="Calibri" w:hAnsi="Calibri" w:cs="Calibri"/>
          <w:sz w:val="22"/>
          <w:szCs w:val="22"/>
        </w:rPr>
        <w:t xml:space="preserve"> </w:t>
      </w:r>
    </w:p>
    <w:p w14:paraId="1EA3C193" w14:textId="77777777" w:rsidR="00D339A1" w:rsidRDefault="00D339A1" w:rsidP="007826E0">
      <w:pPr>
        <w:overflowPunct/>
        <w:autoSpaceDE/>
        <w:autoSpaceDN/>
        <w:adjustRightInd/>
        <w:spacing w:after="160" w:line="259" w:lineRule="auto"/>
        <w:jc w:val="left"/>
        <w:textAlignment w:val="auto"/>
        <w:rPr>
          <w:rFonts w:ascii="Calibri" w:hAnsi="Calibri" w:cs="Calibri"/>
          <w:sz w:val="22"/>
          <w:szCs w:val="22"/>
        </w:rPr>
      </w:pPr>
    </w:p>
    <w:p w14:paraId="1A267256" w14:textId="1C20F8E7" w:rsidR="009D3067" w:rsidRDefault="009D3067" w:rsidP="00D36EB1">
      <w:pPr>
        <w:rPr>
          <w:rFonts w:ascii="Calibri" w:hAnsi="Calibri" w:cs="Calibri"/>
          <w:b/>
          <w:color w:val="13576B"/>
          <w:sz w:val="23"/>
          <w:szCs w:val="23"/>
        </w:rPr>
      </w:pPr>
      <w:r w:rsidRPr="001534F6">
        <w:rPr>
          <w:rFonts w:ascii="Calibri" w:hAnsi="Calibri" w:cs="Calibri"/>
          <w:b/>
          <w:color w:val="13576B"/>
          <w:sz w:val="23"/>
          <w:szCs w:val="23"/>
        </w:rPr>
        <w:t>Tabulka č. 2: Měsíční splátka průměrné hypotéky v závislosti na délce splatnosti a úrokové sazbě</w:t>
      </w:r>
    </w:p>
    <w:tbl>
      <w:tblPr>
        <w:tblW w:w="10540" w:type="dxa"/>
        <w:tblCellMar>
          <w:left w:w="70" w:type="dxa"/>
          <w:right w:w="70" w:type="dxa"/>
        </w:tblCellMar>
        <w:tblLook w:val="04A0" w:firstRow="1" w:lastRow="0" w:firstColumn="1" w:lastColumn="0" w:noHBand="0" w:noVBand="1"/>
      </w:tblPr>
      <w:tblGrid>
        <w:gridCol w:w="4469"/>
        <w:gridCol w:w="431"/>
        <w:gridCol w:w="1460"/>
        <w:gridCol w:w="1045"/>
        <w:gridCol w:w="1045"/>
        <w:gridCol w:w="1045"/>
        <w:gridCol w:w="1045"/>
      </w:tblGrid>
      <w:tr w:rsidR="0009101B" w:rsidRPr="0009101B" w14:paraId="10143062" w14:textId="77777777" w:rsidTr="0009101B">
        <w:trPr>
          <w:trHeight w:val="555"/>
        </w:trPr>
        <w:tc>
          <w:tcPr>
            <w:tcW w:w="4900" w:type="dxa"/>
            <w:gridSpan w:val="2"/>
            <w:tcBorders>
              <w:top w:val="nil"/>
              <w:left w:val="nil"/>
              <w:bottom w:val="single" w:sz="4" w:space="0" w:color="auto"/>
              <w:right w:val="nil"/>
            </w:tcBorders>
            <w:shd w:val="clear" w:color="auto" w:fill="auto"/>
            <w:noWrap/>
            <w:vAlign w:val="center"/>
            <w:hideMark/>
          </w:tcPr>
          <w:p w14:paraId="0F7B779B" w14:textId="77777777" w:rsidR="0009101B" w:rsidRPr="0009101B" w:rsidRDefault="0009101B" w:rsidP="0009101B">
            <w:pPr>
              <w:overflowPunct/>
              <w:autoSpaceDE/>
              <w:autoSpaceDN/>
              <w:adjustRightInd/>
              <w:jc w:val="left"/>
              <w:textAlignment w:val="auto"/>
              <w:rPr>
                <w:rFonts w:ascii="Calibri Light" w:hAnsi="Calibri Light" w:cs="Calibri Light"/>
                <w:b/>
                <w:bCs/>
                <w:color w:val="000000"/>
                <w:sz w:val="22"/>
                <w:szCs w:val="22"/>
              </w:rPr>
            </w:pPr>
            <w:r w:rsidRPr="0009101B">
              <w:rPr>
                <w:rFonts w:ascii="Calibri Light" w:hAnsi="Calibri Light" w:cs="Calibri Light"/>
                <w:b/>
                <w:bCs/>
                <w:color w:val="000000"/>
                <w:sz w:val="22"/>
                <w:szCs w:val="22"/>
              </w:rPr>
              <w:t>Průměrná velikost nové hypotéky v Kč:</w:t>
            </w:r>
          </w:p>
        </w:tc>
        <w:tc>
          <w:tcPr>
            <w:tcW w:w="1460" w:type="dxa"/>
            <w:tcBorders>
              <w:top w:val="nil"/>
              <w:left w:val="nil"/>
              <w:bottom w:val="single" w:sz="4" w:space="0" w:color="auto"/>
              <w:right w:val="nil"/>
            </w:tcBorders>
            <w:shd w:val="clear" w:color="auto" w:fill="auto"/>
            <w:noWrap/>
            <w:vAlign w:val="center"/>
            <w:hideMark/>
          </w:tcPr>
          <w:p w14:paraId="0EA81ED3" w14:textId="77777777" w:rsidR="0009101B" w:rsidRPr="0009101B" w:rsidRDefault="0009101B" w:rsidP="0009101B">
            <w:pPr>
              <w:overflowPunct/>
              <w:autoSpaceDE/>
              <w:autoSpaceDN/>
              <w:adjustRightInd/>
              <w:jc w:val="left"/>
              <w:textAlignment w:val="auto"/>
              <w:rPr>
                <w:rFonts w:ascii="Calibri" w:hAnsi="Calibri" w:cs="Calibri"/>
                <w:color w:val="000000"/>
                <w:sz w:val="22"/>
                <w:szCs w:val="22"/>
              </w:rPr>
            </w:pPr>
            <w:r w:rsidRPr="0009101B">
              <w:rPr>
                <w:rFonts w:ascii="Calibri" w:hAnsi="Calibri" w:cs="Calibri"/>
                <w:color w:val="000000"/>
                <w:sz w:val="22"/>
                <w:szCs w:val="22"/>
              </w:rPr>
              <w:t> </w:t>
            </w:r>
          </w:p>
        </w:tc>
        <w:tc>
          <w:tcPr>
            <w:tcW w:w="4180" w:type="dxa"/>
            <w:gridSpan w:val="4"/>
            <w:tcBorders>
              <w:top w:val="nil"/>
              <w:left w:val="nil"/>
              <w:bottom w:val="single" w:sz="4" w:space="0" w:color="auto"/>
              <w:right w:val="nil"/>
            </w:tcBorders>
            <w:shd w:val="clear" w:color="auto" w:fill="auto"/>
            <w:noWrap/>
            <w:vAlign w:val="center"/>
            <w:hideMark/>
          </w:tcPr>
          <w:p w14:paraId="62B33564" w14:textId="29DE9CB4" w:rsidR="0009101B" w:rsidRPr="0009101B" w:rsidRDefault="0009101B" w:rsidP="0009101B">
            <w:pPr>
              <w:overflowPunct/>
              <w:autoSpaceDE/>
              <w:autoSpaceDN/>
              <w:adjustRightInd/>
              <w:jc w:val="center"/>
              <w:textAlignment w:val="auto"/>
              <w:rPr>
                <w:rFonts w:ascii="Calibri Light" w:hAnsi="Calibri Light" w:cs="Calibri Light"/>
                <w:b/>
                <w:bCs/>
                <w:color w:val="000000"/>
                <w:sz w:val="22"/>
                <w:szCs w:val="22"/>
              </w:rPr>
            </w:pPr>
            <w:r w:rsidRPr="0009101B">
              <w:rPr>
                <w:rFonts w:ascii="Calibri Light" w:hAnsi="Calibri Light" w:cs="Calibri Light"/>
                <w:b/>
                <w:bCs/>
                <w:color w:val="000000"/>
                <w:sz w:val="22"/>
                <w:szCs w:val="22"/>
              </w:rPr>
              <w:t>3</w:t>
            </w:r>
            <w:r>
              <w:rPr>
                <w:rFonts w:ascii="Calibri Light" w:hAnsi="Calibri Light" w:cs="Calibri Light"/>
                <w:b/>
                <w:bCs/>
                <w:color w:val="000000"/>
                <w:sz w:val="22"/>
                <w:szCs w:val="22"/>
              </w:rPr>
              <w:t xml:space="preserve"> </w:t>
            </w:r>
            <w:r w:rsidRPr="0009101B">
              <w:rPr>
                <w:rFonts w:ascii="Calibri Light" w:hAnsi="Calibri Light" w:cs="Calibri Light"/>
                <w:b/>
                <w:bCs/>
                <w:color w:val="000000"/>
                <w:sz w:val="22"/>
                <w:szCs w:val="22"/>
              </w:rPr>
              <w:t>419</w:t>
            </w:r>
            <w:r>
              <w:rPr>
                <w:rFonts w:ascii="Calibri Light" w:hAnsi="Calibri Light" w:cs="Calibri Light"/>
                <w:b/>
                <w:bCs/>
                <w:color w:val="000000"/>
                <w:sz w:val="22"/>
                <w:szCs w:val="22"/>
              </w:rPr>
              <w:t xml:space="preserve"> </w:t>
            </w:r>
            <w:r w:rsidRPr="0009101B">
              <w:rPr>
                <w:rFonts w:ascii="Calibri Light" w:hAnsi="Calibri Light" w:cs="Calibri Light"/>
                <w:b/>
                <w:bCs/>
                <w:color w:val="000000"/>
                <w:sz w:val="22"/>
                <w:szCs w:val="22"/>
              </w:rPr>
              <w:t>743</w:t>
            </w:r>
          </w:p>
        </w:tc>
      </w:tr>
      <w:tr w:rsidR="0009101B" w:rsidRPr="0009101B" w14:paraId="2A2719E2" w14:textId="77777777" w:rsidTr="0009101B">
        <w:trPr>
          <w:trHeight w:val="300"/>
        </w:trPr>
        <w:tc>
          <w:tcPr>
            <w:tcW w:w="4469" w:type="dxa"/>
            <w:tcBorders>
              <w:top w:val="nil"/>
              <w:left w:val="nil"/>
              <w:bottom w:val="single" w:sz="4" w:space="0" w:color="auto"/>
              <w:right w:val="nil"/>
            </w:tcBorders>
            <w:shd w:val="clear" w:color="auto" w:fill="auto"/>
            <w:noWrap/>
            <w:vAlign w:val="bottom"/>
            <w:hideMark/>
          </w:tcPr>
          <w:p w14:paraId="7190E2BC" w14:textId="77777777" w:rsidR="0009101B" w:rsidRPr="0009101B" w:rsidRDefault="0009101B" w:rsidP="0009101B">
            <w:pPr>
              <w:overflowPunct/>
              <w:autoSpaceDE/>
              <w:autoSpaceDN/>
              <w:adjustRightInd/>
              <w:jc w:val="left"/>
              <w:textAlignment w:val="auto"/>
              <w:rPr>
                <w:rFonts w:ascii="Calibri Light" w:hAnsi="Calibri Light" w:cs="Calibri Light"/>
                <w:b/>
                <w:bCs/>
                <w:color w:val="000000"/>
                <w:sz w:val="22"/>
                <w:szCs w:val="22"/>
              </w:rPr>
            </w:pPr>
            <w:r w:rsidRPr="0009101B">
              <w:rPr>
                <w:rFonts w:ascii="Calibri Light" w:hAnsi="Calibri Light" w:cs="Calibri Light"/>
                <w:b/>
                <w:bCs/>
                <w:color w:val="000000"/>
                <w:sz w:val="22"/>
                <w:szCs w:val="22"/>
              </w:rPr>
              <w:t>Průměrná úroková sazba v %:</w:t>
            </w:r>
          </w:p>
        </w:tc>
        <w:tc>
          <w:tcPr>
            <w:tcW w:w="431" w:type="dxa"/>
            <w:tcBorders>
              <w:top w:val="nil"/>
              <w:left w:val="nil"/>
              <w:bottom w:val="single" w:sz="4" w:space="0" w:color="auto"/>
              <w:right w:val="nil"/>
            </w:tcBorders>
            <w:shd w:val="clear" w:color="auto" w:fill="auto"/>
            <w:noWrap/>
            <w:vAlign w:val="bottom"/>
            <w:hideMark/>
          </w:tcPr>
          <w:p w14:paraId="5E573CE8" w14:textId="77777777" w:rsidR="0009101B" w:rsidRPr="0009101B" w:rsidRDefault="0009101B" w:rsidP="0009101B">
            <w:pPr>
              <w:overflowPunct/>
              <w:autoSpaceDE/>
              <w:autoSpaceDN/>
              <w:adjustRightInd/>
              <w:jc w:val="left"/>
              <w:textAlignment w:val="auto"/>
              <w:rPr>
                <w:rFonts w:ascii="Calibri Light" w:hAnsi="Calibri Light" w:cs="Calibri Light"/>
                <w:b/>
                <w:bCs/>
                <w:color w:val="000000"/>
                <w:sz w:val="22"/>
                <w:szCs w:val="22"/>
              </w:rPr>
            </w:pPr>
            <w:r w:rsidRPr="0009101B">
              <w:rPr>
                <w:rFonts w:ascii="Calibri Light" w:hAnsi="Calibri Light" w:cs="Calibri Light"/>
                <w:b/>
                <w:bCs/>
                <w:color w:val="000000"/>
                <w:sz w:val="22"/>
                <w:szCs w:val="22"/>
              </w:rPr>
              <w:t> </w:t>
            </w:r>
          </w:p>
        </w:tc>
        <w:tc>
          <w:tcPr>
            <w:tcW w:w="1460" w:type="dxa"/>
            <w:tcBorders>
              <w:top w:val="nil"/>
              <w:left w:val="nil"/>
              <w:bottom w:val="single" w:sz="4" w:space="0" w:color="auto"/>
              <w:right w:val="nil"/>
            </w:tcBorders>
            <w:shd w:val="clear" w:color="auto" w:fill="auto"/>
            <w:noWrap/>
            <w:vAlign w:val="center"/>
            <w:hideMark/>
          </w:tcPr>
          <w:p w14:paraId="53C87ECD" w14:textId="7AA95C15" w:rsidR="0009101B" w:rsidRPr="0009101B" w:rsidRDefault="0009101B" w:rsidP="0009101B">
            <w:pPr>
              <w:overflowPunct/>
              <w:autoSpaceDE/>
              <w:autoSpaceDN/>
              <w:adjustRightInd/>
              <w:jc w:val="center"/>
              <w:textAlignment w:val="auto"/>
              <w:rPr>
                <w:rFonts w:ascii="Calibri Light" w:hAnsi="Calibri Light" w:cs="Calibri Light"/>
                <w:b/>
                <w:bCs/>
                <w:color w:val="000000"/>
                <w:sz w:val="22"/>
                <w:szCs w:val="22"/>
              </w:rPr>
            </w:pPr>
            <w:r w:rsidRPr="0009101B">
              <w:rPr>
                <w:rFonts w:ascii="Calibri Light" w:hAnsi="Calibri Light" w:cs="Calibri Light"/>
                <w:b/>
                <w:bCs/>
                <w:color w:val="000000"/>
                <w:sz w:val="22"/>
                <w:szCs w:val="22"/>
              </w:rPr>
              <w:t>2</w:t>
            </w:r>
            <w:r>
              <w:rPr>
                <w:rFonts w:ascii="Calibri Light" w:hAnsi="Calibri Light" w:cs="Calibri Light"/>
                <w:b/>
                <w:bCs/>
                <w:color w:val="000000"/>
                <w:sz w:val="22"/>
                <w:szCs w:val="22"/>
              </w:rPr>
              <w:t>,</w:t>
            </w:r>
            <w:r w:rsidRPr="0009101B">
              <w:rPr>
                <w:rFonts w:ascii="Calibri Light" w:hAnsi="Calibri Light" w:cs="Calibri Light"/>
                <w:b/>
                <w:bCs/>
                <w:color w:val="000000"/>
                <w:sz w:val="22"/>
                <w:szCs w:val="22"/>
              </w:rPr>
              <w:t>0</w:t>
            </w:r>
          </w:p>
        </w:tc>
        <w:tc>
          <w:tcPr>
            <w:tcW w:w="1045" w:type="dxa"/>
            <w:tcBorders>
              <w:top w:val="nil"/>
              <w:left w:val="nil"/>
              <w:bottom w:val="single" w:sz="4" w:space="0" w:color="auto"/>
              <w:right w:val="nil"/>
            </w:tcBorders>
            <w:shd w:val="clear" w:color="auto" w:fill="auto"/>
            <w:noWrap/>
            <w:vAlign w:val="center"/>
            <w:hideMark/>
          </w:tcPr>
          <w:p w14:paraId="4DB5553D" w14:textId="508494AD" w:rsidR="0009101B" w:rsidRPr="0009101B" w:rsidRDefault="0009101B" w:rsidP="0009101B">
            <w:pPr>
              <w:overflowPunct/>
              <w:autoSpaceDE/>
              <w:autoSpaceDN/>
              <w:adjustRightInd/>
              <w:jc w:val="center"/>
              <w:textAlignment w:val="auto"/>
              <w:rPr>
                <w:rFonts w:ascii="Calibri Light" w:hAnsi="Calibri Light" w:cs="Calibri Light"/>
                <w:b/>
                <w:bCs/>
                <w:color w:val="000000"/>
                <w:sz w:val="22"/>
                <w:szCs w:val="22"/>
              </w:rPr>
            </w:pPr>
            <w:r w:rsidRPr="0009101B">
              <w:rPr>
                <w:rFonts w:ascii="Calibri Light" w:hAnsi="Calibri Light" w:cs="Calibri Light"/>
                <w:b/>
                <w:bCs/>
                <w:color w:val="000000"/>
                <w:sz w:val="22"/>
                <w:szCs w:val="22"/>
              </w:rPr>
              <w:t>3</w:t>
            </w:r>
            <w:r>
              <w:rPr>
                <w:rFonts w:ascii="Calibri Light" w:hAnsi="Calibri Light" w:cs="Calibri Light"/>
                <w:b/>
                <w:bCs/>
                <w:color w:val="000000"/>
                <w:sz w:val="22"/>
                <w:szCs w:val="22"/>
              </w:rPr>
              <w:t>,</w:t>
            </w:r>
            <w:r w:rsidRPr="0009101B">
              <w:rPr>
                <w:rFonts w:ascii="Calibri Light" w:hAnsi="Calibri Light" w:cs="Calibri Light"/>
                <w:b/>
                <w:bCs/>
                <w:color w:val="000000"/>
                <w:sz w:val="22"/>
                <w:szCs w:val="22"/>
              </w:rPr>
              <w:t>0</w:t>
            </w:r>
          </w:p>
        </w:tc>
        <w:tc>
          <w:tcPr>
            <w:tcW w:w="1045" w:type="dxa"/>
            <w:tcBorders>
              <w:top w:val="nil"/>
              <w:left w:val="nil"/>
              <w:bottom w:val="single" w:sz="4" w:space="0" w:color="auto"/>
              <w:right w:val="nil"/>
            </w:tcBorders>
            <w:shd w:val="clear" w:color="000000" w:fill="DAF3EA"/>
            <w:noWrap/>
            <w:vAlign w:val="center"/>
            <w:hideMark/>
          </w:tcPr>
          <w:p w14:paraId="4093EC09" w14:textId="3F4AF01E" w:rsidR="0009101B" w:rsidRPr="0009101B" w:rsidRDefault="0009101B" w:rsidP="0009101B">
            <w:pPr>
              <w:overflowPunct/>
              <w:autoSpaceDE/>
              <w:autoSpaceDN/>
              <w:adjustRightInd/>
              <w:jc w:val="center"/>
              <w:textAlignment w:val="auto"/>
              <w:rPr>
                <w:rFonts w:ascii="Calibri Light" w:hAnsi="Calibri Light" w:cs="Calibri Light"/>
                <w:b/>
                <w:bCs/>
                <w:color w:val="000000"/>
                <w:sz w:val="22"/>
                <w:szCs w:val="22"/>
              </w:rPr>
            </w:pPr>
            <w:r w:rsidRPr="0009101B">
              <w:rPr>
                <w:rFonts w:ascii="Calibri Light" w:hAnsi="Calibri Light" w:cs="Calibri Light"/>
                <w:b/>
                <w:bCs/>
                <w:color w:val="000000"/>
                <w:sz w:val="22"/>
                <w:szCs w:val="22"/>
              </w:rPr>
              <w:t>4</w:t>
            </w:r>
            <w:r>
              <w:rPr>
                <w:rFonts w:ascii="Calibri Light" w:hAnsi="Calibri Light" w:cs="Calibri Light"/>
                <w:b/>
                <w:bCs/>
                <w:color w:val="000000"/>
                <w:sz w:val="22"/>
                <w:szCs w:val="22"/>
              </w:rPr>
              <w:t>,</w:t>
            </w:r>
            <w:r w:rsidRPr="0009101B">
              <w:rPr>
                <w:rFonts w:ascii="Calibri Light" w:hAnsi="Calibri Light" w:cs="Calibri Light"/>
                <w:b/>
                <w:bCs/>
                <w:color w:val="000000"/>
                <w:sz w:val="22"/>
                <w:szCs w:val="22"/>
              </w:rPr>
              <w:t>1</w:t>
            </w:r>
          </w:p>
        </w:tc>
        <w:tc>
          <w:tcPr>
            <w:tcW w:w="1045" w:type="dxa"/>
            <w:tcBorders>
              <w:top w:val="nil"/>
              <w:left w:val="nil"/>
              <w:bottom w:val="single" w:sz="4" w:space="0" w:color="auto"/>
              <w:right w:val="nil"/>
            </w:tcBorders>
            <w:shd w:val="clear" w:color="auto" w:fill="auto"/>
            <w:noWrap/>
            <w:vAlign w:val="center"/>
            <w:hideMark/>
          </w:tcPr>
          <w:p w14:paraId="05D2FE2C" w14:textId="190DE684" w:rsidR="0009101B" w:rsidRPr="0009101B" w:rsidRDefault="0009101B" w:rsidP="0009101B">
            <w:pPr>
              <w:overflowPunct/>
              <w:autoSpaceDE/>
              <w:autoSpaceDN/>
              <w:adjustRightInd/>
              <w:jc w:val="center"/>
              <w:textAlignment w:val="auto"/>
              <w:rPr>
                <w:rFonts w:ascii="Calibri Light" w:hAnsi="Calibri Light" w:cs="Calibri Light"/>
                <w:b/>
                <w:bCs/>
                <w:color w:val="000000"/>
                <w:sz w:val="22"/>
                <w:szCs w:val="22"/>
              </w:rPr>
            </w:pPr>
            <w:r w:rsidRPr="0009101B">
              <w:rPr>
                <w:rFonts w:ascii="Calibri Light" w:hAnsi="Calibri Light" w:cs="Calibri Light"/>
                <w:b/>
                <w:bCs/>
                <w:color w:val="000000"/>
                <w:sz w:val="22"/>
                <w:szCs w:val="22"/>
              </w:rPr>
              <w:t>5</w:t>
            </w:r>
            <w:r>
              <w:rPr>
                <w:rFonts w:ascii="Calibri Light" w:hAnsi="Calibri Light" w:cs="Calibri Light"/>
                <w:b/>
                <w:bCs/>
                <w:color w:val="000000"/>
                <w:sz w:val="22"/>
                <w:szCs w:val="22"/>
              </w:rPr>
              <w:t>,</w:t>
            </w:r>
            <w:r w:rsidRPr="0009101B">
              <w:rPr>
                <w:rFonts w:ascii="Calibri Light" w:hAnsi="Calibri Light" w:cs="Calibri Light"/>
                <w:b/>
                <w:bCs/>
                <w:color w:val="000000"/>
                <w:sz w:val="22"/>
                <w:szCs w:val="22"/>
              </w:rPr>
              <w:t>0</w:t>
            </w:r>
          </w:p>
        </w:tc>
        <w:tc>
          <w:tcPr>
            <w:tcW w:w="1045" w:type="dxa"/>
            <w:tcBorders>
              <w:top w:val="nil"/>
              <w:left w:val="nil"/>
              <w:bottom w:val="single" w:sz="4" w:space="0" w:color="auto"/>
              <w:right w:val="nil"/>
            </w:tcBorders>
            <w:shd w:val="clear" w:color="auto" w:fill="auto"/>
            <w:noWrap/>
            <w:vAlign w:val="center"/>
            <w:hideMark/>
          </w:tcPr>
          <w:p w14:paraId="0A6D9CDA" w14:textId="51C6A86A" w:rsidR="0009101B" w:rsidRPr="0009101B" w:rsidRDefault="0009101B" w:rsidP="0009101B">
            <w:pPr>
              <w:overflowPunct/>
              <w:autoSpaceDE/>
              <w:autoSpaceDN/>
              <w:adjustRightInd/>
              <w:jc w:val="center"/>
              <w:textAlignment w:val="auto"/>
              <w:rPr>
                <w:rFonts w:ascii="Calibri Light" w:hAnsi="Calibri Light" w:cs="Calibri Light"/>
                <w:b/>
                <w:bCs/>
                <w:color w:val="000000"/>
                <w:sz w:val="22"/>
                <w:szCs w:val="22"/>
              </w:rPr>
            </w:pPr>
            <w:r w:rsidRPr="0009101B">
              <w:rPr>
                <w:rFonts w:ascii="Calibri Light" w:hAnsi="Calibri Light" w:cs="Calibri Light"/>
                <w:b/>
                <w:bCs/>
                <w:color w:val="000000"/>
                <w:sz w:val="22"/>
                <w:szCs w:val="22"/>
              </w:rPr>
              <w:t>6</w:t>
            </w:r>
            <w:r>
              <w:rPr>
                <w:rFonts w:ascii="Calibri Light" w:hAnsi="Calibri Light" w:cs="Calibri Light"/>
                <w:b/>
                <w:bCs/>
                <w:color w:val="000000"/>
                <w:sz w:val="22"/>
                <w:szCs w:val="22"/>
              </w:rPr>
              <w:t>,</w:t>
            </w:r>
            <w:r w:rsidRPr="0009101B">
              <w:rPr>
                <w:rFonts w:ascii="Calibri Light" w:hAnsi="Calibri Light" w:cs="Calibri Light"/>
                <w:b/>
                <w:bCs/>
                <w:color w:val="000000"/>
                <w:sz w:val="22"/>
                <w:szCs w:val="22"/>
              </w:rPr>
              <w:t>0</w:t>
            </w:r>
          </w:p>
        </w:tc>
      </w:tr>
      <w:tr w:rsidR="0009101B" w:rsidRPr="0009101B" w14:paraId="6556343F" w14:textId="77777777" w:rsidTr="0009101B">
        <w:trPr>
          <w:trHeight w:val="300"/>
        </w:trPr>
        <w:tc>
          <w:tcPr>
            <w:tcW w:w="4469" w:type="dxa"/>
            <w:tcBorders>
              <w:top w:val="nil"/>
              <w:left w:val="nil"/>
              <w:bottom w:val="nil"/>
              <w:right w:val="nil"/>
            </w:tcBorders>
            <w:shd w:val="clear" w:color="auto" w:fill="auto"/>
            <w:noWrap/>
            <w:vAlign w:val="bottom"/>
            <w:hideMark/>
          </w:tcPr>
          <w:p w14:paraId="3918BFE7" w14:textId="77777777" w:rsidR="0009101B" w:rsidRPr="0009101B" w:rsidRDefault="0009101B" w:rsidP="0009101B">
            <w:pPr>
              <w:overflowPunct/>
              <w:autoSpaceDE/>
              <w:autoSpaceDN/>
              <w:adjustRightInd/>
              <w:jc w:val="center"/>
              <w:textAlignment w:val="auto"/>
              <w:rPr>
                <w:rFonts w:ascii="Calibri Light" w:hAnsi="Calibri Light" w:cs="Calibri Light"/>
                <w:b/>
                <w:bCs/>
                <w:color w:val="000000"/>
                <w:sz w:val="22"/>
                <w:szCs w:val="22"/>
              </w:rPr>
            </w:pPr>
          </w:p>
        </w:tc>
        <w:tc>
          <w:tcPr>
            <w:tcW w:w="431" w:type="dxa"/>
            <w:tcBorders>
              <w:top w:val="nil"/>
              <w:left w:val="nil"/>
              <w:bottom w:val="nil"/>
              <w:right w:val="nil"/>
            </w:tcBorders>
            <w:shd w:val="clear" w:color="auto" w:fill="auto"/>
            <w:noWrap/>
            <w:vAlign w:val="bottom"/>
            <w:hideMark/>
          </w:tcPr>
          <w:p w14:paraId="0586E1BB" w14:textId="77777777" w:rsidR="0009101B" w:rsidRPr="0009101B" w:rsidRDefault="0009101B" w:rsidP="0009101B">
            <w:pPr>
              <w:overflowPunct/>
              <w:autoSpaceDE/>
              <w:autoSpaceDN/>
              <w:adjustRightInd/>
              <w:jc w:val="left"/>
              <w:textAlignment w:val="auto"/>
              <w:rPr>
                <w:rFonts w:ascii="Times New Roman" w:hAnsi="Times New Roman"/>
                <w:sz w:val="20"/>
              </w:rPr>
            </w:pPr>
          </w:p>
        </w:tc>
        <w:tc>
          <w:tcPr>
            <w:tcW w:w="1460" w:type="dxa"/>
            <w:tcBorders>
              <w:top w:val="nil"/>
              <w:left w:val="nil"/>
              <w:bottom w:val="single" w:sz="4" w:space="0" w:color="auto"/>
              <w:right w:val="nil"/>
            </w:tcBorders>
            <w:shd w:val="clear" w:color="auto" w:fill="auto"/>
            <w:noWrap/>
            <w:vAlign w:val="bottom"/>
            <w:hideMark/>
          </w:tcPr>
          <w:p w14:paraId="228E6A20" w14:textId="77777777" w:rsidR="0009101B" w:rsidRPr="0009101B" w:rsidRDefault="0009101B" w:rsidP="0009101B">
            <w:pPr>
              <w:overflowPunct/>
              <w:autoSpaceDE/>
              <w:autoSpaceDN/>
              <w:adjustRightInd/>
              <w:jc w:val="left"/>
              <w:textAlignment w:val="auto"/>
              <w:rPr>
                <w:rFonts w:ascii="Calibri" w:hAnsi="Calibri" w:cs="Calibri"/>
                <w:color w:val="000000"/>
                <w:sz w:val="22"/>
                <w:szCs w:val="22"/>
              </w:rPr>
            </w:pPr>
            <w:r w:rsidRPr="0009101B">
              <w:rPr>
                <w:rFonts w:ascii="Calibri" w:hAnsi="Calibri" w:cs="Calibri"/>
                <w:color w:val="000000"/>
                <w:sz w:val="22"/>
                <w:szCs w:val="22"/>
              </w:rPr>
              <w:t> </w:t>
            </w:r>
          </w:p>
        </w:tc>
        <w:tc>
          <w:tcPr>
            <w:tcW w:w="4180" w:type="dxa"/>
            <w:gridSpan w:val="4"/>
            <w:tcBorders>
              <w:top w:val="single" w:sz="4" w:space="0" w:color="auto"/>
              <w:left w:val="nil"/>
              <w:bottom w:val="single" w:sz="4" w:space="0" w:color="auto"/>
              <w:right w:val="nil"/>
            </w:tcBorders>
            <w:shd w:val="clear" w:color="auto" w:fill="auto"/>
            <w:noWrap/>
            <w:vAlign w:val="bottom"/>
            <w:hideMark/>
          </w:tcPr>
          <w:p w14:paraId="4C8A0106" w14:textId="77777777" w:rsidR="0009101B" w:rsidRPr="0009101B" w:rsidRDefault="0009101B" w:rsidP="0009101B">
            <w:pPr>
              <w:overflowPunct/>
              <w:autoSpaceDE/>
              <w:autoSpaceDN/>
              <w:adjustRightInd/>
              <w:jc w:val="center"/>
              <w:textAlignment w:val="auto"/>
              <w:rPr>
                <w:rFonts w:ascii="Calibri Light" w:hAnsi="Calibri Light" w:cs="Calibri Light"/>
                <w:b/>
                <w:bCs/>
                <w:color w:val="000000"/>
                <w:sz w:val="22"/>
                <w:szCs w:val="22"/>
              </w:rPr>
            </w:pPr>
            <w:r w:rsidRPr="0009101B">
              <w:rPr>
                <w:rFonts w:ascii="Calibri Light" w:hAnsi="Calibri Light" w:cs="Calibri Light"/>
                <w:b/>
                <w:bCs/>
                <w:color w:val="000000"/>
                <w:sz w:val="22"/>
                <w:szCs w:val="22"/>
              </w:rPr>
              <w:t>Měsíční splátka:</w:t>
            </w:r>
          </w:p>
        </w:tc>
      </w:tr>
      <w:tr w:rsidR="0009101B" w:rsidRPr="0009101B" w14:paraId="03EA81E6" w14:textId="77777777" w:rsidTr="0009101B">
        <w:trPr>
          <w:trHeight w:val="300"/>
        </w:trPr>
        <w:tc>
          <w:tcPr>
            <w:tcW w:w="4469" w:type="dxa"/>
            <w:tcBorders>
              <w:top w:val="nil"/>
              <w:left w:val="nil"/>
              <w:bottom w:val="nil"/>
              <w:right w:val="nil"/>
            </w:tcBorders>
            <w:shd w:val="clear" w:color="auto" w:fill="auto"/>
            <w:noWrap/>
            <w:vAlign w:val="bottom"/>
            <w:hideMark/>
          </w:tcPr>
          <w:p w14:paraId="371F3266" w14:textId="77777777" w:rsidR="0009101B" w:rsidRPr="0009101B" w:rsidRDefault="0009101B" w:rsidP="0009101B">
            <w:pPr>
              <w:overflowPunct/>
              <w:autoSpaceDE/>
              <w:autoSpaceDN/>
              <w:adjustRightInd/>
              <w:jc w:val="left"/>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Splatnost hypotéky v letech:</w:t>
            </w:r>
          </w:p>
        </w:tc>
        <w:tc>
          <w:tcPr>
            <w:tcW w:w="431" w:type="dxa"/>
            <w:tcBorders>
              <w:top w:val="nil"/>
              <w:left w:val="nil"/>
              <w:bottom w:val="nil"/>
              <w:right w:val="nil"/>
            </w:tcBorders>
            <w:shd w:val="clear" w:color="auto" w:fill="auto"/>
            <w:noWrap/>
            <w:vAlign w:val="bottom"/>
            <w:hideMark/>
          </w:tcPr>
          <w:p w14:paraId="42DD40E8" w14:textId="77777777"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15</w:t>
            </w:r>
          </w:p>
        </w:tc>
        <w:tc>
          <w:tcPr>
            <w:tcW w:w="1460" w:type="dxa"/>
            <w:tcBorders>
              <w:top w:val="nil"/>
              <w:left w:val="nil"/>
              <w:bottom w:val="nil"/>
              <w:right w:val="nil"/>
            </w:tcBorders>
            <w:shd w:val="clear" w:color="auto" w:fill="auto"/>
            <w:noWrap/>
            <w:vAlign w:val="center"/>
            <w:hideMark/>
          </w:tcPr>
          <w:p w14:paraId="3D0FD38E" w14:textId="35B631B2"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22</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006</w:t>
            </w:r>
          </w:p>
        </w:tc>
        <w:tc>
          <w:tcPr>
            <w:tcW w:w="1045" w:type="dxa"/>
            <w:tcBorders>
              <w:top w:val="nil"/>
              <w:left w:val="nil"/>
              <w:bottom w:val="nil"/>
              <w:right w:val="nil"/>
            </w:tcBorders>
            <w:shd w:val="clear" w:color="auto" w:fill="auto"/>
            <w:noWrap/>
            <w:vAlign w:val="center"/>
            <w:hideMark/>
          </w:tcPr>
          <w:p w14:paraId="2333CF2C" w14:textId="3508E29D"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23</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616</w:t>
            </w:r>
          </w:p>
        </w:tc>
        <w:tc>
          <w:tcPr>
            <w:tcW w:w="1045" w:type="dxa"/>
            <w:tcBorders>
              <w:top w:val="nil"/>
              <w:left w:val="nil"/>
              <w:bottom w:val="nil"/>
              <w:right w:val="nil"/>
            </w:tcBorders>
            <w:shd w:val="clear" w:color="000000" w:fill="DAF3EA"/>
            <w:noWrap/>
            <w:vAlign w:val="center"/>
            <w:hideMark/>
          </w:tcPr>
          <w:p w14:paraId="159F83A2" w14:textId="0E074737"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25</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552</w:t>
            </w:r>
          </w:p>
        </w:tc>
        <w:tc>
          <w:tcPr>
            <w:tcW w:w="1045" w:type="dxa"/>
            <w:tcBorders>
              <w:top w:val="nil"/>
              <w:left w:val="nil"/>
              <w:bottom w:val="nil"/>
              <w:right w:val="nil"/>
            </w:tcBorders>
            <w:shd w:val="clear" w:color="auto" w:fill="auto"/>
            <w:noWrap/>
            <w:vAlign w:val="center"/>
            <w:hideMark/>
          </w:tcPr>
          <w:p w14:paraId="23899D9E" w14:textId="550237EE"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27</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043</w:t>
            </w:r>
          </w:p>
        </w:tc>
        <w:tc>
          <w:tcPr>
            <w:tcW w:w="1045" w:type="dxa"/>
            <w:tcBorders>
              <w:top w:val="nil"/>
              <w:left w:val="nil"/>
              <w:bottom w:val="nil"/>
              <w:right w:val="nil"/>
            </w:tcBorders>
            <w:shd w:val="clear" w:color="auto" w:fill="auto"/>
            <w:noWrap/>
            <w:vAlign w:val="center"/>
            <w:hideMark/>
          </w:tcPr>
          <w:p w14:paraId="71707FFA" w14:textId="1E5047D9"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28</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858</w:t>
            </w:r>
          </w:p>
        </w:tc>
      </w:tr>
      <w:tr w:rsidR="0009101B" w:rsidRPr="0009101B" w14:paraId="497B0B76" w14:textId="77777777" w:rsidTr="0009101B">
        <w:trPr>
          <w:trHeight w:val="300"/>
        </w:trPr>
        <w:tc>
          <w:tcPr>
            <w:tcW w:w="4469" w:type="dxa"/>
            <w:tcBorders>
              <w:top w:val="nil"/>
              <w:left w:val="nil"/>
              <w:bottom w:val="nil"/>
              <w:right w:val="nil"/>
            </w:tcBorders>
            <w:shd w:val="clear" w:color="auto" w:fill="auto"/>
            <w:noWrap/>
            <w:vAlign w:val="bottom"/>
            <w:hideMark/>
          </w:tcPr>
          <w:p w14:paraId="56861391" w14:textId="77777777"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p>
        </w:tc>
        <w:tc>
          <w:tcPr>
            <w:tcW w:w="431" w:type="dxa"/>
            <w:tcBorders>
              <w:top w:val="nil"/>
              <w:left w:val="nil"/>
              <w:bottom w:val="nil"/>
              <w:right w:val="nil"/>
            </w:tcBorders>
            <w:shd w:val="clear" w:color="auto" w:fill="auto"/>
            <w:noWrap/>
            <w:vAlign w:val="bottom"/>
            <w:hideMark/>
          </w:tcPr>
          <w:p w14:paraId="70A998A9" w14:textId="77777777"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20</w:t>
            </w:r>
          </w:p>
        </w:tc>
        <w:tc>
          <w:tcPr>
            <w:tcW w:w="1460" w:type="dxa"/>
            <w:tcBorders>
              <w:top w:val="nil"/>
              <w:left w:val="nil"/>
              <w:bottom w:val="nil"/>
              <w:right w:val="nil"/>
            </w:tcBorders>
            <w:shd w:val="clear" w:color="auto" w:fill="auto"/>
            <w:noWrap/>
            <w:vAlign w:val="center"/>
            <w:hideMark/>
          </w:tcPr>
          <w:p w14:paraId="35527651" w14:textId="299D3AEE"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17</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300</w:t>
            </w:r>
          </w:p>
        </w:tc>
        <w:tc>
          <w:tcPr>
            <w:tcW w:w="1045" w:type="dxa"/>
            <w:tcBorders>
              <w:top w:val="nil"/>
              <w:left w:val="nil"/>
              <w:bottom w:val="nil"/>
              <w:right w:val="nil"/>
            </w:tcBorders>
            <w:shd w:val="clear" w:color="auto" w:fill="auto"/>
            <w:noWrap/>
            <w:vAlign w:val="center"/>
            <w:hideMark/>
          </w:tcPr>
          <w:p w14:paraId="3791E30F" w14:textId="30EA70FC"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18</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966</w:t>
            </w:r>
          </w:p>
        </w:tc>
        <w:tc>
          <w:tcPr>
            <w:tcW w:w="1045" w:type="dxa"/>
            <w:tcBorders>
              <w:top w:val="nil"/>
              <w:left w:val="nil"/>
              <w:bottom w:val="nil"/>
              <w:right w:val="nil"/>
            </w:tcBorders>
            <w:shd w:val="clear" w:color="000000" w:fill="DAF3EA"/>
            <w:noWrap/>
            <w:vAlign w:val="center"/>
            <w:hideMark/>
          </w:tcPr>
          <w:p w14:paraId="72C083EC" w14:textId="4843B2DD"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20</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993</w:t>
            </w:r>
          </w:p>
        </w:tc>
        <w:tc>
          <w:tcPr>
            <w:tcW w:w="1045" w:type="dxa"/>
            <w:tcBorders>
              <w:top w:val="nil"/>
              <w:left w:val="nil"/>
              <w:bottom w:val="nil"/>
              <w:right w:val="nil"/>
            </w:tcBorders>
            <w:shd w:val="clear" w:color="auto" w:fill="auto"/>
            <w:noWrap/>
            <w:vAlign w:val="center"/>
            <w:hideMark/>
          </w:tcPr>
          <w:p w14:paraId="5E91EDE4" w14:textId="51288DFC"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22</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569</w:t>
            </w:r>
          </w:p>
        </w:tc>
        <w:tc>
          <w:tcPr>
            <w:tcW w:w="1045" w:type="dxa"/>
            <w:tcBorders>
              <w:top w:val="nil"/>
              <w:left w:val="nil"/>
              <w:bottom w:val="nil"/>
              <w:right w:val="nil"/>
            </w:tcBorders>
            <w:shd w:val="clear" w:color="auto" w:fill="auto"/>
            <w:noWrap/>
            <w:vAlign w:val="center"/>
            <w:hideMark/>
          </w:tcPr>
          <w:p w14:paraId="1F603918" w14:textId="08E11BE3"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24</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500</w:t>
            </w:r>
          </w:p>
        </w:tc>
      </w:tr>
      <w:tr w:rsidR="0009101B" w:rsidRPr="0009101B" w14:paraId="6F876EE9" w14:textId="77777777" w:rsidTr="0009101B">
        <w:trPr>
          <w:trHeight w:val="300"/>
        </w:trPr>
        <w:tc>
          <w:tcPr>
            <w:tcW w:w="4469" w:type="dxa"/>
            <w:tcBorders>
              <w:top w:val="nil"/>
              <w:left w:val="nil"/>
              <w:bottom w:val="nil"/>
              <w:right w:val="nil"/>
            </w:tcBorders>
            <w:shd w:val="clear" w:color="auto" w:fill="auto"/>
            <w:noWrap/>
            <w:vAlign w:val="bottom"/>
            <w:hideMark/>
          </w:tcPr>
          <w:p w14:paraId="10737B1F" w14:textId="77777777"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p>
        </w:tc>
        <w:tc>
          <w:tcPr>
            <w:tcW w:w="431" w:type="dxa"/>
            <w:tcBorders>
              <w:top w:val="nil"/>
              <w:left w:val="nil"/>
              <w:bottom w:val="nil"/>
              <w:right w:val="nil"/>
            </w:tcBorders>
            <w:shd w:val="clear" w:color="auto" w:fill="auto"/>
            <w:noWrap/>
            <w:vAlign w:val="bottom"/>
            <w:hideMark/>
          </w:tcPr>
          <w:p w14:paraId="39471227" w14:textId="77777777"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25</w:t>
            </w:r>
          </w:p>
        </w:tc>
        <w:tc>
          <w:tcPr>
            <w:tcW w:w="1460" w:type="dxa"/>
            <w:tcBorders>
              <w:top w:val="nil"/>
              <w:left w:val="nil"/>
              <w:bottom w:val="nil"/>
              <w:right w:val="nil"/>
            </w:tcBorders>
            <w:shd w:val="clear" w:color="auto" w:fill="auto"/>
            <w:noWrap/>
            <w:vAlign w:val="center"/>
            <w:hideMark/>
          </w:tcPr>
          <w:p w14:paraId="76903D5A" w14:textId="0FEA77F5"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14</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495</w:t>
            </w:r>
          </w:p>
        </w:tc>
        <w:tc>
          <w:tcPr>
            <w:tcW w:w="1045" w:type="dxa"/>
            <w:tcBorders>
              <w:top w:val="nil"/>
              <w:left w:val="nil"/>
              <w:bottom w:val="nil"/>
              <w:right w:val="nil"/>
            </w:tcBorders>
            <w:shd w:val="clear" w:color="auto" w:fill="auto"/>
            <w:noWrap/>
            <w:vAlign w:val="center"/>
            <w:hideMark/>
          </w:tcPr>
          <w:p w14:paraId="168EA813" w14:textId="2CFD461F"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16</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217</w:t>
            </w:r>
          </w:p>
        </w:tc>
        <w:tc>
          <w:tcPr>
            <w:tcW w:w="1045" w:type="dxa"/>
            <w:tcBorders>
              <w:top w:val="nil"/>
              <w:left w:val="nil"/>
              <w:bottom w:val="nil"/>
              <w:right w:val="nil"/>
            </w:tcBorders>
            <w:shd w:val="clear" w:color="000000" w:fill="DAF3EA"/>
            <w:noWrap/>
            <w:vAlign w:val="center"/>
            <w:hideMark/>
          </w:tcPr>
          <w:p w14:paraId="79D29679" w14:textId="6831B6BA"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18</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334</w:t>
            </w:r>
          </w:p>
        </w:tc>
        <w:tc>
          <w:tcPr>
            <w:tcW w:w="1045" w:type="dxa"/>
            <w:tcBorders>
              <w:top w:val="nil"/>
              <w:left w:val="nil"/>
              <w:bottom w:val="nil"/>
              <w:right w:val="nil"/>
            </w:tcBorders>
            <w:shd w:val="clear" w:color="auto" w:fill="auto"/>
            <w:noWrap/>
            <w:vAlign w:val="center"/>
            <w:hideMark/>
          </w:tcPr>
          <w:p w14:paraId="1EE39B4B" w14:textId="1BDBE54D"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19</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991</w:t>
            </w:r>
          </w:p>
        </w:tc>
        <w:tc>
          <w:tcPr>
            <w:tcW w:w="1045" w:type="dxa"/>
            <w:tcBorders>
              <w:top w:val="nil"/>
              <w:left w:val="nil"/>
              <w:bottom w:val="nil"/>
              <w:right w:val="nil"/>
            </w:tcBorders>
            <w:shd w:val="clear" w:color="auto" w:fill="auto"/>
            <w:noWrap/>
            <w:vAlign w:val="center"/>
            <w:hideMark/>
          </w:tcPr>
          <w:p w14:paraId="1CC93F20" w14:textId="3EF794F4"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22</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033</w:t>
            </w:r>
          </w:p>
        </w:tc>
      </w:tr>
      <w:tr w:rsidR="0009101B" w:rsidRPr="0009101B" w14:paraId="4F21A65C" w14:textId="77777777" w:rsidTr="0009101B">
        <w:trPr>
          <w:trHeight w:val="300"/>
        </w:trPr>
        <w:tc>
          <w:tcPr>
            <w:tcW w:w="4469" w:type="dxa"/>
            <w:tcBorders>
              <w:top w:val="nil"/>
              <w:left w:val="nil"/>
              <w:bottom w:val="single" w:sz="4" w:space="0" w:color="auto"/>
              <w:right w:val="nil"/>
            </w:tcBorders>
            <w:shd w:val="clear" w:color="auto" w:fill="auto"/>
            <w:noWrap/>
            <w:vAlign w:val="bottom"/>
            <w:hideMark/>
          </w:tcPr>
          <w:p w14:paraId="39B6DB01" w14:textId="77777777" w:rsidR="0009101B" w:rsidRPr="0009101B" w:rsidRDefault="0009101B" w:rsidP="0009101B">
            <w:pPr>
              <w:overflowPunct/>
              <w:autoSpaceDE/>
              <w:autoSpaceDN/>
              <w:adjustRightInd/>
              <w:jc w:val="left"/>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 </w:t>
            </w:r>
          </w:p>
        </w:tc>
        <w:tc>
          <w:tcPr>
            <w:tcW w:w="431" w:type="dxa"/>
            <w:tcBorders>
              <w:top w:val="nil"/>
              <w:left w:val="nil"/>
              <w:bottom w:val="single" w:sz="4" w:space="0" w:color="auto"/>
              <w:right w:val="nil"/>
            </w:tcBorders>
            <w:shd w:val="clear" w:color="auto" w:fill="auto"/>
            <w:noWrap/>
            <w:vAlign w:val="bottom"/>
            <w:hideMark/>
          </w:tcPr>
          <w:p w14:paraId="36FC80AB" w14:textId="77777777"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30</w:t>
            </w:r>
          </w:p>
        </w:tc>
        <w:tc>
          <w:tcPr>
            <w:tcW w:w="1460" w:type="dxa"/>
            <w:tcBorders>
              <w:top w:val="nil"/>
              <w:left w:val="nil"/>
              <w:bottom w:val="single" w:sz="4" w:space="0" w:color="auto"/>
              <w:right w:val="nil"/>
            </w:tcBorders>
            <w:shd w:val="clear" w:color="auto" w:fill="auto"/>
            <w:noWrap/>
            <w:vAlign w:val="center"/>
            <w:hideMark/>
          </w:tcPr>
          <w:p w14:paraId="0FE0E8A8" w14:textId="3108AE06"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12</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640</w:t>
            </w:r>
          </w:p>
        </w:tc>
        <w:tc>
          <w:tcPr>
            <w:tcW w:w="1045" w:type="dxa"/>
            <w:tcBorders>
              <w:top w:val="nil"/>
              <w:left w:val="nil"/>
              <w:bottom w:val="single" w:sz="4" w:space="0" w:color="auto"/>
              <w:right w:val="nil"/>
            </w:tcBorders>
            <w:shd w:val="clear" w:color="auto" w:fill="auto"/>
            <w:noWrap/>
            <w:vAlign w:val="center"/>
            <w:hideMark/>
          </w:tcPr>
          <w:p w14:paraId="424A21EA" w14:textId="0B77CD2F"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14</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418</w:t>
            </w:r>
          </w:p>
        </w:tc>
        <w:tc>
          <w:tcPr>
            <w:tcW w:w="1045" w:type="dxa"/>
            <w:tcBorders>
              <w:top w:val="nil"/>
              <w:left w:val="nil"/>
              <w:bottom w:val="single" w:sz="4" w:space="0" w:color="auto"/>
              <w:right w:val="nil"/>
            </w:tcBorders>
            <w:shd w:val="clear" w:color="000000" w:fill="DAF3EA"/>
            <w:noWrap/>
            <w:vAlign w:val="center"/>
            <w:hideMark/>
          </w:tcPr>
          <w:p w14:paraId="3103E048" w14:textId="563BF3BB"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16</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622</w:t>
            </w:r>
          </w:p>
        </w:tc>
        <w:tc>
          <w:tcPr>
            <w:tcW w:w="1045" w:type="dxa"/>
            <w:tcBorders>
              <w:top w:val="nil"/>
              <w:left w:val="nil"/>
              <w:bottom w:val="single" w:sz="4" w:space="0" w:color="auto"/>
              <w:right w:val="nil"/>
            </w:tcBorders>
            <w:shd w:val="clear" w:color="auto" w:fill="auto"/>
            <w:noWrap/>
            <w:vAlign w:val="center"/>
            <w:hideMark/>
          </w:tcPr>
          <w:p w14:paraId="7CBFEE90" w14:textId="5DF86BE6"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18</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358</w:t>
            </w:r>
          </w:p>
        </w:tc>
        <w:tc>
          <w:tcPr>
            <w:tcW w:w="1045" w:type="dxa"/>
            <w:tcBorders>
              <w:top w:val="nil"/>
              <w:left w:val="nil"/>
              <w:bottom w:val="single" w:sz="4" w:space="0" w:color="auto"/>
              <w:right w:val="nil"/>
            </w:tcBorders>
            <w:shd w:val="clear" w:color="auto" w:fill="auto"/>
            <w:noWrap/>
            <w:vAlign w:val="center"/>
            <w:hideMark/>
          </w:tcPr>
          <w:p w14:paraId="6A30044B" w14:textId="3B1A250A" w:rsidR="0009101B" w:rsidRPr="0009101B" w:rsidRDefault="0009101B" w:rsidP="0009101B">
            <w:pPr>
              <w:overflowPunct/>
              <w:autoSpaceDE/>
              <w:autoSpaceDN/>
              <w:adjustRightInd/>
              <w:jc w:val="center"/>
              <w:textAlignment w:val="auto"/>
              <w:rPr>
                <w:rFonts w:ascii="Calibri Light" w:hAnsi="Calibri Light" w:cs="Calibri Light"/>
                <w:color w:val="000000"/>
                <w:sz w:val="22"/>
                <w:szCs w:val="22"/>
              </w:rPr>
            </w:pPr>
            <w:r w:rsidRPr="0009101B">
              <w:rPr>
                <w:rFonts w:ascii="Calibri Light" w:hAnsi="Calibri Light" w:cs="Calibri Light"/>
                <w:color w:val="000000"/>
                <w:sz w:val="22"/>
                <w:szCs w:val="22"/>
              </w:rPr>
              <w:t>20</w:t>
            </w:r>
            <w:r w:rsidR="00A55882">
              <w:rPr>
                <w:rFonts w:ascii="Calibri Light" w:hAnsi="Calibri Light" w:cs="Calibri Light"/>
                <w:color w:val="000000"/>
                <w:sz w:val="22"/>
                <w:szCs w:val="22"/>
              </w:rPr>
              <w:t xml:space="preserve"> </w:t>
            </w:r>
            <w:r w:rsidRPr="0009101B">
              <w:rPr>
                <w:rFonts w:ascii="Calibri Light" w:hAnsi="Calibri Light" w:cs="Calibri Light"/>
                <w:color w:val="000000"/>
                <w:sz w:val="22"/>
                <w:szCs w:val="22"/>
              </w:rPr>
              <w:t>503</w:t>
            </w:r>
          </w:p>
        </w:tc>
      </w:tr>
      <w:tr w:rsidR="0009101B" w:rsidRPr="0009101B" w14:paraId="2B86DBF3" w14:textId="77777777" w:rsidTr="0009101B">
        <w:trPr>
          <w:trHeight w:val="300"/>
        </w:trPr>
        <w:tc>
          <w:tcPr>
            <w:tcW w:w="4469" w:type="dxa"/>
            <w:tcBorders>
              <w:top w:val="nil"/>
              <w:left w:val="nil"/>
              <w:bottom w:val="nil"/>
              <w:right w:val="nil"/>
            </w:tcBorders>
            <w:shd w:val="clear" w:color="auto" w:fill="auto"/>
            <w:noWrap/>
            <w:vAlign w:val="bottom"/>
            <w:hideMark/>
          </w:tcPr>
          <w:p w14:paraId="58F7ED97" w14:textId="77777777" w:rsidR="0009101B" w:rsidRPr="0009101B" w:rsidRDefault="0009101B" w:rsidP="0009101B">
            <w:pPr>
              <w:overflowPunct/>
              <w:autoSpaceDE/>
              <w:autoSpaceDN/>
              <w:adjustRightInd/>
              <w:jc w:val="left"/>
              <w:textAlignment w:val="auto"/>
              <w:rPr>
                <w:rFonts w:ascii="Calibri" w:hAnsi="Calibri" w:cs="Calibri"/>
                <w:color w:val="13576B"/>
                <w:sz w:val="22"/>
                <w:szCs w:val="22"/>
              </w:rPr>
            </w:pPr>
            <w:r w:rsidRPr="0009101B">
              <w:rPr>
                <w:rFonts w:ascii="Calibri" w:hAnsi="Calibri" w:cs="Calibri"/>
                <w:color w:val="13576B"/>
                <w:sz w:val="22"/>
                <w:szCs w:val="22"/>
              </w:rPr>
              <w:t>Zdroj: ČBA</w:t>
            </w:r>
          </w:p>
        </w:tc>
        <w:tc>
          <w:tcPr>
            <w:tcW w:w="431" w:type="dxa"/>
            <w:tcBorders>
              <w:top w:val="nil"/>
              <w:left w:val="nil"/>
              <w:bottom w:val="nil"/>
              <w:right w:val="nil"/>
            </w:tcBorders>
            <w:shd w:val="clear" w:color="auto" w:fill="auto"/>
            <w:noWrap/>
            <w:vAlign w:val="bottom"/>
            <w:hideMark/>
          </w:tcPr>
          <w:p w14:paraId="3A628F59" w14:textId="77777777" w:rsidR="0009101B" w:rsidRPr="0009101B" w:rsidRDefault="0009101B" w:rsidP="0009101B">
            <w:pPr>
              <w:overflowPunct/>
              <w:autoSpaceDE/>
              <w:autoSpaceDN/>
              <w:adjustRightInd/>
              <w:jc w:val="left"/>
              <w:textAlignment w:val="auto"/>
              <w:rPr>
                <w:rFonts w:ascii="Calibri" w:hAnsi="Calibri" w:cs="Calibri"/>
                <w:color w:val="13576B"/>
                <w:sz w:val="22"/>
                <w:szCs w:val="22"/>
              </w:rPr>
            </w:pPr>
          </w:p>
        </w:tc>
        <w:tc>
          <w:tcPr>
            <w:tcW w:w="1460" w:type="dxa"/>
            <w:tcBorders>
              <w:top w:val="nil"/>
              <w:left w:val="nil"/>
              <w:bottom w:val="nil"/>
              <w:right w:val="nil"/>
            </w:tcBorders>
            <w:shd w:val="clear" w:color="auto" w:fill="auto"/>
            <w:noWrap/>
            <w:vAlign w:val="bottom"/>
            <w:hideMark/>
          </w:tcPr>
          <w:p w14:paraId="72222CD6" w14:textId="77777777" w:rsidR="0009101B" w:rsidRPr="0009101B" w:rsidRDefault="0009101B" w:rsidP="0009101B">
            <w:pPr>
              <w:overflowPunct/>
              <w:autoSpaceDE/>
              <w:autoSpaceDN/>
              <w:adjustRightInd/>
              <w:jc w:val="left"/>
              <w:textAlignment w:val="auto"/>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14:paraId="241EEFFA" w14:textId="77777777" w:rsidR="0009101B" w:rsidRPr="0009101B" w:rsidRDefault="0009101B" w:rsidP="0009101B">
            <w:pPr>
              <w:overflowPunct/>
              <w:autoSpaceDE/>
              <w:autoSpaceDN/>
              <w:adjustRightInd/>
              <w:jc w:val="left"/>
              <w:textAlignment w:val="auto"/>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14:paraId="51E90264" w14:textId="77777777" w:rsidR="0009101B" w:rsidRPr="0009101B" w:rsidRDefault="0009101B" w:rsidP="0009101B">
            <w:pPr>
              <w:overflowPunct/>
              <w:autoSpaceDE/>
              <w:autoSpaceDN/>
              <w:adjustRightInd/>
              <w:jc w:val="left"/>
              <w:textAlignment w:val="auto"/>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14:paraId="730D957C" w14:textId="77777777" w:rsidR="0009101B" w:rsidRPr="0009101B" w:rsidRDefault="0009101B" w:rsidP="0009101B">
            <w:pPr>
              <w:overflowPunct/>
              <w:autoSpaceDE/>
              <w:autoSpaceDN/>
              <w:adjustRightInd/>
              <w:jc w:val="left"/>
              <w:textAlignment w:val="auto"/>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14:paraId="6B2CAA1C" w14:textId="77777777" w:rsidR="0009101B" w:rsidRPr="0009101B" w:rsidRDefault="0009101B" w:rsidP="0009101B">
            <w:pPr>
              <w:overflowPunct/>
              <w:autoSpaceDE/>
              <w:autoSpaceDN/>
              <w:adjustRightInd/>
              <w:jc w:val="left"/>
              <w:textAlignment w:val="auto"/>
              <w:rPr>
                <w:rFonts w:ascii="Times New Roman" w:hAnsi="Times New Roman"/>
                <w:sz w:val="20"/>
              </w:rPr>
            </w:pPr>
          </w:p>
        </w:tc>
      </w:tr>
      <w:tr w:rsidR="0009101B" w:rsidRPr="0009101B" w14:paraId="6B2D53C3" w14:textId="77777777" w:rsidTr="0009101B">
        <w:trPr>
          <w:trHeight w:val="300"/>
        </w:trPr>
        <w:tc>
          <w:tcPr>
            <w:tcW w:w="10540" w:type="dxa"/>
            <w:gridSpan w:val="7"/>
            <w:tcBorders>
              <w:top w:val="nil"/>
              <w:left w:val="nil"/>
              <w:bottom w:val="nil"/>
              <w:right w:val="nil"/>
            </w:tcBorders>
            <w:shd w:val="clear" w:color="auto" w:fill="auto"/>
            <w:noWrap/>
            <w:vAlign w:val="bottom"/>
            <w:hideMark/>
          </w:tcPr>
          <w:p w14:paraId="6FB0C2C8" w14:textId="77777777" w:rsidR="0009101B" w:rsidRPr="0009101B" w:rsidRDefault="0009101B" w:rsidP="0009101B">
            <w:pPr>
              <w:overflowPunct/>
              <w:autoSpaceDE/>
              <w:autoSpaceDN/>
              <w:adjustRightInd/>
              <w:jc w:val="left"/>
              <w:textAlignment w:val="auto"/>
              <w:rPr>
                <w:rFonts w:ascii="Calibri" w:hAnsi="Calibri" w:cs="Calibri"/>
                <w:color w:val="13576B"/>
                <w:sz w:val="22"/>
                <w:szCs w:val="22"/>
              </w:rPr>
            </w:pPr>
            <w:r w:rsidRPr="0009101B">
              <w:rPr>
                <w:rFonts w:ascii="Calibri" w:hAnsi="Calibri" w:cs="Calibri"/>
                <w:color w:val="13576B"/>
                <w:sz w:val="22"/>
                <w:szCs w:val="22"/>
              </w:rPr>
              <w:t>Pozn.: barevný sloupec odpovídá úrokové sazbě posledního ČBA Hypomonitoru, ostatní sazby jsou ilustrační</w:t>
            </w:r>
          </w:p>
        </w:tc>
      </w:tr>
    </w:tbl>
    <w:p w14:paraId="37F96CB1" w14:textId="76CB93AB" w:rsidR="0009101B" w:rsidRDefault="0009101B" w:rsidP="00D36EB1">
      <w:pPr>
        <w:rPr>
          <w:rFonts w:ascii="Calibri" w:hAnsi="Calibri" w:cs="Calibri"/>
          <w:b/>
          <w:color w:val="13576B"/>
          <w:sz w:val="23"/>
          <w:szCs w:val="23"/>
        </w:rPr>
      </w:pPr>
    </w:p>
    <w:p w14:paraId="7AED115C" w14:textId="337BFD91" w:rsidR="0009101B" w:rsidRDefault="0009101B" w:rsidP="00D36EB1">
      <w:pPr>
        <w:rPr>
          <w:rFonts w:ascii="Calibri" w:hAnsi="Calibri" w:cs="Calibri"/>
          <w:b/>
          <w:bCs/>
          <w:sz w:val="22"/>
          <w:szCs w:val="22"/>
        </w:rPr>
      </w:pPr>
    </w:p>
    <w:p w14:paraId="36BB737A" w14:textId="77777777" w:rsidR="002B1996" w:rsidRDefault="002B1996" w:rsidP="00D36EB1">
      <w:pPr>
        <w:rPr>
          <w:rFonts w:ascii="Calibri" w:hAnsi="Calibri" w:cs="Calibri"/>
          <w:b/>
          <w:bCs/>
          <w:sz w:val="22"/>
          <w:szCs w:val="22"/>
        </w:rPr>
      </w:pPr>
    </w:p>
    <w:p w14:paraId="3A1A556C" w14:textId="77777777" w:rsidR="003417B4" w:rsidRPr="007D73E5" w:rsidRDefault="003417B4" w:rsidP="003417B4">
      <w:pPr>
        <w:rPr>
          <w:rFonts w:ascii="Calibri" w:hAnsi="Calibri" w:cs="Calibri"/>
          <w:b/>
          <w:color w:val="13576B"/>
          <w:sz w:val="24"/>
          <w:szCs w:val="24"/>
        </w:rPr>
      </w:pPr>
      <w:r w:rsidRPr="007D73E5">
        <w:rPr>
          <w:rFonts w:ascii="Calibri" w:hAnsi="Calibri" w:cs="Calibri"/>
          <w:b/>
          <w:color w:val="13576B"/>
          <w:sz w:val="24"/>
          <w:szCs w:val="24"/>
        </w:rPr>
        <w:t>Rok 2021 byl z pohledu poskytnutých hypoték zcela výjimečný</w:t>
      </w:r>
    </w:p>
    <w:p w14:paraId="1F4BEE92" w14:textId="77777777" w:rsidR="003417B4" w:rsidRDefault="003417B4" w:rsidP="003417B4">
      <w:pPr>
        <w:rPr>
          <w:rFonts w:ascii="Calibri" w:hAnsi="Calibri" w:cs="Calibri"/>
          <w:sz w:val="22"/>
          <w:szCs w:val="22"/>
        </w:rPr>
      </w:pPr>
      <w:r w:rsidRPr="007D73E5">
        <w:rPr>
          <w:rFonts w:ascii="Calibri" w:hAnsi="Calibri" w:cs="Calibri"/>
          <w:b/>
          <w:bCs/>
          <w:sz w:val="22"/>
          <w:szCs w:val="22"/>
        </w:rPr>
        <w:t>Za celý loňský rok bylo poskytnuto téměř 178 tisíc hypoték, o polovinu více než v roce 2020.</w:t>
      </w:r>
      <w:r>
        <w:rPr>
          <w:rFonts w:ascii="Calibri" w:hAnsi="Calibri" w:cs="Calibri"/>
          <w:sz w:val="22"/>
          <w:szCs w:val="22"/>
        </w:rPr>
        <w:t xml:space="preserve"> Celkový objem včetně refinancování dosáhl v roce 2021 rekordního objemu </w:t>
      </w:r>
      <w:r w:rsidRPr="00A82860">
        <w:rPr>
          <w:rFonts w:ascii="Calibri" w:hAnsi="Calibri" w:cs="Calibri"/>
          <w:b/>
          <w:bCs/>
          <w:sz w:val="22"/>
          <w:szCs w:val="22"/>
        </w:rPr>
        <w:t>541 mld. Kč</w:t>
      </w:r>
      <w:r>
        <w:rPr>
          <w:rFonts w:ascii="Calibri" w:hAnsi="Calibri" w:cs="Calibri"/>
          <w:sz w:val="22"/>
          <w:szCs w:val="22"/>
        </w:rPr>
        <w:t>, v roce 2020 činil objem 312 mld. Kč. Obdobně silný meziroční růst byl pak patrný i v případě skutečně nově poskytnutých hypoték (bez refinancování a refixací), které banky poskytly v minulém roce rovněž v historicky rekordním objemu 379 mld. Kč</w:t>
      </w:r>
      <w:r w:rsidRPr="007D73E5">
        <w:rPr>
          <w:rFonts w:ascii="Calibri" w:hAnsi="Calibri" w:cs="Calibri"/>
          <w:b/>
          <w:bCs/>
          <w:sz w:val="22"/>
          <w:szCs w:val="22"/>
        </w:rPr>
        <w:t>. Oproti roku 2020 to představuje meziroční nárůst o 70 %.</w:t>
      </w:r>
      <w:r>
        <w:rPr>
          <w:rFonts w:ascii="Calibri" w:hAnsi="Calibri" w:cs="Calibri"/>
          <w:sz w:val="22"/>
          <w:szCs w:val="22"/>
        </w:rPr>
        <w:t xml:space="preserve"> Pokud by se objem poskytnutých úvěrů v letošním roce navrátil k úrovni předminulého roku, znamenalo by to meziroční propad o 40 %. </w:t>
      </w:r>
    </w:p>
    <w:p w14:paraId="3F0C24D1" w14:textId="77777777" w:rsidR="003417B4" w:rsidRDefault="003417B4" w:rsidP="003417B4">
      <w:pPr>
        <w:rPr>
          <w:rFonts w:ascii="Calibri" w:hAnsi="Calibri" w:cs="Calibri"/>
          <w:sz w:val="22"/>
          <w:szCs w:val="22"/>
        </w:rPr>
      </w:pPr>
    </w:p>
    <w:p w14:paraId="14744203" w14:textId="4B153073" w:rsidR="00D339A1" w:rsidRDefault="00D339A1" w:rsidP="00D36EB1">
      <w:pPr>
        <w:rPr>
          <w:rFonts w:ascii="Calibri" w:hAnsi="Calibri" w:cs="Calibri"/>
          <w:b/>
          <w:bCs/>
          <w:sz w:val="22"/>
          <w:szCs w:val="22"/>
        </w:rPr>
      </w:pPr>
    </w:p>
    <w:p w14:paraId="06F090EF" w14:textId="55F4DC8B" w:rsidR="00D339A1" w:rsidRDefault="00D339A1" w:rsidP="00D36EB1">
      <w:pPr>
        <w:rPr>
          <w:rFonts w:ascii="Calibri" w:hAnsi="Calibri" w:cs="Calibri"/>
          <w:b/>
          <w:bCs/>
          <w:sz w:val="22"/>
          <w:szCs w:val="22"/>
        </w:rPr>
      </w:pPr>
    </w:p>
    <w:p w14:paraId="2DBD916C" w14:textId="5C80964D" w:rsidR="00D339A1" w:rsidRDefault="00D339A1" w:rsidP="00D36EB1">
      <w:pPr>
        <w:rPr>
          <w:rFonts w:ascii="Calibri" w:hAnsi="Calibri" w:cs="Calibri"/>
          <w:b/>
          <w:bCs/>
          <w:sz w:val="22"/>
          <w:szCs w:val="22"/>
        </w:rPr>
      </w:pPr>
    </w:p>
    <w:p w14:paraId="4C12FF68" w14:textId="0FDD2727" w:rsidR="00D339A1" w:rsidRDefault="00D339A1" w:rsidP="00D36EB1">
      <w:pPr>
        <w:rPr>
          <w:rFonts w:ascii="Calibri" w:hAnsi="Calibri" w:cs="Calibri"/>
          <w:b/>
          <w:bCs/>
          <w:sz w:val="22"/>
          <w:szCs w:val="22"/>
        </w:rPr>
      </w:pPr>
    </w:p>
    <w:p w14:paraId="3233CC00" w14:textId="0825E4C2" w:rsidR="00D339A1" w:rsidRDefault="00D339A1" w:rsidP="00D36EB1">
      <w:pPr>
        <w:rPr>
          <w:rFonts w:ascii="Calibri" w:hAnsi="Calibri" w:cs="Calibri"/>
          <w:b/>
          <w:bCs/>
          <w:sz w:val="22"/>
          <w:szCs w:val="22"/>
        </w:rPr>
      </w:pPr>
    </w:p>
    <w:p w14:paraId="30C5A844" w14:textId="29D4FE9D" w:rsidR="00D339A1" w:rsidRDefault="00D339A1" w:rsidP="00D36EB1">
      <w:pPr>
        <w:rPr>
          <w:rFonts w:ascii="Calibri" w:hAnsi="Calibri" w:cs="Calibri"/>
          <w:b/>
          <w:bCs/>
          <w:sz w:val="22"/>
          <w:szCs w:val="22"/>
        </w:rPr>
      </w:pPr>
    </w:p>
    <w:p w14:paraId="6B389291" w14:textId="745BB417" w:rsidR="00D339A1" w:rsidRDefault="00D339A1" w:rsidP="00D36EB1">
      <w:pPr>
        <w:rPr>
          <w:rFonts w:ascii="Calibri" w:hAnsi="Calibri" w:cs="Calibri"/>
          <w:b/>
          <w:bCs/>
          <w:sz w:val="22"/>
          <w:szCs w:val="22"/>
        </w:rPr>
      </w:pPr>
    </w:p>
    <w:p w14:paraId="7D18DA73" w14:textId="3D8176F9" w:rsidR="00D339A1" w:rsidRDefault="00D339A1" w:rsidP="00D36EB1">
      <w:pPr>
        <w:rPr>
          <w:rFonts w:ascii="Calibri" w:hAnsi="Calibri" w:cs="Calibri"/>
          <w:b/>
          <w:bCs/>
          <w:sz w:val="22"/>
          <w:szCs w:val="22"/>
        </w:rPr>
      </w:pPr>
    </w:p>
    <w:p w14:paraId="2ABDF86A" w14:textId="54EFB8B3" w:rsidR="00D339A1" w:rsidRDefault="00D339A1" w:rsidP="00D36EB1">
      <w:pPr>
        <w:rPr>
          <w:rFonts w:ascii="Calibri" w:hAnsi="Calibri" w:cs="Calibri"/>
          <w:b/>
          <w:bCs/>
          <w:sz w:val="22"/>
          <w:szCs w:val="22"/>
        </w:rPr>
      </w:pPr>
    </w:p>
    <w:p w14:paraId="0B8D7BBB" w14:textId="4DD05A19" w:rsidR="00D339A1" w:rsidRDefault="00D339A1" w:rsidP="00D36EB1">
      <w:pPr>
        <w:rPr>
          <w:rFonts w:ascii="Calibri" w:hAnsi="Calibri" w:cs="Calibri"/>
          <w:b/>
          <w:bCs/>
          <w:sz w:val="22"/>
          <w:szCs w:val="22"/>
        </w:rPr>
      </w:pPr>
    </w:p>
    <w:p w14:paraId="4D1D4E84" w14:textId="785A0B32" w:rsidR="00D339A1" w:rsidRDefault="00D339A1" w:rsidP="00D36EB1">
      <w:pPr>
        <w:rPr>
          <w:rFonts w:ascii="Calibri" w:hAnsi="Calibri" w:cs="Calibri"/>
          <w:b/>
          <w:bCs/>
          <w:sz w:val="22"/>
          <w:szCs w:val="22"/>
        </w:rPr>
      </w:pPr>
    </w:p>
    <w:p w14:paraId="316C76EC" w14:textId="291B1C05" w:rsidR="00D339A1" w:rsidRDefault="00D339A1" w:rsidP="00D36EB1">
      <w:pPr>
        <w:rPr>
          <w:rFonts w:ascii="Calibri" w:hAnsi="Calibri" w:cs="Calibri"/>
          <w:b/>
          <w:bCs/>
          <w:sz w:val="22"/>
          <w:szCs w:val="22"/>
        </w:rPr>
      </w:pPr>
    </w:p>
    <w:p w14:paraId="100EAEF5" w14:textId="1E5A96E4" w:rsidR="00D339A1" w:rsidRDefault="00D339A1" w:rsidP="00D36EB1">
      <w:pPr>
        <w:rPr>
          <w:rFonts w:ascii="Calibri" w:hAnsi="Calibri" w:cs="Calibri"/>
          <w:b/>
          <w:bCs/>
          <w:sz w:val="22"/>
          <w:szCs w:val="22"/>
        </w:rPr>
      </w:pPr>
    </w:p>
    <w:p w14:paraId="145B70EA" w14:textId="13076A72" w:rsidR="00D339A1" w:rsidRDefault="00D339A1" w:rsidP="00D36EB1">
      <w:pPr>
        <w:rPr>
          <w:rFonts w:ascii="Calibri" w:hAnsi="Calibri" w:cs="Calibri"/>
          <w:b/>
          <w:bCs/>
          <w:sz w:val="22"/>
          <w:szCs w:val="22"/>
        </w:rPr>
      </w:pPr>
    </w:p>
    <w:p w14:paraId="1E8B5C0D" w14:textId="635720E2" w:rsidR="00D339A1" w:rsidRDefault="00D339A1" w:rsidP="00D36EB1">
      <w:pPr>
        <w:rPr>
          <w:rFonts w:ascii="Calibri" w:hAnsi="Calibri" w:cs="Calibri"/>
          <w:b/>
          <w:bCs/>
          <w:sz w:val="22"/>
          <w:szCs w:val="22"/>
        </w:rPr>
      </w:pPr>
    </w:p>
    <w:p w14:paraId="209566DB" w14:textId="1E97907D" w:rsidR="00D339A1" w:rsidRDefault="00D339A1" w:rsidP="00D36EB1">
      <w:pPr>
        <w:rPr>
          <w:rFonts w:ascii="Calibri" w:hAnsi="Calibri" w:cs="Calibri"/>
          <w:b/>
          <w:bCs/>
          <w:sz w:val="22"/>
          <w:szCs w:val="22"/>
        </w:rPr>
      </w:pPr>
    </w:p>
    <w:p w14:paraId="378ED657" w14:textId="7DC193A7" w:rsidR="00D339A1" w:rsidRDefault="00D339A1" w:rsidP="00D36EB1">
      <w:pPr>
        <w:rPr>
          <w:rFonts w:ascii="Calibri" w:hAnsi="Calibri" w:cs="Calibri"/>
          <w:b/>
          <w:bCs/>
          <w:sz w:val="22"/>
          <w:szCs w:val="22"/>
        </w:rPr>
      </w:pPr>
    </w:p>
    <w:p w14:paraId="064A7BE3" w14:textId="727F5DA6" w:rsidR="00D339A1" w:rsidRDefault="00D339A1" w:rsidP="00D36EB1">
      <w:pPr>
        <w:rPr>
          <w:rFonts w:ascii="Calibri" w:hAnsi="Calibri" w:cs="Calibri"/>
          <w:b/>
          <w:bCs/>
          <w:sz w:val="22"/>
          <w:szCs w:val="22"/>
        </w:rPr>
      </w:pPr>
    </w:p>
    <w:p w14:paraId="1B388D43" w14:textId="639002CD" w:rsidR="00D339A1" w:rsidRDefault="00D339A1" w:rsidP="00D36EB1">
      <w:pPr>
        <w:rPr>
          <w:rFonts w:ascii="Calibri" w:hAnsi="Calibri" w:cs="Calibri"/>
          <w:b/>
          <w:bCs/>
          <w:sz w:val="22"/>
          <w:szCs w:val="22"/>
        </w:rPr>
      </w:pPr>
    </w:p>
    <w:p w14:paraId="26C86CE8" w14:textId="77777777" w:rsidR="00D339A1" w:rsidRDefault="00D339A1" w:rsidP="00D36EB1">
      <w:pPr>
        <w:rPr>
          <w:rFonts w:ascii="Calibri" w:hAnsi="Calibri" w:cs="Calibri"/>
          <w:b/>
          <w:bCs/>
          <w:sz w:val="22"/>
          <w:szCs w:val="22"/>
        </w:rPr>
      </w:pPr>
    </w:p>
    <w:p w14:paraId="77C568AB" w14:textId="5CF4C116" w:rsidR="0001227F" w:rsidRPr="004B6A7C" w:rsidRDefault="0001227F" w:rsidP="0001227F">
      <w:pPr>
        <w:rPr>
          <w:rFonts w:ascii="Calibri" w:hAnsi="Calibri" w:cs="Calibri"/>
          <w:b/>
          <w:color w:val="13576B"/>
          <w:sz w:val="23"/>
          <w:szCs w:val="23"/>
        </w:rPr>
      </w:pPr>
      <w:r w:rsidRPr="004B6A7C">
        <w:rPr>
          <w:rFonts w:ascii="Calibri" w:hAnsi="Calibri" w:cs="Calibri"/>
          <w:b/>
          <w:color w:val="13576B"/>
          <w:sz w:val="23"/>
          <w:szCs w:val="23"/>
        </w:rPr>
        <w:t xml:space="preserve">ČBA </w:t>
      </w:r>
      <w:r w:rsidR="00336412">
        <w:rPr>
          <w:rFonts w:ascii="Calibri" w:hAnsi="Calibri" w:cs="Calibri"/>
          <w:b/>
          <w:color w:val="13576B"/>
          <w:sz w:val="23"/>
          <w:szCs w:val="23"/>
        </w:rPr>
        <w:t xml:space="preserve">zveřejňuje </w:t>
      </w:r>
      <w:r w:rsidRPr="004B6A7C">
        <w:rPr>
          <w:rFonts w:ascii="Calibri" w:hAnsi="Calibri" w:cs="Calibri"/>
          <w:b/>
          <w:color w:val="13576B"/>
          <w:sz w:val="23"/>
          <w:szCs w:val="23"/>
        </w:rPr>
        <w:t>nové souhrnné statistiky za celý bankovní trh</w:t>
      </w:r>
    </w:p>
    <w:p w14:paraId="03609C5E" w14:textId="55EE1D2F" w:rsidR="00EF607A" w:rsidRPr="0001227F" w:rsidRDefault="00617E6C" w:rsidP="00465403">
      <w:pPr>
        <w:rPr>
          <w:rFonts w:ascii="Calibri" w:hAnsi="Calibri" w:cs="Calibri"/>
          <w:sz w:val="20"/>
        </w:rPr>
      </w:pPr>
      <w:r w:rsidRPr="0001227F">
        <w:rPr>
          <w:rFonts w:ascii="Calibri" w:hAnsi="Calibri" w:cs="Calibri"/>
          <w:i/>
          <w:iCs/>
          <w:noProof/>
          <w:sz w:val="20"/>
        </w:rPr>
        <w:lastRenderedPageBreak/>
        <mc:AlternateContent>
          <mc:Choice Requires="wps">
            <w:drawing>
              <wp:anchor distT="45720" distB="45720" distL="114300" distR="114300" simplePos="0" relativeHeight="251668480" behindDoc="0" locked="0" layoutInCell="1" allowOverlap="1" wp14:anchorId="025DA650" wp14:editId="4B493F8F">
                <wp:simplePos x="0" y="0"/>
                <wp:positionH relativeFrom="margin">
                  <wp:align>center</wp:align>
                </wp:positionH>
                <wp:positionV relativeFrom="paragraph">
                  <wp:posOffset>1094766</wp:posOffset>
                </wp:positionV>
                <wp:extent cx="6574790" cy="51892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5189220"/>
                        </a:xfrm>
                        <a:prstGeom prst="rect">
                          <a:avLst/>
                        </a:prstGeom>
                        <a:solidFill>
                          <a:srgbClr val="13576B">
                            <a:alpha val="83922"/>
                          </a:srgbClr>
                        </a:solidFill>
                        <a:ln w="9525">
                          <a:noFill/>
                          <a:miter lim="800000"/>
                          <a:headEnd/>
                          <a:tailEnd/>
                        </a:ln>
                      </wps:spPr>
                      <wps:txbx>
                        <w:txbxContent>
                          <w:p w14:paraId="5A50287C" w14:textId="77777777" w:rsidR="0001227F" w:rsidRDefault="0001227F" w:rsidP="0001227F">
                            <w:pPr>
                              <w:spacing w:line="276" w:lineRule="auto"/>
                              <w:rPr>
                                <w:rFonts w:ascii="Calibri" w:hAnsi="Calibri" w:cs="Calibri"/>
                                <w:b/>
                                <w:bCs/>
                                <w:color w:val="FFFFFF" w:themeColor="background1"/>
                                <w:sz w:val="24"/>
                                <w:szCs w:val="24"/>
                              </w:rPr>
                            </w:pPr>
                          </w:p>
                          <w:p w14:paraId="523681E4" w14:textId="20B4FCBA" w:rsidR="0001227F" w:rsidRPr="00E818C3" w:rsidRDefault="0001227F" w:rsidP="0001227F">
                            <w:pPr>
                              <w:spacing w:line="276" w:lineRule="auto"/>
                              <w:rPr>
                                <w:rFonts w:ascii="Calibri" w:hAnsi="Calibri" w:cs="Calibri"/>
                                <w:b/>
                                <w:bCs/>
                                <w:color w:val="FFFFFF" w:themeColor="background1"/>
                                <w:sz w:val="22"/>
                                <w:szCs w:val="22"/>
                              </w:rPr>
                            </w:pPr>
                            <w:r w:rsidRPr="00E818C3">
                              <w:rPr>
                                <w:rFonts w:ascii="Calibri" w:hAnsi="Calibri" w:cs="Calibri"/>
                                <w:b/>
                                <w:bCs/>
                                <w:color w:val="FFFFFF" w:themeColor="background1"/>
                                <w:sz w:val="22"/>
                                <w:szCs w:val="22"/>
                              </w:rPr>
                              <w:t>Metodika ČBA Hypomonitoru</w:t>
                            </w:r>
                          </w:p>
                          <w:p w14:paraId="7401467C" w14:textId="77777777" w:rsidR="00414AD4" w:rsidRPr="007C6225" w:rsidRDefault="00414AD4" w:rsidP="0001227F">
                            <w:pPr>
                              <w:spacing w:line="276" w:lineRule="auto"/>
                              <w:rPr>
                                <w:rFonts w:ascii="Calibri" w:hAnsi="Calibri" w:cs="Calibri"/>
                                <w:color w:val="FFFFFF" w:themeColor="background1"/>
                                <w:szCs w:val="18"/>
                              </w:rPr>
                            </w:pPr>
                          </w:p>
                          <w:p w14:paraId="1021EABD" w14:textId="16015784" w:rsidR="0001227F" w:rsidRPr="007C6225" w:rsidRDefault="00414AD4" w:rsidP="0001227F">
                            <w:pPr>
                              <w:spacing w:line="276" w:lineRule="auto"/>
                              <w:rPr>
                                <w:rFonts w:ascii="Calibri" w:hAnsi="Calibri" w:cs="Calibri"/>
                                <w:color w:val="FFFFFF" w:themeColor="background1"/>
                                <w:szCs w:val="18"/>
                              </w:rPr>
                            </w:pPr>
                            <w:r w:rsidRPr="007C6225">
                              <w:rPr>
                                <w:rFonts w:ascii="Calibri" w:hAnsi="Calibri" w:cs="Calibri"/>
                                <w:color w:val="FFFFFF" w:themeColor="background1"/>
                                <w:szCs w:val="18"/>
                              </w:rPr>
                              <w:t xml:space="preserve">ČBA Hypomonitor </w:t>
                            </w:r>
                            <w:r w:rsidR="00FB47DE" w:rsidRPr="007C6225">
                              <w:rPr>
                                <w:rFonts w:ascii="Calibri" w:hAnsi="Calibri" w:cs="Calibri"/>
                                <w:color w:val="FFFFFF" w:themeColor="background1"/>
                                <w:szCs w:val="18"/>
                              </w:rPr>
                              <w:t xml:space="preserve">rozděluje poskytnuté hypoteční úvěry </w:t>
                            </w:r>
                            <w:r w:rsidR="00810DCF">
                              <w:rPr>
                                <w:rFonts w:ascii="Calibri" w:hAnsi="Calibri" w:cs="Calibri"/>
                                <w:color w:val="FFFFFF" w:themeColor="background1"/>
                                <w:szCs w:val="18"/>
                              </w:rPr>
                              <w:t>bank a stavebních spořitelen</w:t>
                            </w:r>
                            <w:r w:rsidR="00B426A2">
                              <w:rPr>
                                <w:rFonts w:ascii="Calibri" w:hAnsi="Calibri" w:cs="Calibri"/>
                                <w:color w:val="FFFFFF" w:themeColor="background1"/>
                                <w:szCs w:val="18"/>
                              </w:rPr>
                              <w:t xml:space="preserve"> domácnostem</w:t>
                            </w:r>
                            <w:r w:rsidR="00810DCF">
                              <w:rPr>
                                <w:rFonts w:ascii="Calibri" w:hAnsi="Calibri" w:cs="Calibri"/>
                                <w:color w:val="FFFFFF" w:themeColor="background1"/>
                                <w:szCs w:val="18"/>
                              </w:rPr>
                              <w:t xml:space="preserve"> </w:t>
                            </w:r>
                            <w:r w:rsidRPr="007C6225">
                              <w:rPr>
                                <w:rFonts w:ascii="Calibri" w:hAnsi="Calibri" w:cs="Calibri"/>
                                <w:color w:val="FFFFFF" w:themeColor="background1"/>
                                <w:szCs w:val="18"/>
                              </w:rPr>
                              <w:t>do několika kategorií tak, aby byly rozlišeny nové úvěry od refinancovaných či interních refixací</w:t>
                            </w:r>
                            <w:r w:rsidR="000B70C8">
                              <w:rPr>
                                <w:rFonts w:ascii="Calibri" w:hAnsi="Calibri" w:cs="Calibri"/>
                                <w:color w:val="FFFFFF" w:themeColor="background1"/>
                                <w:szCs w:val="18"/>
                              </w:rPr>
                              <w:t>.</w:t>
                            </w:r>
                            <w:r w:rsidRPr="007C6225">
                              <w:rPr>
                                <w:rFonts w:ascii="Calibri" w:hAnsi="Calibri" w:cs="Calibri"/>
                                <w:color w:val="FFFFFF" w:themeColor="background1"/>
                                <w:szCs w:val="18"/>
                              </w:rPr>
                              <w:t xml:space="preserve"> Nové úvěry jsou </w:t>
                            </w:r>
                            <w:r w:rsidR="00581CC1">
                              <w:rPr>
                                <w:rFonts w:ascii="Calibri" w:hAnsi="Calibri" w:cs="Calibri"/>
                                <w:color w:val="FFFFFF" w:themeColor="background1"/>
                                <w:szCs w:val="18"/>
                              </w:rPr>
                              <w:t>pak</w:t>
                            </w:r>
                            <w:r w:rsidRPr="007C6225">
                              <w:rPr>
                                <w:rFonts w:ascii="Calibri" w:hAnsi="Calibri" w:cs="Calibri"/>
                                <w:color w:val="FFFFFF" w:themeColor="background1"/>
                                <w:szCs w:val="18"/>
                              </w:rPr>
                              <w:t xml:space="preserve"> vykazovány v</w:t>
                            </w:r>
                            <w:r w:rsidR="00581CC1">
                              <w:rPr>
                                <w:rFonts w:ascii="Calibri" w:hAnsi="Calibri" w:cs="Calibri"/>
                                <w:color w:val="FFFFFF" w:themeColor="background1"/>
                                <w:szCs w:val="18"/>
                              </w:rPr>
                              <w:t> </w:t>
                            </w:r>
                            <w:r w:rsidRPr="007C6225">
                              <w:rPr>
                                <w:rFonts w:ascii="Calibri" w:hAnsi="Calibri" w:cs="Calibri"/>
                                <w:color w:val="FFFFFF" w:themeColor="background1"/>
                                <w:szCs w:val="18"/>
                              </w:rPr>
                              <w:t>kategoriích</w:t>
                            </w:r>
                            <w:r w:rsidR="00581CC1">
                              <w:rPr>
                                <w:rFonts w:ascii="Calibri" w:hAnsi="Calibri" w:cs="Calibri"/>
                                <w:color w:val="FFFFFF" w:themeColor="background1"/>
                                <w:szCs w:val="18"/>
                              </w:rPr>
                              <w:t xml:space="preserve"> dle účelu úvěru</w:t>
                            </w:r>
                            <w:r w:rsidRPr="007C6225">
                              <w:rPr>
                                <w:rFonts w:ascii="Calibri" w:hAnsi="Calibri" w:cs="Calibri"/>
                                <w:color w:val="FFFFFF" w:themeColor="background1"/>
                                <w:szCs w:val="18"/>
                              </w:rPr>
                              <w:t>:</w:t>
                            </w:r>
                          </w:p>
                          <w:p w14:paraId="58E707E8" w14:textId="77777777" w:rsidR="0001227F" w:rsidRPr="0001227F" w:rsidRDefault="0001227F" w:rsidP="0001227F">
                            <w:pPr>
                              <w:spacing w:line="276" w:lineRule="auto"/>
                              <w:rPr>
                                <w:rFonts w:ascii="Calibri" w:hAnsi="Calibri" w:cs="Calibri"/>
                                <w:color w:val="FFFFFF" w:themeColor="background1"/>
                              </w:rPr>
                            </w:pPr>
                          </w:p>
                          <w:p w14:paraId="3227247A" w14:textId="11714118" w:rsidR="0001227F" w:rsidRPr="00E818C3" w:rsidRDefault="00E818C3" w:rsidP="00E818C3">
                            <w:pPr>
                              <w:spacing w:line="276" w:lineRule="auto"/>
                              <w:rPr>
                                <w:rFonts w:ascii="Calibri" w:hAnsi="Calibri" w:cs="Calibri"/>
                                <w:b/>
                                <w:color w:val="FFFFFF" w:themeColor="background1"/>
                              </w:rPr>
                            </w:pPr>
                            <w:r w:rsidRPr="00E818C3">
                              <w:rPr>
                                <w:rFonts w:ascii="Calibri" w:hAnsi="Calibri" w:cs="Calibri"/>
                                <w:b/>
                                <w:color w:val="FFFFFF" w:themeColor="background1"/>
                              </w:rPr>
                              <w:t>1.</w:t>
                            </w:r>
                            <w:r>
                              <w:rPr>
                                <w:rFonts w:ascii="Calibri" w:hAnsi="Calibri" w:cs="Calibri"/>
                                <w:b/>
                                <w:color w:val="FFFFFF" w:themeColor="background1"/>
                              </w:rPr>
                              <w:t xml:space="preserve"> </w:t>
                            </w:r>
                            <w:r w:rsidR="0001227F" w:rsidRPr="00E818C3">
                              <w:rPr>
                                <w:rFonts w:ascii="Calibri" w:hAnsi="Calibri" w:cs="Calibri"/>
                                <w:b/>
                                <w:color w:val="FFFFFF" w:themeColor="background1"/>
                              </w:rPr>
                              <w:t>Nové úvěry</w:t>
                            </w:r>
                          </w:p>
                          <w:p w14:paraId="22AF3257" w14:textId="77777777"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 xml:space="preserve">Jsou úvěry, jejichž celý objem poprvé vstupuje do ekonomiky. Do této kategorie </w:t>
                            </w:r>
                            <w:proofErr w:type="gramStart"/>
                            <w:r w:rsidRPr="0001227F">
                              <w:rPr>
                                <w:rFonts w:ascii="Calibri" w:hAnsi="Calibri" w:cs="Calibri"/>
                                <w:color w:val="FFFFFF" w:themeColor="background1"/>
                              </w:rPr>
                              <w:t>nepatří</w:t>
                            </w:r>
                            <w:proofErr w:type="gramEnd"/>
                            <w:r w:rsidRPr="0001227F">
                              <w:rPr>
                                <w:rFonts w:ascii="Calibri" w:hAnsi="Calibri" w:cs="Calibri"/>
                                <w:color w:val="FFFFFF" w:themeColor="background1"/>
                              </w:rPr>
                              <w:t xml:space="preserve"> konsolidace úvěrů anebo refinancování úvěrů. Dělí se do tří kategorií:</w:t>
                            </w:r>
                          </w:p>
                          <w:p w14:paraId="362AFB2A" w14:textId="77777777"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Nákup nemovitosti</w:t>
                            </w:r>
                            <w:r w:rsidRPr="00E818C3">
                              <w:rPr>
                                <w:rFonts w:ascii="Calibri" w:hAnsi="Calibri" w:cs="Calibri"/>
                                <w:color w:val="FFFFFF" w:themeColor="background1"/>
                              </w:rPr>
                              <w:t xml:space="preserve"> </w:t>
                            </w:r>
                          </w:p>
                          <w:p w14:paraId="29F23FA5" w14:textId="6EE96893"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Výstavba nemovitosti</w:t>
                            </w:r>
                            <w:r w:rsidRPr="00E818C3">
                              <w:rPr>
                                <w:rFonts w:ascii="Calibri" w:hAnsi="Calibri" w:cs="Calibri"/>
                                <w:color w:val="FFFFFF" w:themeColor="background1"/>
                              </w:rPr>
                              <w:t xml:space="preserve"> – včetně rekonstrukce nemovitosti </w:t>
                            </w:r>
                          </w:p>
                          <w:p w14:paraId="4D80580F" w14:textId="11E0715F"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Ostatní nová ujednání</w:t>
                            </w:r>
                            <w:r w:rsidRPr="00E818C3">
                              <w:rPr>
                                <w:rFonts w:ascii="Calibri" w:hAnsi="Calibri" w:cs="Calibri"/>
                                <w:color w:val="FFFFFF" w:themeColor="background1"/>
                              </w:rPr>
                              <w:t xml:space="preserve"> – pouze nové úvěry, které nijak nesouvisí s koupí nebo výstavbou nemovitosti, např. tzv. americké hypotéky, vypořádání SJM, zpětná úhrada kupní ceny, vypořádání dědického podílu, vypořádání družstevního podílu, atp.</w:t>
                            </w:r>
                          </w:p>
                          <w:p w14:paraId="4FBF1D5A" w14:textId="77777777" w:rsidR="0001227F" w:rsidRPr="0001227F" w:rsidRDefault="0001227F" w:rsidP="0001227F">
                            <w:pPr>
                              <w:spacing w:line="276" w:lineRule="auto"/>
                              <w:ind w:left="708"/>
                              <w:rPr>
                                <w:rFonts w:ascii="Calibri" w:hAnsi="Calibri" w:cs="Calibri"/>
                                <w:color w:val="FFFFFF" w:themeColor="background1"/>
                              </w:rPr>
                            </w:pPr>
                          </w:p>
                          <w:p w14:paraId="71D5E0BB" w14:textId="7D112C27" w:rsidR="0001227F" w:rsidRPr="0001227F"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2. </w:t>
                            </w:r>
                            <w:r w:rsidR="0001227F" w:rsidRPr="0001227F">
                              <w:rPr>
                                <w:rFonts w:ascii="Calibri" w:hAnsi="Calibri" w:cs="Calibri"/>
                                <w:b/>
                                <w:color w:val="FFFFFF" w:themeColor="background1"/>
                              </w:rPr>
                              <w:t>Refinancované úvěry z jiné finanční instituce</w:t>
                            </w:r>
                          </w:p>
                          <w:p w14:paraId="351B5A60" w14:textId="0B5DCBB6"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 xml:space="preserve">Jsou úvěry, které vznikly refinancováním jednoho nebo více úvěrů z jiné finanční instituce než </w:t>
                            </w:r>
                            <w:r w:rsidR="00973197">
                              <w:rPr>
                                <w:rFonts w:ascii="Calibri" w:hAnsi="Calibri" w:cs="Calibri"/>
                                <w:color w:val="FFFFFF" w:themeColor="background1"/>
                              </w:rPr>
                              <w:t>té</w:t>
                            </w:r>
                            <w:r w:rsidRPr="0001227F">
                              <w:rPr>
                                <w:rFonts w:ascii="Calibri" w:hAnsi="Calibri" w:cs="Calibri"/>
                                <w:color w:val="FFFFFF" w:themeColor="background1"/>
                              </w:rPr>
                              <w:t xml:space="preserve"> vykazující. Bez ohledu na výši refinancované částky a bez ohledu na výši případného navýšení se celková výše nově vzniklého úvěru vykazuje do této kategorie. </w:t>
                            </w:r>
                          </w:p>
                          <w:p w14:paraId="7566D2D6" w14:textId="77777777" w:rsidR="0001227F" w:rsidRPr="0001227F" w:rsidRDefault="0001227F" w:rsidP="0001227F">
                            <w:pPr>
                              <w:spacing w:line="276" w:lineRule="auto"/>
                              <w:rPr>
                                <w:rFonts w:ascii="Calibri" w:hAnsi="Calibri" w:cs="Calibri"/>
                                <w:color w:val="FFFFFF" w:themeColor="background1"/>
                              </w:rPr>
                            </w:pPr>
                          </w:p>
                          <w:p w14:paraId="04B36444" w14:textId="4F20B25F" w:rsidR="0001227F" w:rsidRPr="000C045B"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3. </w:t>
                            </w:r>
                            <w:r w:rsidR="0001227F" w:rsidRPr="0001227F">
                              <w:rPr>
                                <w:rFonts w:ascii="Calibri" w:hAnsi="Calibri" w:cs="Calibri"/>
                                <w:b/>
                                <w:color w:val="FFFFFF" w:themeColor="background1"/>
                              </w:rPr>
                              <w:t>Navý</w:t>
                            </w:r>
                            <w:r w:rsidR="0001227F" w:rsidRPr="000C045B">
                              <w:rPr>
                                <w:rFonts w:ascii="Calibri" w:hAnsi="Calibri" w:cs="Calibri"/>
                                <w:b/>
                                <w:color w:val="FFFFFF" w:themeColor="background1"/>
                              </w:rPr>
                              <w:t>šené anebo interně refinancované úvěry</w:t>
                            </w:r>
                          </w:p>
                          <w:p w14:paraId="711A3661" w14:textId="2A271010" w:rsidR="0001227F" w:rsidRPr="0001227F" w:rsidRDefault="0001227F" w:rsidP="0001227F">
                            <w:pPr>
                              <w:spacing w:line="276" w:lineRule="auto"/>
                              <w:rPr>
                                <w:rFonts w:ascii="Calibri" w:hAnsi="Calibri" w:cs="Calibri"/>
                                <w:color w:val="FFFFFF" w:themeColor="background1"/>
                              </w:rPr>
                            </w:pPr>
                            <w:r w:rsidRPr="000C045B">
                              <w:rPr>
                                <w:rFonts w:ascii="Calibri" w:hAnsi="Calibri" w:cs="Calibri"/>
                                <w:color w:val="FFFFFF" w:themeColor="background1"/>
                              </w:rPr>
                              <w:t xml:space="preserve">Jsou úvěry, které již </w:t>
                            </w:r>
                            <w:r w:rsidRPr="007C6225">
                              <w:rPr>
                                <w:rFonts w:ascii="Calibri" w:hAnsi="Calibri" w:cs="Calibri"/>
                                <w:color w:val="FFFFFF" w:themeColor="background1"/>
                              </w:rPr>
                              <w:t xml:space="preserve">byly </w:t>
                            </w:r>
                            <w:r w:rsidR="00647A7A">
                              <w:rPr>
                                <w:rFonts w:ascii="Calibri" w:hAnsi="Calibri" w:cs="Calibri"/>
                                <w:color w:val="FFFFFF" w:themeColor="background1"/>
                              </w:rPr>
                              <w:t xml:space="preserve">v </w:t>
                            </w:r>
                            <w:r w:rsidRPr="007C6225">
                              <w:rPr>
                                <w:rFonts w:ascii="Calibri" w:hAnsi="Calibri" w:cs="Calibri"/>
                                <w:color w:val="FFFFFF" w:themeColor="background1"/>
                              </w:rPr>
                              <w:t>předchozí</w:t>
                            </w:r>
                            <w:r w:rsidR="0079039B">
                              <w:rPr>
                                <w:rFonts w:ascii="Calibri" w:hAnsi="Calibri" w:cs="Calibri"/>
                                <w:color w:val="FFFFFF" w:themeColor="background1"/>
                              </w:rPr>
                              <w:t>m</w:t>
                            </w:r>
                            <w:r w:rsidRPr="007C6225">
                              <w:rPr>
                                <w:rFonts w:ascii="Calibri" w:hAnsi="Calibri" w:cs="Calibri"/>
                                <w:color w:val="FFFFFF" w:themeColor="background1"/>
                              </w:rPr>
                              <w:t xml:space="preserve"> vykazované</w:t>
                            </w:r>
                            <w:r w:rsidR="0079039B">
                              <w:rPr>
                                <w:rFonts w:ascii="Calibri" w:hAnsi="Calibri" w:cs="Calibri"/>
                                <w:color w:val="FFFFFF" w:themeColor="background1"/>
                              </w:rPr>
                              <w:t>m</w:t>
                            </w:r>
                            <w:r w:rsidRPr="007C6225">
                              <w:rPr>
                                <w:rFonts w:ascii="Calibri" w:hAnsi="Calibri" w:cs="Calibri"/>
                                <w:color w:val="FFFFFF" w:themeColor="background1"/>
                              </w:rPr>
                              <w:t xml:space="preserve"> období součástí portfolia</w:t>
                            </w:r>
                            <w:r w:rsidRPr="000C045B">
                              <w:rPr>
                                <w:rFonts w:ascii="Calibri" w:hAnsi="Calibri" w:cs="Calibri"/>
                                <w:color w:val="FFFFFF" w:themeColor="background1"/>
                              </w:rPr>
                              <w:t xml:space="preserve"> vykazujícího</w:t>
                            </w:r>
                            <w:r w:rsidRPr="0001227F">
                              <w:rPr>
                                <w:rFonts w:ascii="Calibri" w:hAnsi="Calibri" w:cs="Calibri"/>
                                <w:color w:val="FFFFFF" w:themeColor="background1"/>
                              </w:rPr>
                              <w:t xml:space="preserve"> subjektu, a ve vykazovaném období u nich došlo k některé z následujících změn:</w:t>
                            </w:r>
                          </w:p>
                          <w:p w14:paraId="4A6B00C0" w14:textId="77777777" w:rsidR="00E818C3" w:rsidRDefault="0001227F" w:rsidP="0001227F">
                            <w:pPr>
                              <w:pStyle w:val="Odstavecseseznamem"/>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01227F">
                              <w:rPr>
                                <w:rFonts w:ascii="Calibri" w:hAnsi="Calibri" w:cs="Calibri"/>
                                <w:color w:val="FFFFFF" w:themeColor="background1"/>
                              </w:rPr>
                              <w:t xml:space="preserve">navýšení sjednané částky </w:t>
                            </w:r>
                          </w:p>
                          <w:p w14:paraId="44682079" w14:textId="72C23671" w:rsidR="0001227F" w:rsidRDefault="0001227F" w:rsidP="0001227F">
                            <w:pPr>
                              <w:pStyle w:val="Odstavecseseznamem"/>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E818C3">
                              <w:rPr>
                                <w:rFonts w:ascii="Calibri" w:hAnsi="Calibri" w:cs="Calibri"/>
                                <w:color w:val="FFFFFF" w:themeColor="background1"/>
                              </w:rPr>
                              <w:t xml:space="preserve">došlo k takovým změnám, že původní úvěr byl v rámci vykazujícího subjektu refinancován/převeden na nový úvěr. </w:t>
                            </w:r>
                            <w:r w:rsidR="00E74228">
                              <w:rPr>
                                <w:rFonts w:ascii="Calibri" w:hAnsi="Calibri" w:cs="Calibri"/>
                                <w:color w:val="FFFFFF" w:themeColor="background1"/>
                              </w:rPr>
                              <w:t>J</w:t>
                            </w:r>
                            <w:r w:rsidRPr="00E818C3">
                              <w:rPr>
                                <w:rFonts w:ascii="Calibri" w:hAnsi="Calibri" w:cs="Calibri"/>
                                <w:color w:val="FFFFFF" w:themeColor="background1"/>
                              </w:rPr>
                              <w:t>de</w:t>
                            </w:r>
                            <w:r w:rsidR="00CD28EC">
                              <w:rPr>
                                <w:rFonts w:ascii="Calibri" w:hAnsi="Calibri" w:cs="Calibri"/>
                                <w:color w:val="FFFFFF" w:themeColor="background1"/>
                              </w:rPr>
                              <w:t xml:space="preserve"> tak o</w:t>
                            </w:r>
                            <w:r w:rsidRPr="00E818C3">
                              <w:rPr>
                                <w:rFonts w:ascii="Calibri" w:hAnsi="Calibri" w:cs="Calibri"/>
                                <w:color w:val="FFFFFF" w:themeColor="background1"/>
                              </w:rPr>
                              <w:t xml:space="preserve"> skutečně </w:t>
                            </w:r>
                            <w:r w:rsidR="00E74228">
                              <w:rPr>
                                <w:rFonts w:ascii="Calibri" w:hAnsi="Calibri" w:cs="Calibri"/>
                                <w:color w:val="FFFFFF" w:themeColor="background1"/>
                              </w:rPr>
                              <w:t>novou smlouvu</w:t>
                            </w:r>
                            <w:r w:rsidR="00132EE9">
                              <w:rPr>
                                <w:rFonts w:ascii="Calibri" w:hAnsi="Calibri" w:cs="Calibri"/>
                                <w:color w:val="FFFFFF" w:themeColor="background1"/>
                              </w:rPr>
                              <w:t xml:space="preserve">, nikoli např. jen </w:t>
                            </w:r>
                            <w:r w:rsidR="007B79F6">
                              <w:rPr>
                                <w:rFonts w:ascii="Calibri" w:hAnsi="Calibri" w:cs="Calibri"/>
                                <w:color w:val="FFFFFF" w:themeColor="background1"/>
                              </w:rPr>
                              <w:t>nové ujednání v rámci refi</w:t>
                            </w:r>
                            <w:r w:rsidR="000F02C1">
                              <w:rPr>
                                <w:rFonts w:ascii="Calibri" w:hAnsi="Calibri" w:cs="Calibri"/>
                                <w:color w:val="FFFFFF" w:themeColor="background1"/>
                              </w:rPr>
                              <w:t xml:space="preserve">xace </w:t>
                            </w:r>
                            <w:r w:rsidR="00132EE9">
                              <w:rPr>
                                <w:rFonts w:ascii="Calibri" w:hAnsi="Calibri" w:cs="Calibri"/>
                                <w:color w:val="FFFFFF" w:themeColor="background1"/>
                              </w:rPr>
                              <w:t xml:space="preserve">stávající smlouvy. Proto je objem takových úvěru ve statistice ČBA nižší oproti „ostatním novým ujednáním“ ve statistice České </w:t>
                            </w:r>
                            <w:r w:rsidR="002D3F94">
                              <w:rPr>
                                <w:rFonts w:ascii="Calibri" w:hAnsi="Calibri" w:cs="Calibri"/>
                                <w:color w:val="FFFFFF" w:themeColor="background1"/>
                              </w:rPr>
                              <w:t>n</w:t>
                            </w:r>
                            <w:r w:rsidR="00132EE9">
                              <w:rPr>
                                <w:rFonts w:ascii="Calibri" w:hAnsi="Calibri" w:cs="Calibri"/>
                                <w:color w:val="FFFFFF" w:themeColor="background1"/>
                              </w:rPr>
                              <w:t xml:space="preserve">árodní </w:t>
                            </w:r>
                            <w:r w:rsidR="002D3F94">
                              <w:rPr>
                                <w:rFonts w:ascii="Calibri" w:hAnsi="Calibri" w:cs="Calibri"/>
                                <w:color w:val="FFFFFF" w:themeColor="background1"/>
                              </w:rPr>
                              <w:t>b</w:t>
                            </w:r>
                            <w:r w:rsidR="00132EE9">
                              <w:rPr>
                                <w:rFonts w:ascii="Calibri" w:hAnsi="Calibri" w:cs="Calibri"/>
                                <w:color w:val="FFFFFF" w:themeColor="background1"/>
                              </w:rPr>
                              <w:t>anky.</w:t>
                            </w:r>
                          </w:p>
                          <w:p w14:paraId="1FAF8B9B" w14:textId="4C474A58" w:rsidR="006F08E1" w:rsidRDefault="006F08E1" w:rsidP="006F08E1">
                            <w:pPr>
                              <w:overflowPunct/>
                              <w:autoSpaceDE/>
                              <w:autoSpaceDN/>
                              <w:adjustRightInd/>
                              <w:spacing w:line="276" w:lineRule="auto"/>
                              <w:jc w:val="left"/>
                              <w:textAlignment w:val="auto"/>
                              <w:rPr>
                                <w:rFonts w:ascii="Calibri" w:hAnsi="Calibri" w:cs="Calibri"/>
                                <w:color w:val="FFFFFF" w:themeColor="background1"/>
                              </w:rPr>
                            </w:pPr>
                          </w:p>
                          <w:p w14:paraId="65FC0189" w14:textId="3B7AF3FC" w:rsidR="006F08E1" w:rsidRPr="006F08E1" w:rsidRDefault="001F49EA" w:rsidP="006F08E1">
                            <w:pPr>
                              <w:overflowPunct/>
                              <w:autoSpaceDE/>
                              <w:autoSpaceDN/>
                              <w:adjustRightInd/>
                              <w:spacing w:line="276" w:lineRule="auto"/>
                              <w:jc w:val="left"/>
                              <w:textAlignment w:val="auto"/>
                              <w:rPr>
                                <w:rFonts w:ascii="Calibri" w:hAnsi="Calibri" w:cs="Calibri"/>
                                <w:color w:val="FFFFFF" w:themeColor="background1"/>
                              </w:rPr>
                            </w:pPr>
                            <w:r w:rsidRPr="001F49EA">
                              <w:rPr>
                                <w:rFonts w:ascii="Calibri" w:hAnsi="Calibri" w:cs="Calibri"/>
                                <w:color w:val="FFFFFF" w:themeColor="background1"/>
                              </w:rPr>
                              <w:t>Data pro ČBA Hypomonitor poskytují následující banky a stavební spořitelny: Air Bank, Banka Creditas, Česká spořitelna, ČSOB, ČSOB Stavební spořitelna, Fio banka, Hypoteční banka, Komerční banka, mBank, Modrá pyramida, MONETA Money Bank, MONETA Stavební spořitelna, Oberbank, Raiffeisen stavební spořitelna, Raiffeisenbank, Stavební spořitelna České spořitelny, UniCredit Bank</w:t>
                            </w:r>
                            <w:r>
                              <w:rPr>
                                <w:rFonts w:ascii="Calibri" w:hAnsi="Calibri" w:cs="Calibri"/>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DA650" id="_x0000_t202" coordsize="21600,21600" o:spt="202" path="m,l,21600r21600,l21600,xe">
                <v:stroke joinstyle="miter"/>
                <v:path gradientshapeok="t" o:connecttype="rect"/>
              </v:shapetype>
              <v:shape id="Textové pole 2" o:spid="_x0000_s1026" type="#_x0000_t202" style="position:absolute;left:0;text-align:left;margin-left:0;margin-top:86.2pt;width:517.7pt;height:408.6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" fillcolor="#13576b" stroked="f">
                <v:fill opacity="54998f"/>
                <v:textbox>
                  <w:txbxContent>
                    <w:p w14:paraId="5A50287C" w14:textId="77777777" w:rsidR="0001227F" w:rsidRDefault="0001227F" w:rsidP="0001227F">
                      <w:pPr>
                        <w:spacing w:line="276" w:lineRule="auto"/>
                        <w:rPr>
                          <w:rFonts w:ascii="Calibri" w:hAnsi="Calibri" w:cs="Calibri"/>
                          <w:b/>
                          <w:bCs/>
                          <w:color w:val="FFFFFF" w:themeColor="background1"/>
                          <w:sz w:val="24"/>
                          <w:szCs w:val="24"/>
                        </w:rPr>
                      </w:pPr>
                    </w:p>
                    <w:p w14:paraId="523681E4" w14:textId="20B4FCBA" w:rsidR="0001227F" w:rsidRPr="00E818C3" w:rsidRDefault="0001227F" w:rsidP="0001227F">
                      <w:pPr>
                        <w:spacing w:line="276" w:lineRule="auto"/>
                        <w:rPr>
                          <w:rFonts w:ascii="Calibri" w:hAnsi="Calibri" w:cs="Calibri"/>
                          <w:b/>
                          <w:bCs/>
                          <w:color w:val="FFFFFF" w:themeColor="background1"/>
                          <w:sz w:val="22"/>
                          <w:szCs w:val="22"/>
                        </w:rPr>
                      </w:pPr>
                      <w:r w:rsidRPr="00E818C3">
                        <w:rPr>
                          <w:rFonts w:ascii="Calibri" w:hAnsi="Calibri" w:cs="Calibri"/>
                          <w:b/>
                          <w:bCs/>
                          <w:color w:val="FFFFFF" w:themeColor="background1"/>
                          <w:sz w:val="22"/>
                          <w:szCs w:val="22"/>
                        </w:rPr>
                        <w:t>Metodika ČBA Hypomonitoru</w:t>
                      </w:r>
                    </w:p>
                    <w:p w14:paraId="7401467C" w14:textId="77777777" w:rsidR="00414AD4" w:rsidRPr="007C6225" w:rsidRDefault="00414AD4" w:rsidP="0001227F">
                      <w:pPr>
                        <w:spacing w:line="276" w:lineRule="auto"/>
                        <w:rPr>
                          <w:rFonts w:ascii="Calibri" w:hAnsi="Calibri" w:cs="Calibri"/>
                          <w:color w:val="FFFFFF" w:themeColor="background1"/>
                          <w:szCs w:val="18"/>
                        </w:rPr>
                      </w:pPr>
                    </w:p>
                    <w:p w14:paraId="1021EABD" w14:textId="16015784" w:rsidR="0001227F" w:rsidRPr="007C6225" w:rsidRDefault="00414AD4" w:rsidP="0001227F">
                      <w:pPr>
                        <w:spacing w:line="276" w:lineRule="auto"/>
                        <w:rPr>
                          <w:rFonts w:ascii="Calibri" w:hAnsi="Calibri" w:cs="Calibri"/>
                          <w:color w:val="FFFFFF" w:themeColor="background1"/>
                          <w:szCs w:val="18"/>
                        </w:rPr>
                      </w:pPr>
                      <w:r w:rsidRPr="007C6225">
                        <w:rPr>
                          <w:rFonts w:ascii="Calibri" w:hAnsi="Calibri" w:cs="Calibri"/>
                          <w:color w:val="FFFFFF" w:themeColor="background1"/>
                          <w:szCs w:val="18"/>
                        </w:rPr>
                        <w:t xml:space="preserve">ČBA Hypomonitor </w:t>
                      </w:r>
                      <w:r w:rsidR="00FB47DE" w:rsidRPr="007C6225">
                        <w:rPr>
                          <w:rFonts w:ascii="Calibri" w:hAnsi="Calibri" w:cs="Calibri"/>
                          <w:color w:val="FFFFFF" w:themeColor="background1"/>
                          <w:szCs w:val="18"/>
                        </w:rPr>
                        <w:t xml:space="preserve">rozděluje poskytnuté hypoteční úvěry </w:t>
                      </w:r>
                      <w:r w:rsidR="00810DCF">
                        <w:rPr>
                          <w:rFonts w:ascii="Calibri" w:hAnsi="Calibri" w:cs="Calibri"/>
                          <w:color w:val="FFFFFF" w:themeColor="background1"/>
                          <w:szCs w:val="18"/>
                        </w:rPr>
                        <w:t>bank a stavebních spořitelen</w:t>
                      </w:r>
                      <w:r w:rsidR="00B426A2">
                        <w:rPr>
                          <w:rFonts w:ascii="Calibri" w:hAnsi="Calibri" w:cs="Calibri"/>
                          <w:color w:val="FFFFFF" w:themeColor="background1"/>
                          <w:szCs w:val="18"/>
                        </w:rPr>
                        <w:t xml:space="preserve"> domácnostem</w:t>
                      </w:r>
                      <w:r w:rsidR="00810DCF">
                        <w:rPr>
                          <w:rFonts w:ascii="Calibri" w:hAnsi="Calibri" w:cs="Calibri"/>
                          <w:color w:val="FFFFFF" w:themeColor="background1"/>
                          <w:szCs w:val="18"/>
                        </w:rPr>
                        <w:t xml:space="preserve"> </w:t>
                      </w:r>
                      <w:r w:rsidRPr="007C6225">
                        <w:rPr>
                          <w:rFonts w:ascii="Calibri" w:hAnsi="Calibri" w:cs="Calibri"/>
                          <w:color w:val="FFFFFF" w:themeColor="background1"/>
                          <w:szCs w:val="18"/>
                        </w:rPr>
                        <w:t>do několika kategorií tak, aby byly rozlišeny nové úvěry od refinancovaných či interních refixací</w:t>
                      </w:r>
                      <w:r w:rsidR="000B70C8">
                        <w:rPr>
                          <w:rFonts w:ascii="Calibri" w:hAnsi="Calibri" w:cs="Calibri"/>
                          <w:color w:val="FFFFFF" w:themeColor="background1"/>
                          <w:szCs w:val="18"/>
                        </w:rPr>
                        <w:t>.</w:t>
                      </w:r>
                      <w:r w:rsidRPr="007C6225">
                        <w:rPr>
                          <w:rFonts w:ascii="Calibri" w:hAnsi="Calibri" w:cs="Calibri"/>
                          <w:color w:val="FFFFFF" w:themeColor="background1"/>
                          <w:szCs w:val="18"/>
                        </w:rPr>
                        <w:t xml:space="preserve"> Nové úvěry jsou </w:t>
                      </w:r>
                      <w:r w:rsidR="00581CC1">
                        <w:rPr>
                          <w:rFonts w:ascii="Calibri" w:hAnsi="Calibri" w:cs="Calibri"/>
                          <w:color w:val="FFFFFF" w:themeColor="background1"/>
                          <w:szCs w:val="18"/>
                        </w:rPr>
                        <w:t>pak</w:t>
                      </w:r>
                      <w:r w:rsidRPr="007C6225">
                        <w:rPr>
                          <w:rFonts w:ascii="Calibri" w:hAnsi="Calibri" w:cs="Calibri"/>
                          <w:color w:val="FFFFFF" w:themeColor="background1"/>
                          <w:szCs w:val="18"/>
                        </w:rPr>
                        <w:t xml:space="preserve"> vykazovány v</w:t>
                      </w:r>
                      <w:r w:rsidR="00581CC1">
                        <w:rPr>
                          <w:rFonts w:ascii="Calibri" w:hAnsi="Calibri" w:cs="Calibri"/>
                          <w:color w:val="FFFFFF" w:themeColor="background1"/>
                          <w:szCs w:val="18"/>
                        </w:rPr>
                        <w:t> </w:t>
                      </w:r>
                      <w:r w:rsidRPr="007C6225">
                        <w:rPr>
                          <w:rFonts w:ascii="Calibri" w:hAnsi="Calibri" w:cs="Calibri"/>
                          <w:color w:val="FFFFFF" w:themeColor="background1"/>
                          <w:szCs w:val="18"/>
                        </w:rPr>
                        <w:t>kategoriích</w:t>
                      </w:r>
                      <w:r w:rsidR="00581CC1">
                        <w:rPr>
                          <w:rFonts w:ascii="Calibri" w:hAnsi="Calibri" w:cs="Calibri"/>
                          <w:color w:val="FFFFFF" w:themeColor="background1"/>
                          <w:szCs w:val="18"/>
                        </w:rPr>
                        <w:t xml:space="preserve"> dle účelu úvěru</w:t>
                      </w:r>
                      <w:r w:rsidRPr="007C6225">
                        <w:rPr>
                          <w:rFonts w:ascii="Calibri" w:hAnsi="Calibri" w:cs="Calibri"/>
                          <w:color w:val="FFFFFF" w:themeColor="background1"/>
                          <w:szCs w:val="18"/>
                        </w:rPr>
                        <w:t>:</w:t>
                      </w:r>
                    </w:p>
                    <w:p w14:paraId="58E707E8" w14:textId="77777777" w:rsidR="0001227F" w:rsidRPr="0001227F" w:rsidRDefault="0001227F" w:rsidP="0001227F">
                      <w:pPr>
                        <w:spacing w:line="276" w:lineRule="auto"/>
                        <w:rPr>
                          <w:rFonts w:ascii="Calibri" w:hAnsi="Calibri" w:cs="Calibri"/>
                          <w:color w:val="FFFFFF" w:themeColor="background1"/>
                        </w:rPr>
                      </w:pPr>
                    </w:p>
                    <w:p w14:paraId="3227247A" w14:textId="11714118" w:rsidR="0001227F" w:rsidRPr="00E818C3" w:rsidRDefault="00E818C3" w:rsidP="00E818C3">
                      <w:pPr>
                        <w:spacing w:line="276" w:lineRule="auto"/>
                        <w:rPr>
                          <w:rFonts w:ascii="Calibri" w:hAnsi="Calibri" w:cs="Calibri"/>
                          <w:b/>
                          <w:color w:val="FFFFFF" w:themeColor="background1"/>
                        </w:rPr>
                      </w:pPr>
                      <w:r w:rsidRPr="00E818C3">
                        <w:rPr>
                          <w:rFonts w:ascii="Calibri" w:hAnsi="Calibri" w:cs="Calibri"/>
                          <w:b/>
                          <w:color w:val="FFFFFF" w:themeColor="background1"/>
                        </w:rPr>
                        <w:t>1.</w:t>
                      </w:r>
                      <w:r>
                        <w:rPr>
                          <w:rFonts w:ascii="Calibri" w:hAnsi="Calibri" w:cs="Calibri"/>
                          <w:b/>
                          <w:color w:val="FFFFFF" w:themeColor="background1"/>
                        </w:rPr>
                        <w:t xml:space="preserve"> </w:t>
                      </w:r>
                      <w:r w:rsidR="0001227F" w:rsidRPr="00E818C3">
                        <w:rPr>
                          <w:rFonts w:ascii="Calibri" w:hAnsi="Calibri" w:cs="Calibri"/>
                          <w:b/>
                          <w:color w:val="FFFFFF" w:themeColor="background1"/>
                        </w:rPr>
                        <w:t>Nové úvěry</w:t>
                      </w:r>
                    </w:p>
                    <w:p w14:paraId="22AF3257" w14:textId="77777777"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Jsou úvěry, jejichž celý objem poprvé vstupuje do ekonomiky. Do této kategorie nepatří konsolidace úvěrů anebo refinancování úvěrů. Dělí se do tří kategorií:</w:t>
                      </w:r>
                    </w:p>
                    <w:p w14:paraId="362AFB2A" w14:textId="77777777" w:rsidR="0001227F" w:rsidRPr="00E818C3" w:rsidRDefault="0001227F" w:rsidP="00E818C3">
                      <w:pPr>
                        <w:pStyle w:val="ListParagraph"/>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Nákup nemovitosti</w:t>
                      </w:r>
                      <w:r w:rsidRPr="00E818C3">
                        <w:rPr>
                          <w:rFonts w:ascii="Calibri" w:hAnsi="Calibri" w:cs="Calibri"/>
                          <w:color w:val="FFFFFF" w:themeColor="background1"/>
                        </w:rPr>
                        <w:t xml:space="preserve"> </w:t>
                      </w:r>
                    </w:p>
                    <w:p w14:paraId="29F23FA5" w14:textId="6EE96893" w:rsidR="0001227F" w:rsidRPr="00E818C3" w:rsidRDefault="0001227F" w:rsidP="00E818C3">
                      <w:pPr>
                        <w:pStyle w:val="ListParagraph"/>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Výstavba nemovitosti</w:t>
                      </w:r>
                      <w:r w:rsidRPr="00E818C3">
                        <w:rPr>
                          <w:rFonts w:ascii="Calibri" w:hAnsi="Calibri" w:cs="Calibri"/>
                          <w:color w:val="FFFFFF" w:themeColor="background1"/>
                        </w:rPr>
                        <w:t xml:space="preserve"> – včetně rekonstrukce nemovitosti </w:t>
                      </w:r>
                    </w:p>
                    <w:p w14:paraId="4D80580F" w14:textId="11E0715F" w:rsidR="0001227F" w:rsidRPr="00E818C3" w:rsidRDefault="0001227F" w:rsidP="00E818C3">
                      <w:pPr>
                        <w:pStyle w:val="ListParagraph"/>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Ostatní nová ujednání</w:t>
                      </w:r>
                      <w:r w:rsidRPr="00E818C3">
                        <w:rPr>
                          <w:rFonts w:ascii="Calibri" w:hAnsi="Calibri" w:cs="Calibri"/>
                          <w:color w:val="FFFFFF" w:themeColor="background1"/>
                        </w:rPr>
                        <w:t xml:space="preserve"> – pouze nové úvěry, které nijak nesouvisí s koupí nebo výstavbou nemovitosti, např. tzv. americké hypotéky, vypořádání SJM, zpětná úhrada kupní ceny, vypořádání dědického podílu, vypořádání družstevního podílu, atp.</w:t>
                      </w:r>
                    </w:p>
                    <w:p w14:paraId="4FBF1D5A" w14:textId="77777777" w:rsidR="0001227F" w:rsidRPr="0001227F" w:rsidRDefault="0001227F" w:rsidP="0001227F">
                      <w:pPr>
                        <w:spacing w:line="276" w:lineRule="auto"/>
                        <w:ind w:left="708"/>
                        <w:rPr>
                          <w:rFonts w:ascii="Calibri" w:hAnsi="Calibri" w:cs="Calibri"/>
                          <w:color w:val="FFFFFF" w:themeColor="background1"/>
                        </w:rPr>
                      </w:pPr>
                    </w:p>
                    <w:p w14:paraId="71D5E0BB" w14:textId="7D112C27" w:rsidR="0001227F" w:rsidRPr="0001227F"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2. </w:t>
                      </w:r>
                      <w:r w:rsidR="0001227F" w:rsidRPr="0001227F">
                        <w:rPr>
                          <w:rFonts w:ascii="Calibri" w:hAnsi="Calibri" w:cs="Calibri"/>
                          <w:b/>
                          <w:color w:val="FFFFFF" w:themeColor="background1"/>
                        </w:rPr>
                        <w:t>Refinancované úvěry z jiné finanční instituce</w:t>
                      </w:r>
                    </w:p>
                    <w:p w14:paraId="351B5A60" w14:textId="0B5DCBB6"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 xml:space="preserve">Jsou úvěry, které vznikly refinancováním jednoho nebo více úvěrů z jiné finanční instituce než </w:t>
                      </w:r>
                      <w:r w:rsidR="00973197">
                        <w:rPr>
                          <w:rFonts w:ascii="Calibri" w:hAnsi="Calibri" w:cs="Calibri"/>
                          <w:color w:val="FFFFFF" w:themeColor="background1"/>
                        </w:rPr>
                        <w:t>té</w:t>
                      </w:r>
                      <w:r w:rsidRPr="0001227F">
                        <w:rPr>
                          <w:rFonts w:ascii="Calibri" w:hAnsi="Calibri" w:cs="Calibri"/>
                          <w:color w:val="FFFFFF" w:themeColor="background1"/>
                        </w:rPr>
                        <w:t xml:space="preserve"> vykazující. Bez ohledu na výši refinancované částky a bez ohledu na výši případného navýšení se celková výše nově vzniklého úvěru vykazuje do této kategorie. </w:t>
                      </w:r>
                    </w:p>
                    <w:p w14:paraId="7566D2D6" w14:textId="77777777" w:rsidR="0001227F" w:rsidRPr="0001227F" w:rsidRDefault="0001227F" w:rsidP="0001227F">
                      <w:pPr>
                        <w:spacing w:line="276" w:lineRule="auto"/>
                        <w:rPr>
                          <w:rFonts w:ascii="Calibri" w:hAnsi="Calibri" w:cs="Calibri"/>
                          <w:color w:val="FFFFFF" w:themeColor="background1"/>
                        </w:rPr>
                      </w:pPr>
                    </w:p>
                    <w:p w14:paraId="04B36444" w14:textId="4F20B25F" w:rsidR="0001227F" w:rsidRPr="000C045B"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3. </w:t>
                      </w:r>
                      <w:r w:rsidR="0001227F" w:rsidRPr="0001227F">
                        <w:rPr>
                          <w:rFonts w:ascii="Calibri" w:hAnsi="Calibri" w:cs="Calibri"/>
                          <w:b/>
                          <w:color w:val="FFFFFF" w:themeColor="background1"/>
                        </w:rPr>
                        <w:t>Navý</w:t>
                      </w:r>
                      <w:r w:rsidR="0001227F" w:rsidRPr="000C045B">
                        <w:rPr>
                          <w:rFonts w:ascii="Calibri" w:hAnsi="Calibri" w:cs="Calibri"/>
                          <w:b/>
                          <w:color w:val="FFFFFF" w:themeColor="background1"/>
                        </w:rPr>
                        <w:t>šené anebo interně refinancované úvěry</w:t>
                      </w:r>
                    </w:p>
                    <w:p w14:paraId="711A3661" w14:textId="2A271010" w:rsidR="0001227F" w:rsidRPr="0001227F" w:rsidRDefault="0001227F" w:rsidP="0001227F">
                      <w:pPr>
                        <w:spacing w:line="276" w:lineRule="auto"/>
                        <w:rPr>
                          <w:rFonts w:ascii="Calibri" w:hAnsi="Calibri" w:cs="Calibri"/>
                          <w:color w:val="FFFFFF" w:themeColor="background1"/>
                        </w:rPr>
                      </w:pPr>
                      <w:r w:rsidRPr="000C045B">
                        <w:rPr>
                          <w:rFonts w:ascii="Calibri" w:hAnsi="Calibri" w:cs="Calibri"/>
                          <w:color w:val="FFFFFF" w:themeColor="background1"/>
                        </w:rPr>
                        <w:t xml:space="preserve">Jsou úvěry, které již </w:t>
                      </w:r>
                      <w:r w:rsidRPr="007C6225">
                        <w:rPr>
                          <w:rFonts w:ascii="Calibri" w:hAnsi="Calibri" w:cs="Calibri"/>
                          <w:color w:val="FFFFFF" w:themeColor="background1"/>
                        </w:rPr>
                        <w:t xml:space="preserve">byly </w:t>
                      </w:r>
                      <w:r w:rsidR="00647A7A">
                        <w:rPr>
                          <w:rFonts w:ascii="Calibri" w:hAnsi="Calibri" w:cs="Calibri"/>
                          <w:color w:val="FFFFFF" w:themeColor="background1"/>
                        </w:rPr>
                        <w:t xml:space="preserve">v </w:t>
                      </w:r>
                      <w:r w:rsidRPr="007C6225">
                        <w:rPr>
                          <w:rFonts w:ascii="Calibri" w:hAnsi="Calibri" w:cs="Calibri"/>
                          <w:color w:val="FFFFFF" w:themeColor="background1"/>
                        </w:rPr>
                        <w:t>předchozí</w:t>
                      </w:r>
                      <w:r w:rsidR="0079039B">
                        <w:rPr>
                          <w:rFonts w:ascii="Calibri" w:hAnsi="Calibri" w:cs="Calibri"/>
                          <w:color w:val="FFFFFF" w:themeColor="background1"/>
                        </w:rPr>
                        <w:t>m</w:t>
                      </w:r>
                      <w:r w:rsidRPr="007C6225">
                        <w:rPr>
                          <w:rFonts w:ascii="Calibri" w:hAnsi="Calibri" w:cs="Calibri"/>
                          <w:color w:val="FFFFFF" w:themeColor="background1"/>
                        </w:rPr>
                        <w:t xml:space="preserve"> vykazované</w:t>
                      </w:r>
                      <w:r w:rsidR="0079039B">
                        <w:rPr>
                          <w:rFonts w:ascii="Calibri" w:hAnsi="Calibri" w:cs="Calibri"/>
                          <w:color w:val="FFFFFF" w:themeColor="background1"/>
                        </w:rPr>
                        <w:t>m</w:t>
                      </w:r>
                      <w:r w:rsidRPr="007C6225">
                        <w:rPr>
                          <w:rFonts w:ascii="Calibri" w:hAnsi="Calibri" w:cs="Calibri"/>
                          <w:color w:val="FFFFFF" w:themeColor="background1"/>
                        </w:rPr>
                        <w:t xml:space="preserve"> období součástí portfolia</w:t>
                      </w:r>
                      <w:r w:rsidRPr="000C045B">
                        <w:rPr>
                          <w:rFonts w:ascii="Calibri" w:hAnsi="Calibri" w:cs="Calibri"/>
                          <w:color w:val="FFFFFF" w:themeColor="background1"/>
                        </w:rPr>
                        <w:t xml:space="preserve"> vykazujícího</w:t>
                      </w:r>
                      <w:r w:rsidRPr="0001227F">
                        <w:rPr>
                          <w:rFonts w:ascii="Calibri" w:hAnsi="Calibri" w:cs="Calibri"/>
                          <w:color w:val="FFFFFF" w:themeColor="background1"/>
                        </w:rPr>
                        <w:t xml:space="preserve"> subjektu, a ve vykazovaném období u nich došlo k některé z následujících změn:</w:t>
                      </w:r>
                    </w:p>
                    <w:p w14:paraId="4A6B00C0" w14:textId="77777777" w:rsidR="00E818C3" w:rsidRDefault="0001227F" w:rsidP="0001227F">
                      <w:pPr>
                        <w:pStyle w:val="ListParagraph"/>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01227F">
                        <w:rPr>
                          <w:rFonts w:ascii="Calibri" w:hAnsi="Calibri" w:cs="Calibri"/>
                          <w:color w:val="FFFFFF" w:themeColor="background1"/>
                        </w:rPr>
                        <w:t xml:space="preserve">navýšení sjednané částky </w:t>
                      </w:r>
                    </w:p>
                    <w:p w14:paraId="44682079" w14:textId="72C23671" w:rsidR="0001227F" w:rsidRDefault="0001227F" w:rsidP="0001227F">
                      <w:pPr>
                        <w:pStyle w:val="ListParagraph"/>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E818C3">
                        <w:rPr>
                          <w:rFonts w:ascii="Calibri" w:hAnsi="Calibri" w:cs="Calibri"/>
                          <w:color w:val="FFFFFF" w:themeColor="background1"/>
                        </w:rPr>
                        <w:t xml:space="preserve">došlo k takovým změnám, že původní úvěr byl v rámci vykazujícího subjektu refinancován/převeden na nový úvěr. </w:t>
                      </w:r>
                      <w:r w:rsidR="00E74228">
                        <w:rPr>
                          <w:rFonts w:ascii="Calibri" w:hAnsi="Calibri" w:cs="Calibri"/>
                          <w:color w:val="FFFFFF" w:themeColor="background1"/>
                        </w:rPr>
                        <w:t>J</w:t>
                      </w:r>
                      <w:r w:rsidRPr="00E818C3">
                        <w:rPr>
                          <w:rFonts w:ascii="Calibri" w:hAnsi="Calibri" w:cs="Calibri"/>
                          <w:color w:val="FFFFFF" w:themeColor="background1"/>
                        </w:rPr>
                        <w:t>de</w:t>
                      </w:r>
                      <w:r w:rsidR="00CD28EC">
                        <w:rPr>
                          <w:rFonts w:ascii="Calibri" w:hAnsi="Calibri" w:cs="Calibri"/>
                          <w:color w:val="FFFFFF" w:themeColor="background1"/>
                        </w:rPr>
                        <w:t xml:space="preserve"> tak o</w:t>
                      </w:r>
                      <w:r w:rsidRPr="00E818C3">
                        <w:rPr>
                          <w:rFonts w:ascii="Calibri" w:hAnsi="Calibri" w:cs="Calibri"/>
                          <w:color w:val="FFFFFF" w:themeColor="background1"/>
                        </w:rPr>
                        <w:t xml:space="preserve"> skutečně </w:t>
                      </w:r>
                      <w:r w:rsidR="00E74228">
                        <w:rPr>
                          <w:rFonts w:ascii="Calibri" w:hAnsi="Calibri" w:cs="Calibri"/>
                          <w:color w:val="FFFFFF" w:themeColor="background1"/>
                        </w:rPr>
                        <w:t>novou smlouvu</w:t>
                      </w:r>
                      <w:r w:rsidR="00132EE9">
                        <w:rPr>
                          <w:rFonts w:ascii="Calibri" w:hAnsi="Calibri" w:cs="Calibri"/>
                          <w:color w:val="FFFFFF" w:themeColor="background1"/>
                        </w:rPr>
                        <w:t xml:space="preserve">, nikoli např. jen </w:t>
                      </w:r>
                      <w:r w:rsidR="007B79F6">
                        <w:rPr>
                          <w:rFonts w:ascii="Calibri" w:hAnsi="Calibri" w:cs="Calibri"/>
                          <w:color w:val="FFFFFF" w:themeColor="background1"/>
                        </w:rPr>
                        <w:t>nové ujednání v rámci refi</w:t>
                      </w:r>
                      <w:r w:rsidR="000F02C1">
                        <w:rPr>
                          <w:rFonts w:ascii="Calibri" w:hAnsi="Calibri" w:cs="Calibri"/>
                          <w:color w:val="FFFFFF" w:themeColor="background1"/>
                        </w:rPr>
                        <w:t xml:space="preserve">xace </w:t>
                      </w:r>
                      <w:r w:rsidR="00132EE9">
                        <w:rPr>
                          <w:rFonts w:ascii="Calibri" w:hAnsi="Calibri" w:cs="Calibri"/>
                          <w:color w:val="FFFFFF" w:themeColor="background1"/>
                        </w:rPr>
                        <w:t xml:space="preserve">stávající smlouvy. Proto je objem takových úvěru ve statistice ČBA nižší oproti „ostatním novým ujednáním“ ve statistice České </w:t>
                      </w:r>
                      <w:r w:rsidR="002D3F94">
                        <w:rPr>
                          <w:rFonts w:ascii="Calibri" w:hAnsi="Calibri" w:cs="Calibri"/>
                          <w:color w:val="FFFFFF" w:themeColor="background1"/>
                        </w:rPr>
                        <w:t>n</w:t>
                      </w:r>
                      <w:r w:rsidR="00132EE9">
                        <w:rPr>
                          <w:rFonts w:ascii="Calibri" w:hAnsi="Calibri" w:cs="Calibri"/>
                          <w:color w:val="FFFFFF" w:themeColor="background1"/>
                        </w:rPr>
                        <w:t xml:space="preserve">árodní </w:t>
                      </w:r>
                      <w:r w:rsidR="002D3F94">
                        <w:rPr>
                          <w:rFonts w:ascii="Calibri" w:hAnsi="Calibri" w:cs="Calibri"/>
                          <w:color w:val="FFFFFF" w:themeColor="background1"/>
                        </w:rPr>
                        <w:t>b</w:t>
                      </w:r>
                      <w:r w:rsidR="00132EE9">
                        <w:rPr>
                          <w:rFonts w:ascii="Calibri" w:hAnsi="Calibri" w:cs="Calibri"/>
                          <w:color w:val="FFFFFF" w:themeColor="background1"/>
                        </w:rPr>
                        <w:t>anky.</w:t>
                      </w:r>
                    </w:p>
                    <w:p w14:paraId="1FAF8B9B" w14:textId="4C474A58" w:rsidR="006F08E1" w:rsidRDefault="006F08E1" w:rsidP="006F08E1">
                      <w:pPr>
                        <w:overflowPunct/>
                        <w:autoSpaceDE/>
                        <w:autoSpaceDN/>
                        <w:adjustRightInd/>
                        <w:spacing w:line="276" w:lineRule="auto"/>
                        <w:jc w:val="left"/>
                        <w:textAlignment w:val="auto"/>
                        <w:rPr>
                          <w:rFonts w:ascii="Calibri" w:hAnsi="Calibri" w:cs="Calibri"/>
                          <w:color w:val="FFFFFF" w:themeColor="background1"/>
                        </w:rPr>
                      </w:pPr>
                    </w:p>
                    <w:p w14:paraId="65FC0189" w14:textId="3B7AF3FC" w:rsidR="006F08E1" w:rsidRPr="006F08E1" w:rsidRDefault="001F49EA" w:rsidP="006F08E1">
                      <w:pPr>
                        <w:overflowPunct/>
                        <w:autoSpaceDE/>
                        <w:autoSpaceDN/>
                        <w:adjustRightInd/>
                        <w:spacing w:line="276" w:lineRule="auto"/>
                        <w:jc w:val="left"/>
                        <w:textAlignment w:val="auto"/>
                        <w:rPr>
                          <w:rFonts w:ascii="Calibri" w:hAnsi="Calibri" w:cs="Calibri"/>
                          <w:color w:val="FFFFFF" w:themeColor="background1"/>
                        </w:rPr>
                      </w:pPr>
                      <w:r w:rsidRPr="001F49EA">
                        <w:rPr>
                          <w:rFonts w:ascii="Calibri" w:hAnsi="Calibri" w:cs="Calibri"/>
                          <w:color w:val="FFFFFF" w:themeColor="background1"/>
                        </w:rPr>
                        <w:t>Data pro ČBA Hypomonitor poskytují následující banky a stavební spořitelny: Air Bank, Banka Creditas, Česká spořitelna, ČSOB, ČSOB Stavební spořitelna, Fio banka, Hypoteční banka, Komerční banka, mBank, Modrá pyramida, MONETA Money Bank, MONETA Stavební spořitelna, Oberbank, Raiffeisen stavební spořitelna, Raiffeisenbank, Stavební spořitelna České spořitelny, UniCredit Bank</w:t>
                      </w:r>
                      <w:r>
                        <w:rPr>
                          <w:rFonts w:ascii="Calibri" w:hAnsi="Calibri" w:cs="Calibri"/>
                          <w:color w:val="FFFFFF" w:themeColor="background1"/>
                        </w:rPr>
                        <w:t>.</w:t>
                      </w:r>
                    </w:p>
                  </w:txbxContent>
                </v:textbox>
                <w10:wrap type="square" anchorx="margin"/>
              </v:shape>
            </w:pict>
          </mc:Fallback>
        </mc:AlternateContent>
      </w:r>
      <w:r w:rsidR="0001227F" w:rsidRPr="0001227F">
        <w:rPr>
          <w:rFonts w:ascii="Calibri" w:hAnsi="Calibri" w:cs="Calibri"/>
          <w:sz w:val="22"/>
          <w:szCs w:val="22"/>
        </w:rPr>
        <w:t xml:space="preserve">Česká bankovní asociace </w:t>
      </w:r>
      <w:r w:rsidR="00336412">
        <w:rPr>
          <w:rFonts w:ascii="Calibri" w:hAnsi="Calibri" w:cs="Calibri"/>
          <w:sz w:val="22"/>
          <w:szCs w:val="22"/>
        </w:rPr>
        <w:t>zveřejňuje</w:t>
      </w:r>
      <w:r w:rsidR="00336412" w:rsidRPr="0001227F">
        <w:rPr>
          <w:rFonts w:ascii="Calibri" w:hAnsi="Calibri" w:cs="Calibri"/>
          <w:sz w:val="22"/>
          <w:szCs w:val="22"/>
        </w:rPr>
        <w:t xml:space="preserve"> </w:t>
      </w:r>
      <w:r w:rsidR="0001227F" w:rsidRPr="0001227F">
        <w:rPr>
          <w:rFonts w:ascii="Calibri" w:hAnsi="Calibri" w:cs="Calibri"/>
          <w:sz w:val="22"/>
          <w:szCs w:val="22"/>
        </w:rPr>
        <w:t xml:space="preserve">ve spolupráci s členskými bankami nové souhrnné statistiky z trhu bydlení. Jde především o objemy a počty nově poskytnutých a refinancovaných hypoték a příslušnou úrokovou sazbu. Tyto statistiky </w:t>
      </w:r>
      <w:r w:rsidR="00336412">
        <w:rPr>
          <w:rFonts w:ascii="Calibri" w:hAnsi="Calibri" w:cs="Calibri"/>
          <w:sz w:val="22"/>
          <w:szCs w:val="22"/>
        </w:rPr>
        <w:t>publikuje ČBA</w:t>
      </w:r>
      <w:r w:rsidR="0001227F" w:rsidRPr="0001227F">
        <w:rPr>
          <w:rFonts w:ascii="Calibri" w:hAnsi="Calibri" w:cs="Calibri"/>
          <w:sz w:val="22"/>
          <w:szCs w:val="22"/>
        </w:rPr>
        <w:t xml:space="preserve"> v agregované podobě za celý bankovní sektor na pravidelné bázi vždy </w:t>
      </w:r>
      <w:r w:rsidR="006E7DC6">
        <w:rPr>
          <w:rFonts w:ascii="Calibri" w:hAnsi="Calibri" w:cs="Calibri"/>
          <w:sz w:val="22"/>
          <w:szCs w:val="22"/>
        </w:rPr>
        <w:t xml:space="preserve">zhruba </w:t>
      </w:r>
      <w:r w:rsidR="0001227F" w:rsidRPr="0001227F">
        <w:rPr>
          <w:rFonts w:ascii="Calibri" w:hAnsi="Calibri" w:cs="Calibri"/>
          <w:sz w:val="22"/>
          <w:szCs w:val="22"/>
        </w:rPr>
        <w:t xml:space="preserve">v polovině měsíce. Šetření se účastní všechny tuzemské banky a stavební spořitelny poskytující v ČR hypotéky. </w:t>
      </w:r>
      <w:r w:rsidR="007F299B">
        <w:rPr>
          <w:rFonts w:ascii="Calibri" w:hAnsi="Calibri" w:cs="Calibri"/>
          <w:sz w:val="22"/>
          <w:szCs w:val="22"/>
        </w:rPr>
        <w:t xml:space="preserve">Data </w:t>
      </w:r>
      <w:r w:rsidR="00E6160E">
        <w:rPr>
          <w:rFonts w:ascii="Calibri" w:hAnsi="Calibri" w:cs="Calibri"/>
          <w:sz w:val="22"/>
          <w:szCs w:val="22"/>
        </w:rPr>
        <w:t>jsou dos</w:t>
      </w:r>
      <w:r w:rsidR="00B91481">
        <w:rPr>
          <w:rFonts w:ascii="Calibri" w:hAnsi="Calibri" w:cs="Calibri"/>
          <w:sz w:val="22"/>
          <w:szCs w:val="22"/>
        </w:rPr>
        <w:t xml:space="preserve">tupná od ledna roku 2020 </w:t>
      </w:r>
      <w:r w:rsidR="007F299B">
        <w:rPr>
          <w:rFonts w:ascii="Calibri" w:hAnsi="Calibri" w:cs="Calibri"/>
          <w:sz w:val="22"/>
          <w:szCs w:val="22"/>
        </w:rPr>
        <w:t>v</w:t>
      </w:r>
      <w:r w:rsidR="0040474A">
        <w:rPr>
          <w:rFonts w:ascii="Calibri" w:hAnsi="Calibri" w:cs="Calibri"/>
          <w:sz w:val="22"/>
          <w:szCs w:val="22"/>
        </w:rPr>
        <w:t> přiloženém souboru</w:t>
      </w:r>
      <w:r w:rsidR="003F12D5">
        <w:rPr>
          <w:rFonts w:ascii="Calibri" w:hAnsi="Calibri" w:cs="Calibri"/>
          <w:sz w:val="22"/>
          <w:szCs w:val="22"/>
        </w:rPr>
        <w:t xml:space="preserve"> na stránkách </w:t>
      </w:r>
      <w:r w:rsidR="00F27A13" w:rsidRPr="00F27A13">
        <w:rPr>
          <w:rFonts w:ascii="Calibri" w:hAnsi="Calibri" w:cs="Calibri"/>
          <w:b/>
          <w:bCs/>
          <w:sz w:val="22"/>
          <w:szCs w:val="22"/>
        </w:rPr>
        <w:t>www.</w:t>
      </w:r>
      <w:r w:rsidR="003F12D5" w:rsidRPr="00F27A13">
        <w:rPr>
          <w:rFonts w:ascii="Calibri" w:hAnsi="Calibri" w:cs="Calibri"/>
          <w:b/>
          <w:bCs/>
          <w:sz w:val="22"/>
          <w:szCs w:val="22"/>
        </w:rPr>
        <w:t>cbaonline.cz</w:t>
      </w:r>
      <w:r w:rsidR="00B91481">
        <w:rPr>
          <w:rFonts w:ascii="Calibri" w:hAnsi="Calibri" w:cs="Calibri"/>
          <w:sz w:val="22"/>
          <w:szCs w:val="22"/>
        </w:rPr>
        <w:t>, kde lze také</w:t>
      </w:r>
      <w:r w:rsidR="0040474A">
        <w:rPr>
          <w:rFonts w:ascii="Calibri" w:hAnsi="Calibri" w:cs="Calibri"/>
          <w:sz w:val="22"/>
          <w:szCs w:val="22"/>
        </w:rPr>
        <w:t xml:space="preserve"> příslušné statistiky </w:t>
      </w:r>
      <w:r w:rsidR="00B91481">
        <w:rPr>
          <w:rFonts w:ascii="Calibri" w:hAnsi="Calibri" w:cs="Calibri"/>
          <w:sz w:val="22"/>
          <w:szCs w:val="22"/>
        </w:rPr>
        <w:t xml:space="preserve">najít </w:t>
      </w:r>
      <w:r w:rsidR="0040474A">
        <w:rPr>
          <w:rFonts w:ascii="Calibri" w:hAnsi="Calibri" w:cs="Calibri"/>
          <w:sz w:val="22"/>
          <w:szCs w:val="22"/>
        </w:rPr>
        <w:t>zvlášť pro banky a stavební spořitelny. Výše uvedené hodnoty jsou pro sektor jako celek.</w:t>
      </w:r>
      <w:r w:rsidR="00E818C3">
        <w:rPr>
          <w:rFonts w:ascii="Calibri" w:hAnsi="Calibri" w:cs="Calibri"/>
          <w:i/>
          <w:iCs/>
          <w:sz w:val="20"/>
        </w:rPr>
        <w:t xml:space="preserve"> </w:t>
      </w:r>
    </w:p>
    <w:p w14:paraId="4F7DD2BE" w14:textId="08EF07AC" w:rsidR="0069373F" w:rsidRPr="0001227F" w:rsidRDefault="00617E6C">
      <w:pPr>
        <w:overflowPunct/>
        <w:autoSpaceDE/>
        <w:autoSpaceDN/>
        <w:adjustRightInd/>
        <w:spacing w:after="160" w:line="259" w:lineRule="auto"/>
        <w:jc w:val="left"/>
        <w:textAlignment w:val="auto"/>
        <w:rPr>
          <w:rFonts w:ascii="Calibri" w:hAnsi="Calibri" w:cs="Calibri"/>
          <w:sz w:val="20"/>
        </w:rPr>
      </w:pPr>
      <w:r w:rsidRPr="0001227F">
        <w:rPr>
          <w:rFonts w:ascii="Calibri" w:eastAsiaTheme="minorEastAsia" w:hAnsi="Calibri" w:cs="Calibri"/>
          <w:i/>
          <w:iCs/>
          <w:noProof/>
          <w:sz w:val="16"/>
          <w:szCs w:val="18"/>
          <w:lang w:val="en-GB" w:eastAsia="en-GB"/>
        </w:rPr>
        <mc:AlternateContent>
          <mc:Choice Requires="wps">
            <w:drawing>
              <wp:anchor distT="0" distB="0" distL="114300" distR="114300" simplePos="0" relativeHeight="251660288" behindDoc="0" locked="0" layoutInCell="1" allowOverlap="1" wp14:anchorId="70D3B697" wp14:editId="5505F9F2">
                <wp:simplePos x="0" y="0"/>
                <wp:positionH relativeFrom="margin">
                  <wp:align>right</wp:align>
                </wp:positionH>
                <wp:positionV relativeFrom="paragraph">
                  <wp:posOffset>5315585</wp:posOffset>
                </wp:positionV>
                <wp:extent cx="2193290" cy="1546860"/>
                <wp:effectExtent l="0" t="0" r="0" b="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1546860"/>
                        </a:xfrm>
                        <a:prstGeom prst="rect">
                          <a:avLst/>
                        </a:prstGeom>
                        <a:solidFill>
                          <a:srgbClr val="13576B">
                            <a:alpha val="86000"/>
                          </a:srgbClr>
                        </a:solidFill>
                        <a:ln>
                          <a:noFill/>
                        </a:ln>
                      </wps:spPr>
                      <wps:txbx>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23BE0F27" w:rsidR="0065124E" w:rsidRPr="002D4720" w:rsidRDefault="007B4508" w:rsidP="007B4508">
                            <w:pPr>
                              <w:spacing w:line="276" w:lineRule="auto"/>
                              <w:jc w:val="left"/>
                              <w:outlineLvl w:val="0"/>
                              <w:rPr>
                                <w:rFonts w:ascii="Calibri" w:hAnsi="Calibri" w:cs="Calibri"/>
                                <w:b/>
                                <w:color w:val="FFFFFF" w:themeColor="background1"/>
                                <w:sz w:val="20"/>
                                <w:szCs w:val="18"/>
                              </w:rPr>
                            </w:pPr>
                            <w:r>
                              <w:rPr>
                                <w:rFonts w:ascii="Calibri" w:hAnsi="Calibri" w:cs="Calibri"/>
                                <w:b/>
                                <w:color w:val="FFFFFF" w:themeColor="background1"/>
                                <w:sz w:val="20"/>
                                <w:szCs w:val="18"/>
                              </w:rPr>
                              <w:t>rádi poskytneme: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2352EA51" w:rsidR="0065124E" w:rsidRPr="002D4720" w:rsidRDefault="00B9205C" w:rsidP="00044002">
                            <w:pPr>
                              <w:spacing w:line="276" w:lineRule="auto"/>
                              <w:jc w:val="left"/>
                              <w:rPr>
                                <w:rFonts w:ascii="Calibri" w:hAnsi="Calibri" w:cs="Calibri"/>
                                <w:noProof/>
                                <w:color w:val="FFFFFF" w:themeColor="background1"/>
                                <w:szCs w:val="18"/>
                              </w:rPr>
                            </w:pPr>
                            <w:r>
                              <w:rPr>
                                <w:rFonts w:ascii="Calibri" w:hAnsi="Calibri" w:cs="Calibri"/>
                                <w:noProof/>
                                <w:color w:val="FFFFFF" w:themeColor="background1"/>
                                <w:szCs w:val="18"/>
                              </w:rPr>
                              <w:t>Radek Šalša</w:t>
                            </w:r>
                          </w:p>
                          <w:p w14:paraId="599CC908" w14:textId="7EBF7721"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PR a komunikace ČBA</w:t>
                            </w:r>
                          </w:p>
                          <w:p w14:paraId="6ED92D8B" w14:textId="752C9003" w:rsidR="0065124E" w:rsidRPr="002D4720" w:rsidRDefault="00B9205C" w:rsidP="00044002">
                            <w:pPr>
                              <w:spacing w:line="276" w:lineRule="auto"/>
                              <w:jc w:val="left"/>
                              <w:rPr>
                                <w:rFonts w:ascii="Calibri" w:hAnsi="Calibri" w:cs="Calibri"/>
                                <w:color w:val="FFFFFF" w:themeColor="background1"/>
                                <w:szCs w:val="18"/>
                              </w:rPr>
                            </w:pPr>
                            <w:r>
                              <w:rPr>
                                <w:rFonts w:ascii="Calibri" w:hAnsi="Calibri" w:cs="Calibri"/>
                                <w:color w:val="FFFFFF" w:themeColor="background1"/>
                                <w:szCs w:val="18"/>
                              </w:rPr>
                              <w:t>radek</w:t>
                            </w:r>
                            <w:r w:rsidR="004555E6" w:rsidRPr="002D4720">
                              <w:rPr>
                                <w:rFonts w:ascii="Calibri" w:hAnsi="Calibri" w:cs="Calibri"/>
                                <w:color w:val="FFFFFF" w:themeColor="background1"/>
                                <w:szCs w:val="18"/>
                              </w:rPr>
                              <w:t>.</w:t>
                            </w:r>
                            <w:r>
                              <w:rPr>
                                <w:rFonts w:ascii="Calibri" w:hAnsi="Calibri" w:cs="Calibri"/>
                                <w:color w:val="FFFFFF" w:themeColor="background1"/>
                                <w:szCs w:val="18"/>
                              </w:rPr>
                              <w:t>salsa</w:t>
                            </w:r>
                            <w:r w:rsidR="0065124E" w:rsidRPr="002D4720">
                              <w:rPr>
                                <w:rFonts w:ascii="Calibri" w:hAnsi="Calibri" w:cs="Calibri"/>
                                <w:color w:val="FFFFFF" w:themeColor="background1"/>
                                <w:szCs w:val="18"/>
                              </w:rPr>
                              <w:t>@</w:t>
                            </w:r>
                            <w:r w:rsidR="004555E6"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6FA5926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 xml:space="preserve">tel: + </w:t>
                            </w:r>
                            <w:r w:rsidRPr="00795F3C">
                              <w:rPr>
                                <w:rFonts w:ascii="Calibri" w:hAnsi="Calibri" w:cs="Calibri"/>
                                <w:color w:val="FFFFFF" w:themeColor="background1"/>
                                <w:szCs w:val="18"/>
                              </w:rPr>
                              <w:t>420</w:t>
                            </w:r>
                            <w:r w:rsidR="008C5D4D" w:rsidRPr="00795F3C">
                              <w:rPr>
                                <w:rFonts w:ascii="Calibri" w:hAnsi="Calibri" w:cs="Calibri"/>
                                <w:color w:val="FFFFFF" w:themeColor="background1"/>
                                <w:szCs w:val="18"/>
                              </w:rPr>
                              <w:t> 73</w:t>
                            </w:r>
                            <w:r w:rsidR="00795F3C">
                              <w:rPr>
                                <w:rFonts w:ascii="Calibri" w:hAnsi="Calibri" w:cs="Calibri"/>
                                <w:color w:val="FFFFFF" w:themeColor="background1"/>
                                <w:szCs w:val="18"/>
                              </w:rPr>
                              <w:t>1</w:t>
                            </w:r>
                            <w:r w:rsidR="008C5D4D" w:rsidRPr="00795F3C">
                              <w:rPr>
                                <w:rFonts w:ascii="Calibri" w:hAnsi="Calibri" w:cs="Calibri"/>
                                <w:color w:val="FFFFFF" w:themeColor="background1"/>
                                <w:szCs w:val="18"/>
                              </w:rPr>
                              <w:t> </w:t>
                            </w:r>
                            <w:r w:rsidR="00795F3C">
                              <w:rPr>
                                <w:rFonts w:ascii="Calibri" w:hAnsi="Calibri" w:cs="Calibri"/>
                                <w:color w:val="FFFFFF" w:themeColor="background1"/>
                                <w:szCs w:val="18"/>
                              </w:rPr>
                              <w:t>494</w:t>
                            </w:r>
                            <w:r w:rsidR="008C5D4D" w:rsidRPr="00795F3C">
                              <w:rPr>
                                <w:rFonts w:ascii="Calibri" w:hAnsi="Calibri" w:cs="Calibri"/>
                                <w:color w:val="FFFFFF" w:themeColor="background1"/>
                                <w:szCs w:val="18"/>
                              </w:rPr>
                              <w:t xml:space="preserve"> 1</w:t>
                            </w:r>
                            <w:r w:rsidR="00795F3C">
                              <w:rPr>
                                <w:rFonts w:ascii="Calibri" w:hAnsi="Calibri" w:cs="Calibri"/>
                                <w:color w:val="FFFFFF" w:themeColor="background1"/>
                                <w:szCs w:val="18"/>
                              </w:rPr>
                              <w:t>28</w:t>
                            </w:r>
                          </w:p>
                          <w:p w14:paraId="68E9F459" w14:textId="77777777" w:rsidR="0065124E" w:rsidRPr="002D4720" w:rsidRDefault="0065124E" w:rsidP="00044002">
                            <w:pPr>
                              <w:jc w:val="left"/>
                              <w:rPr>
                                <w:rFonts w:ascii="Calibri" w:hAnsi="Calibri" w:cs="Calibri"/>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3B697" id="Obdélník 200" o:spid="_x0000_s1027" style="position:absolute;margin-left:121.5pt;margin-top:418.55pt;width:172.7pt;height:12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" fillcolor="#13576b" stroked="f">
                <v:fill opacity="56283f"/>
                <v:textbox inset="3mm,3mm,3mm,3mm">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23BE0F27" w:rsidR="0065124E" w:rsidRPr="002D4720" w:rsidRDefault="007B4508" w:rsidP="007B4508">
                      <w:pPr>
                        <w:spacing w:line="276" w:lineRule="auto"/>
                        <w:jc w:val="left"/>
                        <w:outlineLvl w:val="0"/>
                        <w:rPr>
                          <w:rFonts w:ascii="Calibri" w:hAnsi="Calibri" w:cs="Calibri"/>
                          <w:b/>
                          <w:color w:val="FFFFFF" w:themeColor="background1"/>
                          <w:sz w:val="20"/>
                          <w:szCs w:val="18"/>
                        </w:rPr>
                      </w:pPr>
                      <w:r>
                        <w:rPr>
                          <w:rFonts w:ascii="Calibri" w:hAnsi="Calibri" w:cs="Calibri"/>
                          <w:b/>
                          <w:color w:val="FFFFFF" w:themeColor="background1"/>
                          <w:sz w:val="20"/>
                          <w:szCs w:val="18"/>
                        </w:rPr>
                        <w:t>rádi poskytneme: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2352EA51" w:rsidR="0065124E" w:rsidRPr="002D4720" w:rsidRDefault="00B9205C" w:rsidP="00044002">
                      <w:pPr>
                        <w:spacing w:line="276" w:lineRule="auto"/>
                        <w:jc w:val="left"/>
                        <w:rPr>
                          <w:rFonts w:ascii="Calibri" w:hAnsi="Calibri" w:cs="Calibri"/>
                          <w:noProof/>
                          <w:color w:val="FFFFFF" w:themeColor="background1"/>
                          <w:szCs w:val="18"/>
                        </w:rPr>
                      </w:pPr>
                      <w:r>
                        <w:rPr>
                          <w:rFonts w:ascii="Calibri" w:hAnsi="Calibri" w:cs="Calibri"/>
                          <w:noProof/>
                          <w:color w:val="FFFFFF" w:themeColor="background1"/>
                          <w:szCs w:val="18"/>
                        </w:rPr>
                        <w:t>Radek Šalša</w:t>
                      </w:r>
                    </w:p>
                    <w:p w14:paraId="599CC908" w14:textId="7EBF7721"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PR a komunikace ČBA</w:t>
                      </w:r>
                    </w:p>
                    <w:p w14:paraId="6ED92D8B" w14:textId="752C9003" w:rsidR="0065124E" w:rsidRPr="002D4720" w:rsidRDefault="00B9205C" w:rsidP="00044002">
                      <w:pPr>
                        <w:spacing w:line="276" w:lineRule="auto"/>
                        <w:jc w:val="left"/>
                        <w:rPr>
                          <w:rFonts w:ascii="Calibri" w:hAnsi="Calibri" w:cs="Calibri"/>
                          <w:color w:val="FFFFFF" w:themeColor="background1"/>
                          <w:szCs w:val="18"/>
                        </w:rPr>
                      </w:pPr>
                      <w:r>
                        <w:rPr>
                          <w:rFonts w:ascii="Calibri" w:hAnsi="Calibri" w:cs="Calibri"/>
                          <w:color w:val="FFFFFF" w:themeColor="background1"/>
                          <w:szCs w:val="18"/>
                        </w:rPr>
                        <w:t>radek</w:t>
                      </w:r>
                      <w:r w:rsidR="004555E6" w:rsidRPr="002D4720">
                        <w:rPr>
                          <w:rFonts w:ascii="Calibri" w:hAnsi="Calibri" w:cs="Calibri"/>
                          <w:color w:val="FFFFFF" w:themeColor="background1"/>
                          <w:szCs w:val="18"/>
                        </w:rPr>
                        <w:t>.</w:t>
                      </w:r>
                      <w:r>
                        <w:rPr>
                          <w:rFonts w:ascii="Calibri" w:hAnsi="Calibri" w:cs="Calibri"/>
                          <w:color w:val="FFFFFF" w:themeColor="background1"/>
                          <w:szCs w:val="18"/>
                        </w:rPr>
                        <w:t>salsa</w:t>
                      </w:r>
                      <w:r w:rsidR="0065124E" w:rsidRPr="002D4720">
                        <w:rPr>
                          <w:rFonts w:ascii="Calibri" w:hAnsi="Calibri" w:cs="Calibri"/>
                          <w:color w:val="FFFFFF" w:themeColor="background1"/>
                          <w:szCs w:val="18"/>
                        </w:rPr>
                        <w:t>@</w:t>
                      </w:r>
                      <w:r w:rsidR="004555E6"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6FA5926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 xml:space="preserve">tel: + </w:t>
                      </w:r>
                      <w:r w:rsidRPr="00795F3C">
                        <w:rPr>
                          <w:rFonts w:ascii="Calibri" w:hAnsi="Calibri" w:cs="Calibri"/>
                          <w:color w:val="FFFFFF" w:themeColor="background1"/>
                          <w:szCs w:val="18"/>
                        </w:rPr>
                        <w:t>420</w:t>
                      </w:r>
                      <w:r w:rsidR="008C5D4D" w:rsidRPr="00795F3C">
                        <w:rPr>
                          <w:rFonts w:ascii="Calibri" w:hAnsi="Calibri" w:cs="Calibri"/>
                          <w:color w:val="FFFFFF" w:themeColor="background1"/>
                          <w:szCs w:val="18"/>
                        </w:rPr>
                        <w:t> 73</w:t>
                      </w:r>
                      <w:r w:rsidR="00795F3C">
                        <w:rPr>
                          <w:rFonts w:ascii="Calibri" w:hAnsi="Calibri" w:cs="Calibri"/>
                          <w:color w:val="FFFFFF" w:themeColor="background1"/>
                          <w:szCs w:val="18"/>
                        </w:rPr>
                        <w:t>1</w:t>
                      </w:r>
                      <w:r w:rsidR="008C5D4D" w:rsidRPr="00795F3C">
                        <w:rPr>
                          <w:rFonts w:ascii="Calibri" w:hAnsi="Calibri" w:cs="Calibri"/>
                          <w:color w:val="FFFFFF" w:themeColor="background1"/>
                          <w:szCs w:val="18"/>
                        </w:rPr>
                        <w:t> </w:t>
                      </w:r>
                      <w:r w:rsidR="00795F3C">
                        <w:rPr>
                          <w:rFonts w:ascii="Calibri" w:hAnsi="Calibri" w:cs="Calibri"/>
                          <w:color w:val="FFFFFF" w:themeColor="background1"/>
                          <w:szCs w:val="18"/>
                        </w:rPr>
                        <w:t>494</w:t>
                      </w:r>
                      <w:r w:rsidR="008C5D4D" w:rsidRPr="00795F3C">
                        <w:rPr>
                          <w:rFonts w:ascii="Calibri" w:hAnsi="Calibri" w:cs="Calibri"/>
                          <w:color w:val="FFFFFF" w:themeColor="background1"/>
                          <w:szCs w:val="18"/>
                        </w:rPr>
                        <w:t xml:space="preserve"> 1</w:t>
                      </w:r>
                      <w:r w:rsidR="00795F3C">
                        <w:rPr>
                          <w:rFonts w:ascii="Calibri" w:hAnsi="Calibri" w:cs="Calibri"/>
                          <w:color w:val="FFFFFF" w:themeColor="background1"/>
                          <w:szCs w:val="18"/>
                        </w:rPr>
                        <w:t>28</w:t>
                      </w:r>
                    </w:p>
                    <w:p w14:paraId="68E9F459" w14:textId="77777777" w:rsidR="0065124E" w:rsidRPr="002D4720" w:rsidRDefault="0065124E" w:rsidP="00044002">
                      <w:pPr>
                        <w:jc w:val="left"/>
                        <w:rPr>
                          <w:rFonts w:ascii="Calibri" w:hAnsi="Calibri" w:cs="Calibri"/>
                        </w:rPr>
                      </w:pPr>
                    </w:p>
                  </w:txbxContent>
                </v:textbox>
                <w10:wrap anchorx="margin"/>
              </v:rect>
            </w:pict>
          </mc:Fallback>
        </mc:AlternateContent>
      </w:r>
      <w:r w:rsidRPr="0001227F">
        <w:rPr>
          <w:rFonts w:ascii="Calibri" w:eastAsiaTheme="minorEastAsia" w:hAnsi="Calibri" w:cs="Calibri"/>
          <w:i/>
          <w:iCs/>
          <w:noProof/>
          <w:sz w:val="16"/>
          <w:szCs w:val="18"/>
          <w:lang w:val="en-GB" w:eastAsia="en-GB"/>
        </w:rPr>
        <mc:AlternateContent>
          <mc:Choice Requires="wps">
            <w:drawing>
              <wp:anchor distT="0" distB="0" distL="114300" distR="114300" simplePos="0" relativeHeight="251653120" behindDoc="0" locked="0" layoutInCell="1" allowOverlap="1" wp14:anchorId="6D0BA4F4" wp14:editId="11030039">
                <wp:simplePos x="0" y="0"/>
                <wp:positionH relativeFrom="margin">
                  <wp:posOffset>-36601</wp:posOffset>
                </wp:positionH>
                <wp:positionV relativeFrom="paragraph">
                  <wp:posOffset>5311241</wp:posOffset>
                </wp:positionV>
                <wp:extent cx="4322445" cy="1546860"/>
                <wp:effectExtent l="0" t="0" r="190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46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9"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A4F4" id="Obdélník 199" o:spid="_x0000_s1028" style="position:absolute;margin-left:-2.9pt;margin-top:418.2pt;width:340.35pt;height:12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" fillcolor="#bfbfbf [2412]" stroked="f" strokeweight="1pt">
                <v:textbox inset="3mm,3mm,3mm,3mm">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10" w:history="1">
                        <w:r w:rsidR="002D4720" w:rsidRPr="002D4720">
                          <w:rPr>
                            <w:rStyle w:val="Hyperlink"/>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v:textbox>
                <w10:wrap anchorx="margin"/>
              </v:rect>
            </w:pict>
          </mc:Fallback>
        </mc:AlternateContent>
      </w:r>
    </w:p>
    <w:p w14:paraId="1852EEE6" w14:textId="22577CF1"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61319865" w14:textId="42ABF9A0"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79952D08" w14:textId="12BEC237" w:rsidR="00C42F00" w:rsidRPr="0001227F" w:rsidRDefault="00C42F00" w:rsidP="008B1C16">
      <w:pPr>
        <w:spacing w:line="276" w:lineRule="auto"/>
        <w:contextualSpacing/>
        <w:rPr>
          <w:rFonts w:ascii="Calibri" w:hAnsi="Calibri" w:cs="Calibri"/>
          <w:sz w:val="20"/>
        </w:rPr>
      </w:pPr>
    </w:p>
    <w:sectPr w:rsidR="00C42F00" w:rsidRPr="0001227F" w:rsidSect="0001227F">
      <w:headerReference w:type="default" r:id="rId11"/>
      <w:footerReference w:type="default" r:id="rId12"/>
      <w:pgSz w:w="11906" w:h="16838"/>
      <w:pgMar w:top="2552" w:right="849"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B90C" w14:textId="77777777" w:rsidR="00B94988" w:rsidRDefault="00B94988" w:rsidP="00F573F1">
      <w:r>
        <w:separator/>
      </w:r>
    </w:p>
  </w:endnote>
  <w:endnote w:type="continuationSeparator" w:id="0">
    <w:p w14:paraId="0BDAE556" w14:textId="77777777" w:rsidR="00B94988" w:rsidRDefault="00B94988"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90799"/>
      <w:docPartObj>
        <w:docPartGallery w:val="Page Numbers (Bottom of Page)"/>
        <w:docPartUnique/>
      </w:docPartObj>
    </w:sdtPr>
    <w:sdtEndPr/>
    <w:sdtContent>
      <w:sdt>
        <w:sdtPr>
          <w:id w:val="-1769616900"/>
          <w:docPartObj>
            <w:docPartGallery w:val="Page Numbers (Top of Page)"/>
            <w:docPartUnique/>
          </w:docPartObj>
        </w:sdtPr>
        <w:sdtEndPr/>
        <w:sdtContent>
          <w:p w14:paraId="5E2EB97C" w14:textId="697C5AC2" w:rsidR="001E31AB" w:rsidRDefault="001E31AB">
            <w:pPr>
              <w:pStyle w:val="Zpat"/>
              <w:jc w:val="right"/>
            </w:pPr>
            <w:r w:rsidRPr="001E31AB">
              <w:rPr>
                <w:rFonts w:ascii="Calibri" w:hAnsi="Calibri"/>
                <w:noProof/>
                <w:szCs w:val="18"/>
                <w:lang w:val="en-GB" w:eastAsia="en-GB"/>
              </w:rPr>
              <w:drawing>
                <wp:anchor distT="0" distB="0" distL="114300" distR="114300" simplePos="0" relativeHeight="251646976" behindDoc="0" locked="0" layoutInCell="1" allowOverlap="1" wp14:anchorId="7B2A8544" wp14:editId="09B386F6">
                  <wp:simplePos x="0" y="0"/>
                  <wp:positionH relativeFrom="column">
                    <wp:posOffset>-540385</wp:posOffset>
                  </wp:positionH>
                  <wp:positionV relativeFrom="paragraph">
                    <wp:posOffset>-365760</wp:posOffset>
                  </wp:positionV>
                  <wp:extent cx="3042285" cy="701040"/>
                  <wp:effectExtent l="0" t="0" r="5715"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31AB">
              <w:rPr>
                <w:rFonts w:ascii="Calibri" w:hAnsi="Calibri"/>
                <w:szCs w:val="18"/>
              </w:rPr>
              <w:t xml:space="preserve">Stránka </w:t>
            </w:r>
            <w:r w:rsidRPr="001E31AB">
              <w:rPr>
                <w:rFonts w:ascii="Calibri" w:hAnsi="Calibri"/>
                <w:b/>
                <w:bCs/>
                <w:szCs w:val="18"/>
              </w:rPr>
              <w:fldChar w:fldCharType="begin"/>
            </w:r>
            <w:r w:rsidRPr="001E31AB">
              <w:rPr>
                <w:rFonts w:ascii="Calibri" w:hAnsi="Calibri"/>
                <w:b/>
                <w:bCs/>
                <w:szCs w:val="18"/>
              </w:rPr>
              <w:instrText>PAGE</w:instrText>
            </w:r>
            <w:r w:rsidRPr="001E31AB">
              <w:rPr>
                <w:rFonts w:ascii="Calibri" w:hAnsi="Calibri"/>
                <w:b/>
                <w:bCs/>
                <w:szCs w:val="18"/>
              </w:rPr>
              <w:fldChar w:fldCharType="separate"/>
            </w:r>
            <w:r w:rsidR="005F4B41">
              <w:rPr>
                <w:rFonts w:ascii="Calibri" w:hAnsi="Calibri"/>
                <w:b/>
                <w:bCs/>
                <w:noProof/>
                <w:szCs w:val="18"/>
              </w:rPr>
              <w:t>1</w:t>
            </w:r>
            <w:r w:rsidRPr="001E31AB">
              <w:rPr>
                <w:rFonts w:ascii="Calibri" w:hAnsi="Calibri"/>
                <w:b/>
                <w:bCs/>
                <w:szCs w:val="18"/>
              </w:rPr>
              <w:fldChar w:fldCharType="end"/>
            </w:r>
            <w:r w:rsidRPr="001E31AB">
              <w:rPr>
                <w:rFonts w:ascii="Calibri" w:hAnsi="Calibri"/>
                <w:szCs w:val="18"/>
              </w:rPr>
              <w:t xml:space="preserve"> z </w:t>
            </w:r>
            <w:r w:rsidRPr="001E31AB">
              <w:rPr>
                <w:rFonts w:ascii="Calibri" w:hAnsi="Calibri"/>
                <w:b/>
                <w:bCs/>
                <w:szCs w:val="18"/>
              </w:rPr>
              <w:fldChar w:fldCharType="begin"/>
            </w:r>
            <w:r w:rsidRPr="001E31AB">
              <w:rPr>
                <w:rFonts w:ascii="Calibri" w:hAnsi="Calibri"/>
                <w:b/>
                <w:bCs/>
                <w:szCs w:val="18"/>
              </w:rPr>
              <w:instrText>NUMPAGES</w:instrText>
            </w:r>
            <w:r w:rsidRPr="001E31AB">
              <w:rPr>
                <w:rFonts w:ascii="Calibri" w:hAnsi="Calibri"/>
                <w:b/>
                <w:bCs/>
                <w:szCs w:val="18"/>
              </w:rPr>
              <w:fldChar w:fldCharType="separate"/>
            </w:r>
            <w:r w:rsidR="005F4B41">
              <w:rPr>
                <w:rFonts w:ascii="Calibri" w:hAnsi="Calibri"/>
                <w:b/>
                <w:bCs/>
                <w:noProof/>
                <w:szCs w:val="18"/>
              </w:rPr>
              <w:t>2</w:t>
            </w:r>
            <w:r w:rsidRPr="001E31AB">
              <w:rPr>
                <w:rFonts w:ascii="Calibri" w:hAnsi="Calibri"/>
                <w:b/>
                <w:bCs/>
                <w:szCs w:val="18"/>
              </w:rPr>
              <w:fldChar w:fldCharType="end"/>
            </w:r>
          </w:p>
        </w:sdtContent>
      </w:sdt>
    </w:sdtContent>
  </w:sdt>
  <w:p w14:paraId="300EB588" w14:textId="24FF51AB"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B00F" w14:textId="77777777" w:rsidR="00B94988" w:rsidRDefault="00B94988" w:rsidP="00F573F1">
      <w:r>
        <w:separator/>
      </w:r>
    </w:p>
  </w:footnote>
  <w:footnote w:type="continuationSeparator" w:id="0">
    <w:p w14:paraId="6BD7AE12" w14:textId="77777777" w:rsidR="00B94988" w:rsidRDefault="00B94988" w:rsidP="00F573F1">
      <w:r>
        <w:continuationSeparator/>
      </w:r>
    </w:p>
  </w:footnote>
  <w:footnote w:id="1">
    <w:p w14:paraId="012372BD" w14:textId="1BA8E9CE" w:rsidR="00597DD9" w:rsidRPr="007C6225" w:rsidRDefault="00597DD9" w:rsidP="00597DD9">
      <w:pPr>
        <w:pStyle w:val="Textpoznpodarou"/>
        <w:rPr>
          <w:rFonts w:ascii="Calibri" w:hAnsi="Calibri" w:cs="Calibri"/>
          <w:sz w:val="17"/>
          <w:szCs w:val="17"/>
        </w:rPr>
      </w:pPr>
      <w:r w:rsidRPr="007C6225">
        <w:rPr>
          <w:rStyle w:val="Znakapoznpodarou"/>
          <w:rFonts w:ascii="Calibri" w:hAnsi="Calibri" w:cs="Calibri"/>
          <w:sz w:val="17"/>
          <w:szCs w:val="17"/>
        </w:rPr>
        <w:footnoteRef/>
      </w:r>
      <w:r w:rsidRPr="007C6225">
        <w:rPr>
          <w:rFonts w:ascii="Calibri" w:hAnsi="Calibri" w:cs="Calibri"/>
          <w:sz w:val="17"/>
          <w:szCs w:val="17"/>
        </w:rPr>
        <w:t xml:space="preserve"> </w:t>
      </w:r>
      <w:r w:rsidRPr="00D36EB1">
        <w:rPr>
          <w:rFonts w:asciiTheme="majorHAnsi" w:hAnsiTheme="majorHAnsi" w:cstheme="majorHAnsi"/>
          <w:sz w:val="17"/>
          <w:szCs w:val="17"/>
        </w:rPr>
        <w:t>Jedná se především o dlouholeté úrokové swapy (interest rate swap, IRS), které odráží cenu peněz v delších splatnostech, například 5 až 10 let.</w:t>
      </w:r>
    </w:p>
  </w:footnote>
  <w:footnote w:id="2">
    <w:p w14:paraId="2560422B" w14:textId="0639FADC" w:rsidR="009D3067" w:rsidRDefault="009D3067" w:rsidP="009D3067">
      <w:pPr>
        <w:pStyle w:val="Textpoznpodarou"/>
      </w:pPr>
      <w:r>
        <w:rPr>
          <w:rStyle w:val="Znakapoznpodarou"/>
        </w:rPr>
        <w:footnoteRef/>
      </w:r>
      <w:r>
        <w:t xml:space="preserve"> </w:t>
      </w:r>
      <w:r w:rsidRPr="00F815BB">
        <w:rPr>
          <w:rFonts w:asciiTheme="majorHAnsi" w:hAnsiTheme="majorHAnsi" w:cstheme="majorHAnsi"/>
          <w:sz w:val="17"/>
          <w:szCs w:val="17"/>
        </w:rPr>
        <w:t>Tabulka je k dispozici v souboru xls přiloženém na webových stránkách</w:t>
      </w:r>
      <w:r w:rsidR="006365E9">
        <w:rPr>
          <w:rFonts w:asciiTheme="majorHAnsi" w:hAnsiTheme="majorHAnsi" w:cstheme="majorHAnsi"/>
          <w:sz w:val="17"/>
          <w:szCs w:val="17"/>
        </w:rPr>
        <w:t xml:space="preserve"> </w:t>
      </w:r>
      <w:r w:rsidR="00235942">
        <w:rPr>
          <w:rFonts w:asciiTheme="majorHAnsi" w:hAnsiTheme="majorHAnsi" w:cstheme="majorHAnsi"/>
          <w:sz w:val="17"/>
          <w:szCs w:val="17"/>
        </w:rPr>
        <w:t>březn</w:t>
      </w:r>
      <w:r w:rsidR="006365E9">
        <w:rPr>
          <w:rFonts w:asciiTheme="majorHAnsi" w:hAnsiTheme="majorHAnsi" w:cstheme="majorHAnsi"/>
          <w:sz w:val="17"/>
          <w:szCs w:val="17"/>
        </w:rPr>
        <w:t>ového</w:t>
      </w:r>
      <w:r w:rsidRPr="00F815BB">
        <w:rPr>
          <w:rFonts w:asciiTheme="majorHAnsi" w:hAnsiTheme="majorHAnsi" w:cstheme="majorHAnsi"/>
          <w:sz w:val="17"/>
          <w:szCs w:val="17"/>
        </w:rPr>
        <w:t xml:space="preserve"> </w:t>
      </w:r>
      <w:r w:rsidRPr="00A811D6">
        <w:rPr>
          <w:rFonts w:asciiTheme="majorHAnsi" w:hAnsiTheme="majorHAnsi" w:cstheme="majorHAnsi"/>
          <w:sz w:val="17"/>
          <w:szCs w:val="17"/>
        </w:rPr>
        <w:t>ČBA</w:t>
      </w:r>
      <w:r w:rsidRPr="00F815BB">
        <w:rPr>
          <w:rFonts w:asciiTheme="majorHAnsi" w:hAnsiTheme="majorHAnsi" w:cstheme="majorHAnsi"/>
          <w:sz w:val="17"/>
          <w:szCs w:val="17"/>
        </w:rPr>
        <w:t xml:space="preserve"> Hypomonitoru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4485" w14:textId="4B6CDB6C" w:rsidR="0065124E" w:rsidRDefault="00744C66">
    <w:pPr>
      <w:pStyle w:val="Zhlav"/>
    </w:pPr>
    <w:r>
      <w:rPr>
        <w:noProof/>
        <w:lang w:val="en-GB" w:eastAsia="en-GB"/>
      </w:rPr>
      <w:drawing>
        <wp:anchor distT="0" distB="0" distL="114300" distR="114300" simplePos="0" relativeHeight="251660288" behindDoc="0" locked="0" layoutInCell="1" allowOverlap="1" wp14:anchorId="197D896D" wp14:editId="2A2A9A3F">
          <wp:simplePos x="0" y="0"/>
          <wp:positionH relativeFrom="column">
            <wp:posOffset>-52705</wp:posOffset>
          </wp:positionH>
          <wp:positionV relativeFrom="paragraph">
            <wp:posOffset>29845</wp:posOffset>
          </wp:positionV>
          <wp:extent cx="2209800" cy="7785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sidR="002D4720">
      <w:rPr>
        <w:noProof/>
        <w:lang w:val="en-GB" w:eastAsia="en-GB"/>
      </w:rPr>
      <w:drawing>
        <wp:anchor distT="0" distB="0" distL="114300" distR="114300" simplePos="0" relativeHeight="251664384" behindDoc="1" locked="0" layoutInCell="1" allowOverlap="1" wp14:anchorId="2A1D7AA9" wp14:editId="7A7B0A01">
          <wp:simplePos x="0" y="0"/>
          <wp:positionH relativeFrom="column">
            <wp:posOffset>3985895</wp:posOffset>
          </wp:positionH>
          <wp:positionV relativeFrom="paragraph">
            <wp:posOffset>-8255</wp:posOffset>
          </wp:positionV>
          <wp:extent cx="2943225" cy="243840"/>
          <wp:effectExtent l="0" t="0" r="9525" b="381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720" w:rsidRPr="007C30FC">
      <w:rPr>
        <w:rFonts w:cs="Arial"/>
        <w:noProof/>
        <w:lang w:val="en-GB" w:eastAsia="en-GB"/>
      </w:rPr>
      <mc:AlternateContent>
        <mc:Choice Requires="wps">
          <w:drawing>
            <wp:anchor distT="45720" distB="45720" distL="114300" distR="114300" simplePos="0" relativeHeight="251662336" behindDoc="0" locked="0" layoutInCell="1" allowOverlap="1" wp14:anchorId="126DE097" wp14:editId="755E40ED">
              <wp:simplePos x="0" y="0"/>
              <wp:positionH relativeFrom="margin">
                <wp:posOffset>5238115</wp:posOffset>
              </wp:positionH>
              <wp:positionV relativeFrom="paragraph">
                <wp:posOffset>153035</wp:posOffset>
              </wp:positionV>
              <wp:extent cx="123952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15DE40D2" w14:textId="77777777" w:rsidR="002D4720" w:rsidRPr="008C5D4D" w:rsidRDefault="002D4720" w:rsidP="002D4720">
                          <w:pPr>
                            <w:spacing w:line="276" w:lineRule="auto"/>
                            <w:jc w:val="right"/>
                            <w:rPr>
                              <w:rFonts w:ascii="Calibri" w:hAnsi="Calibri" w:cs="Calibri"/>
                              <w:b/>
                              <w:color w:val="13576B"/>
                              <w:sz w:val="20"/>
                              <w:szCs w:val="22"/>
                            </w:rPr>
                          </w:pPr>
                          <w:r w:rsidRPr="008C5D4D">
                            <w:rPr>
                              <w:rFonts w:ascii="Calibri" w:hAnsi="Calibri" w:cs="Calibri"/>
                              <w:b/>
                              <w:color w:val="13576B"/>
                              <w:sz w:val="20"/>
                              <w:szCs w:val="22"/>
                            </w:rPr>
                            <w:t>KOMENTÁŘ</w:t>
                          </w:r>
                        </w:p>
                        <w:p w14:paraId="0A69756F" w14:textId="6EC9F17B" w:rsidR="002D4720" w:rsidRPr="008C5D4D" w:rsidRDefault="008C5D4D" w:rsidP="002D4720">
                          <w:pPr>
                            <w:spacing w:line="276" w:lineRule="auto"/>
                            <w:jc w:val="center"/>
                            <w:rPr>
                              <w:rFonts w:ascii="Calibri" w:hAnsi="Calibri" w:cs="Calibri"/>
                              <w:b/>
                              <w:color w:val="13576B"/>
                              <w:sz w:val="20"/>
                              <w:szCs w:val="22"/>
                            </w:rPr>
                          </w:pPr>
                          <w:r>
                            <w:rPr>
                              <w:rFonts w:ascii="Calibri" w:hAnsi="Calibri" w:cs="Calibri"/>
                              <w:color w:val="13576B"/>
                              <w:sz w:val="20"/>
                              <w:szCs w:val="22"/>
                            </w:rPr>
                            <w:t xml:space="preserve">           </w:t>
                          </w:r>
                          <w:r w:rsidRPr="008C5D4D">
                            <w:rPr>
                              <w:rFonts w:ascii="Calibri" w:hAnsi="Calibri" w:cs="Calibri"/>
                              <w:color w:val="13576B"/>
                              <w:sz w:val="20"/>
                              <w:szCs w:val="22"/>
                            </w:rPr>
                            <w:t xml:space="preserve">   </w:t>
                          </w:r>
                          <w:r w:rsidR="002D4720" w:rsidRPr="008C5D4D">
                            <w:rPr>
                              <w:rFonts w:ascii="Calibri" w:hAnsi="Calibri" w:cs="Calibri"/>
                              <w:color w:val="13576B"/>
                              <w:sz w:val="20"/>
                              <w:szCs w:val="22"/>
                            </w:rPr>
                            <w:t xml:space="preserve">  </w:t>
                          </w:r>
                          <w:r w:rsidR="0001227F">
                            <w:rPr>
                              <w:rFonts w:ascii="Calibri" w:hAnsi="Calibri" w:cs="Calibri"/>
                              <w:color w:val="13576B"/>
                              <w:sz w:val="20"/>
                              <w:szCs w:val="22"/>
                            </w:rPr>
                            <w:t>1</w:t>
                          </w:r>
                          <w:r w:rsidR="00235942">
                            <w:rPr>
                              <w:rFonts w:ascii="Calibri" w:hAnsi="Calibri" w:cs="Calibri"/>
                              <w:color w:val="13576B"/>
                              <w:sz w:val="20"/>
                              <w:szCs w:val="22"/>
                            </w:rPr>
                            <w:t>3</w:t>
                          </w:r>
                          <w:r w:rsidR="002D4720" w:rsidRPr="008C5D4D">
                            <w:rPr>
                              <w:rFonts w:ascii="Calibri" w:hAnsi="Calibri" w:cs="Calibri"/>
                              <w:color w:val="13576B"/>
                              <w:sz w:val="20"/>
                              <w:szCs w:val="22"/>
                            </w:rPr>
                            <w:t>.</w:t>
                          </w:r>
                          <w:r w:rsidR="00235942">
                            <w:rPr>
                              <w:rFonts w:ascii="Calibri" w:hAnsi="Calibri" w:cs="Calibri"/>
                              <w:color w:val="13576B"/>
                              <w:sz w:val="20"/>
                              <w:szCs w:val="22"/>
                            </w:rPr>
                            <w:t>4</w:t>
                          </w:r>
                          <w:r w:rsidR="002D4720" w:rsidRPr="008C5D4D">
                            <w:rPr>
                              <w:rFonts w:ascii="Calibri" w:hAnsi="Calibri" w:cs="Calibri"/>
                              <w:color w:val="13576B"/>
                              <w:sz w:val="20"/>
                              <w:szCs w:val="22"/>
                            </w:rPr>
                            <w:t>.202</w:t>
                          </w:r>
                          <w:r w:rsidR="00BC5A14">
                            <w:rPr>
                              <w:rFonts w:ascii="Calibri" w:hAnsi="Calibri" w:cs="Calibri"/>
                              <w:color w:val="13576B"/>
                              <w:sz w:val="20"/>
                              <w:szCs w:val="2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6DE097" id="_x0000_s1030" type="#_x0000_t202" style="position:absolute;left:0;text-align:left;margin-left:412.45pt;margin-top:12.05pt;width:97.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" filled="f" stroked="f">
              <v:textbox style="mso-fit-shape-to-text:t">
                <w:txbxContent>
                  <w:p w14:paraId="15DE40D2" w14:textId="77777777" w:rsidR="002D4720" w:rsidRPr="008C5D4D" w:rsidRDefault="002D4720" w:rsidP="002D4720">
                    <w:pPr>
                      <w:spacing w:line="276" w:lineRule="auto"/>
                      <w:jc w:val="right"/>
                      <w:rPr>
                        <w:rFonts w:ascii="Calibri" w:hAnsi="Calibri" w:cs="Calibri"/>
                        <w:b/>
                        <w:color w:val="13576B"/>
                        <w:sz w:val="20"/>
                        <w:szCs w:val="22"/>
                      </w:rPr>
                    </w:pPr>
                    <w:r w:rsidRPr="008C5D4D">
                      <w:rPr>
                        <w:rFonts w:ascii="Calibri" w:hAnsi="Calibri" w:cs="Calibri"/>
                        <w:b/>
                        <w:color w:val="13576B"/>
                        <w:sz w:val="20"/>
                        <w:szCs w:val="22"/>
                      </w:rPr>
                      <w:t>KOMENTÁŘ</w:t>
                    </w:r>
                  </w:p>
                  <w:p w14:paraId="0A69756F" w14:textId="6EC9F17B" w:rsidR="002D4720" w:rsidRPr="008C5D4D" w:rsidRDefault="008C5D4D" w:rsidP="002D4720">
                    <w:pPr>
                      <w:spacing w:line="276" w:lineRule="auto"/>
                      <w:jc w:val="center"/>
                      <w:rPr>
                        <w:rFonts w:ascii="Calibri" w:hAnsi="Calibri" w:cs="Calibri"/>
                        <w:b/>
                        <w:color w:val="13576B"/>
                        <w:sz w:val="20"/>
                        <w:szCs w:val="22"/>
                      </w:rPr>
                    </w:pPr>
                    <w:r>
                      <w:rPr>
                        <w:rFonts w:ascii="Calibri" w:hAnsi="Calibri" w:cs="Calibri"/>
                        <w:color w:val="13576B"/>
                        <w:sz w:val="20"/>
                        <w:szCs w:val="22"/>
                      </w:rPr>
                      <w:t xml:space="preserve">           </w:t>
                    </w:r>
                    <w:r w:rsidRPr="008C5D4D">
                      <w:rPr>
                        <w:rFonts w:ascii="Calibri" w:hAnsi="Calibri" w:cs="Calibri"/>
                        <w:color w:val="13576B"/>
                        <w:sz w:val="20"/>
                        <w:szCs w:val="22"/>
                      </w:rPr>
                      <w:t xml:space="preserve">   </w:t>
                    </w:r>
                    <w:r w:rsidR="002D4720" w:rsidRPr="008C5D4D">
                      <w:rPr>
                        <w:rFonts w:ascii="Calibri" w:hAnsi="Calibri" w:cs="Calibri"/>
                        <w:color w:val="13576B"/>
                        <w:sz w:val="20"/>
                        <w:szCs w:val="22"/>
                      </w:rPr>
                      <w:t xml:space="preserve">  </w:t>
                    </w:r>
                    <w:r w:rsidR="0001227F">
                      <w:rPr>
                        <w:rFonts w:ascii="Calibri" w:hAnsi="Calibri" w:cs="Calibri"/>
                        <w:color w:val="13576B"/>
                        <w:sz w:val="20"/>
                        <w:szCs w:val="22"/>
                      </w:rPr>
                      <w:t>1</w:t>
                    </w:r>
                    <w:r w:rsidR="00235942">
                      <w:rPr>
                        <w:rFonts w:ascii="Calibri" w:hAnsi="Calibri" w:cs="Calibri"/>
                        <w:color w:val="13576B"/>
                        <w:sz w:val="20"/>
                        <w:szCs w:val="22"/>
                      </w:rPr>
                      <w:t>3</w:t>
                    </w:r>
                    <w:r w:rsidR="002D4720" w:rsidRPr="008C5D4D">
                      <w:rPr>
                        <w:rFonts w:ascii="Calibri" w:hAnsi="Calibri" w:cs="Calibri"/>
                        <w:color w:val="13576B"/>
                        <w:sz w:val="20"/>
                        <w:szCs w:val="22"/>
                      </w:rPr>
                      <w:t>.</w:t>
                    </w:r>
                    <w:r w:rsidR="00235942">
                      <w:rPr>
                        <w:rFonts w:ascii="Calibri" w:hAnsi="Calibri" w:cs="Calibri"/>
                        <w:color w:val="13576B"/>
                        <w:sz w:val="20"/>
                        <w:szCs w:val="22"/>
                      </w:rPr>
                      <w:t>4</w:t>
                    </w:r>
                    <w:r w:rsidR="002D4720" w:rsidRPr="008C5D4D">
                      <w:rPr>
                        <w:rFonts w:ascii="Calibri" w:hAnsi="Calibri" w:cs="Calibri"/>
                        <w:color w:val="13576B"/>
                        <w:sz w:val="20"/>
                        <w:szCs w:val="22"/>
                      </w:rPr>
                      <w:t>.202</w:t>
                    </w:r>
                    <w:r w:rsidR="00BC5A14">
                      <w:rPr>
                        <w:rFonts w:ascii="Calibri" w:hAnsi="Calibri" w:cs="Calibri"/>
                        <w:color w:val="13576B"/>
                        <w:sz w:val="20"/>
                        <w:szCs w:val="22"/>
                      </w:rPr>
                      <w:t>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B1D76"/>
    <w:multiLevelType w:val="hybridMultilevel"/>
    <w:tmpl w:val="6D5277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0A4083"/>
    <w:multiLevelType w:val="hybridMultilevel"/>
    <w:tmpl w:val="3C584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9" w15:restartNumberingAfterBreak="0">
    <w:nsid w:val="606843DC"/>
    <w:multiLevelType w:val="hybridMultilevel"/>
    <w:tmpl w:val="3E42D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22"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4"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0DE4F03"/>
    <w:multiLevelType w:val="hybridMultilevel"/>
    <w:tmpl w:val="D458DCC2"/>
    <w:lvl w:ilvl="0" w:tplc="ABAA372A">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65382314">
    <w:abstractNumId w:val="2"/>
  </w:num>
  <w:num w:numId="2" w16cid:durableId="1910113698">
    <w:abstractNumId w:val="8"/>
  </w:num>
  <w:num w:numId="3" w16cid:durableId="405613309">
    <w:abstractNumId w:val="25"/>
  </w:num>
  <w:num w:numId="4" w16cid:durableId="240213499">
    <w:abstractNumId w:val="14"/>
  </w:num>
  <w:num w:numId="5" w16cid:durableId="740492638">
    <w:abstractNumId w:val="4"/>
  </w:num>
  <w:num w:numId="6" w16cid:durableId="211576891">
    <w:abstractNumId w:val="23"/>
  </w:num>
  <w:num w:numId="7" w16cid:durableId="1918248069">
    <w:abstractNumId w:val="6"/>
  </w:num>
  <w:num w:numId="8" w16cid:durableId="1159419045">
    <w:abstractNumId w:val="28"/>
  </w:num>
  <w:num w:numId="9" w16cid:durableId="1798374138">
    <w:abstractNumId w:val="5"/>
  </w:num>
  <w:num w:numId="10" w16cid:durableId="1530677457">
    <w:abstractNumId w:val="24"/>
  </w:num>
  <w:num w:numId="11" w16cid:durableId="984315201">
    <w:abstractNumId w:val="1"/>
  </w:num>
  <w:num w:numId="12" w16cid:durableId="776219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55103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9389165">
    <w:abstractNumId w:val="15"/>
  </w:num>
  <w:num w:numId="15" w16cid:durableId="1323195451">
    <w:abstractNumId w:val="12"/>
  </w:num>
  <w:num w:numId="16" w16cid:durableId="467165265">
    <w:abstractNumId w:val="9"/>
  </w:num>
  <w:num w:numId="17" w16cid:durableId="676033370">
    <w:abstractNumId w:val="11"/>
  </w:num>
  <w:num w:numId="18" w16cid:durableId="1742554342">
    <w:abstractNumId w:val="17"/>
  </w:num>
  <w:num w:numId="19" w16cid:durableId="613287013">
    <w:abstractNumId w:val="20"/>
  </w:num>
  <w:num w:numId="20" w16cid:durableId="8067070">
    <w:abstractNumId w:val="10"/>
  </w:num>
  <w:num w:numId="21" w16cid:durableId="825434180">
    <w:abstractNumId w:val="0"/>
  </w:num>
  <w:num w:numId="22" w16cid:durableId="1082681076">
    <w:abstractNumId w:val="22"/>
  </w:num>
  <w:num w:numId="23" w16cid:durableId="1901165520">
    <w:abstractNumId w:val="27"/>
  </w:num>
  <w:num w:numId="24" w16cid:durableId="1991010767">
    <w:abstractNumId w:val="21"/>
  </w:num>
  <w:num w:numId="25" w16cid:durableId="1542282676">
    <w:abstractNumId w:val="16"/>
  </w:num>
  <w:num w:numId="26" w16cid:durableId="986973659">
    <w:abstractNumId w:val="13"/>
  </w:num>
  <w:num w:numId="27" w16cid:durableId="815336034">
    <w:abstractNumId w:val="26"/>
  </w:num>
  <w:num w:numId="28" w16cid:durableId="1895651473">
    <w:abstractNumId w:val="7"/>
  </w:num>
  <w:num w:numId="29" w16cid:durableId="1858687908">
    <w:abstractNumId w:val="3"/>
  </w:num>
  <w:num w:numId="30" w16cid:durableId="17581644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1E72"/>
    <w:rsid w:val="0000363D"/>
    <w:rsid w:val="000054D2"/>
    <w:rsid w:val="00006C79"/>
    <w:rsid w:val="00010564"/>
    <w:rsid w:val="000118C2"/>
    <w:rsid w:val="0001227F"/>
    <w:rsid w:val="00015933"/>
    <w:rsid w:val="000159E5"/>
    <w:rsid w:val="000175B3"/>
    <w:rsid w:val="000176E6"/>
    <w:rsid w:val="00020581"/>
    <w:rsid w:val="00020ED0"/>
    <w:rsid w:val="00020FE5"/>
    <w:rsid w:val="000213CC"/>
    <w:rsid w:val="00023E9F"/>
    <w:rsid w:val="0002473E"/>
    <w:rsid w:val="000264B4"/>
    <w:rsid w:val="00027099"/>
    <w:rsid w:val="00027B22"/>
    <w:rsid w:val="00027BAD"/>
    <w:rsid w:val="00031478"/>
    <w:rsid w:val="00037707"/>
    <w:rsid w:val="00043889"/>
    <w:rsid w:val="00044002"/>
    <w:rsid w:val="000444EA"/>
    <w:rsid w:val="0004612A"/>
    <w:rsid w:val="00047DF1"/>
    <w:rsid w:val="000509DD"/>
    <w:rsid w:val="00050AF7"/>
    <w:rsid w:val="00051A5B"/>
    <w:rsid w:val="00052C6A"/>
    <w:rsid w:val="00053780"/>
    <w:rsid w:val="00053EE4"/>
    <w:rsid w:val="000559DE"/>
    <w:rsid w:val="00055CBC"/>
    <w:rsid w:val="000563EB"/>
    <w:rsid w:val="00056A4F"/>
    <w:rsid w:val="00057396"/>
    <w:rsid w:val="000606C6"/>
    <w:rsid w:val="00060D7F"/>
    <w:rsid w:val="00072447"/>
    <w:rsid w:val="000733AD"/>
    <w:rsid w:val="0007445A"/>
    <w:rsid w:val="00074C45"/>
    <w:rsid w:val="000752D6"/>
    <w:rsid w:val="0007638A"/>
    <w:rsid w:val="00081E35"/>
    <w:rsid w:val="000842AE"/>
    <w:rsid w:val="00084CF9"/>
    <w:rsid w:val="00086094"/>
    <w:rsid w:val="0009101B"/>
    <w:rsid w:val="00091B3B"/>
    <w:rsid w:val="0009491E"/>
    <w:rsid w:val="00097293"/>
    <w:rsid w:val="000A16EA"/>
    <w:rsid w:val="000A2C3B"/>
    <w:rsid w:val="000A3ECF"/>
    <w:rsid w:val="000A4D59"/>
    <w:rsid w:val="000A664C"/>
    <w:rsid w:val="000B2005"/>
    <w:rsid w:val="000B4C8F"/>
    <w:rsid w:val="000B51A4"/>
    <w:rsid w:val="000B70C8"/>
    <w:rsid w:val="000B79A4"/>
    <w:rsid w:val="000C045B"/>
    <w:rsid w:val="000C12F1"/>
    <w:rsid w:val="000C1E4E"/>
    <w:rsid w:val="000C234E"/>
    <w:rsid w:val="000C4910"/>
    <w:rsid w:val="000C502F"/>
    <w:rsid w:val="000C5651"/>
    <w:rsid w:val="000D1749"/>
    <w:rsid w:val="000D1D61"/>
    <w:rsid w:val="000D32BB"/>
    <w:rsid w:val="000D4F26"/>
    <w:rsid w:val="000D56F1"/>
    <w:rsid w:val="000D5D2B"/>
    <w:rsid w:val="000D684D"/>
    <w:rsid w:val="000E0B50"/>
    <w:rsid w:val="000E0C43"/>
    <w:rsid w:val="000E2B4E"/>
    <w:rsid w:val="000E4ABC"/>
    <w:rsid w:val="000E563F"/>
    <w:rsid w:val="000E59CE"/>
    <w:rsid w:val="000F02C1"/>
    <w:rsid w:val="000F02FD"/>
    <w:rsid w:val="000F4318"/>
    <w:rsid w:val="000F61F5"/>
    <w:rsid w:val="000F70CA"/>
    <w:rsid w:val="00102262"/>
    <w:rsid w:val="0010268F"/>
    <w:rsid w:val="0010277A"/>
    <w:rsid w:val="00103662"/>
    <w:rsid w:val="00105ACC"/>
    <w:rsid w:val="00106D78"/>
    <w:rsid w:val="00107915"/>
    <w:rsid w:val="00110C31"/>
    <w:rsid w:val="001126B2"/>
    <w:rsid w:val="00112AA1"/>
    <w:rsid w:val="00112D3E"/>
    <w:rsid w:val="0011443F"/>
    <w:rsid w:val="00115D53"/>
    <w:rsid w:val="00116003"/>
    <w:rsid w:val="00116F4B"/>
    <w:rsid w:val="00117860"/>
    <w:rsid w:val="00122810"/>
    <w:rsid w:val="00122CC4"/>
    <w:rsid w:val="0012351B"/>
    <w:rsid w:val="00123FF9"/>
    <w:rsid w:val="001253CC"/>
    <w:rsid w:val="00126A7F"/>
    <w:rsid w:val="00131E94"/>
    <w:rsid w:val="00132EE9"/>
    <w:rsid w:val="0013407D"/>
    <w:rsid w:val="001348D9"/>
    <w:rsid w:val="001361CA"/>
    <w:rsid w:val="00136D3A"/>
    <w:rsid w:val="00136FC5"/>
    <w:rsid w:val="00137050"/>
    <w:rsid w:val="0013716D"/>
    <w:rsid w:val="00140E10"/>
    <w:rsid w:val="001438F4"/>
    <w:rsid w:val="00143DCC"/>
    <w:rsid w:val="00144D53"/>
    <w:rsid w:val="001457AA"/>
    <w:rsid w:val="00145E7A"/>
    <w:rsid w:val="00146F46"/>
    <w:rsid w:val="0015125A"/>
    <w:rsid w:val="0015295E"/>
    <w:rsid w:val="00152A73"/>
    <w:rsid w:val="001534F6"/>
    <w:rsid w:val="00157080"/>
    <w:rsid w:val="001622C2"/>
    <w:rsid w:val="001633ED"/>
    <w:rsid w:val="00163F5F"/>
    <w:rsid w:val="00165DDC"/>
    <w:rsid w:val="0017388B"/>
    <w:rsid w:val="0017441E"/>
    <w:rsid w:val="00175A85"/>
    <w:rsid w:val="00175E6C"/>
    <w:rsid w:val="00176669"/>
    <w:rsid w:val="00176C20"/>
    <w:rsid w:val="0018097B"/>
    <w:rsid w:val="00180A13"/>
    <w:rsid w:val="00182C97"/>
    <w:rsid w:val="00183066"/>
    <w:rsid w:val="00183FB4"/>
    <w:rsid w:val="00184412"/>
    <w:rsid w:val="001906F3"/>
    <w:rsid w:val="00195C6D"/>
    <w:rsid w:val="001961C5"/>
    <w:rsid w:val="00196F95"/>
    <w:rsid w:val="0019772B"/>
    <w:rsid w:val="001A05A9"/>
    <w:rsid w:val="001A2623"/>
    <w:rsid w:val="001A46CC"/>
    <w:rsid w:val="001A6304"/>
    <w:rsid w:val="001B1060"/>
    <w:rsid w:val="001B1C5E"/>
    <w:rsid w:val="001B3197"/>
    <w:rsid w:val="001B59D9"/>
    <w:rsid w:val="001B5F14"/>
    <w:rsid w:val="001B6935"/>
    <w:rsid w:val="001B7154"/>
    <w:rsid w:val="001C091C"/>
    <w:rsid w:val="001C1FAA"/>
    <w:rsid w:val="001C2261"/>
    <w:rsid w:val="001C266E"/>
    <w:rsid w:val="001C49DC"/>
    <w:rsid w:val="001C6945"/>
    <w:rsid w:val="001C7200"/>
    <w:rsid w:val="001C7F88"/>
    <w:rsid w:val="001D169B"/>
    <w:rsid w:val="001D2ECE"/>
    <w:rsid w:val="001D39E5"/>
    <w:rsid w:val="001D3C90"/>
    <w:rsid w:val="001D5BB9"/>
    <w:rsid w:val="001D6B1A"/>
    <w:rsid w:val="001D7365"/>
    <w:rsid w:val="001E15FD"/>
    <w:rsid w:val="001E1AED"/>
    <w:rsid w:val="001E27B8"/>
    <w:rsid w:val="001E31AB"/>
    <w:rsid w:val="001E3706"/>
    <w:rsid w:val="001E4032"/>
    <w:rsid w:val="001E432A"/>
    <w:rsid w:val="001E4D27"/>
    <w:rsid w:val="001E5169"/>
    <w:rsid w:val="001E5571"/>
    <w:rsid w:val="001E6F5D"/>
    <w:rsid w:val="001F3DF4"/>
    <w:rsid w:val="001F49EA"/>
    <w:rsid w:val="001F5CF7"/>
    <w:rsid w:val="001F6A78"/>
    <w:rsid w:val="001F72D8"/>
    <w:rsid w:val="001F7B28"/>
    <w:rsid w:val="00201DDA"/>
    <w:rsid w:val="002027D4"/>
    <w:rsid w:val="00203021"/>
    <w:rsid w:val="00203A7B"/>
    <w:rsid w:val="002045A5"/>
    <w:rsid w:val="00204F09"/>
    <w:rsid w:val="0020667A"/>
    <w:rsid w:val="00206F7E"/>
    <w:rsid w:val="00207AE7"/>
    <w:rsid w:val="00207CB1"/>
    <w:rsid w:val="002105A2"/>
    <w:rsid w:val="002137B0"/>
    <w:rsid w:val="00216187"/>
    <w:rsid w:val="00216A54"/>
    <w:rsid w:val="00217881"/>
    <w:rsid w:val="0022075B"/>
    <w:rsid w:val="00221F77"/>
    <w:rsid w:val="00221FF5"/>
    <w:rsid w:val="00222917"/>
    <w:rsid w:val="002244BA"/>
    <w:rsid w:val="00224E2B"/>
    <w:rsid w:val="00225F51"/>
    <w:rsid w:val="0022648E"/>
    <w:rsid w:val="00226AB8"/>
    <w:rsid w:val="00226F32"/>
    <w:rsid w:val="00227ACD"/>
    <w:rsid w:val="00227C82"/>
    <w:rsid w:val="00235942"/>
    <w:rsid w:val="0023703D"/>
    <w:rsid w:val="002375B2"/>
    <w:rsid w:val="00237A71"/>
    <w:rsid w:val="00242D73"/>
    <w:rsid w:val="002443DF"/>
    <w:rsid w:val="00244923"/>
    <w:rsid w:val="002472A6"/>
    <w:rsid w:val="00247512"/>
    <w:rsid w:val="00247A4D"/>
    <w:rsid w:val="00250212"/>
    <w:rsid w:val="0025305E"/>
    <w:rsid w:val="00253D09"/>
    <w:rsid w:val="00254CA2"/>
    <w:rsid w:val="00256268"/>
    <w:rsid w:val="002567A3"/>
    <w:rsid w:val="00260B2C"/>
    <w:rsid w:val="0026106F"/>
    <w:rsid w:val="00262B7F"/>
    <w:rsid w:val="00264C92"/>
    <w:rsid w:val="00266980"/>
    <w:rsid w:val="00267ACA"/>
    <w:rsid w:val="00270A4E"/>
    <w:rsid w:val="00270F52"/>
    <w:rsid w:val="00271563"/>
    <w:rsid w:val="00272177"/>
    <w:rsid w:val="00275209"/>
    <w:rsid w:val="00280D31"/>
    <w:rsid w:val="00283681"/>
    <w:rsid w:val="00285A75"/>
    <w:rsid w:val="00290498"/>
    <w:rsid w:val="00291656"/>
    <w:rsid w:val="00291BE8"/>
    <w:rsid w:val="00296021"/>
    <w:rsid w:val="0029774E"/>
    <w:rsid w:val="00297B85"/>
    <w:rsid w:val="002A02A1"/>
    <w:rsid w:val="002A04EB"/>
    <w:rsid w:val="002A07F7"/>
    <w:rsid w:val="002A1748"/>
    <w:rsid w:val="002A23FA"/>
    <w:rsid w:val="002A266C"/>
    <w:rsid w:val="002A2CE3"/>
    <w:rsid w:val="002A31A1"/>
    <w:rsid w:val="002A3CF3"/>
    <w:rsid w:val="002A3F7E"/>
    <w:rsid w:val="002A4191"/>
    <w:rsid w:val="002A6290"/>
    <w:rsid w:val="002B1996"/>
    <w:rsid w:val="002B3AB2"/>
    <w:rsid w:val="002B4617"/>
    <w:rsid w:val="002B4641"/>
    <w:rsid w:val="002B5069"/>
    <w:rsid w:val="002B724C"/>
    <w:rsid w:val="002C0719"/>
    <w:rsid w:val="002C2C2B"/>
    <w:rsid w:val="002C30D4"/>
    <w:rsid w:val="002C513E"/>
    <w:rsid w:val="002D1376"/>
    <w:rsid w:val="002D2A30"/>
    <w:rsid w:val="002D3F94"/>
    <w:rsid w:val="002D4720"/>
    <w:rsid w:val="002D49FB"/>
    <w:rsid w:val="002D4A25"/>
    <w:rsid w:val="002D4DF8"/>
    <w:rsid w:val="002E0041"/>
    <w:rsid w:val="002E1390"/>
    <w:rsid w:val="002E1AEB"/>
    <w:rsid w:val="002E2498"/>
    <w:rsid w:val="002E4CA1"/>
    <w:rsid w:val="002E5E57"/>
    <w:rsid w:val="002E6312"/>
    <w:rsid w:val="002E6C7C"/>
    <w:rsid w:val="002F1752"/>
    <w:rsid w:val="002F2FAA"/>
    <w:rsid w:val="002F477C"/>
    <w:rsid w:val="002F4CDA"/>
    <w:rsid w:val="002F557F"/>
    <w:rsid w:val="003028DC"/>
    <w:rsid w:val="0030348A"/>
    <w:rsid w:val="00306844"/>
    <w:rsid w:val="003077DD"/>
    <w:rsid w:val="003111F3"/>
    <w:rsid w:val="003142AD"/>
    <w:rsid w:val="00314AB6"/>
    <w:rsid w:val="00314CF6"/>
    <w:rsid w:val="00315F32"/>
    <w:rsid w:val="00316BAA"/>
    <w:rsid w:val="00317242"/>
    <w:rsid w:val="00320811"/>
    <w:rsid w:val="00324743"/>
    <w:rsid w:val="00324769"/>
    <w:rsid w:val="003253AF"/>
    <w:rsid w:val="00327407"/>
    <w:rsid w:val="00327CB6"/>
    <w:rsid w:val="0033298A"/>
    <w:rsid w:val="00335341"/>
    <w:rsid w:val="00336412"/>
    <w:rsid w:val="00337157"/>
    <w:rsid w:val="003411DB"/>
    <w:rsid w:val="003417B4"/>
    <w:rsid w:val="00341D86"/>
    <w:rsid w:val="0034310E"/>
    <w:rsid w:val="00344213"/>
    <w:rsid w:val="003444F4"/>
    <w:rsid w:val="00345842"/>
    <w:rsid w:val="00346684"/>
    <w:rsid w:val="003472AF"/>
    <w:rsid w:val="003508FE"/>
    <w:rsid w:val="00351369"/>
    <w:rsid w:val="00356528"/>
    <w:rsid w:val="00356FF7"/>
    <w:rsid w:val="0035718C"/>
    <w:rsid w:val="003608A1"/>
    <w:rsid w:val="003608FD"/>
    <w:rsid w:val="0036420C"/>
    <w:rsid w:val="00366057"/>
    <w:rsid w:val="003677E2"/>
    <w:rsid w:val="0037051F"/>
    <w:rsid w:val="003707E0"/>
    <w:rsid w:val="00370F35"/>
    <w:rsid w:val="003725F0"/>
    <w:rsid w:val="003732C7"/>
    <w:rsid w:val="003739F0"/>
    <w:rsid w:val="00373FC2"/>
    <w:rsid w:val="003742A8"/>
    <w:rsid w:val="003749A5"/>
    <w:rsid w:val="00376918"/>
    <w:rsid w:val="00376F07"/>
    <w:rsid w:val="00380502"/>
    <w:rsid w:val="00380788"/>
    <w:rsid w:val="00381524"/>
    <w:rsid w:val="00383D10"/>
    <w:rsid w:val="00384170"/>
    <w:rsid w:val="003847A3"/>
    <w:rsid w:val="00386E7F"/>
    <w:rsid w:val="00391C4B"/>
    <w:rsid w:val="00391FA6"/>
    <w:rsid w:val="003952ED"/>
    <w:rsid w:val="00395549"/>
    <w:rsid w:val="00396DEC"/>
    <w:rsid w:val="00396F9D"/>
    <w:rsid w:val="00397430"/>
    <w:rsid w:val="003A0443"/>
    <w:rsid w:val="003A0F5E"/>
    <w:rsid w:val="003A424B"/>
    <w:rsid w:val="003A46D3"/>
    <w:rsid w:val="003A542D"/>
    <w:rsid w:val="003A5636"/>
    <w:rsid w:val="003A623D"/>
    <w:rsid w:val="003A76ED"/>
    <w:rsid w:val="003B0433"/>
    <w:rsid w:val="003B04C1"/>
    <w:rsid w:val="003B2C84"/>
    <w:rsid w:val="003B4F01"/>
    <w:rsid w:val="003B519E"/>
    <w:rsid w:val="003B5E6F"/>
    <w:rsid w:val="003C0B1B"/>
    <w:rsid w:val="003C1195"/>
    <w:rsid w:val="003C12B6"/>
    <w:rsid w:val="003C2D27"/>
    <w:rsid w:val="003C373E"/>
    <w:rsid w:val="003C3D7F"/>
    <w:rsid w:val="003C6326"/>
    <w:rsid w:val="003C6D87"/>
    <w:rsid w:val="003D079C"/>
    <w:rsid w:val="003D224C"/>
    <w:rsid w:val="003D45D4"/>
    <w:rsid w:val="003E14DF"/>
    <w:rsid w:val="003E382B"/>
    <w:rsid w:val="003E3ACA"/>
    <w:rsid w:val="003E3DCB"/>
    <w:rsid w:val="003E4312"/>
    <w:rsid w:val="003E4ADE"/>
    <w:rsid w:val="003E5891"/>
    <w:rsid w:val="003E7ED0"/>
    <w:rsid w:val="003F021E"/>
    <w:rsid w:val="003F03DF"/>
    <w:rsid w:val="003F12D5"/>
    <w:rsid w:val="003F1CB9"/>
    <w:rsid w:val="003F2050"/>
    <w:rsid w:val="003F37CA"/>
    <w:rsid w:val="003F7F31"/>
    <w:rsid w:val="004009B6"/>
    <w:rsid w:val="00401CD3"/>
    <w:rsid w:val="00401F79"/>
    <w:rsid w:val="00402778"/>
    <w:rsid w:val="00402D75"/>
    <w:rsid w:val="00402FA1"/>
    <w:rsid w:val="00403744"/>
    <w:rsid w:val="0040474A"/>
    <w:rsid w:val="00407FB6"/>
    <w:rsid w:val="00412186"/>
    <w:rsid w:val="00412763"/>
    <w:rsid w:val="00413258"/>
    <w:rsid w:val="0041355F"/>
    <w:rsid w:val="00414181"/>
    <w:rsid w:val="0041427D"/>
    <w:rsid w:val="00414AD4"/>
    <w:rsid w:val="0041521E"/>
    <w:rsid w:val="00416763"/>
    <w:rsid w:val="0041745A"/>
    <w:rsid w:val="00422B81"/>
    <w:rsid w:val="00423E0D"/>
    <w:rsid w:val="004257BB"/>
    <w:rsid w:val="00425A84"/>
    <w:rsid w:val="00425B3B"/>
    <w:rsid w:val="004279BD"/>
    <w:rsid w:val="004325D3"/>
    <w:rsid w:val="00435176"/>
    <w:rsid w:val="004371EE"/>
    <w:rsid w:val="00437589"/>
    <w:rsid w:val="00440A53"/>
    <w:rsid w:val="00442170"/>
    <w:rsid w:val="004444EE"/>
    <w:rsid w:val="00444BDA"/>
    <w:rsid w:val="00445609"/>
    <w:rsid w:val="004464CF"/>
    <w:rsid w:val="004476C2"/>
    <w:rsid w:val="00451368"/>
    <w:rsid w:val="004555E6"/>
    <w:rsid w:val="00460772"/>
    <w:rsid w:val="00461E79"/>
    <w:rsid w:val="00462717"/>
    <w:rsid w:val="004641CC"/>
    <w:rsid w:val="00465403"/>
    <w:rsid w:val="0046651A"/>
    <w:rsid w:val="004714FB"/>
    <w:rsid w:val="004718BD"/>
    <w:rsid w:val="00471B86"/>
    <w:rsid w:val="00471D6F"/>
    <w:rsid w:val="00472210"/>
    <w:rsid w:val="00475D5E"/>
    <w:rsid w:val="00475F13"/>
    <w:rsid w:val="00476A2A"/>
    <w:rsid w:val="00477094"/>
    <w:rsid w:val="0047757F"/>
    <w:rsid w:val="00477AF5"/>
    <w:rsid w:val="00477CEB"/>
    <w:rsid w:val="0048354D"/>
    <w:rsid w:val="00483FA6"/>
    <w:rsid w:val="0048489E"/>
    <w:rsid w:val="00486858"/>
    <w:rsid w:val="00490E1A"/>
    <w:rsid w:val="00492636"/>
    <w:rsid w:val="00493A20"/>
    <w:rsid w:val="00495C6A"/>
    <w:rsid w:val="004979BF"/>
    <w:rsid w:val="004A1724"/>
    <w:rsid w:val="004A2349"/>
    <w:rsid w:val="004A435C"/>
    <w:rsid w:val="004A53BB"/>
    <w:rsid w:val="004A5D84"/>
    <w:rsid w:val="004A6CE0"/>
    <w:rsid w:val="004A74F4"/>
    <w:rsid w:val="004B1175"/>
    <w:rsid w:val="004B1442"/>
    <w:rsid w:val="004B1766"/>
    <w:rsid w:val="004B19DD"/>
    <w:rsid w:val="004B3889"/>
    <w:rsid w:val="004B564F"/>
    <w:rsid w:val="004B6A7C"/>
    <w:rsid w:val="004B7ECE"/>
    <w:rsid w:val="004C0A56"/>
    <w:rsid w:val="004C4C1F"/>
    <w:rsid w:val="004C50BF"/>
    <w:rsid w:val="004C629B"/>
    <w:rsid w:val="004C693B"/>
    <w:rsid w:val="004C751A"/>
    <w:rsid w:val="004C7E8B"/>
    <w:rsid w:val="004D0B15"/>
    <w:rsid w:val="004D0EBA"/>
    <w:rsid w:val="004D114D"/>
    <w:rsid w:val="004D3E58"/>
    <w:rsid w:val="004D4156"/>
    <w:rsid w:val="004D4333"/>
    <w:rsid w:val="004D6531"/>
    <w:rsid w:val="004E011D"/>
    <w:rsid w:val="004E1AC6"/>
    <w:rsid w:val="004E26E2"/>
    <w:rsid w:val="004E3070"/>
    <w:rsid w:val="004E4B5B"/>
    <w:rsid w:val="004E5E51"/>
    <w:rsid w:val="004E668A"/>
    <w:rsid w:val="004F4632"/>
    <w:rsid w:val="004F5C1C"/>
    <w:rsid w:val="004F62FF"/>
    <w:rsid w:val="004F6CFB"/>
    <w:rsid w:val="004F6EA8"/>
    <w:rsid w:val="004F70A7"/>
    <w:rsid w:val="005019FE"/>
    <w:rsid w:val="00504229"/>
    <w:rsid w:val="005069C2"/>
    <w:rsid w:val="00510EB1"/>
    <w:rsid w:val="0051164C"/>
    <w:rsid w:val="00512176"/>
    <w:rsid w:val="005122E9"/>
    <w:rsid w:val="005137DB"/>
    <w:rsid w:val="0051437A"/>
    <w:rsid w:val="0051449F"/>
    <w:rsid w:val="0051508B"/>
    <w:rsid w:val="0051570C"/>
    <w:rsid w:val="00517111"/>
    <w:rsid w:val="005208BD"/>
    <w:rsid w:val="00521FF6"/>
    <w:rsid w:val="00527681"/>
    <w:rsid w:val="00530967"/>
    <w:rsid w:val="00530DE6"/>
    <w:rsid w:val="00531FAE"/>
    <w:rsid w:val="0053589B"/>
    <w:rsid w:val="0053659F"/>
    <w:rsid w:val="00537D18"/>
    <w:rsid w:val="00537D95"/>
    <w:rsid w:val="00543780"/>
    <w:rsid w:val="0054574A"/>
    <w:rsid w:val="00546646"/>
    <w:rsid w:val="0054665C"/>
    <w:rsid w:val="00552694"/>
    <w:rsid w:val="0055377C"/>
    <w:rsid w:val="00554717"/>
    <w:rsid w:val="00555261"/>
    <w:rsid w:val="00556DE6"/>
    <w:rsid w:val="005574AF"/>
    <w:rsid w:val="00557A53"/>
    <w:rsid w:val="00561ED7"/>
    <w:rsid w:val="00563855"/>
    <w:rsid w:val="005642DD"/>
    <w:rsid w:val="00564453"/>
    <w:rsid w:val="0056611F"/>
    <w:rsid w:val="005666D7"/>
    <w:rsid w:val="00571BEE"/>
    <w:rsid w:val="00571C08"/>
    <w:rsid w:val="00571C69"/>
    <w:rsid w:val="00572232"/>
    <w:rsid w:val="00573F62"/>
    <w:rsid w:val="00575D36"/>
    <w:rsid w:val="005761EE"/>
    <w:rsid w:val="00576C13"/>
    <w:rsid w:val="00576CF4"/>
    <w:rsid w:val="00577164"/>
    <w:rsid w:val="00577D9F"/>
    <w:rsid w:val="00580391"/>
    <w:rsid w:val="005818DE"/>
    <w:rsid w:val="00581CC1"/>
    <w:rsid w:val="00584718"/>
    <w:rsid w:val="00584D4C"/>
    <w:rsid w:val="00586418"/>
    <w:rsid w:val="00587350"/>
    <w:rsid w:val="00587BA9"/>
    <w:rsid w:val="0059007C"/>
    <w:rsid w:val="00591A31"/>
    <w:rsid w:val="00594C44"/>
    <w:rsid w:val="0059556C"/>
    <w:rsid w:val="00597DD9"/>
    <w:rsid w:val="005A0ACF"/>
    <w:rsid w:val="005A0C34"/>
    <w:rsid w:val="005A2501"/>
    <w:rsid w:val="005A34B6"/>
    <w:rsid w:val="005A3E34"/>
    <w:rsid w:val="005A44FF"/>
    <w:rsid w:val="005A51C6"/>
    <w:rsid w:val="005A576D"/>
    <w:rsid w:val="005A5BAB"/>
    <w:rsid w:val="005A7E09"/>
    <w:rsid w:val="005B08A6"/>
    <w:rsid w:val="005B0F22"/>
    <w:rsid w:val="005B0F27"/>
    <w:rsid w:val="005B2CB5"/>
    <w:rsid w:val="005B3439"/>
    <w:rsid w:val="005B5E17"/>
    <w:rsid w:val="005C1943"/>
    <w:rsid w:val="005C22C2"/>
    <w:rsid w:val="005C501A"/>
    <w:rsid w:val="005C6D52"/>
    <w:rsid w:val="005C7858"/>
    <w:rsid w:val="005C7A9A"/>
    <w:rsid w:val="005C7FCE"/>
    <w:rsid w:val="005D11A5"/>
    <w:rsid w:val="005D4BC8"/>
    <w:rsid w:val="005D55D6"/>
    <w:rsid w:val="005D593D"/>
    <w:rsid w:val="005D6E43"/>
    <w:rsid w:val="005D769A"/>
    <w:rsid w:val="005E092E"/>
    <w:rsid w:val="005E1DD8"/>
    <w:rsid w:val="005E1EA0"/>
    <w:rsid w:val="005E1F6F"/>
    <w:rsid w:val="005E4132"/>
    <w:rsid w:val="005E58E1"/>
    <w:rsid w:val="005E5F8B"/>
    <w:rsid w:val="005F0EC7"/>
    <w:rsid w:val="005F2341"/>
    <w:rsid w:val="005F4B41"/>
    <w:rsid w:val="005F4F2A"/>
    <w:rsid w:val="005F5099"/>
    <w:rsid w:val="005F73A6"/>
    <w:rsid w:val="00600D9B"/>
    <w:rsid w:val="0060128D"/>
    <w:rsid w:val="006015EB"/>
    <w:rsid w:val="006021B4"/>
    <w:rsid w:val="00602BDA"/>
    <w:rsid w:val="0060305B"/>
    <w:rsid w:val="0060308F"/>
    <w:rsid w:val="0060552B"/>
    <w:rsid w:val="00606E04"/>
    <w:rsid w:val="00611C5C"/>
    <w:rsid w:val="006131E9"/>
    <w:rsid w:val="0061392C"/>
    <w:rsid w:val="00617E42"/>
    <w:rsid w:val="00617E6C"/>
    <w:rsid w:val="006203EC"/>
    <w:rsid w:val="00622191"/>
    <w:rsid w:val="00622D62"/>
    <w:rsid w:val="0062336F"/>
    <w:rsid w:val="00623D41"/>
    <w:rsid w:val="00624A28"/>
    <w:rsid w:val="006264F1"/>
    <w:rsid w:val="00626AF4"/>
    <w:rsid w:val="00626CB1"/>
    <w:rsid w:val="00627894"/>
    <w:rsid w:val="00627FF6"/>
    <w:rsid w:val="0063314F"/>
    <w:rsid w:val="00635832"/>
    <w:rsid w:val="006365E9"/>
    <w:rsid w:val="00636E18"/>
    <w:rsid w:val="00637228"/>
    <w:rsid w:val="0064225E"/>
    <w:rsid w:val="0064298D"/>
    <w:rsid w:val="0064364F"/>
    <w:rsid w:val="006445A3"/>
    <w:rsid w:val="00647A7A"/>
    <w:rsid w:val="00650724"/>
    <w:rsid w:val="0065124E"/>
    <w:rsid w:val="006513A0"/>
    <w:rsid w:val="00652C4F"/>
    <w:rsid w:val="00654F37"/>
    <w:rsid w:val="00656ABE"/>
    <w:rsid w:val="0066000B"/>
    <w:rsid w:val="0066030A"/>
    <w:rsid w:val="00661C43"/>
    <w:rsid w:val="00662C23"/>
    <w:rsid w:val="0066473E"/>
    <w:rsid w:val="00665069"/>
    <w:rsid w:val="0066537B"/>
    <w:rsid w:val="00665718"/>
    <w:rsid w:val="00667828"/>
    <w:rsid w:val="00670F37"/>
    <w:rsid w:val="00676079"/>
    <w:rsid w:val="00676326"/>
    <w:rsid w:val="006777C7"/>
    <w:rsid w:val="006839E8"/>
    <w:rsid w:val="00683D65"/>
    <w:rsid w:val="00684AB4"/>
    <w:rsid w:val="00685F12"/>
    <w:rsid w:val="0069373F"/>
    <w:rsid w:val="00693FDC"/>
    <w:rsid w:val="006963D2"/>
    <w:rsid w:val="006A02C9"/>
    <w:rsid w:val="006A0B4A"/>
    <w:rsid w:val="006A0D71"/>
    <w:rsid w:val="006A0F4A"/>
    <w:rsid w:val="006A1D16"/>
    <w:rsid w:val="006A4300"/>
    <w:rsid w:val="006A4428"/>
    <w:rsid w:val="006A7BEA"/>
    <w:rsid w:val="006A7D62"/>
    <w:rsid w:val="006B120F"/>
    <w:rsid w:val="006B2EBD"/>
    <w:rsid w:val="006B2F86"/>
    <w:rsid w:val="006B37A6"/>
    <w:rsid w:val="006B3C0D"/>
    <w:rsid w:val="006C0355"/>
    <w:rsid w:val="006C090C"/>
    <w:rsid w:val="006C13D5"/>
    <w:rsid w:val="006C3A40"/>
    <w:rsid w:val="006C3F79"/>
    <w:rsid w:val="006C7240"/>
    <w:rsid w:val="006C74D6"/>
    <w:rsid w:val="006D0EE8"/>
    <w:rsid w:val="006D12C7"/>
    <w:rsid w:val="006D175B"/>
    <w:rsid w:val="006D1BF7"/>
    <w:rsid w:val="006D23EF"/>
    <w:rsid w:val="006D59F8"/>
    <w:rsid w:val="006D61DA"/>
    <w:rsid w:val="006D6AF7"/>
    <w:rsid w:val="006D6EBB"/>
    <w:rsid w:val="006D7F80"/>
    <w:rsid w:val="006D7FC7"/>
    <w:rsid w:val="006E0941"/>
    <w:rsid w:val="006E0EAD"/>
    <w:rsid w:val="006E1DC5"/>
    <w:rsid w:val="006E3420"/>
    <w:rsid w:val="006E3BD0"/>
    <w:rsid w:val="006E3FA9"/>
    <w:rsid w:val="006E4444"/>
    <w:rsid w:val="006E4D14"/>
    <w:rsid w:val="006E702B"/>
    <w:rsid w:val="006E7DC6"/>
    <w:rsid w:val="006F01FC"/>
    <w:rsid w:val="006F08E1"/>
    <w:rsid w:val="006F0E10"/>
    <w:rsid w:val="006F1A53"/>
    <w:rsid w:val="006F2196"/>
    <w:rsid w:val="006F2B29"/>
    <w:rsid w:val="006F3D73"/>
    <w:rsid w:val="006F5A87"/>
    <w:rsid w:val="006F7BDA"/>
    <w:rsid w:val="00701FC8"/>
    <w:rsid w:val="00702D07"/>
    <w:rsid w:val="00703676"/>
    <w:rsid w:val="007078D6"/>
    <w:rsid w:val="00710F87"/>
    <w:rsid w:val="007133E9"/>
    <w:rsid w:val="00714837"/>
    <w:rsid w:val="00715087"/>
    <w:rsid w:val="00715D0C"/>
    <w:rsid w:val="00716F27"/>
    <w:rsid w:val="00717B00"/>
    <w:rsid w:val="00720DE3"/>
    <w:rsid w:val="00721C6A"/>
    <w:rsid w:val="00722F2C"/>
    <w:rsid w:val="00723293"/>
    <w:rsid w:val="00724D46"/>
    <w:rsid w:val="00727012"/>
    <w:rsid w:val="0072723A"/>
    <w:rsid w:val="00730E2D"/>
    <w:rsid w:val="007330A4"/>
    <w:rsid w:val="00733C05"/>
    <w:rsid w:val="0073460E"/>
    <w:rsid w:val="00736EAE"/>
    <w:rsid w:val="007402C2"/>
    <w:rsid w:val="00742174"/>
    <w:rsid w:val="00743577"/>
    <w:rsid w:val="00744C66"/>
    <w:rsid w:val="007464CC"/>
    <w:rsid w:val="00747B4B"/>
    <w:rsid w:val="00750679"/>
    <w:rsid w:val="00754851"/>
    <w:rsid w:val="007575D0"/>
    <w:rsid w:val="00757649"/>
    <w:rsid w:val="007609D5"/>
    <w:rsid w:val="00762FBA"/>
    <w:rsid w:val="0076473F"/>
    <w:rsid w:val="00764748"/>
    <w:rsid w:val="00765515"/>
    <w:rsid w:val="00771967"/>
    <w:rsid w:val="00771AA1"/>
    <w:rsid w:val="00774999"/>
    <w:rsid w:val="00780D10"/>
    <w:rsid w:val="007813D1"/>
    <w:rsid w:val="00782158"/>
    <w:rsid w:val="007821BC"/>
    <w:rsid w:val="007826E0"/>
    <w:rsid w:val="00783455"/>
    <w:rsid w:val="0078383A"/>
    <w:rsid w:val="007853F8"/>
    <w:rsid w:val="0078687A"/>
    <w:rsid w:val="00786BB9"/>
    <w:rsid w:val="00786FE5"/>
    <w:rsid w:val="007870B3"/>
    <w:rsid w:val="0079039B"/>
    <w:rsid w:val="00793842"/>
    <w:rsid w:val="007953B5"/>
    <w:rsid w:val="00795F3C"/>
    <w:rsid w:val="007964DC"/>
    <w:rsid w:val="00797EC1"/>
    <w:rsid w:val="007A03B9"/>
    <w:rsid w:val="007A06C5"/>
    <w:rsid w:val="007A117C"/>
    <w:rsid w:val="007A2635"/>
    <w:rsid w:val="007A3BFB"/>
    <w:rsid w:val="007A6B52"/>
    <w:rsid w:val="007A6C81"/>
    <w:rsid w:val="007A7B10"/>
    <w:rsid w:val="007B02A8"/>
    <w:rsid w:val="007B0B30"/>
    <w:rsid w:val="007B129D"/>
    <w:rsid w:val="007B219A"/>
    <w:rsid w:val="007B31A6"/>
    <w:rsid w:val="007B4508"/>
    <w:rsid w:val="007B5E3D"/>
    <w:rsid w:val="007B6B28"/>
    <w:rsid w:val="007B79F6"/>
    <w:rsid w:val="007B7B44"/>
    <w:rsid w:val="007C4C83"/>
    <w:rsid w:val="007C525A"/>
    <w:rsid w:val="007C6225"/>
    <w:rsid w:val="007C64E2"/>
    <w:rsid w:val="007D1E88"/>
    <w:rsid w:val="007D275E"/>
    <w:rsid w:val="007D37BA"/>
    <w:rsid w:val="007D3F75"/>
    <w:rsid w:val="007D4025"/>
    <w:rsid w:val="007D66F0"/>
    <w:rsid w:val="007D73E5"/>
    <w:rsid w:val="007E0084"/>
    <w:rsid w:val="007E1035"/>
    <w:rsid w:val="007E18D1"/>
    <w:rsid w:val="007E4D07"/>
    <w:rsid w:val="007E770A"/>
    <w:rsid w:val="007E7968"/>
    <w:rsid w:val="007F1600"/>
    <w:rsid w:val="007F166D"/>
    <w:rsid w:val="007F1EDF"/>
    <w:rsid w:val="007F299B"/>
    <w:rsid w:val="007F365B"/>
    <w:rsid w:val="007F40D6"/>
    <w:rsid w:val="007F742B"/>
    <w:rsid w:val="007F7CBC"/>
    <w:rsid w:val="0080130F"/>
    <w:rsid w:val="008026FE"/>
    <w:rsid w:val="00802F9F"/>
    <w:rsid w:val="00803E55"/>
    <w:rsid w:val="00804358"/>
    <w:rsid w:val="00804F92"/>
    <w:rsid w:val="00807F85"/>
    <w:rsid w:val="0081060D"/>
    <w:rsid w:val="00810A52"/>
    <w:rsid w:val="00810DCF"/>
    <w:rsid w:val="008110C4"/>
    <w:rsid w:val="00811527"/>
    <w:rsid w:val="00811F2C"/>
    <w:rsid w:val="00811FE2"/>
    <w:rsid w:val="00820A66"/>
    <w:rsid w:val="00820F38"/>
    <w:rsid w:val="00822D27"/>
    <w:rsid w:val="008242DA"/>
    <w:rsid w:val="00824A84"/>
    <w:rsid w:val="00826371"/>
    <w:rsid w:val="0082668B"/>
    <w:rsid w:val="008272AC"/>
    <w:rsid w:val="00830214"/>
    <w:rsid w:val="00830902"/>
    <w:rsid w:val="00832118"/>
    <w:rsid w:val="00833EC7"/>
    <w:rsid w:val="00834366"/>
    <w:rsid w:val="008363D1"/>
    <w:rsid w:val="00836C3B"/>
    <w:rsid w:val="00840749"/>
    <w:rsid w:val="008412E1"/>
    <w:rsid w:val="008413A8"/>
    <w:rsid w:val="00842443"/>
    <w:rsid w:val="00843285"/>
    <w:rsid w:val="00843386"/>
    <w:rsid w:val="00844479"/>
    <w:rsid w:val="00844C79"/>
    <w:rsid w:val="00846122"/>
    <w:rsid w:val="008466C4"/>
    <w:rsid w:val="00850FDB"/>
    <w:rsid w:val="008522B5"/>
    <w:rsid w:val="00853C4A"/>
    <w:rsid w:val="00854190"/>
    <w:rsid w:val="00854682"/>
    <w:rsid w:val="00857078"/>
    <w:rsid w:val="00857A3C"/>
    <w:rsid w:val="00860613"/>
    <w:rsid w:val="00861279"/>
    <w:rsid w:val="008612B4"/>
    <w:rsid w:val="00862A90"/>
    <w:rsid w:val="0086454A"/>
    <w:rsid w:val="00870102"/>
    <w:rsid w:val="00872847"/>
    <w:rsid w:val="00872C9B"/>
    <w:rsid w:val="00873451"/>
    <w:rsid w:val="0087619E"/>
    <w:rsid w:val="00877706"/>
    <w:rsid w:val="00881D54"/>
    <w:rsid w:val="008825CE"/>
    <w:rsid w:val="0088460D"/>
    <w:rsid w:val="008857AA"/>
    <w:rsid w:val="00885FA2"/>
    <w:rsid w:val="00887608"/>
    <w:rsid w:val="00887ABB"/>
    <w:rsid w:val="008900AF"/>
    <w:rsid w:val="00890B66"/>
    <w:rsid w:val="00893E72"/>
    <w:rsid w:val="00896BC2"/>
    <w:rsid w:val="008A072D"/>
    <w:rsid w:val="008A1C42"/>
    <w:rsid w:val="008A3889"/>
    <w:rsid w:val="008A5CE1"/>
    <w:rsid w:val="008A6398"/>
    <w:rsid w:val="008B08D3"/>
    <w:rsid w:val="008B19B7"/>
    <w:rsid w:val="008B1C16"/>
    <w:rsid w:val="008B2E9A"/>
    <w:rsid w:val="008B2EB5"/>
    <w:rsid w:val="008B3ADE"/>
    <w:rsid w:val="008B44C3"/>
    <w:rsid w:val="008B7050"/>
    <w:rsid w:val="008C1507"/>
    <w:rsid w:val="008C2501"/>
    <w:rsid w:val="008C383B"/>
    <w:rsid w:val="008C3A5F"/>
    <w:rsid w:val="008C5671"/>
    <w:rsid w:val="008C59BA"/>
    <w:rsid w:val="008C5D4D"/>
    <w:rsid w:val="008C6671"/>
    <w:rsid w:val="008C7707"/>
    <w:rsid w:val="008D3273"/>
    <w:rsid w:val="008D6CA8"/>
    <w:rsid w:val="008E2336"/>
    <w:rsid w:val="008E34AE"/>
    <w:rsid w:val="008E78B4"/>
    <w:rsid w:val="008F047E"/>
    <w:rsid w:val="008F2841"/>
    <w:rsid w:val="008F2959"/>
    <w:rsid w:val="008F399F"/>
    <w:rsid w:val="008F39F1"/>
    <w:rsid w:val="008F432C"/>
    <w:rsid w:val="009001B0"/>
    <w:rsid w:val="0090288E"/>
    <w:rsid w:val="009038F9"/>
    <w:rsid w:val="00905AAB"/>
    <w:rsid w:val="009068C3"/>
    <w:rsid w:val="00910432"/>
    <w:rsid w:val="009139AF"/>
    <w:rsid w:val="00921BFB"/>
    <w:rsid w:val="00922AFA"/>
    <w:rsid w:val="009234FD"/>
    <w:rsid w:val="00923665"/>
    <w:rsid w:val="00924258"/>
    <w:rsid w:val="00924973"/>
    <w:rsid w:val="0092631A"/>
    <w:rsid w:val="0093152E"/>
    <w:rsid w:val="009315A3"/>
    <w:rsid w:val="00931779"/>
    <w:rsid w:val="00931E42"/>
    <w:rsid w:val="0093252C"/>
    <w:rsid w:val="0093283A"/>
    <w:rsid w:val="00935EAC"/>
    <w:rsid w:val="00937529"/>
    <w:rsid w:val="00942405"/>
    <w:rsid w:val="00942818"/>
    <w:rsid w:val="00944371"/>
    <w:rsid w:val="00944529"/>
    <w:rsid w:val="00944D10"/>
    <w:rsid w:val="009454B6"/>
    <w:rsid w:val="00946929"/>
    <w:rsid w:val="009474F2"/>
    <w:rsid w:val="00950E7E"/>
    <w:rsid w:val="00956446"/>
    <w:rsid w:val="0096172B"/>
    <w:rsid w:val="00962CB7"/>
    <w:rsid w:val="00962E64"/>
    <w:rsid w:val="00963AA3"/>
    <w:rsid w:val="00963B80"/>
    <w:rsid w:val="00966080"/>
    <w:rsid w:val="009664DD"/>
    <w:rsid w:val="00966F48"/>
    <w:rsid w:val="0096744E"/>
    <w:rsid w:val="009704A0"/>
    <w:rsid w:val="00971E1A"/>
    <w:rsid w:val="00973197"/>
    <w:rsid w:val="00973E14"/>
    <w:rsid w:val="009753FB"/>
    <w:rsid w:val="00975439"/>
    <w:rsid w:val="009756E8"/>
    <w:rsid w:val="00977317"/>
    <w:rsid w:val="009804C2"/>
    <w:rsid w:val="00980C11"/>
    <w:rsid w:val="00981086"/>
    <w:rsid w:val="0098257D"/>
    <w:rsid w:val="0098302F"/>
    <w:rsid w:val="009831C8"/>
    <w:rsid w:val="0098474E"/>
    <w:rsid w:val="00986110"/>
    <w:rsid w:val="00987232"/>
    <w:rsid w:val="00990EC7"/>
    <w:rsid w:val="00991B95"/>
    <w:rsid w:val="00992840"/>
    <w:rsid w:val="00994CC4"/>
    <w:rsid w:val="00995379"/>
    <w:rsid w:val="009968AC"/>
    <w:rsid w:val="009976E7"/>
    <w:rsid w:val="009A11ED"/>
    <w:rsid w:val="009A1795"/>
    <w:rsid w:val="009A1CB0"/>
    <w:rsid w:val="009A65F0"/>
    <w:rsid w:val="009A67A1"/>
    <w:rsid w:val="009A7026"/>
    <w:rsid w:val="009B27DF"/>
    <w:rsid w:val="009B393A"/>
    <w:rsid w:val="009B7972"/>
    <w:rsid w:val="009C0DD6"/>
    <w:rsid w:val="009C1B29"/>
    <w:rsid w:val="009C40F8"/>
    <w:rsid w:val="009D05F1"/>
    <w:rsid w:val="009D089E"/>
    <w:rsid w:val="009D094F"/>
    <w:rsid w:val="009D0BF3"/>
    <w:rsid w:val="009D0E88"/>
    <w:rsid w:val="009D24D7"/>
    <w:rsid w:val="009D256E"/>
    <w:rsid w:val="009D2DB6"/>
    <w:rsid w:val="009D2F47"/>
    <w:rsid w:val="009D3067"/>
    <w:rsid w:val="009D39EE"/>
    <w:rsid w:val="009D55B8"/>
    <w:rsid w:val="009D7835"/>
    <w:rsid w:val="009E05AC"/>
    <w:rsid w:val="009E172B"/>
    <w:rsid w:val="009E204D"/>
    <w:rsid w:val="009E253A"/>
    <w:rsid w:val="009E39C0"/>
    <w:rsid w:val="009E4CE0"/>
    <w:rsid w:val="009E5367"/>
    <w:rsid w:val="009E7B93"/>
    <w:rsid w:val="009F0349"/>
    <w:rsid w:val="009F1E76"/>
    <w:rsid w:val="009F3268"/>
    <w:rsid w:val="009F4860"/>
    <w:rsid w:val="009F5F2C"/>
    <w:rsid w:val="009F6749"/>
    <w:rsid w:val="009F6C56"/>
    <w:rsid w:val="00A031CC"/>
    <w:rsid w:val="00A0323B"/>
    <w:rsid w:val="00A04192"/>
    <w:rsid w:val="00A04474"/>
    <w:rsid w:val="00A0762A"/>
    <w:rsid w:val="00A0776D"/>
    <w:rsid w:val="00A1004D"/>
    <w:rsid w:val="00A1182A"/>
    <w:rsid w:val="00A13DB8"/>
    <w:rsid w:val="00A13F1D"/>
    <w:rsid w:val="00A155ED"/>
    <w:rsid w:val="00A15F37"/>
    <w:rsid w:val="00A16191"/>
    <w:rsid w:val="00A163E3"/>
    <w:rsid w:val="00A22A52"/>
    <w:rsid w:val="00A24A2E"/>
    <w:rsid w:val="00A25889"/>
    <w:rsid w:val="00A3034C"/>
    <w:rsid w:val="00A325EE"/>
    <w:rsid w:val="00A338A1"/>
    <w:rsid w:val="00A349CB"/>
    <w:rsid w:val="00A34E5A"/>
    <w:rsid w:val="00A3508F"/>
    <w:rsid w:val="00A364F7"/>
    <w:rsid w:val="00A378ED"/>
    <w:rsid w:val="00A425BA"/>
    <w:rsid w:val="00A430E2"/>
    <w:rsid w:val="00A4316F"/>
    <w:rsid w:val="00A454B6"/>
    <w:rsid w:val="00A45FC0"/>
    <w:rsid w:val="00A472F8"/>
    <w:rsid w:val="00A50571"/>
    <w:rsid w:val="00A5314F"/>
    <w:rsid w:val="00A54B25"/>
    <w:rsid w:val="00A55882"/>
    <w:rsid w:val="00A569E0"/>
    <w:rsid w:val="00A56B6B"/>
    <w:rsid w:val="00A60311"/>
    <w:rsid w:val="00A60546"/>
    <w:rsid w:val="00A66F1E"/>
    <w:rsid w:val="00A6760A"/>
    <w:rsid w:val="00A676D3"/>
    <w:rsid w:val="00A711B7"/>
    <w:rsid w:val="00A7149F"/>
    <w:rsid w:val="00A72C93"/>
    <w:rsid w:val="00A72FF3"/>
    <w:rsid w:val="00A7410C"/>
    <w:rsid w:val="00A7784F"/>
    <w:rsid w:val="00A811D6"/>
    <w:rsid w:val="00A82860"/>
    <w:rsid w:val="00A832BA"/>
    <w:rsid w:val="00A85048"/>
    <w:rsid w:val="00A86552"/>
    <w:rsid w:val="00A86CD7"/>
    <w:rsid w:val="00A8750A"/>
    <w:rsid w:val="00A90878"/>
    <w:rsid w:val="00A91266"/>
    <w:rsid w:val="00A950F4"/>
    <w:rsid w:val="00A9567A"/>
    <w:rsid w:val="00A96783"/>
    <w:rsid w:val="00A97B08"/>
    <w:rsid w:val="00A97F5A"/>
    <w:rsid w:val="00AA2D58"/>
    <w:rsid w:val="00AB0ED1"/>
    <w:rsid w:val="00AB23B0"/>
    <w:rsid w:val="00AB365A"/>
    <w:rsid w:val="00AB3A63"/>
    <w:rsid w:val="00AB4201"/>
    <w:rsid w:val="00AB4CFC"/>
    <w:rsid w:val="00AB58F2"/>
    <w:rsid w:val="00AB61EF"/>
    <w:rsid w:val="00AB689B"/>
    <w:rsid w:val="00AB7CDE"/>
    <w:rsid w:val="00AC0AAA"/>
    <w:rsid w:val="00AC1771"/>
    <w:rsid w:val="00AC1934"/>
    <w:rsid w:val="00AC41F9"/>
    <w:rsid w:val="00AC4EEC"/>
    <w:rsid w:val="00AC6C46"/>
    <w:rsid w:val="00AC6D5D"/>
    <w:rsid w:val="00AC7B00"/>
    <w:rsid w:val="00AD03D9"/>
    <w:rsid w:val="00AD20AF"/>
    <w:rsid w:val="00AD3A59"/>
    <w:rsid w:val="00AD3BBF"/>
    <w:rsid w:val="00AE079E"/>
    <w:rsid w:val="00AE2387"/>
    <w:rsid w:val="00AE6E19"/>
    <w:rsid w:val="00AF09A0"/>
    <w:rsid w:val="00AF18A6"/>
    <w:rsid w:val="00AF18CA"/>
    <w:rsid w:val="00AF2AE5"/>
    <w:rsid w:val="00AF3AD9"/>
    <w:rsid w:val="00AF4640"/>
    <w:rsid w:val="00AF5145"/>
    <w:rsid w:val="00AF58F3"/>
    <w:rsid w:val="00B0149D"/>
    <w:rsid w:val="00B05126"/>
    <w:rsid w:val="00B05777"/>
    <w:rsid w:val="00B11271"/>
    <w:rsid w:val="00B112A5"/>
    <w:rsid w:val="00B116FF"/>
    <w:rsid w:val="00B118CF"/>
    <w:rsid w:val="00B12833"/>
    <w:rsid w:val="00B15438"/>
    <w:rsid w:val="00B17281"/>
    <w:rsid w:val="00B2131B"/>
    <w:rsid w:val="00B21BF3"/>
    <w:rsid w:val="00B222E2"/>
    <w:rsid w:val="00B223FE"/>
    <w:rsid w:val="00B2310C"/>
    <w:rsid w:val="00B23328"/>
    <w:rsid w:val="00B23B81"/>
    <w:rsid w:val="00B242B1"/>
    <w:rsid w:val="00B24E54"/>
    <w:rsid w:val="00B27646"/>
    <w:rsid w:val="00B33037"/>
    <w:rsid w:val="00B33732"/>
    <w:rsid w:val="00B377F6"/>
    <w:rsid w:val="00B426A2"/>
    <w:rsid w:val="00B44CCC"/>
    <w:rsid w:val="00B44EAC"/>
    <w:rsid w:val="00B465C8"/>
    <w:rsid w:val="00B472C9"/>
    <w:rsid w:val="00B506AC"/>
    <w:rsid w:val="00B50E2C"/>
    <w:rsid w:val="00B51364"/>
    <w:rsid w:val="00B53170"/>
    <w:rsid w:val="00B536A8"/>
    <w:rsid w:val="00B54AE6"/>
    <w:rsid w:val="00B54F8C"/>
    <w:rsid w:val="00B56D06"/>
    <w:rsid w:val="00B5765A"/>
    <w:rsid w:val="00B60C22"/>
    <w:rsid w:val="00B620CA"/>
    <w:rsid w:val="00B6232A"/>
    <w:rsid w:val="00B649F7"/>
    <w:rsid w:val="00B667C6"/>
    <w:rsid w:val="00B66DB7"/>
    <w:rsid w:val="00B67ADB"/>
    <w:rsid w:val="00B7214B"/>
    <w:rsid w:val="00B73636"/>
    <w:rsid w:val="00B7657E"/>
    <w:rsid w:val="00B76793"/>
    <w:rsid w:val="00B76C42"/>
    <w:rsid w:val="00B8390E"/>
    <w:rsid w:val="00B84219"/>
    <w:rsid w:val="00B85068"/>
    <w:rsid w:val="00B85154"/>
    <w:rsid w:val="00B85546"/>
    <w:rsid w:val="00B87377"/>
    <w:rsid w:val="00B87EA2"/>
    <w:rsid w:val="00B913AA"/>
    <w:rsid w:val="00B91481"/>
    <w:rsid w:val="00B9205C"/>
    <w:rsid w:val="00B925BA"/>
    <w:rsid w:val="00B94988"/>
    <w:rsid w:val="00B95673"/>
    <w:rsid w:val="00B961C8"/>
    <w:rsid w:val="00BA04E1"/>
    <w:rsid w:val="00BA18D1"/>
    <w:rsid w:val="00BA19E0"/>
    <w:rsid w:val="00BA1F8A"/>
    <w:rsid w:val="00BA258C"/>
    <w:rsid w:val="00BA4441"/>
    <w:rsid w:val="00BA46B0"/>
    <w:rsid w:val="00BA47DA"/>
    <w:rsid w:val="00BA4E91"/>
    <w:rsid w:val="00BA5E59"/>
    <w:rsid w:val="00BB1A4D"/>
    <w:rsid w:val="00BB36ED"/>
    <w:rsid w:val="00BB50DE"/>
    <w:rsid w:val="00BB6DED"/>
    <w:rsid w:val="00BB7A89"/>
    <w:rsid w:val="00BB7CBB"/>
    <w:rsid w:val="00BC009D"/>
    <w:rsid w:val="00BC08D4"/>
    <w:rsid w:val="00BC0CB8"/>
    <w:rsid w:val="00BC0EE4"/>
    <w:rsid w:val="00BC1B82"/>
    <w:rsid w:val="00BC21D7"/>
    <w:rsid w:val="00BC4A61"/>
    <w:rsid w:val="00BC52EB"/>
    <w:rsid w:val="00BC5978"/>
    <w:rsid w:val="00BC5A14"/>
    <w:rsid w:val="00BD0100"/>
    <w:rsid w:val="00BD297C"/>
    <w:rsid w:val="00BD483C"/>
    <w:rsid w:val="00BD499A"/>
    <w:rsid w:val="00BD532D"/>
    <w:rsid w:val="00BD6F03"/>
    <w:rsid w:val="00BD6FDA"/>
    <w:rsid w:val="00BD77B5"/>
    <w:rsid w:val="00BD7A55"/>
    <w:rsid w:val="00BE00E4"/>
    <w:rsid w:val="00BE0270"/>
    <w:rsid w:val="00BE0965"/>
    <w:rsid w:val="00BE0DD9"/>
    <w:rsid w:val="00BE180E"/>
    <w:rsid w:val="00BE21A8"/>
    <w:rsid w:val="00BE2827"/>
    <w:rsid w:val="00BE2CB6"/>
    <w:rsid w:val="00BE331A"/>
    <w:rsid w:val="00BE48B7"/>
    <w:rsid w:val="00BE53BC"/>
    <w:rsid w:val="00BE5574"/>
    <w:rsid w:val="00BE5CDB"/>
    <w:rsid w:val="00BE74B4"/>
    <w:rsid w:val="00BF01E3"/>
    <w:rsid w:val="00BF0B84"/>
    <w:rsid w:val="00BF19A0"/>
    <w:rsid w:val="00BF4843"/>
    <w:rsid w:val="00BF4B69"/>
    <w:rsid w:val="00BF5F81"/>
    <w:rsid w:val="00BF6F8D"/>
    <w:rsid w:val="00BF7738"/>
    <w:rsid w:val="00C00471"/>
    <w:rsid w:val="00C014C6"/>
    <w:rsid w:val="00C04F50"/>
    <w:rsid w:val="00C05E06"/>
    <w:rsid w:val="00C06FED"/>
    <w:rsid w:val="00C1041E"/>
    <w:rsid w:val="00C11E3B"/>
    <w:rsid w:val="00C1233D"/>
    <w:rsid w:val="00C12AFA"/>
    <w:rsid w:val="00C15648"/>
    <w:rsid w:val="00C17244"/>
    <w:rsid w:val="00C2020E"/>
    <w:rsid w:val="00C20265"/>
    <w:rsid w:val="00C21CA1"/>
    <w:rsid w:val="00C24142"/>
    <w:rsid w:val="00C25B6F"/>
    <w:rsid w:val="00C2648E"/>
    <w:rsid w:val="00C30194"/>
    <w:rsid w:val="00C30F85"/>
    <w:rsid w:val="00C31129"/>
    <w:rsid w:val="00C313E7"/>
    <w:rsid w:val="00C34EEE"/>
    <w:rsid w:val="00C3561D"/>
    <w:rsid w:val="00C3654D"/>
    <w:rsid w:val="00C410EB"/>
    <w:rsid w:val="00C41E47"/>
    <w:rsid w:val="00C42F00"/>
    <w:rsid w:val="00C44924"/>
    <w:rsid w:val="00C461EB"/>
    <w:rsid w:val="00C50077"/>
    <w:rsid w:val="00C520D7"/>
    <w:rsid w:val="00C5372C"/>
    <w:rsid w:val="00C53769"/>
    <w:rsid w:val="00C57869"/>
    <w:rsid w:val="00C627A3"/>
    <w:rsid w:val="00C64C2F"/>
    <w:rsid w:val="00C6528A"/>
    <w:rsid w:val="00C665F2"/>
    <w:rsid w:val="00C6749F"/>
    <w:rsid w:val="00C72AE9"/>
    <w:rsid w:val="00C7375A"/>
    <w:rsid w:val="00C74048"/>
    <w:rsid w:val="00C74654"/>
    <w:rsid w:val="00C74775"/>
    <w:rsid w:val="00C74F0F"/>
    <w:rsid w:val="00C75F55"/>
    <w:rsid w:val="00C76725"/>
    <w:rsid w:val="00C81867"/>
    <w:rsid w:val="00C84C3A"/>
    <w:rsid w:val="00C86300"/>
    <w:rsid w:val="00C8685C"/>
    <w:rsid w:val="00C87795"/>
    <w:rsid w:val="00C93936"/>
    <w:rsid w:val="00C948E7"/>
    <w:rsid w:val="00C963E5"/>
    <w:rsid w:val="00C967BE"/>
    <w:rsid w:val="00C96E4A"/>
    <w:rsid w:val="00C97546"/>
    <w:rsid w:val="00C975A8"/>
    <w:rsid w:val="00C97688"/>
    <w:rsid w:val="00C9786B"/>
    <w:rsid w:val="00CA1482"/>
    <w:rsid w:val="00CA1957"/>
    <w:rsid w:val="00CA21E3"/>
    <w:rsid w:val="00CA2ACE"/>
    <w:rsid w:val="00CA3BA7"/>
    <w:rsid w:val="00CA7866"/>
    <w:rsid w:val="00CA7F24"/>
    <w:rsid w:val="00CB1580"/>
    <w:rsid w:val="00CB21B3"/>
    <w:rsid w:val="00CB4072"/>
    <w:rsid w:val="00CB517A"/>
    <w:rsid w:val="00CC22B1"/>
    <w:rsid w:val="00CC2DC4"/>
    <w:rsid w:val="00CC3988"/>
    <w:rsid w:val="00CC5AF3"/>
    <w:rsid w:val="00CC68BF"/>
    <w:rsid w:val="00CC7C45"/>
    <w:rsid w:val="00CD13B1"/>
    <w:rsid w:val="00CD28EC"/>
    <w:rsid w:val="00CD2DC8"/>
    <w:rsid w:val="00CD561D"/>
    <w:rsid w:val="00CD6EF5"/>
    <w:rsid w:val="00CE20E9"/>
    <w:rsid w:val="00CE4053"/>
    <w:rsid w:val="00CE596E"/>
    <w:rsid w:val="00CF3482"/>
    <w:rsid w:val="00CF4940"/>
    <w:rsid w:val="00CF4CD4"/>
    <w:rsid w:val="00CF72AC"/>
    <w:rsid w:val="00D004E5"/>
    <w:rsid w:val="00D0136A"/>
    <w:rsid w:val="00D0142A"/>
    <w:rsid w:val="00D0150B"/>
    <w:rsid w:val="00D038D7"/>
    <w:rsid w:val="00D052E6"/>
    <w:rsid w:val="00D073F9"/>
    <w:rsid w:val="00D07DD7"/>
    <w:rsid w:val="00D10717"/>
    <w:rsid w:val="00D13DF1"/>
    <w:rsid w:val="00D13EDA"/>
    <w:rsid w:val="00D2261D"/>
    <w:rsid w:val="00D228B8"/>
    <w:rsid w:val="00D24515"/>
    <w:rsid w:val="00D2526B"/>
    <w:rsid w:val="00D266A9"/>
    <w:rsid w:val="00D27660"/>
    <w:rsid w:val="00D30E94"/>
    <w:rsid w:val="00D31401"/>
    <w:rsid w:val="00D324DA"/>
    <w:rsid w:val="00D32A14"/>
    <w:rsid w:val="00D32B43"/>
    <w:rsid w:val="00D339A1"/>
    <w:rsid w:val="00D344F3"/>
    <w:rsid w:val="00D357A4"/>
    <w:rsid w:val="00D36238"/>
    <w:rsid w:val="00D36EB1"/>
    <w:rsid w:val="00D4029D"/>
    <w:rsid w:val="00D451A5"/>
    <w:rsid w:val="00D45283"/>
    <w:rsid w:val="00D477C3"/>
    <w:rsid w:val="00D47DE7"/>
    <w:rsid w:val="00D51271"/>
    <w:rsid w:val="00D53DC5"/>
    <w:rsid w:val="00D5465D"/>
    <w:rsid w:val="00D55406"/>
    <w:rsid w:val="00D5615B"/>
    <w:rsid w:val="00D60759"/>
    <w:rsid w:val="00D6293F"/>
    <w:rsid w:val="00D662E4"/>
    <w:rsid w:val="00D670D3"/>
    <w:rsid w:val="00D67470"/>
    <w:rsid w:val="00D67FC9"/>
    <w:rsid w:val="00D709B5"/>
    <w:rsid w:val="00D73B35"/>
    <w:rsid w:val="00D75B0B"/>
    <w:rsid w:val="00D775D2"/>
    <w:rsid w:val="00D8118D"/>
    <w:rsid w:val="00D82637"/>
    <w:rsid w:val="00D83D34"/>
    <w:rsid w:val="00D85155"/>
    <w:rsid w:val="00D86169"/>
    <w:rsid w:val="00D8652F"/>
    <w:rsid w:val="00D91CBD"/>
    <w:rsid w:val="00D926E9"/>
    <w:rsid w:val="00D92B66"/>
    <w:rsid w:val="00D93CC1"/>
    <w:rsid w:val="00D93EB9"/>
    <w:rsid w:val="00D942A3"/>
    <w:rsid w:val="00D9583F"/>
    <w:rsid w:val="00D97E49"/>
    <w:rsid w:val="00DA1419"/>
    <w:rsid w:val="00DA2603"/>
    <w:rsid w:val="00DA2818"/>
    <w:rsid w:val="00DA2876"/>
    <w:rsid w:val="00DA4875"/>
    <w:rsid w:val="00DA4917"/>
    <w:rsid w:val="00DA61B6"/>
    <w:rsid w:val="00DA7808"/>
    <w:rsid w:val="00DB35F8"/>
    <w:rsid w:val="00DB57B7"/>
    <w:rsid w:val="00DB67E5"/>
    <w:rsid w:val="00DB68CD"/>
    <w:rsid w:val="00DC13F9"/>
    <w:rsid w:val="00DC1D72"/>
    <w:rsid w:val="00DC545A"/>
    <w:rsid w:val="00DC585F"/>
    <w:rsid w:val="00DC77F2"/>
    <w:rsid w:val="00DC78DB"/>
    <w:rsid w:val="00DD08C1"/>
    <w:rsid w:val="00DD2278"/>
    <w:rsid w:val="00DD4F3E"/>
    <w:rsid w:val="00DD67A9"/>
    <w:rsid w:val="00DE2574"/>
    <w:rsid w:val="00DE58C9"/>
    <w:rsid w:val="00DE62BC"/>
    <w:rsid w:val="00DF19F6"/>
    <w:rsid w:val="00DF376E"/>
    <w:rsid w:val="00DF431A"/>
    <w:rsid w:val="00DF6D21"/>
    <w:rsid w:val="00E01F2F"/>
    <w:rsid w:val="00E02136"/>
    <w:rsid w:val="00E02392"/>
    <w:rsid w:val="00E03E17"/>
    <w:rsid w:val="00E042FF"/>
    <w:rsid w:val="00E05C1A"/>
    <w:rsid w:val="00E064CA"/>
    <w:rsid w:val="00E06813"/>
    <w:rsid w:val="00E10053"/>
    <w:rsid w:val="00E15B99"/>
    <w:rsid w:val="00E20664"/>
    <w:rsid w:val="00E21C56"/>
    <w:rsid w:val="00E24E04"/>
    <w:rsid w:val="00E2580D"/>
    <w:rsid w:val="00E2789E"/>
    <w:rsid w:val="00E27F2F"/>
    <w:rsid w:val="00E315D6"/>
    <w:rsid w:val="00E3258F"/>
    <w:rsid w:val="00E330AB"/>
    <w:rsid w:val="00E3317B"/>
    <w:rsid w:val="00E3386F"/>
    <w:rsid w:val="00E341F0"/>
    <w:rsid w:val="00E350BD"/>
    <w:rsid w:val="00E3540A"/>
    <w:rsid w:val="00E36335"/>
    <w:rsid w:val="00E373B4"/>
    <w:rsid w:val="00E37B5C"/>
    <w:rsid w:val="00E37CF8"/>
    <w:rsid w:val="00E413A5"/>
    <w:rsid w:val="00E43380"/>
    <w:rsid w:val="00E44603"/>
    <w:rsid w:val="00E44F24"/>
    <w:rsid w:val="00E455B4"/>
    <w:rsid w:val="00E46FA7"/>
    <w:rsid w:val="00E47328"/>
    <w:rsid w:val="00E479DF"/>
    <w:rsid w:val="00E505D8"/>
    <w:rsid w:val="00E50B83"/>
    <w:rsid w:val="00E5252F"/>
    <w:rsid w:val="00E528C6"/>
    <w:rsid w:val="00E535BD"/>
    <w:rsid w:val="00E54596"/>
    <w:rsid w:val="00E56000"/>
    <w:rsid w:val="00E56378"/>
    <w:rsid w:val="00E60175"/>
    <w:rsid w:val="00E6160E"/>
    <w:rsid w:val="00E63F00"/>
    <w:rsid w:val="00E642DC"/>
    <w:rsid w:val="00E64F71"/>
    <w:rsid w:val="00E67590"/>
    <w:rsid w:val="00E67A1A"/>
    <w:rsid w:val="00E703B1"/>
    <w:rsid w:val="00E7045C"/>
    <w:rsid w:val="00E718EA"/>
    <w:rsid w:val="00E71A6E"/>
    <w:rsid w:val="00E72E55"/>
    <w:rsid w:val="00E74228"/>
    <w:rsid w:val="00E74A24"/>
    <w:rsid w:val="00E76BBE"/>
    <w:rsid w:val="00E77101"/>
    <w:rsid w:val="00E808C9"/>
    <w:rsid w:val="00E80943"/>
    <w:rsid w:val="00E8148D"/>
    <w:rsid w:val="00E818C3"/>
    <w:rsid w:val="00E82DCF"/>
    <w:rsid w:val="00E8561A"/>
    <w:rsid w:val="00E85DE8"/>
    <w:rsid w:val="00E900CF"/>
    <w:rsid w:val="00E9372A"/>
    <w:rsid w:val="00E95441"/>
    <w:rsid w:val="00E979A5"/>
    <w:rsid w:val="00EA03D8"/>
    <w:rsid w:val="00EA0DB1"/>
    <w:rsid w:val="00EA5747"/>
    <w:rsid w:val="00EA7745"/>
    <w:rsid w:val="00EB0F28"/>
    <w:rsid w:val="00EB3F96"/>
    <w:rsid w:val="00EB3FA2"/>
    <w:rsid w:val="00EB4281"/>
    <w:rsid w:val="00EB4A81"/>
    <w:rsid w:val="00EB60D0"/>
    <w:rsid w:val="00EC03D2"/>
    <w:rsid w:val="00EC0719"/>
    <w:rsid w:val="00EC09D5"/>
    <w:rsid w:val="00EC202F"/>
    <w:rsid w:val="00EC3DF9"/>
    <w:rsid w:val="00EC4F93"/>
    <w:rsid w:val="00EC5679"/>
    <w:rsid w:val="00EC5764"/>
    <w:rsid w:val="00EC5DE6"/>
    <w:rsid w:val="00ED2264"/>
    <w:rsid w:val="00ED412E"/>
    <w:rsid w:val="00ED41A8"/>
    <w:rsid w:val="00ED452D"/>
    <w:rsid w:val="00ED5035"/>
    <w:rsid w:val="00ED5703"/>
    <w:rsid w:val="00ED5DD6"/>
    <w:rsid w:val="00ED6AF2"/>
    <w:rsid w:val="00EE29BE"/>
    <w:rsid w:val="00EE3C34"/>
    <w:rsid w:val="00EE3CDA"/>
    <w:rsid w:val="00EF038F"/>
    <w:rsid w:val="00EF07C3"/>
    <w:rsid w:val="00EF493E"/>
    <w:rsid w:val="00EF607A"/>
    <w:rsid w:val="00EF6331"/>
    <w:rsid w:val="00F00241"/>
    <w:rsid w:val="00F01AED"/>
    <w:rsid w:val="00F02876"/>
    <w:rsid w:val="00F064C3"/>
    <w:rsid w:val="00F109A7"/>
    <w:rsid w:val="00F10BFD"/>
    <w:rsid w:val="00F10D7E"/>
    <w:rsid w:val="00F11D60"/>
    <w:rsid w:val="00F12451"/>
    <w:rsid w:val="00F1303C"/>
    <w:rsid w:val="00F132E8"/>
    <w:rsid w:val="00F15550"/>
    <w:rsid w:val="00F15E8D"/>
    <w:rsid w:val="00F175AF"/>
    <w:rsid w:val="00F20DD7"/>
    <w:rsid w:val="00F21CF8"/>
    <w:rsid w:val="00F22A61"/>
    <w:rsid w:val="00F236DC"/>
    <w:rsid w:val="00F2464A"/>
    <w:rsid w:val="00F247BC"/>
    <w:rsid w:val="00F25233"/>
    <w:rsid w:val="00F25EAF"/>
    <w:rsid w:val="00F2719D"/>
    <w:rsid w:val="00F27A13"/>
    <w:rsid w:val="00F3032E"/>
    <w:rsid w:val="00F3124A"/>
    <w:rsid w:val="00F313E8"/>
    <w:rsid w:val="00F31EFE"/>
    <w:rsid w:val="00F3277D"/>
    <w:rsid w:val="00F33D35"/>
    <w:rsid w:val="00F340F0"/>
    <w:rsid w:val="00F34F38"/>
    <w:rsid w:val="00F35253"/>
    <w:rsid w:val="00F36405"/>
    <w:rsid w:val="00F36950"/>
    <w:rsid w:val="00F37625"/>
    <w:rsid w:val="00F41E87"/>
    <w:rsid w:val="00F42120"/>
    <w:rsid w:val="00F428F8"/>
    <w:rsid w:val="00F43B83"/>
    <w:rsid w:val="00F517F3"/>
    <w:rsid w:val="00F53132"/>
    <w:rsid w:val="00F531DC"/>
    <w:rsid w:val="00F53F88"/>
    <w:rsid w:val="00F54274"/>
    <w:rsid w:val="00F5456A"/>
    <w:rsid w:val="00F545FC"/>
    <w:rsid w:val="00F547FE"/>
    <w:rsid w:val="00F56446"/>
    <w:rsid w:val="00F573F1"/>
    <w:rsid w:val="00F57CAC"/>
    <w:rsid w:val="00F62A93"/>
    <w:rsid w:val="00F62F06"/>
    <w:rsid w:val="00F644AD"/>
    <w:rsid w:val="00F66320"/>
    <w:rsid w:val="00F663A8"/>
    <w:rsid w:val="00F66A76"/>
    <w:rsid w:val="00F674BA"/>
    <w:rsid w:val="00F6767A"/>
    <w:rsid w:val="00F67E6A"/>
    <w:rsid w:val="00F70A48"/>
    <w:rsid w:val="00F70BAD"/>
    <w:rsid w:val="00F71668"/>
    <w:rsid w:val="00F73140"/>
    <w:rsid w:val="00F74364"/>
    <w:rsid w:val="00F74666"/>
    <w:rsid w:val="00F7568A"/>
    <w:rsid w:val="00F77C1A"/>
    <w:rsid w:val="00F81073"/>
    <w:rsid w:val="00F812E4"/>
    <w:rsid w:val="00F815BB"/>
    <w:rsid w:val="00F825C9"/>
    <w:rsid w:val="00F83EEA"/>
    <w:rsid w:val="00F8461A"/>
    <w:rsid w:val="00F84BEC"/>
    <w:rsid w:val="00F87FA4"/>
    <w:rsid w:val="00F90063"/>
    <w:rsid w:val="00F90A3D"/>
    <w:rsid w:val="00F91222"/>
    <w:rsid w:val="00F92352"/>
    <w:rsid w:val="00F9267B"/>
    <w:rsid w:val="00F94ACE"/>
    <w:rsid w:val="00F94AE5"/>
    <w:rsid w:val="00F96AF2"/>
    <w:rsid w:val="00F96F50"/>
    <w:rsid w:val="00F970A7"/>
    <w:rsid w:val="00F9738D"/>
    <w:rsid w:val="00FA2228"/>
    <w:rsid w:val="00FA2A03"/>
    <w:rsid w:val="00FA59C4"/>
    <w:rsid w:val="00FA59C6"/>
    <w:rsid w:val="00FA5A3F"/>
    <w:rsid w:val="00FA5B04"/>
    <w:rsid w:val="00FB0EBB"/>
    <w:rsid w:val="00FB13A2"/>
    <w:rsid w:val="00FB15EB"/>
    <w:rsid w:val="00FB47DE"/>
    <w:rsid w:val="00FB4A1C"/>
    <w:rsid w:val="00FB60CC"/>
    <w:rsid w:val="00FB60FB"/>
    <w:rsid w:val="00FB6635"/>
    <w:rsid w:val="00FB6B37"/>
    <w:rsid w:val="00FC111B"/>
    <w:rsid w:val="00FC206B"/>
    <w:rsid w:val="00FC23C7"/>
    <w:rsid w:val="00FC2710"/>
    <w:rsid w:val="00FC4378"/>
    <w:rsid w:val="00FC52C1"/>
    <w:rsid w:val="00FC5A6D"/>
    <w:rsid w:val="00FC5B2A"/>
    <w:rsid w:val="00FD12DB"/>
    <w:rsid w:val="00FD1306"/>
    <w:rsid w:val="00FD3713"/>
    <w:rsid w:val="00FD4587"/>
    <w:rsid w:val="00FD57E2"/>
    <w:rsid w:val="00FD6921"/>
    <w:rsid w:val="00FD77C2"/>
    <w:rsid w:val="00FE2ED7"/>
    <w:rsid w:val="00FE34B0"/>
    <w:rsid w:val="00FE3E6F"/>
    <w:rsid w:val="00FE58C5"/>
    <w:rsid w:val="00FE5ADE"/>
    <w:rsid w:val="00FE5C0B"/>
    <w:rsid w:val="00FE797F"/>
    <w:rsid w:val="00FF052C"/>
    <w:rsid w:val="00FF05CB"/>
    <w:rsid w:val="00FF1B26"/>
    <w:rsid w:val="00FF211E"/>
    <w:rsid w:val="00FF27FB"/>
    <w:rsid w:val="00FF4658"/>
    <w:rsid w:val="00FF609F"/>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08FD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unhideWhenUsed/>
    <w:rsid w:val="00EA5747"/>
    <w:rPr>
      <w:sz w:val="20"/>
    </w:rPr>
  </w:style>
  <w:style w:type="character" w:customStyle="1" w:styleId="TextkomenteChar">
    <w:name w:val="Text komentáře Char"/>
    <w:basedOn w:val="Standardnpsmoodstavce"/>
    <w:link w:val="Textkomente"/>
    <w:uiPriority w:val="99"/>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 w:type="character" w:customStyle="1" w:styleId="Nevyeenzmnka2">
    <w:name w:val="Nevyřešená zmínka2"/>
    <w:basedOn w:val="Standardnpsmoodstavce"/>
    <w:uiPriority w:val="99"/>
    <w:semiHidden/>
    <w:unhideWhenUsed/>
    <w:rsid w:val="005A0ACF"/>
    <w:rPr>
      <w:color w:val="605E5C"/>
      <w:shd w:val="clear" w:color="auto" w:fill="E1DFDD"/>
    </w:rPr>
  </w:style>
  <w:style w:type="character" w:styleId="Nevyeenzmnka">
    <w:name w:val="Unresolved Mention"/>
    <w:basedOn w:val="Standardnpsmoodstavce"/>
    <w:uiPriority w:val="99"/>
    <w:semiHidden/>
    <w:unhideWhenUsed/>
    <w:rsid w:val="00BA19E0"/>
    <w:rPr>
      <w:color w:val="605E5C"/>
      <w:shd w:val="clear" w:color="auto" w:fill="E1DFDD"/>
    </w:rPr>
  </w:style>
  <w:style w:type="table" w:styleId="Mkatabulky">
    <w:name w:val="Table Grid"/>
    <w:basedOn w:val="Normlntabulka"/>
    <w:uiPriority w:val="39"/>
    <w:rsid w:val="0001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6F7BDA"/>
    <w:rPr>
      <w:sz w:val="20"/>
    </w:rPr>
  </w:style>
  <w:style w:type="character" w:customStyle="1" w:styleId="TextpoznpodarouChar">
    <w:name w:val="Text pozn. pod čarou Char"/>
    <w:basedOn w:val="Standardnpsmoodstavce"/>
    <w:link w:val="Textpoznpodarou"/>
    <w:uiPriority w:val="99"/>
    <w:semiHidden/>
    <w:rsid w:val="006F7BDA"/>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6F7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0764336">
      <w:bodyDiv w:val="1"/>
      <w:marLeft w:val="0"/>
      <w:marRight w:val="0"/>
      <w:marTop w:val="0"/>
      <w:marBottom w:val="0"/>
      <w:divBdr>
        <w:top w:val="none" w:sz="0" w:space="0" w:color="auto"/>
        <w:left w:val="none" w:sz="0" w:space="0" w:color="auto"/>
        <w:bottom w:val="none" w:sz="0" w:space="0" w:color="auto"/>
        <w:right w:val="none" w:sz="0" w:space="0" w:color="auto"/>
      </w:divBdr>
    </w:div>
    <w:div w:id="65881925">
      <w:bodyDiv w:val="1"/>
      <w:marLeft w:val="0"/>
      <w:marRight w:val="0"/>
      <w:marTop w:val="0"/>
      <w:marBottom w:val="0"/>
      <w:divBdr>
        <w:top w:val="none" w:sz="0" w:space="0" w:color="auto"/>
        <w:left w:val="none" w:sz="0" w:space="0" w:color="auto"/>
        <w:bottom w:val="none" w:sz="0" w:space="0" w:color="auto"/>
        <w:right w:val="none" w:sz="0" w:space="0" w:color="auto"/>
      </w:divBdr>
    </w:div>
    <w:div w:id="66729864">
      <w:bodyDiv w:val="1"/>
      <w:marLeft w:val="0"/>
      <w:marRight w:val="0"/>
      <w:marTop w:val="0"/>
      <w:marBottom w:val="0"/>
      <w:divBdr>
        <w:top w:val="none" w:sz="0" w:space="0" w:color="auto"/>
        <w:left w:val="none" w:sz="0" w:space="0" w:color="auto"/>
        <w:bottom w:val="none" w:sz="0" w:space="0" w:color="auto"/>
        <w:right w:val="none" w:sz="0" w:space="0" w:color="auto"/>
      </w:divBdr>
    </w:div>
    <w:div w:id="75367933">
      <w:bodyDiv w:val="1"/>
      <w:marLeft w:val="0"/>
      <w:marRight w:val="0"/>
      <w:marTop w:val="0"/>
      <w:marBottom w:val="0"/>
      <w:divBdr>
        <w:top w:val="none" w:sz="0" w:space="0" w:color="auto"/>
        <w:left w:val="none" w:sz="0" w:space="0" w:color="auto"/>
        <w:bottom w:val="none" w:sz="0" w:space="0" w:color="auto"/>
        <w:right w:val="none" w:sz="0" w:space="0" w:color="auto"/>
      </w:divBdr>
    </w:div>
    <w:div w:id="97651239">
      <w:bodyDiv w:val="1"/>
      <w:marLeft w:val="0"/>
      <w:marRight w:val="0"/>
      <w:marTop w:val="0"/>
      <w:marBottom w:val="0"/>
      <w:divBdr>
        <w:top w:val="none" w:sz="0" w:space="0" w:color="auto"/>
        <w:left w:val="none" w:sz="0" w:space="0" w:color="auto"/>
        <w:bottom w:val="none" w:sz="0" w:space="0" w:color="auto"/>
        <w:right w:val="none" w:sz="0" w:space="0" w:color="auto"/>
      </w:divBdr>
    </w:div>
    <w:div w:id="104077534">
      <w:bodyDiv w:val="1"/>
      <w:marLeft w:val="0"/>
      <w:marRight w:val="0"/>
      <w:marTop w:val="0"/>
      <w:marBottom w:val="0"/>
      <w:divBdr>
        <w:top w:val="none" w:sz="0" w:space="0" w:color="auto"/>
        <w:left w:val="none" w:sz="0" w:space="0" w:color="auto"/>
        <w:bottom w:val="none" w:sz="0" w:space="0" w:color="auto"/>
        <w:right w:val="none" w:sz="0" w:space="0" w:color="auto"/>
      </w:divBdr>
    </w:div>
    <w:div w:id="132212633">
      <w:bodyDiv w:val="1"/>
      <w:marLeft w:val="0"/>
      <w:marRight w:val="0"/>
      <w:marTop w:val="0"/>
      <w:marBottom w:val="0"/>
      <w:divBdr>
        <w:top w:val="none" w:sz="0" w:space="0" w:color="auto"/>
        <w:left w:val="none" w:sz="0" w:space="0" w:color="auto"/>
        <w:bottom w:val="none" w:sz="0" w:space="0" w:color="auto"/>
        <w:right w:val="none" w:sz="0" w:space="0" w:color="auto"/>
      </w:divBdr>
    </w:div>
    <w:div w:id="158036286">
      <w:bodyDiv w:val="1"/>
      <w:marLeft w:val="0"/>
      <w:marRight w:val="0"/>
      <w:marTop w:val="0"/>
      <w:marBottom w:val="0"/>
      <w:divBdr>
        <w:top w:val="none" w:sz="0" w:space="0" w:color="auto"/>
        <w:left w:val="none" w:sz="0" w:space="0" w:color="auto"/>
        <w:bottom w:val="none" w:sz="0" w:space="0" w:color="auto"/>
        <w:right w:val="none" w:sz="0" w:space="0" w:color="auto"/>
      </w:divBdr>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180977078">
      <w:bodyDiv w:val="1"/>
      <w:marLeft w:val="0"/>
      <w:marRight w:val="0"/>
      <w:marTop w:val="0"/>
      <w:marBottom w:val="0"/>
      <w:divBdr>
        <w:top w:val="none" w:sz="0" w:space="0" w:color="auto"/>
        <w:left w:val="none" w:sz="0" w:space="0" w:color="auto"/>
        <w:bottom w:val="none" w:sz="0" w:space="0" w:color="auto"/>
        <w:right w:val="none" w:sz="0" w:space="0" w:color="auto"/>
      </w:divBdr>
    </w:div>
    <w:div w:id="212281255">
      <w:bodyDiv w:val="1"/>
      <w:marLeft w:val="0"/>
      <w:marRight w:val="0"/>
      <w:marTop w:val="0"/>
      <w:marBottom w:val="0"/>
      <w:divBdr>
        <w:top w:val="none" w:sz="0" w:space="0" w:color="auto"/>
        <w:left w:val="none" w:sz="0" w:space="0" w:color="auto"/>
        <w:bottom w:val="none" w:sz="0" w:space="0" w:color="auto"/>
        <w:right w:val="none" w:sz="0" w:space="0" w:color="auto"/>
      </w:divBdr>
    </w:div>
    <w:div w:id="212424732">
      <w:bodyDiv w:val="1"/>
      <w:marLeft w:val="0"/>
      <w:marRight w:val="0"/>
      <w:marTop w:val="0"/>
      <w:marBottom w:val="0"/>
      <w:divBdr>
        <w:top w:val="none" w:sz="0" w:space="0" w:color="auto"/>
        <w:left w:val="none" w:sz="0" w:space="0" w:color="auto"/>
        <w:bottom w:val="none" w:sz="0" w:space="0" w:color="auto"/>
        <w:right w:val="none" w:sz="0" w:space="0" w:color="auto"/>
      </w:divBdr>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14389258">
      <w:bodyDiv w:val="1"/>
      <w:marLeft w:val="0"/>
      <w:marRight w:val="0"/>
      <w:marTop w:val="0"/>
      <w:marBottom w:val="0"/>
      <w:divBdr>
        <w:top w:val="none" w:sz="0" w:space="0" w:color="auto"/>
        <w:left w:val="none" w:sz="0" w:space="0" w:color="auto"/>
        <w:bottom w:val="none" w:sz="0" w:space="0" w:color="auto"/>
        <w:right w:val="none" w:sz="0" w:space="0" w:color="auto"/>
      </w:divBdr>
    </w:div>
    <w:div w:id="215168246">
      <w:bodyDiv w:val="1"/>
      <w:marLeft w:val="0"/>
      <w:marRight w:val="0"/>
      <w:marTop w:val="0"/>
      <w:marBottom w:val="0"/>
      <w:divBdr>
        <w:top w:val="none" w:sz="0" w:space="0" w:color="auto"/>
        <w:left w:val="none" w:sz="0" w:space="0" w:color="auto"/>
        <w:bottom w:val="none" w:sz="0" w:space="0" w:color="auto"/>
        <w:right w:val="none" w:sz="0" w:space="0" w:color="auto"/>
      </w:divBdr>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31698303">
      <w:bodyDiv w:val="1"/>
      <w:marLeft w:val="0"/>
      <w:marRight w:val="0"/>
      <w:marTop w:val="0"/>
      <w:marBottom w:val="0"/>
      <w:divBdr>
        <w:top w:val="none" w:sz="0" w:space="0" w:color="auto"/>
        <w:left w:val="none" w:sz="0" w:space="0" w:color="auto"/>
        <w:bottom w:val="none" w:sz="0" w:space="0" w:color="auto"/>
        <w:right w:val="none" w:sz="0" w:space="0" w:color="auto"/>
      </w:divBdr>
    </w:div>
    <w:div w:id="236210548">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31490063">
      <w:bodyDiv w:val="1"/>
      <w:marLeft w:val="0"/>
      <w:marRight w:val="0"/>
      <w:marTop w:val="0"/>
      <w:marBottom w:val="0"/>
      <w:divBdr>
        <w:top w:val="none" w:sz="0" w:space="0" w:color="auto"/>
        <w:left w:val="none" w:sz="0" w:space="0" w:color="auto"/>
        <w:bottom w:val="none" w:sz="0" w:space="0" w:color="auto"/>
        <w:right w:val="none" w:sz="0" w:space="0" w:color="auto"/>
      </w:divBdr>
    </w:div>
    <w:div w:id="343899673">
      <w:bodyDiv w:val="1"/>
      <w:marLeft w:val="0"/>
      <w:marRight w:val="0"/>
      <w:marTop w:val="0"/>
      <w:marBottom w:val="0"/>
      <w:divBdr>
        <w:top w:val="none" w:sz="0" w:space="0" w:color="auto"/>
        <w:left w:val="none" w:sz="0" w:space="0" w:color="auto"/>
        <w:bottom w:val="none" w:sz="0" w:space="0" w:color="auto"/>
        <w:right w:val="none" w:sz="0" w:space="0" w:color="auto"/>
      </w:divBdr>
    </w:div>
    <w:div w:id="358311346">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08618435">
      <w:bodyDiv w:val="1"/>
      <w:marLeft w:val="0"/>
      <w:marRight w:val="0"/>
      <w:marTop w:val="0"/>
      <w:marBottom w:val="0"/>
      <w:divBdr>
        <w:top w:val="none" w:sz="0" w:space="0" w:color="auto"/>
        <w:left w:val="none" w:sz="0" w:space="0" w:color="auto"/>
        <w:bottom w:val="none" w:sz="0" w:space="0" w:color="auto"/>
        <w:right w:val="none" w:sz="0" w:space="0" w:color="auto"/>
      </w:divBdr>
    </w:div>
    <w:div w:id="411201801">
      <w:bodyDiv w:val="1"/>
      <w:marLeft w:val="0"/>
      <w:marRight w:val="0"/>
      <w:marTop w:val="0"/>
      <w:marBottom w:val="0"/>
      <w:divBdr>
        <w:top w:val="none" w:sz="0" w:space="0" w:color="auto"/>
        <w:left w:val="none" w:sz="0" w:space="0" w:color="auto"/>
        <w:bottom w:val="none" w:sz="0" w:space="0" w:color="auto"/>
        <w:right w:val="none" w:sz="0" w:space="0" w:color="auto"/>
      </w:divBdr>
    </w:div>
    <w:div w:id="420875207">
      <w:bodyDiv w:val="1"/>
      <w:marLeft w:val="0"/>
      <w:marRight w:val="0"/>
      <w:marTop w:val="0"/>
      <w:marBottom w:val="0"/>
      <w:divBdr>
        <w:top w:val="none" w:sz="0" w:space="0" w:color="auto"/>
        <w:left w:val="none" w:sz="0" w:space="0" w:color="auto"/>
        <w:bottom w:val="none" w:sz="0" w:space="0" w:color="auto"/>
        <w:right w:val="none" w:sz="0" w:space="0" w:color="auto"/>
      </w:divBdr>
    </w:div>
    <w:div w:id="421756657">
      <w:bodyDiv w:val="1"/>
      <w:marLeft w:val="0"/>
      <w:marRight w:val="0"/>
      <w:marTop w:val="0"/>
      <w:marBottom w:val="0"/>
      <w:divBdr>
        <w:top w:val="none" w:sz="0" w:space="0" w:color="auto"/>
        <w:left w:val="none" w:sz="0" w:space="0" w:color="auto"/>
        <w:bottom w:val="none" w:sz="0" w:space="0" w:color="auto"/>
        <w:right w:val="none" w:sz="0" w:space="0" w:color="auto"/>
      </w:divBdr>
    </w:div>
    <w:div w:id="430663453">
      <w:bodyDiv w:val="1"/>
      <w:marLeft w:val="0"/>
      <w:marRight w:val="0"/>
      <w:marTop w:val="0"/>
      <w:marBottom w:val="0"/>
      <w:divBdr>
        <w:top w:val="none" w:sz="0" w:space="0" w:color="auto"/>
        <w:left w:val="none" w:sz="0" w:space="0" w:color="auto"/>
        <w:bottom w:val="none" w:sz="0" w:space="0" w:color="auto"/>
        <w:right w:val="none" w:sz="0" w:space="0" w:color="auto"/>
      </w:divBdr>
    </w:div>
    <w:div w:id="443963842">
      <w:bodyDiv w:val="1"/>
      <w:marLeft w:val="0"/>
      <w:marRight w:val="0"/>
      <w:marTop w:val="0"/>
      <w:marBottom w:val="0"/>
      <w:divBdr>
        <w:top w:val="none" w:sz="0" w:space="0" w:color="auto"/>
        <w:left w:val="none" w:sz="0" w:space="0" w:color="auto"/>
        <w:bottom w:val="none" w:sz="0" w:space="0" w:color="auto"/>
        <w:right w:val="none" w:sz="0" w:space="0" w:color="auto"/>
      </w:divBdr>
    </w:div>
    <w:div w:id="448546075">
      <w:bodyDiv w:val="1"/>
      <w:marLeft w:val="0"/>
      <w:marRight w:val="0"/>
      <w:marTop w:val="0"/>
      <w:marBottom w:val="0"/>
      <w:divBdr>
        <w:top w:val="none" w:sz="0" w:space="0" w:color="auto"/>
        <w:left w:val="none" w:sz="0" w:space="0" w:color="auto"/>
        <w:bottom w:val="none" w:sz="0" w:space="0" w:color="auto"/>
        <w:right w:val="none" w:sz="0" w:space="0" w:color="auto"/>
      </w:divBdr>
    </w:div>
    <w:div w:id="507059065">
      <w:bodyDiv w:val="1"/>
      <w:marLeft w:val="0"/>
      <w:marRight w:val="0"/>
      <w:marTop w:val="0"/>
      <w:marBottom w:val="0"/>
      <w:divBdr>
        <w:top w:val="none" w:sz="0" w:space="0" w:color="auto"/>
        <w:left w:val="none" w:sz="0" w:space="0" w:color="auto"/>
        <w:bottom w:val="none" w:sz="0" w:space="0" w:color="auto"/>
        <w:right w:val="none" w:sz="0" w:space="0" w:color="auto"/>
      </w:divBdr>
    </w:div>
    <w:div w:id="512230630">
      <w:bodyDiv w:val="1"/>
      <w:marLeft w:val="0"/>
      <w:marRight w:val="0"/>
      <w:marTop w:val="0"/>
      <w:marBottom w:val="0"/>
      <w:divBdr>
        <w:top w:val="none" w:sz="0" w:space="0" w:color="auto"/>
        <w:left w:val="none" w:sz="0" w:space="0" w:color="auto"/>
        <w:bottom w:val="none" w:sz="0" w:space="0" w:color="auto"/>
        <w:right w:val="none" w:sz="0" w:space="0" w:color="auto"/>
      </w:divBdr>
    </w:div>
    <w:div w:id="530805065">
      <w:bodyDiv w:val="1"/>
      <w:marLeft w:val="0"/>
      <w:marRight w:val="0"/>
      <w:marTop w:val="0"/>
      <w:marBottom w:val="0"/>
      <w:divBdr>
        <w:top w:val="none" w:sz="0" w:space="0" w:color="auto"/>
        <w:left w:val="none" w:sz="0" w:space="0" w:color="auto"/>
        <w:bottom w:val="none" w:sz="0" w:space="0" w:color="auto"/>
        <w:right w:val="none" w:sz="0" w:space="0" w:color="auto"/>
      </w:divBdr>
    </w:div>
    <w:div w:id="541747342">
      <w:bodyDiv w:val="1"/>
      <w:marLeft w:val="0"/>
      <w:marRight w:val="0"/>
      <w:marTop w:val="0"/>
      <w:marBottom w:val="0"/>
      <w:divBdr>
        <w:top w:val="none" w:sz="0" w:space="0" w:color="auto"/>
        <w:left w:val="none" w:sz="0" w:space="0" w:color="auto"/>
        <w:bottom w:val="none" w:sz="0" w:space="0" w:color="auto"/>
        <w:right w:val="none" w:sz="0" w:space="0" w:color="auto"/>
      </w:divBdr>
    </w:div>
    <w:div w:id="547766773">
      <w:bodyDiv w:val="1"/>
      <w:marLeft w:val="0"/>
      <w:marRight w:val="0"/>
      <w:marTop w:val="0"/>
      <w:marBottom w:val="0"/>
      <w:divBdr>
        <w:top w:val="none" w:sz="0" w:space="0" w:color="auto"/>
        <w:left w:val="none" w:sz="0" w:space="0" w:color="auto"/>
        <w:bottom w:val="none" w:sz="0" w:space="0" w:color="auto"/>
        <w:right w:val="none" w:sz="0" w:space="0" w:color="auto"/>
      </w:divBdr>
    </w:div>
    <w:div w:id="558173341">
      <w:bodyDiv w:val="1"/>
      <w:marLeft w:val="0"/>
      <w:marRight w:val="0"/>
      <w:marTop w:val="0"/>
      <w:marBottom w:val="0"/>
      <w:divBdr>
        <w:top w:val="none" w:sz="0" w:space="0" w:color="auto"/>
        <w:left w:val="none" w:sz="0" w:space="0" w:color="auto"/>
        <w:bottom w:val="none" w:sz="0" w:space="0" w:color="auto"/>
        <w:right w:val="none" w:sz="0" w:space="0" w:color="auto"/>
      </w:divBdr>
    </w:div>
    <w:div w:id="566258281">
      <w:bodyDiv w:val="1"/>
      <w:marLeft w:val="0"/>
      <w:marRight w:val="0"/>
      <w:marTop w:val="0"/>
      <w:marBottom w:val="0"/>
      <w:divBdr>
        <w:top w:val="none" w:sz="0" w:space="0" w:color="auto"/>
        <w:left w:val="none" w:sz="0" w:space="0" w:color="auto"/>
        <w:bottom w:val="none" w:sz="0" w:space="0" w:color="auto"/>
        <w:right w:val="none" w:sz="0" w:space="0" w:color="auto"/>
      </w:divBdr>
    </w:div>
    <w:div w:id="624774902">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759524415">
      <w:bodyDiv w:val="1"/>
      <w:marLeft w:val="0"/>
      <w:marRight w:val="0"/>
      <w:marTop w:val="0"/>
      <w:marBottom w:val="0"/>
      <w:divBdr>
        <w:top w:val="none" w:sz="0" w:space="0" w:color="auto"/>
        <w:left w:val="none" w:sz="0" w:space="0" w:color="auto"/>
        <w:bottom w:val="none" w:sz="0" w:space="0" w:color="auto"/>
        <w:right w:val="none" w:sz="0" w:space="0" w:color="auto"/>
      </w:divBdr>
    </w:div>
    <w:div w:id="817648807">
      <w:bodyDiv w:val="1"/>
      <w:marLeft w:val="0"/>
      <w:marRight w:val="0"/>
      <w:marTop w:val="0"/>
      <w:marBottom w:val="0"/>
      <w:divBdr>
        <w:top w:val="none" w:sz="0" w:space="0" w:color="auto"/>
        <w:left w:val="none" w:sz="0" w:space="0" w:color="auto"/>
        <w:bottom w:val="none" w:sz="0" w:space="0" w:color="auto"/>
        <w:right w:val="none" w:sz="0" w:space="0" w:color="auto"/>
      </w:divBdr>
    </w:div>
    <w:div w:id="822359253">
      <w:bodyDiv w:val="1"/>
      <w:marLeft w:val="0"/>
      <w:marRight w:val="0"/>
      <w:marTop w:val="0"/>
      <w:marBottom w:val="0"/>
      <w:divBdr>
        <w:top w:val="none" w:sz="0" w:space="0" w:color="auto"/>
        <w:left w:val="none" w:sz="0" w:space="0" w:color="auto"/>
        <w:bottom w:val="none" w:sz="0" w:space="0" w:color="auto"/>
        <w:right w:val="none" w:sz="0" w:space="0" w:color="auto"/>
      </w:divBdr>
    </w:div>
    <w:div w:id="832257858">
      <w:bodyDiv w:val="1"/>
      <w:marLeft w:val="0"/>
      <w:marRight w:val="0"/>
      <w:marTop w:val="0"/>
      <w:marBottom w:val="0"/>
      <w:divBdr>
        <w:top w:val="none" w:sz="0" w:space="0" w:color="auto"/>
        <w:left w:val="none" w:sz="0" w:space="0" w:color="auto"/>
        <w:bottom w:val="none" w:sz="0" w:space="0" w:color="auto"/>
        <w:right w:val="none" w:sz="0" w:space="0" w:color="auto"/>
      </w:divBdr>
    </w:div>
    <w:div w:id="832260493">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81332576">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52442645">
      <w:bodyDiv w:val="1"/>
      <w:marLeft w:val="0"/>
      <w:marRight w:val="0"/>
      <w:marTop w:val="0"/>
      <w:marBottom w:val="0"/>
      <w:divBdr>
        <w:top w:val="none" w:sz="0" w:space="0" w:color="auto"/>
        <w:left w:val="none" w:sz="0" w:space="0" w:color="auto"/>
        <w:bottom w:val="none" w:sz="0" w:space="0" w:color="auto"/>
        <w:right w:val="none" w:sz="0" w:space="0" w:color="auto"/>
      </w:divBdr>
    </w:div>
    <w:div w:id="968975400">
      <w:bodyDiv w:val="1"/>
      <w:marLeft w:val="0"/>
      <w:marRight w:val="0"/>
      <w:marTop w:val="0"/>
      <w:marBottom w:val="0"/>
      <w:divBdr>
        <w:top w:val="none" w:sz="0" w:space="0" w:color="auto"/>
        <w:left w:val="none" w:sz="0" w:space="0" w:color="auto"/>
        <w:bottom w:val="none" w:sz="0" w:space="0" w:color="auto"/>
        <w:right w:val="none" w:sz="0" w:space="0" w:color="auto"/>
      </w:divBdr>
      <w:divsChild>
        <w:div w:id="1350522814">
          <w:marLeft w:val="0"/>
          <w:marRight w:val="150"/>
          <w:marTop w:val="0"/>
          <w:marBottom w:val="0"/>
          <w:divBdr>
            <w:top w:val="single" w:sz="2" w:space="0" w:color="000000"/>
            <w:left w:val="single" w:sz="2" w:space="0" w:color="000000"/>
            <w:bottom w:val="single" w:sz="2" w:space="0" w:color="000000"/>
            <w:right w:val="single" w:sz="2" w:space="0" w:color="000000"/>
          </w:divBdr>
          <w:divsChild>
            <w:div w:id="419184993">
              <w:marLeft w:val="0"/>
              <w:marRight w:val="0"/>
              <w:marTop w:val="0"/>
              <w:marBottom w:val="0"/>
              <w:divBdr>
                <w:top w:val="single" w:sz="2" w:space="0" w:color="000000"/>
                <w:left w:val="single" w:sz="2" w:space="0" w:color="000000"/>
                <w:bottom w:val="single" w:sz="2" w:space="0" w:color="000000"/>
                <w:right w:val="single" w:sz="2" w:space="0" w:color="000000"/>
              </w:divBdr>
              <w:divsChild>
                <w:div w:id="1983074791">
                  <w:marLeft w:val="0"/>
                  <w:marRight w:val="0"/>
                  <w:marTop w:val="0"/>
                  <w:marBottom w:val="0"/>
                  <w:divBdr>
                    <w:top w:val="single" w:sz="2" w:space="0" w:color="000000"/>
                    <w:left w:val="single" w:sz="2" w:space="0" w:color="000000"/>
                    <w:bottom w:val="single" w:sz="2" w:space="0" w:color="000000"/>
                    <w:right w:val="single" w:sz="2" w:space="0" w:color="000000"/>
                  </w:divBdr>
                  <w:divsChild>
                    <w:div w:id="914239938">
                      <w:marLeft w:val="0"/>
                      <w:marRight w:val="0"/>
                      <w:marTop w:val="0"/>
                      <w:marBottom w:val="0"/>
                      <w:divBdr>
                        <w:top w:val="single" w:sz="2" w:space="0" w:color="000000"/>
                        <w:left w:val="single" w:sz="2" w:space="0" w:color="000000"/>
                        <w:bottom w:val="single" w:sz="2" w:space="0" w:color="000000"/>
                        <w:right w:val="single" w:sz="2" w:space="0" w:color="000000"/>
                      </w:divBdr>
                      <w:divsChild>
                        <w:div w:id="929580508">
                          <w:marLeft w:val="0"/>
                          <w:marRight w:val="0"/>
                          <w:marTop w:val="0"/>
                          <w:marBottom w:val="0"/>
                          <w:divBdr>
                            <w:top w:val="none" w:sz="0" w:space="0" w:color="auto"/>
                            <w:left w:val="none" w:sz="0" w:space="0" w:color="auto"/>
                            <w:bottom w:val="none" w:sz="0" w:space="0" w:color="auto"/>
                            <w:right w:val="none" w:sz="0" w:space="0" w:color="auto"/>
                          </w:divBdr>
                          <w:divsChild>
                            <w:div w:id="2019498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8825838">
          <w:marLeft w:val="0"/>
          <w:marRight w:val="0"/>
          <w:marTop w:val="0"/>
          <w:marBottom w:val="0"/>
          <w:divBdr>
            <w:top w:val="single" w:sz="2" w:space="0" w:color="000000"/>
            <w:left w:val="single" w:sz="2" w:space="0" w:color="000000"/>
            <w:bottom w:val="single" w:sz="2" w:space="8" w:color="000000"/>
            <w:right w:val="single" w:sz="2" w:space="0" w:color="000000"/>
          </w:divBdr>
          <w:divsChild>
            <w:div w:id="2075395400">
              <w:marLeft w:val="0"/>
              <w:marRight w:val="0"/>
              <w:marTop w:val="0"/>
              <w:marBottom w:val="0"/>
              <w:divBdr>
                <w:top w:val="single" w:sz="2" w:space="0" w:color="000000"/>
                <w:left w:val="single" w:sz="2" w:space="0" w:color="000000"/>
                <w:bottom w:val="single" w:sz="2" w:space="0" w:color="000000"/>
                <w:right w:val="single" w:sz="2" w:space="0" w:color="000000"/>
              </w:divBdr>
              <w:divsChild>
                <w:div w:id="201989819">
                  <w:marLeft w:val="0"/>
                  <w:marRight w:val="0"/>
                  <w:marTop w:val="0"/>
                  <w:marBottom w:val="30"/>
                  <w:divBdr>
                    <w:top w:val="single" w:sz="2" w:space="0" w:color="000000"/>
                    <w:left w:val="single" w:sz="2" w:space="0" w:color="000000"/>
                    <w:bottom w:val="single" w:sz="2" w:space="0" w:color="000000"/>
                    <w:right w:val="single" w:sz="2" w:space="0" w:color="000000"/>
                  </w:divBdr>
                  <w:divsChild>
                    <w:div w:id="1779834749">
                      <w:marLeft w:val="0"/>
                      <w:marRight w:val="0"/>
                      <w:marTop w:val="0"/>
                      <w:marBottom w:val="0"/>
                      <w:divBdr>
                        <w:top w:val="single" w:sz="2" w:space="0" w:color="000000"/>
                        <w:left w:val="single" w:sz="2" w:space="0" w:color="000000"/>
                        <w:bottom w:val="single" w:sz="2" w:space="0" w:color="000000"/>
                        <w:right w:val="single" w:sz="2" w:space="0" w:color="000000"/>
                      </w:divBdr>
                      <w:divsChild>
                        <w:div w:id="70584360">
                          <w:marLeft w:val="0"/>
                          <w:marRight w:val="0"/>
                          <w:marTop w:val="0"/>
                          <w:marBottom w:val="0"/>
                          <w:divBdr>
                            <w:top w:val="single" w:sz="2" w:space="0" w:color="000000"/>
                            <w:left w:val="single" w:sz="2" w:space="0" w:color="000000"/>
                            <w:bottom w:val="single" w:sz="2" w:space="0" w:color="000000"/>
                            <w:right w:val="single" w:sz="2" w:space="0" w:color="000000"/>
                          </w:divBdr>
                          <w:divsChild>
                            <w:div w:id="1392079576">
                              <w:marLeft w:val="0"/>
                              <w:marRight w:val="0"/>
                              <w:marTop w:val="0"/>
                              <w:marBottom w:val="0"/>
                              <w:divBdr>
                                <w:top w:val="single" w:sz="2" w:space="0" w:color="000000"/>
                                <w:left w:val="single" w:sz="2" w:space="0" w:color="000000"/>
                                <w:bottom w:val="single" w:sz="2" w:space="0" w:color="000000"/>
                                <w:right w:val="single" w:sz="2" w:space="0" w:color="000000"/>
                              </w:divBdr>
                              <w:divsChild>
                                <w:div w:id="1962956154">
                                  <w:marLeft w:val="0"/>
                                  <w:marRight w:val="0"/>
                                  <w:marTop w:val="0"/>
                                  <w:marBottom w:val="0"/>
                                  <w:divBdr>
                                    <w:top w:val="single" w:sz="2" w:space="0" w:color="000000"/>
                                    <w:left w:val="single" w:sz="2" w:space="0" w:color="000000"/>
                                    <w:bottom w:val="single" w:sz="2" w:space="0" w:color="000000"/>
                                    <w:right w:val="single" w:sz="2" w:space="0" w:color="000000"/>
                                  </w:divBdr>
                                  <w:divsChild>
                                    <w:div w:id="1719091966">
                                      <w:marLeft w:val="0"/>
                                      <w:marRight w:val="0"/>
                                      <w:marTop w:val="0"/>
                                      <w:marBottom w:val="0"/>
                                      <w:divBdr>
                                        <w:top w:val="single" w:sz="2" w:space="0" w:color="000000"/>
                                        <w:left w:val="single" w:sz="2" w:space="0" w:color="000000"/>
                                        <w:bottom w:val="single" w:sz="2" w:space="0" w:color="000000"/>
                                        <w:right w:val="single" w:sz="2" w:space="0" w:color="000000"/>
                                      </w:divBdr>
                                      <w:divsChild>
                                        <w:div w:id="2044553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9860268">
                                      <w:marLeft w:val="75"/>
                                      <w:marRight w:val="0"/>
                                      <w:marTop w:val="0"/>
                                      <w:marBottom w:val="0"/>
                                      <w:divBdr>
                                        <w:top w:val="single" w:sz="2" w:space="0" w:color="000000"/>
                                        <w:left w:val="single" w:sz="2" w:space="0" w:color="000000"/>
                                        <w:bottom w:val="single" w:sz="2" w:space="0" w:color="000000"/>
                                        <w:right w:val="single" w:sz="2" w:space="0" w:color="000000"/>
                                      </w:divBdr>
                                      <w:divsChild>
                                        <w:div w:id="85446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290291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96210244">
              <w:marLeft w:val="0"/>
              <w:marRight w:val="0"/>
              <w:marTop w:val="0"/>
              <w:marBottom w:val="0"/>
              <w:divBdr>
                <w:top w:val="single" w:sz="2" w:space="0" w:color="000000"/>
                <w:left w:val="single" w:sz="2" w:space="0" w:color="000000"/>
                <w:bottom w:val="single" w:sz="2" w:space="0" w:color="000000"/>
                <w:right w:val="single" w:sz="2" w:space="0" w:color="000000"/>
              </w:divBdr>
              <w:divsChild>
                <w:div w:id="1702171599">
                  <w:marLeft w:val="0"/>
                  <w:marRight w:val="0"/>
                  <w:marTop w:val="0"/>
                  <w:marBottom w:val="0"/>
                  <w:divBdr>
                    <w:top w:val="single" w:sz="2" w:space="0" w:color="000000"/>
                    <w:left w:val="single" w:sz="2" w:space="0" w:color="000000"/>
                    <w:bottom w:val="single" w:sz="2" w:space="0" w:color="000000"/>
                    <w:right w:val="single" w:sz="2" w:space="0" w:color="000000"/>
                  </w:divBdr>
                  <w:divsChild>
                    <w:div w:id="555556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033238">
                  <w:marLeft w:val="0"/>
                  <w:marRight w:val="0"/>
                  <w:marTop w:val="0"/>
                  <w:marBottom w:val="0"/>
                  <w:divBdr>
                    <w:top w:val="single" w:sz="2" w:space="0" w:color="000000"/>
                    <w:left w:val="single" w:sz="2" w:space="0" w:color="000000"/>
                    <w:bottom w:val="single" w:sz="2" w:space="0" w:color="000000"/>
                    <w:right w:val="single" w:sz="2" w:space="0" w:color="000000"/>
                  </w:divBdr>
                  <w:divsChild>
                    <w:div w:id="1143278826">
                      <w:marLeft w:val="0"/>
                      <w:marRight w:val="0"/>
                      <w:marTop w:val="0"/>
                      <w:marBottom w:val="0"/>
                      <w:divBdr>
                        <w:top w:val="single" w:sz="2" w:space="0" w:color="000000"/>
                        <w:left w:val="single" w:sz="2" w:space="0" w:color="000000"/>
                        <w:bottom w:val="single" w:sz="2" w:space="0" w:color="000000"/>
                        <w:right w:val="single" w:sz="2" w:space="0" w:color="000000"/>
                      </w:divBdr>
                      <w:divsChild>
                        <w:div w:id="1894271443">
                          <w:marLeft w:val="0"/>
                          <w:marRight w:val="0"/>
                          <w:marTop w:val="150"/>
                          <w:marBottom w:val="0"/>
                          <w:divBdr>
                            <w:top w:val="single" w:sz="2" w:space="0" w:color="000000"/>
                            <w:left w:val="single" w:sz="2" w:space="0" w:color="000000"/>
                            <w:bottom w:val="single" w:sz="2" w:space="0" w:color="000000"/>
                            <w:right w:val="single" w:sz="2" w:space="0" w:color="000000"/>
                          </w:divBdr>
                          <w:divsChild>
                            <w:div w:id="1464040857">
                              <w:marLeft w:val="0"/>
                              <w:marRight w:val="0"/>
                              <w:marTop w:val="0"/>
                              <w:marBottom w:val="0"/>
                              <w:divBdr>
                                <w:top w:val="single" w:sz="2" w:space="0" w:color="000000"/>
                                <w:left w:val="single" w:sz="2" w:space="0" w:color="000000"/>
                                <w:bottom w:val="single" w:sz="2" w:space="0" w:color="000000"/>
                                <w:right w:val="single" w:sz="2" w:space="0" w:color="000000"/>
                              </w:divBdr>
                              <w:divsChild>
                                <w:div w:id="1662074022">
                                  <w:marLeft w:val="0"/>
                                  <w:marRight w:val="0"/>
                                  <w:marTop w:val="0"/>
                                  <w:marBottom w:val="0"/>
                                  <w:divBdr>
                                    <w:top w:val="single" w:sz="2" w:space="0" w:color="000000"/>
                                    <w:left w:val="single" w:sz="2" w:space="0" w:color="000000"/>
                                    <w:bottom w:val="single" w:sz="2" w:space="0" w:color="000000"/>
                                    <w:right w:val="single" w:sz="2" w:space="0" w:color="000000"/>
                                  </w:divBdr>
                                  <w:divsChild>
                                    <w:div w:id="1497575823">
                                      <w:marLeft w:val="0"/>
                                      <w:marRight w:val="0"/>
                                      <w:marTop w:val="0"/>
                                      <w:marBottom w:val="0"/>
                                      <w:divBdr>
                                        <w:top w:val="single" w:sz="2" w:space="0" w:color="000000"/>
                                        <w:left w:val="single" w:sz="2" w:space="0" w:color="000000"/>
                                        <w:bottom w:val="single" w:sz="2" w:space="0" w:color="000000"/>
                                        <w:right w:val="single" w:sz="2" w:space="0" w:color="000000"/>
                                      </w:divBdr>
                                      <w:divsChild>
                                        <w:div w:id="172844713">
                                          <w:marLeft w:val="0"/>
                                          <w:marRight w:val="0"/>
                                          <w:marTop w:val="0"/>
                                          <w:marBottom w:val="0"/>
                                          <w:divBdr>
                                            <w:top w:val="single" w:sz="2" w:space="0" w:color="000000"/>
                                            <w:left w:val="single" w:sz="2" w:space="0" w:color="000000"/>
                                            <w:bottom w:val="single" w:sz="2" w:space="0" w:color="000000"/>
                                            <w:right w:val="single" w:sz="2" w:space="0" w:color="000000"/>
                                          </w:divBdr>
                                          <w:divsChild>
                                            <w:div w:id="145826655">
                                              <w:marLeft w:val="0"/>
                                              <w:marRight w:val="0"/>
                                              <w:marTop w:val="0"/>
                                              <w:marBottom w:val="0"/>
                                              <w:divBdr>
                                                <w:top w:val="single" w:sz="2" w:space="0" w:color="000000"/>
                                                <w:left w:val="single" w:sz="2" w:space="0" w:color="000000"/>
                                                <w:bottom w:val="single" w:sz="2" w:space="0" w:color="000000"/>
                                                <w:right w:val="single" w:sz="2" w:space="0" w:color="000000"/>
                                              </w:divBdr>
                                              <w:divsChild>
                                                <w:div w:id="1208638256">
                                                  <w:marLeft w:val="0"/>
                                                  <w:marRight w:val="0"/>
                                                  <w:marTop w:val="0"/>
                                                  <w:marBottom w:val="0"/>
                                                  <w:divBdr>
                                                    <w:top w:val="single" w:sz="2" w:space="0" w:color="000000"/>
                                                    <w:left w:val="single" w:sz="2" w:space="8" w:color="000000"/>
                                                    <w:bottom w:val="single" w:sz="2" w:space="0" w:color="000000"/>
                                                    <w:right w:val="single" w:sz="2" w:space="8" w:color="000000"/>
                                                  </w:divBdr>
                                                  <w:divsChild>
                                                    <w:div w:id="1928464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4856711">
                                                  <w:marLeft w:val="0"/>
                                                  <w:marRight w:val="0"/>
                                                  <w:marTop w:val="0"/>
                                                  <w:marBottom w:val="0"/>
                                                  <w:divBdr>
                                                    <w:top w:val="single" w:sz="2" w:space="0" w:color="000000"/>
                                                    <w:left w:val="single" w:sz="2" w:space="8" w:color="000000"/>
                                                    <w:bottom w:val="single" w:sz="2" w:space="0" w:color="000000"/>
                                                    <w:right w:val="single" w:sz="2" w:space="0" w:color="000000"/>
                                                  </w:divBdr>
                                                  <w:divsChild>
                                                    <w:div w:id="190402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2988206">
                                          <w:marLeft w:val="0"/>
                                          <w:marRight w:val="0"/>
                                          <w:marTop w:val="75"/>
                                          <w:marBottom w:val="0"/>
                                          <w:divBdr>
                                            <w:top w:val="single" w:sz="2" w:space="0" w:color="000000"/>
                                            <w:left w:val="single" w:sz="2" w:space="0" w:color="000000"/>
                                            <w:bottom w:val="single" w:sz="2" w:space="0" w:color="000000"/>
                                            <w:right w:val="single" w:sz="2" w:space="0" w:color="000000"/>
                                          </w:divBdr>
                                          <w:divsChild>
                                            <w:div w:id="1491291521">
                                              <w:marLeft w:val="0"/>
                                              <w:marRight w:val="0"/>
                                              <w:marTop w:val="0"/>
                                              <w:marBottom w:val="0"/>
                                              <w:divBdr>
                                                <w:top w:val="single" w:sz="2" w:space="0" w:color="000000"/>
                                                <w:left w:val="single" w:sz="2" w:space="0" w:color="000000"/>
                                                <w:bottom w:val="single" w:sz="2" w:space="0" w:color="000000"/>
                                                <w:right w:val="single" w:sz="2" w:space="0" w:color="000000"/>
                                              </w:divBdr>
                                              <w:divsChild>
                                                <w:div w:id="354237189">
                                                  <w:marLeft w:val="0"/>
                                                  <w:marRight w:val="0"/>
                                                  <w:marTop w:val="0"/>
                                                  <w:marBottom w:val="0"/>
                                                  <w:divBdr>
                                                    <w:top w:val="single" w:sz="2" w:space="0" w:color="000000"/>
                                                    <w:left w:val="single" w:sz="2" w:space="8" w:color="000000"/>
                                                    <w:bottom w:val="single" w:sz="2" w:space="0" w:color="000000"/>
                                                    <w:right w:val="single" w:sz="2" w:space="8" w:color="000000"/>
                                                  </w:divBdr>
                                                  <w:divsChild>
                                                    <w:div w:id="10146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356615">
                                                  <w:marLeft w:val="0"/>
                                                  <w:marRight w:val="0"/>
                                                  <w:marTop w:val="0"/>
                                                  <w:marBottom w:val="0"/>
                                                  <w:divBdr>
                                                    <w:top w:val="single" w:sz="2" w:space="0" w:color="000000"/>
                                                    <w:left w:val="single" w:sz="2" w:space="8" w:color="000000"/>
                                                    <w:bottom w:val="single" w:sz="2" w:space="0" w:color="000000"/>
                                                    <w:right w:val="single" w:sz="2" w:space="0" w:color="000000"/>
                                                  </w:divBdr>
                                                  <w:divsChild>
                                                    <w:div w:id="1110931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4566048">
                                          <w:marLeft w:val="0"/>
                                          <w:marRight w:val="0"/>
                                          <w:marTop w:val="75"/>
                                          <w:marBottom w:val="0"/>
                                          <w:divBdr>
                                            <w:top w:val="single" w:sz="2" w:space="0" w:color="000000"/>
                                            <w:left w:val="single" w:sz="2" w:space="0" w:color="000000"/>
                                            <w:bottom w:val="single" w:sz="2" w:space="0" w:color="000000"/>
                                            <w:right w:val="single" w:sz="2" w:space="0" w:color="000000"/>
                                          </w:divBdr>
                                          <w:divsChild>
                                            <w:div w:id="1746099576">
                                              <w:marLeft w:val="0"/>
                                              <w:marRight w:val="0"/>
                                              <w:marTop w:val="0"/>
                                              <w:marBottom w:val="0"/>
                                              <w:divBdr>
                                                <w:top w:val="single" w:sz="2" w:space="0" w:color="000000"/>
                                                <w:left w:val="single" w:sz="2" w:space="0" w:color="000000"/>
                                                <w:bottom w:val="single" w:sz="2" w:space="0" w:color="000000"/>
                                                <w:right w:val="single" w:sz="2" w:space="0" w:color="000000"/>
                                              </w:divBdr>
                                              <w:divsChild>
                                                <w:div w:id="2134010985">
                                                  <w:marLeft w:val="0"/>
                                                  <w:marRight w:val="0"/>
                                                  <w:marTop w:val="0"/>
                                                  <w:marBottom w:val="0"/>
                                                  <w:divBdr>
                                                    <w:top w:val="single" w:sz="2" w:space="0" w:color="000000"/>
                                                    <w:left w:val="single" w:sz="2" w:space="8" w:color="000000"/>
                                                    <w:bottom w:val="single" w:sz="2" w:space="0" w:color="000000"/>
                                                    <w:right w:val="single" w:sz="2" w:space="8" w:color="000000"/>
                                                  </w:divBdr>
                                                  <w:divsChild>
                                                    <w:div w:id="1329213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4777583">
                                                  <w:marLeft w:val="0"/>
                                                  <w:marRight w:val="0"/>
                                                  <w:marTop w:val="0"/>
                                                  <w:marBottom w:val="0"/>
                                                  <w:divBdr>
                                                    <w:top w:val="single" w:sz="2" w:space="0" w:color="000000"/>
                                                    <w:left w:val="single" w:sz="2" w:space="8" w:color="000000"/>
                                                    <w:bottom w:val="single" w:sz="2" w:space="0" w:color="000000"/>
                                                    <w:right w:val="single" w:sz="2" w:space="0" w:color="000000"/>
                                                  </w:divBdr>
                                                  <w:divsChild>
                                                    <w:div w:id="479616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0835978">
                                          <w:marLeft w:val="0"/>
                                          <w:marRight w:val="0"/>
                                          <w:marTop w:val="150"/>
                                          <w:marBottom w:val="0"/>
                                          <w:divBdr>
                                            <w:top w:val="single" w:sz="2" w:space="0" w:color="000000"/>
                                            <w:left w:val="single" w:sz="2" w:space="0" w:color="000000"/>
                                            <w:bottom w:val="single" w:sz="2" w:space="0" w:color="000000"/>
                                            <w:right w:val="single" w:sz="2" w:space="0" w:color="000000"/>
                                          </w:divBdr>
                                          <w:divsChild>
                                            <w:div w:id="427583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98969751">
      <w:bodyDiv w:val="1"/>
      <w:marLeft w:val="0"/>
      <w:marRight w:val="0"/>
      <w:marTop w:val="0"/>
      <w:marBottom w:val="0"/>
      <w:divBdr>
        <w:top w:val="none" w:sz="0" w:space="0" w:color="auto"/>
        <w:left w:val="none" w:sz="0" w:space="0" w:color="auto"/>
        <w:bottom w:val="none" w:sz="0" w:space="0" w:color="auto"/>
        <w:right w:val="none" w:sz="0" w:space="0" w:color="auto"/>
      </w:divBdr>
    </w:div>
    <w:div w:id="1007630827">
      <w:bodyDiv w:val="1"/>
      <w:marLeft w:val="0"/>
      <w:marRight w:val="0"/>
      <w:marTop w:val="0"/>
      <w:marBottom w:val="0"/>
      <w:divBdr>
        <w:top w:val="none" w:sz="0" w:space="0" w:color="auto"/>
        <w:left w:val="none" w:sz="0" w:space="0" w:color="auto"/>
        <w:bottom w:val="none" w:sz="0" w:space="0" w:color="auto"/>
        <w:right w:val="none" w:sz="0" w:space="0" w:color="auto"/>
      </w:divBdr>
    </w:div>
    <w:div w:id="1014117436">
      <w:bodyDiv w:val="1"/>
      <w:marLeft w:val="0"/>
      <w:marRight w:val="0"/>
      <w:marTop w:val="0"/>
      <w:marBottom w:val="0"/>
      <w:divBdr>
        <w:top w:val="none" w:sz="0" w:space="0" w:color="auto"/>
        <w:left w:val="none" w:sz="0" w:space="0" w:color="auto"/>
        <w:bottom w:val="none" w:sz="0" w:space="0" w:color="auto"/>
        <w:right w:val="none" w:sz="0" w:space="0" w:color="auto"/>
      </w:divBdr>
    </w:div>
    <w:div w:id="1034380407">
      <w:bodyDiv w:val="1"/>
      <w:marLeft w:val="0"/>
      <w:marRight w:val="0"/>
      <w:marTop w:val="0"/>
      <w:marBottom w:val="0"/>
      <w:divBdr>
        <w:top w:val="none" w:sz="0" w:space="0" w:color="auto"/>
        <w:left w:val="none" w:sz="0" w:space="0" w:color="auto"/>
        <w:bottom w:val="none" w:sz="0" w:space="0" w:color="auto"/>
        <w:right w:val="none" w:sz="0" w:space="0" w:color="auto"/>
      </w:divBdr>
    </w:div>
    <w:div w:id="1063288314">
      <w:bodyDiv w:val="1"/>
      <w:marLeft w:val="0"/>
      <w:marRight w:val="0"/>
      <w:marTop w:val="0"/>
      <w:marBottom w:val="0"/>
      <w:divBdr>
        <w:top w:val="none" w:sz="0" w:space="0" w:color="auto"/>
        <w:left w:val="none" w:sz="0" w:space="0" w:color="auto"/>
        <w:bottom w:val="none" w:sz="0" w:space="0" w:color="auto"/>
        <w:right w:val="none" w:sz="0" w:space="0" w:color="auto"/>
      </w:divBdr>
    </w:div>
    <w:div w:id="1065756110">
      <w:bodyDiv w:val="1"/>
      <w:marLeft w:val="0"/>
      <w:marRight w:val="0"/>
      <w:marTop w:val="0"/>
      <w:marBottom w:val="0"/>
      <w:divBdr>
        <w:top w:val="none" w:sz="0" w:space="0" w:color="auto"/>
        <w:left w:val="none" w:sz="0" w:space="0" w:color="auto"/>
        <w:bottom w:val="none" w:sz="0" w:space="0" w:color="auto"/>
        <w:right w:val="none" w:sz="0" w:space="0" w:color="auto"/>
      </w:divBdr>
    </w:div>
    <w:div w:id="1074622778">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184320010">
      <w:bodyDiv w:val="1"/>
      <w:marLeft w:val="0"/>
      <w:marRight w:val="0"/>
      <w:marTop w:val="0"/>
      <w:marBottom w:val="0"/>
      <w:divBdr>
        <w:top w:val="none" w:sz="0" w:space="0" w:color="auto"/>
        <w:left w:val="none" w:sz="0" w:space="0" w:color="auto"/>
        <w:bottom w:val="none" w:sz="0" w:space="0" w:color="auto"/>
        <w:right w:val="none" w:sz="0" w:space="0" w:color="auto"/>
      </w:divBdr>
    </w:div>
    <w:div w:id="1200707317">
      <w:bodyDiv w:val="1"/>
      <w:marLeft w:val="0"/>
      <w:marRight w:val="0"/>
      <w:marTop w:val="0"/>
      <w:marBottom w:val="0"/>
      <w:divBdr>
        <w:top w:val="none" w:sz="0" w:space="0" w:color="auto"/>
        <w:left w:val="none" w:sz="0" w:space="0" w:color="auto"/>
        <w:bottom w:val="none" w:sz="0" w:space="0" w:color="auto"/>
        <w:right w:val="none" w:sz="0" w:space="0" w:color="auto"/>
      </w:divBdr>
    </w:div>
    <w:div w:id="1209335892">
      <w:bodyDiv w:val="1"/>
      <w:marLeft w:val="0"/>
      <w:marRight w:val="0"/>
      <w:marTop w:val="0"/>
      <w:marBottom w:val="0"/>
      <w:divBdr>
        <w:top w:val="none" w:sz="0" w:space="0" w:color="auto"/>
        <w:left w:val="none" w:sz="0" w:space="0" w:color="auto"/>
        <w:bottom w:val="none" w:sz="0" w:space="0" w:color="auto"/>
        <w:right w:val="none" w:sz="0" w:space="0" w:color="auto"/>
      </w:divBdr>
    </w:div>
    <w:div w:id="1233589226">
      <w:bodyDiv w:val="1"/>
      <w:marLeft w:val="0"/>
      <w:marRight w:val="0"/>
      <w:marTop w:val="0"/>
      <w:marBottom w:val="0"/>
      <w:divBdr>
        <w:top w:val="none" w:sz="0" w:space="0" w:color="auto"/>
        <w:left w:val="none" w:sz="0" w:space="0" w:color="auto"/>
        <w:bottom w:val="none" w:sz="0" w:space="0" w:color="auto"/>
        <w:right w:val="none" w:sz="0" w:space="0" w:color="auto"/>
      </w:divBdr>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268585387">
      <w:bodyDiv w:val="1"/>
      <w:marLeft w:val="0"/>
      <w:marRight w:val="0"/>
      <w:marTop w:val="0"/>
      <w:marBottom w:val="0"/>
      <w:divBdr>
        <w:top w:val="none" w:sz="0" w:space="0" w:color="auto"/>
        <w:left w:val="none" w:sz="0" w:space="0" w:color="auto"/>
        <w:bottom w:val="none" w:sz="0" w:space="0" w:color="auto"/>
        <w:right w:val="none" w:sz="0" w:space="0" w:color="auto"/>
      </w:divBdr>
    </w:div>
    <w:div w:id="1283875638">
      <w:bodyDiv w:val="1"/>
      <w:marLeft w:val="0"/>
      <w:marRight w:val="0"/>
      <w:marTop w:val="0"/>
      <w:marBottom w:val="0"/>
      <w:divBdr>
        <w:top w:val="none" w:sz="0" w:space="0" w:color="auto"/>
        <w:left w:val="none" w:sz="0" w:space="0" w:color="auto"/>
        <w:bottom w:val="none" w:sz="0" w:space="0" w:color="auto"/>
        <w:right w:val="none" w:sz="0" w:space="0" w:color="auto"/>
      </w:divBdr>
    </w:div>
    <w:div w:id="1285237181">
      <w:bodyDiv w:val="1"/>
      <w:marLeft w:val="0"/>
      <w:marRight w:val="0"/>
      <w:marTop w:val="0"/>
      <w:marBottom w:val="0"/>
      <w:divBdr>
        <w:top w:val="none" w:sz="0" w:space="0" w:color="auto"/>
        <w:left w:val="none" w:sz="0" w:space="0" w:color="auto"/>
        <w:bottom w:val="none" w:sz="0" w:space="0" w:color="auto"/>
        <w:right w:val="none" w:sz="0" w:space="0" w:color="auto"/>
      </w:divBdr>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368138656">
      <w:bodyDiv w:val="1"/>
      <w:marLeft w:val="0"/>
      <w:marRight w:val="0"/>
      <w:marTop w:val="0"/>
      <w:marBottom w:val="0"/>
      <w:divBdr>
        <w:top w:val="none" w:sz="0" w:space="0" w:color="auto"/>
        <w:left w:val="none" w:sz="0" w:space="0" w:color="auto"/>
        <w:bottom w:val="none" w:sz="0" w:space="0" w:color="auto"/>
        <w:right w:val="none" w:sz="0" w:space="0" w:color="auto"/>
      </w:divBdr>
    </w:div>
    <w:div w:id="1373380894">
      <w:bodyDiv w:val="1"/>
      <w:marLeft w:val="0"/>
      <w:marRight w:val="0"/>
      <w:marTop w:val="0"/>
      <w:marBottom w:val="0"/>
      <w:divBdr>
        <w:top w:val="none" w:sz="0" w:space="0" w:color="auto"/>
        <w:left w:val="none" w:sz="0" w:space="0" w:color="auto"/>
        <w:bottom w:val="none" w:sz="0" w:space="0" w:color="auto"/>
        <w:right w:val="none" w:sz="0" w:space="0" w:color="auto"/>
      </w:divBdr>
    </w:div>
    <w:div w:id="1411075325">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436707664">
      <w:bodyDiv w:val="1"/>
      <w:marLeft w:val="0"/>
      <w:marRight w:val="0"/>
      <w:marTop w:val="0"/>
      <w:marBottom w:val="0"/>
      <w:divBdr>
        <w:top w:val="none" w:sz="0" w:space="0" w:color="auto"/>
        <w:left w:val="none" w:sz="0" w:space="0" w:color="auto"/>
        <w:bottom w:val="none" w:sz="0" w:space="0" w:color="auto"/>
        <w:right w:val="none" w:sz="0" w:space="0" w:color="auto"/>
      </w:divBdr>
    </w:div>
    <w:div w:id="1453863550">
      <w:bodyDiv w:val="1"/>
      <w:marLeft w:val="0"/>
      <w:marRight w:val="0"/>
      <w:marTop w:val="0"/>
      <w:marBottom w:val="0"/>
      <w:divBdr>
        <w:top w:val="none" w:sz="0" w:space="0" w:color="auto"/>
        <w:left w:val="none" w:sz="0" w:space="0" w:color="auto"/>
        <w:bottom w:val="none" w:sz="0" w:space="0" w:color="auto"/>
        <w:right w:val="none" w:sz="0" w:space="0" w:color="auto"/>
      </w:divBdr>
    </w:div>
    <w:div w:id="1483740881">
      <w:bodyDiv w:val="1"/>
      <w:marLeft w:val="0"/>
      <w:marRight w:val="0"/>
      <w:marTop w:val="0"/>
      <w:marBottom w:val="0"/>
      <w:divBdr>
        <w:top w:val="none" w:sz="0" w:space="0" w:color="auto"/>
        <w:left w:val="none" w:sz="0" w:space="0" w:color="auto"/>
        <w:bottom w:val="none" w:sz="0" w:space="0" w:color="auto"/>
        <w:right w:val="none" w:sz="0" w:space="0" w:color="auto"/>
      </w:divBdr>
    </w:div>
    <w:div w:id="1530332780">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36308343">
      <w:bodyDiv w:val="1"/>
      <w:marLeft w:val="0"/>
      <w:marRight w:val="0"/>
      <w:marTop w:val="0"/>
      <w:marBottom w:val="0"/>
      <w:divBdr>
        <w:top w:val="none" w:sz="0" w:space="0" w:color="auto"/>
        <w:left w:val="none" w:sz="0" w:space="0" w:color="auto"/>
        <w:bottom w:val="none" w:sz="0" w:space="0" w:color="auto"/>
        <w:right w:val="none" w:sz="0" w:space="0" w:color="auto"/>
      </w:divBdr>
    </w:div>
    <w:div w:id="1568108159">
      <w:bodyDiv w:val="1"/>
      <w:marLeft w:val="0"/>
      <w:marRight w:val="0"/>
      <w:marTop w:val="0"/>
      <w:marBottom w:val="0"/>
      <w:divBdr>
        <w:top w:val="none" w:sz="0" w:space="0" w:color="auto"/>
        <w:left w:val="none" w:sz="0" w:space="0" w:color="auto"/>
        <w:bottom w:val="none" w:sz="0" w:space="0" w:color="auto"/>
        <w:right w:val="none" w:sz="0" w:space="0" w:color="auto"/>
      </w:divBdr>
    </w:div>
    <w:div w:id="1591236043">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10316242">
      <w:bodyDiv w:val="1"/>
      <w:marLeft w:val="0"/>
      <w:marRight w:val="0"/>
      <w:marTop w:val="0"/>
      <w:marBottom w:val="0"/>
      <w:divBdr>
        <w:top w:val="none" w:sz="0" w:space="0" w:color="auto"/>
        <w:left w:val="none" w:sz="0" w:space="0" w:color="auto"/>
        <w:bottom w:val="none" w:sz="0" w:space="0" w:color="auto"/>
        <w:right w:val="none" w:sz="0" w:space="0" w:color="auto"/>
      </w:divBdr>
    </w:div>
    <w:div w:id="1625690487">
      <w:bodyDiv w:val="1"/>
      <w:marLeft w:val="0"/>
      <w:marRight w:val="0"/>
      <w:marTop w:val="0"/>
      <w:marBottom w:val="0"/>
      <w:divBdr>
        <w:top w:val="none" w:sz="0" w:space="0" w:color="auto"/>
        <w:left w:val="none" w:sz="0" w:space="0" w:color="auto"/>
        <w:bottom w:val="none" w:sz="0" w:space="0" w:color="auto"/>
        <w:right w:val="none" w:sz="0" w:space="0" w:color="auto"/>
      </w:divBdr>
    </w:div>
    <w:div w:id="1652515071">
      <w:bodyDiv w:val="1"/>
      <w:marLeft w:val="0"/>
      <w:marRight w:val="0"/>
      <w:marTop w:val="0"/>
      <w:marBottom w:val="0"/>
      <w:divBdr>
        <w:top w:val="none" w:sz="0" w:space="0" w:color="auto"/>
        <w:left w:val="none" w:sz="0" w:space="0" w:color="auto"/>
        <w:bottom w:val="none" w:sz="0" w:space="0" w:color="auto"/>
        <w:right w:val="none" w:sz="0" w:space="0" w:color="auto"/>
      </w:divBdr>
    </w:div>
    <w:div w:id="1672639719">
      <w:bodyDiv w:val="1"/>
      <w:marLeft w:val="0"/>
      <w:marRight w:val="0"/>
      <w:marTop w:val="0"/>
      <w:marBottom w:val="0"/>
      <w:divBdr>
        <w:top w:val="none" w:sz="0" w:space="0" w:color="auto"/>
        <w:left w:val="none" w:sz="0" w:space="0" w:color="auto"/>
        <w:bottom w:val="none" w:sz="0" w:space="0" w:color="auto"/>
        <w:right w:val="none" w:sz="0" w:space="0" w:color="auto"/>
      </w:divBdr>
    </w:div>
    <w:div w:id="1685783644">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37510226">
      <w:bodyDiv w:val="1"/>
      <w:marLeft w:val="0"/>
      <w:marRight w:val="0"/>
      <w:marTop w:val="0"/>
      <w:marBottom w:val="0"/>
      <w:divBdr>
        <w:top w:val="none" w:sz="0" w:space="0" w:color="auto"/>
        <w:left w:val="none" w:sz="0" w:space="0" w:color="auto"/>
        <w:bottom w:val="none" w:sz="0" w:space="0" w:color="auto"/>
        <w:right w:val="none" w:sz="0" w:space="0" w:color="auto"/>
      </w:divBdr>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79589351">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00895321">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1938127327">
      <w:bodyDiv w:val="1"/>
      <w:marLeft w:val="0"/>
      <w:marRight w:val="0"/>
      <w:marTop w:val="0"/>
      <w:marBottom w:val="0"/>
      <w:divBdr>
        <w:top w:val="none" w:sz="0" w:space="0" w:color="auto"/>
        <w:left w:val="none" w:sz="0" w:space="0" w:color="auto"/>
        <w:bottom w:val="none" w:sz="0" w:space="0" w:color="auto"/>
        <w:right w:val="none" w:sz="0" w:space="0" w:color="auto"/>
      </w:divBdr>
    </w:div>
    <w:div w:id="1964920720">
      <w:bodyDiv w:val="1"/>
      <w:marLeft w:val="0"/>
      <w:marRight w:val="0"/>
      <w:marTop w:val="0"/>
      <w:marBottom w:val="0"/>
      <w:divBdr>
        <w:top w:val="none" w:sz="0" w:space="0" w:color="auto"/>
        <w:left w:val="none" w:sz="0" w:space="0" w:color="auto"/>
        <w:bottom w:val="none" w:sz="0" w:space="0" w:color="auto"/>
        <w:right w:val="none" w:sz="0" w:space="0" w:color="auto"/>
      </w:divBdr>
    </w:div>
    <w:div w:id="1988048669">
      <w:bodyDiv w:val="1"/>
      <w:marLeft w:val="0"/>
      <w:marRight w:val="0"/>
      <w:marTop w:val="0"/>
      <w:marBottom w:val="0"/>
      <w:divBdr>
        <w:top w:val="none" w:sz="0" w:space="0" w:color="auto"/>
        <w:left w:val="none" w:sz="0" w:space="0" w:color="auto"/>
        <w:bottom w:val="none" w:sz="0" w:space="0" w:color="auto"/>
        <w:right w:val="none" w:sz="0" w:space="0" w:color="auto"/>
      </w:divBdr>
    </w:div>
    <w:div w:id="2002464024">
      <w:bodyDiv w:val="1"/>
      <w:marLeft w:val="0"/>
      <w:marRight w:val="0"/>
      <w:marTop w:val="0"/>
      <w:marBottom w:val="0"/>
      <w:divBdr>
        <w:top w:val="none" w:sz="0" w:space="0" w:color="auto"/>
        <w:left w:val="none" w:sz="0" w:space="0" w:color="auto"/>
        <w:bottom w:val="none" w:sz="0" w:space="0" w:color="auto"/>
        <w:right w:val="none" w:sz="0" w:space="0" w:color="auto"/>
      </w:divBdr>
    </w:div>
    <w:div w:id="2006467231">
      <w:bodyDiv w:val="1"/>
      <w:marLeft w:val="0"/>
      <w:marRight w:val="0"/>
      <w:marTop w:val="0"/>
      <w:marBottom w:val="0"/>
      <w:divBdr>
        <w:top w:val="none" w:sz="0" w:space="0" w:color="auto"/>
        <w:left w:val="none" w:sz="0" w:space="0" w:color="auto"/>
        <w:bottom w:val="none" w:sz="0" w:space="0" w:color="auto"/>
        <w:right w:val="none" w:sz="0" w:space="0" w:color="auto"/>
      </w:divBdr>
    </w:div>
    <w:div w:id="2016418330">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71464247">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21292041">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baonline.cz" TargetMode="External"/><Relationship Id="rId4" Type="http://schemas.openxmlformats.org/officeDocument/2006/relationships/settings" Target="settings.xml"/><Relationship Id="rId9" Type="http://schemas.openxmlformats.org/officeDocument/2006/relationships/hyperlink" Target="http://www.cbaonline.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F6F5-D843-4129-900A-FD170C2A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1428</Words>
  <Characters>8428</Characters>
  <Application>Microsoft Office Word</Application>
  <DocSecurity>0</DocSecurity>
  <Lines>70</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Radana Možná</cp:lastModifiedBy>
  <cp:revision>2</cp:revision>
  <cp:lastPrinted>2020-09-16T06:48:00Z</cp:lastPrinted>
  <dcterms:created xsi:type="dcterms:W3CDTF">2022-04-13T06:45:00Z</dcterms:created>
  <dcterms:modified xsi:type="dcterms:W3CDTF">2022-04-13T06:45:00Z</dcterms:modified>
</cp:coreProperties>
</file>