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45E1" w14:textId="5E65DF91" w:rsidR="00F60B1B" w:rsidRDefault="00F60B1B"/>
    <w:p w14:paraId="053E93D9" w14:textId="4CBA9AF6" w:rsidR="00D970C3" w:rsidRDefault="00D970C3"/>
    <w:p w14:paraId="438BB0F0" w14:textId="4BC9E944" w:rsidR="00D970C3" w:rsidRDefault="00D970C3" w:rsidP="00D970C3">
      <w:pPr>
        <w:pStyle w:val="INGBodyText"/>
        <w:spacing w:after="200" w:line="240" w:lineRule="auto"/>
        <w:rPr>
          <w:rFonts w:ascii="Calibri Light" w:hAnsi="Calibri Light" w:cs="Calibri Light"/>
          <w:i/>
          <w:iCs/>
          <w:color w:val="auto"/>
        </w:rPr>
      </w:pPr>
      <w:r>
        <w:rPr>
          <w:rFonts w:ascii="Calibri Light" w:hAnsi="Calibri Light" w:cs="Calibri Light"/>
          <w:i/>
          <w:iCs/>
          <w:color w:val="auto"/>
        </w:rPr>
        <w:t>I</w:t>
      </w:r>
      <w:r>
        <w:rPr>
          <w:rFonts w:ascii="Calibri Light" w:hAnsi="Calibri Light" w:cs="Calibri Light"/>
          <w:i/>
          <w:iCs/>
          <w:color w:val="auto"/>
        </w:rPr>
        <w:t>nflace v březnu dle očekávání dále citelně zrychlila, a to z únorových 11,1 na 12,7 %. Odhad trhu činil 12,4 % (graf 1). Za rychlením březnové inflace stalo především skokové zdražení pohonných hmot, ale také další zdražení cen elektřiny a plynu pro domácnosti. Inflace bude patrně zrychlovat i v dalších měsících s tím, jak se budou do cen potupně promítat další proinflační vlivy spojené s ruským útokem na Ukrajinu. Je tak poměrně nemožné odhadnout, jakého vrcholu letos inflace dosáhne, prozatím předpokládáme 14,5 % v polovině roku. Za celý letošní rok se bude inflace pohybovat kolem 13 % a bude tak nejvyšší od roku 1993. Vzhledem k tomuto inflačnímu vývoji trh prozatím předpokládá, že ČNB vystoupá se sazbami mírně nad  6 %.</w:t>
      </w:r>
    </w:p>
    <w:p w14:paraId="610FC3F2" w14:textId="77777777" w:rsidR="00D970C3" w:rsidRDefault="00D970C3" w:rsidP="00D970C3">
      <w:pPr>
        <w:pStyle w:val="INGBodyText"/>
        <w:spacing w:after="60" w:line="240" w:lineRule="auto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>Nepřekvapí, že jedním z největších faktorů březnového zrychlení cen byly ceny pohonných hmot</w:t>
      </w:r>
      <w:r>
        <w:rPr>
          <w:rFonts w:ascii="Calibri Light" w:hAnsi="Calibri Light" w:cs="Calibri Light"/>
          <w:color w:val="auto"/>
        </w:rPr>
        <w:t xml:space="preserve">. Průměrná cena benzínu byla oproti únoru vyšší o 7 Kč, cena nafty pak o 10 Kč, ceny pohonných hmot proto meziměsíčně poskočily o rekordních 21,7 % a </w:t>
      </w:r>
      <w:r>
        <w:rPr>
          <w:rFonts w:ascii="Calibri Light" w:hAnsi="Calibri Light" w:cs="Calibri Light"/>
          <w:b/>
          <w:bCs/>
          <w:color w:val="auto"/>
        </w:rPr>
        <w:t xml:space="preserve">jejich meziroční dynamika zrychlila ze 30 na 50 %. Jen tento faktor způsobil zrychlení meziroční inflace v březnu o 0,7 procentního bodu. </w:t>
      </w:r>
    </w:p>
    <w:p w14:paraId="34DD162C" w14:textId="77777777" w:rsidR="00D970C3" w:rsidRDefault="00D970C3" w:rsidP="00D970C3">
      <w:pPr>
        <w:pStyle w:val="INGBodyText"/>
        <w:spacing w:after="60" w:line="240" w:lineRule="auto"/>
        <w:rPr>
          <w:rFonts w:ascii="Calibri Light" w:hAnsi="Calibri Light" w:cs="Calibri Light"/>
          <w:b/>
          <w:bCs/>
          <w:color w:val="auto"/>
        </w:rPr>
      </w:pPr>
      <w:r>
        <w:rPr>
          <w:rFonts w:ascii="Calibri Light" w:hAnsi="Calibri Light" w:cs="Calibri Light"/>
          <w:color w:val="auto"/>
        </w:rPr>
        <w:t xml:space="preserve">Dále opět zrychlily ceny energií, zejména plynu pro domácnosti. Cena elektřiny meziročně zrychlila z 22,6 na 24,7 % </w:t>
      </w:r>
      <w:proofErr w:type="spellStart"/>
      <w:r>
        <w:rPr>
          <w:rFonts w:ascii="Calibri Light" w:hAnsi="Calibri Light" w:cs="Calibri Light"/>
          <w:color w:val="auto"/>
        </w:rPr>
        <w:t>yoy</w:t>
      </w:r>
      <w:proofErr w:type="spellEnd"/>
      <w:r>
        <w:rPr>
          <w:rFonts w:ascii="Calibri Light" w:hAnsi="Calibri Light" w:cs="Calibri Light"/>
          <w:color w:val="auto"/>
        </w:rPr>
        <w:t xml:space="preserve">, cena plynu pak z 28,3 na 37,7 % </w:t>
      </w:r>
      <w:proofErr w:type="spellStart"/>
      <w:r>
        <w:rPr>
          <w:rFonts w:ascii="Calibri Light" w:hAnsi="Calibri Light" w:cs="Calibri Light"/>
          <w:color w:val="auto"/>
        </w:rPr>
        <w:t>yoy</w:t>
      </w:r>
      <w:proofErr w:type="spellEnd"/>
      <w:r>
        <w:rPr>
          <w:rFonts w:ascii="Calibri Light" w:hAnsi="Calibri Light" w:cs="Calibri Light"/>
          <w:color w:val="auto"/>
        </w:rPr>
        <w:t xml:space="preserve">. </w:t>
      </w:r>
      <w:r>
        <w:rPr>
          <w:rFonts w:ascii="Calibri Light" w:hAnsi="Calibri Light" w:cs="Calibri Light"/>
          <w:b/>
          <w:bCs/>
          <w:color w:val="auto"/>
        </w:rPr>
        <w:t>Tyto faktory přispěly k meziročnímu zrychlení cen o 0,3 procentní body, obdobně jako v minulém měsíci.</w:t>
      </w:r>
      <w:r>
        <w:rPr>
          <w:rFonts w:ascii="Calibri Light" w:hAnsi="Calibri Light" w:cs="Calibri Light"/>
          <w:color w:val="auto"/>
        </w:rPr>
        <w:t xml:space="preserve"> V březnu však dále rostly i ceny zboží a služeb pro opravy bytů či imputované nájemné (16,3 % z 15,7 %) následkem růstu cen stavebních materiálů a cen nových bytů. </w:t>
      </w:r>
      <w:r>
        <w:rPr>
          <w:rFonts w:ascii="Calibri Light" w:hAnsi="Calibri Light" w:cs="Calibri Light"/>
          <w:b/>
          <w:bCs/>
          <w:color w:val="auto"/>
        </w:rPr>
        <w:t xml:space="preserve">Růst cen v kategorii bydlení tak dosáhl meziročně 17,6 % a je nejvyšší od konce roku 1998 </w:t>
      </w:r>
      <w:r>
        <w:rPr>
          <w:rFonts w:ascii="Calibri Light" w:hAnsi="Calibri Light" w:cs="Calibri Light"/>
          <w:color w:val="auto"/>
        </w:rPr>
        <w:t xml:space="preserve">(na začátku roku 1998 přesahoval 30 %). Historicky nejvyšší růst v časové řadě od roku 1996 však již zaznamenávají kategorie </w:t>
      </w:r>
      <w:r>
        <w:rPr>
          <w:rFonts w:ascii="Calibri Light" w:hAnsi="Calibri Light" w:cs="Calibri Light"/>
          <w:i/>
          <w:iCs/>
          <w:color w:val="auto"/>
        </w:rPr>
        <w:t>Odívání a obuv</w:t>
      </w:r>
      <w:r>
        <w:rPr>
          <w:rFonts w:ascii="Calibri Light" w:hAnsi="Calibri Light" w:cs="Calibri Light"/>
          <w:color w:val="auto"/>
        </w:rPr>
        <w:t xml:space="preserve">, </w:t>
      </w:r>
      <w:r>
        <w:rPr>
          <w:rFonts w:ascii="Calibri Light" w:hAnsi="Calibri Light" w:cs="Calibri Light"/>
          <w:i/>
          <w:iCs/>
          <w:color w:val="auto"/>
        </w:rPr>
        <w:t>Bytové vybavení</w:t>
      </w:r>
      <w:r>
        <w:rPr>
          <w:rFonts w:ascii="Calibri Light" w:hAnsi="Calibri Light" w:cs="Calibri Light"/>
          <w:color w:val="auto"/>
        </w:rPr>
        <w:t xml:space="preserve">, </w:t>
      </w:r>
      <w:r>
        <w:rPr>
          <w:rFonts w:ascii="Calibri Light" w:hAnsi="Calibri Light" w:cs="Calibri Light"/>
          <w:i/>
          <w:iCs/>
          <w:color w:val="auto"/>
        </w:rPr>
        <w:t>Doprava</w:t>
      </w:r>
      <w:r>
        <w:rPr>
          <w:rFonts w:ascii="Calibri Light" w:hAnsi="Calibri Light" w:cs="Calibri Light"/>
          <w:color w:val="auto"/>
        </w:rPr>
        <w:t xml:space="preserve"> či </w:t>
      </w:r>
      <w:r>
        <w:rPr>
          <w:rFonts w:ascii="Calibri Light" w:hAnsi="Calibri Light" w:cs="Calibri Light"/>
          <w:i/>
          <w:iCs/>
          <w:color w:val="auto"/>
        </w:rPr>
        <w:t>Stravování a ubytování</w:t>
      </w:r>
      <w:r>
        <w:rPr>
          <w:rFonts w:ascii="Calibri Light" w:hAnsi="Calibri Light" w:cs="Calibri Light"/>
          <w:color w:val="auto"/>
        </w:rPr>
        <w:t xml:space="preserve">. Tyto kategorie přispěly ke zrychlení inflace dále i v březnu, viz tabulka 1, poslední sloupec. </w:t>
      </w:r>
      <w:r>
        <w:rPr>
          <w:rFonts w:ascii="Calibri Light" w:hAnsi="Calibri Light" w:cs="Calibri Light"/>
          <w:b/>
          <w:bCs/>
          <w:color w:val="auto"/>
        </w:rPr>
        <w:t>Ceny služeb v březnu zrychlily z 9,6 % na 10,4 %, ceny zboží pak z 12 % na 14,3 %.</w:t>
      </w:r>
    </w:p>
    <w:p w14:paraId="20A8681C" w14:textId="77777777" w:rsidR="00D970C3" w:rsidRDefault="00D970C3" w:rsidP="00D970C3">
      <w:pPr>
        <w:pStyle w:val="INGBodyText"/>
        <w:spacing w:after="60" w:line="240" w:lineRule="auto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b/>
          <w:bCs/>
          <w:color w:val="auto"/>
        </w:rPr>
        <w:t>Na rozdíl od odhadů před ruským úrokem na Ukrajinu se tak letošní inflace posune o několik procentních bodů výše a bude tak nejvyšší od roku 1993.</w:t>
      </w:r>
      <w:r>
        <w:rPr>
          <w:rFonts w:ascii="Calibri Light" w:hAnsi="Calibri Light" w:cs="Calibri Light"/>
          <w:color w:val="auto"/>
        </w:rPr>
        <w:t xml:space="preserve"> Inflační odhady se však budou měnit průběžně dle přicházejících čísel. Vzhledem k nejistotě je velmi obtížné odhadnout, jakého vrcholu inflace letos dosáhne. </w:t>
      </w:r>
      <w:r>
        <w:rPr>
          <w:rFonts w:ascii="Calibri Light" w:hAnsi="Calibri Light" w:cs="Calibri Light"/>
          <w:b/>
          <w:bCs/>
          <w:color w:val="auto"/>
        </w:rPr>
        <w:t>Nyní však předpokládáme vrchol ve výši 14,5 % v polovině letošního roku a za celý letošní rok průměrnou inflaci kolem 13 %. Trh vzhledem k dalším proinflačním vlivům dle vývoje tržních sazeb čeká, že ČNB letos zvýší sazby mírně nad 6 %.</w:t>
      </w:r>
    </w:p>
    <w:p w14:paraId="77AEB0A4" w14:textId="77777777" w:rsidR="00D970C3" w:rsidRDefault="00D970C3" w:rsidP="00D970C3">
      <w:pPr>
        <w:pStyle w:val="INGBodyText"/>
        <w:spacing w:after="60" w:line="240" w:lineRule="auto"/>
        <w:rPr>
          <w:rFonts w:ascii="Calibri Light" w:hAnsi="Calibri Light" w:cs="Calibri Light"/>
          <w:color w:val="auto"/>
        </w:rPr>
      </w:pPr>
    </w:p>
    <w:p w14:paraId="03BB85CF" w14:textId="61DA209C" w:rsidR="00D970C3" w:rsidRDefault="00D970C3" w:rsidP="00D970C3">
      <w:pPr>
        <w:pStyle w:val="INGBodyText"/>
        <w:spacing w:after="60" w:line="240" w:lineRule="auto"/>
        <w:rPr>
          <w:rFonts w:ascii="Calibri Light" w:hAnsi="Calibri Light" w:cs="Calibri Light"/>
          <w:color w:val="auto"/>
        </w:rPr>
      </w:pPr>
      <w:r>
        <w:rPr>
          <w:noProof/>
        </w:rPr>
        <w:drawing>
          <wp:inline distT="0" distB="0" distL="0" distR="0" wp14:anchorId="4376F69F" wp14:editId="4DAADE9A">
            <wp:extent cx="4676775" cy="321983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81" cy="322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8FDFC" w14:textId="77777777" w:rsidR="00D970C3" w:rsidRDefault="00D970C3" w:rsidP="00D970C3">
      <w:pPr>
        <w:pStyle w:val="INGBodyText"/>
        <w:spacing w:after="80" w:line="240" w:lineRule="auto"/>
        <w:rPr>
          <w:rFonts w:ascii="Calibri Light" w:hAnsi="Calibri Light" w:cs="Calibri Light"/>
          <w:b/>
          <w:bCs/>
          <w:color w:val="auto"/>
        </w:rPr>
      </w:pPr>
    </w:p>
    <w:p w14:paraId="100497B3" w14:textId="45E7686B" w:rsidR="00D970C3" w:rsidRDefault="00D970C3" w:rsidP="00D970C3">
      <w:pPr>
        <w:pStyle w:val="INGBodyText"/>
        <w:spacing w:after="80" w:line="240" w:lineRule="auto"/>
        <w:rPr>
          <w:rFonts w:ascii="Calibri Light" w:hAnsi="Calibri Light" w:cs="Calibri Light"/>
          <w:b/>
          <w:bCs/>
          <w:color w:val="auto"/>
        </w:rPr>
      </w:pPr>
      <w:r>
        <w:rPr>
          <w:noProof/>
        </w:rPr>
        <w:drawing>
          <wp:inline distT="0" distB="0" distL="0" distR="0" wp14:anchorId="45DFFF2A" wp14:editId="578935F2">
            <wp:extent cx="5095875" cy="31146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C57C4" w14:textId="77777777" w:rsidR="00D970C3" w:rsidRDefault="00D970C3" w:rsidP="00D970C3">
      <w:pPr>
        <w:pStyle w:val="INGBodyText"/>
        <w:spacing w:after="80" w:line="240" w:lineRule="auto"/>
        <w:rPr>
          <w:rFonts w:ascii="Calibri Light" w:hAnsi="Calibri Light" w:cs="Calibri Light"/>
          <w:b/>
          <w:bCs/>
          <w:color w:val="auto"/>
        </w:rPr>
      </w:pPr>
    </w:p>
    <w:p w14:paraId="74FFB458" w14:textId="5AB919F7" w:rsidR="00D970C3" w:rsidRDefault="00D970C3" w:rsidP="00D970C3">
      <w:pPr>
        <w:pStyle w:val="INGBodyText"/>
        <w:spacing w:after="80" w:line="240" w:lineRule="auto"/>
        <w:rPr>
          <w:rFonts w:ascii="Calibri Light" w:hAnsi="Calibri Light" w:cs="Calibri Light"/>
          <w:b/>
          <w:bCs/>
          <w:color w:val="auto"/>
        </w:rPr>
      </w:pPr>
      <w:r>
        <w:rPr>
          <w:noProof/>
        </w:rPr>
        <w:drawing>
          <wp:inline distT="0" distB="0" distL="0" distR="0" wp14:anchorId="3D4CBA16" wp14:editId="3707FA14">
            <wp:extent cx="4935175" cy="37052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15" cy="371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B2E0" w14:textId="77777777" w:rsidR="00D970C3" w:rsidRDefault="00D970C3"/>
    <w:sectPr w:rsidR="00D970C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99CA" w14:textId="77777777" w:rsidR="00204C66" w:rsidRDefault="00204C66" w:rsidP="00D970C3">
      <w:pPr>
        <w:spacing w:after="0" w:line="240" w:lineRule="auto"/>
      </w:pPr>
      <w:r>
        <w:separator/>
      </w:r>
    </w:p>
  </w:endnote>
  <w:endnote w:type="continuationSeparator" w:id="0">
    <w:p w14:paraId="29FAD0FE" w14:textId="77777777" w:rsidR="00204C66" w:rsidRDefault="00204C66" w:rsidP="00D9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5CD7" w14:textId="77777777" w:rsidR="00204C66" w:rsidRDefault="00204C66" w:rsidP="00D970C3">
      <w:pPr>
        <w:spacing w:after="0" w:line="240" w:lineRule="auto"/>
      </w:pPr>
      <w:r>
        <w:separator/>
      </w:r>
    </w:p>
  </w:footnote>
  <w:footnote w:type="continuationSeparator" w:id="0">
    <w:p w14:paraId="7C355948" w14:textId="77777777" w:rsidR="00204C66" w:rsidRDefault="00204C66" w:rsidP="00D9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F3CA" w14:textId="3B615572" w:rsidR="00D970C3" w:rsidRDefault="00D970C3">
    <w:pPr>
      <w:pStyle w:val="Zhlav"/>
    </w:pPr>
    <w:r>
      <w:rPr>
        <w:b/>
        <w:bCs/>
        <w:noProof/>
        <w:color w:val="13576B"/>
        <w:sz w:val="30"/>
        <w:szCs w:val="30"/>
      </w:rPr>
      <w:drawing>
        <wp:inline distT="0" distB="0" distL="0" distR="0" wp14:anchorId="3A1A4C01" wp14:editId="0B9056DF">
          <wp:extent cx="1323975" cy="457200"/>
          <wp:effectExtent l="0" t="0" r="9525" b="0"/>
          <wp:docPr id="1" name="Obrázek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C3"/>
    <w:rsid w:val="00204C66"/>
    <w:rsid w:val="007B2DA6"/>
    <w:rsid w:val="007C0ADE"/>
    <w:rsid w:val="007E1FE0"/>
    <w:rsid w:val="00D970C3"/>
    <w:rsid w:val="00F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803C"/>
  <w15:chartTrackingRefBased/>
  <w15:docId w15:val="{0ADC6B8D-7CD3-4002-8050-977E38F4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0C3"/>
  </w:style>
  <w:style w:type="paragraph" w:styleId="Zpat">
    <w:name w:val="footer"/>
    <w:basedOn w:val="Normln"/>
    <w:link w:val="ZpatChar"/>
    <w:uiPriority w:val="99"/>
    <w:unhideWhenUsed/>
    <w:rsid w:val="00D9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0C3"/>
  </w:style>
  <w:style w:type="character" w:customStyle="1" w:styleId="INGBodyTextChar">
    <w:name w:val="ING Body Text Char"/>
    <w:basedOn w:val="Standardnpsmoodstavce"/>
    <w:link w:val="INGBodyText"/>
    <w:locked/>
    <w:rsid w:val="00D970C3"/>
    <w:rPr>
      <w:rFonts w:ascii="Arial" w:hAnsi="Arial" w:cs="Arial"/>
      <w:color w:val="000000"/>
    </w:rPr>
  </w:style>
  <w:style w:type="paragraph" w:customStyle="1" w:styleId="INGBodyText">
    <w:name w:val="ING Body Text"/>
    <w:basedOn w:val="Normln"/>
    <w:link w:val="INGBodyTextChar"/>
    <w:rsid w:val="00D970C3"/>
    <w:pPr>
      <w:spacing w:after="140" w:line="270" w:lineRule="exact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84D87.2BCD2CE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5.png@01D84D87.2BCD2CE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4.png@01D84D87.2BCD2CE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D87.2BCD2CE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Možná</dc:creator>
  <cp:keywords/>
  <dc:description/>
  <cp:lastModifiedBy>Radana Možná</cp:lastModifiedBy>
  <cp:revision>1</cp:revision>
  <dcterms:created xsi:type="dcterms:W3CDTF">2022-04-11T07:36:00Z</dcterms:created>
  <dcterms:modified xsi:type="dcterms:W3CDTF">2022-04-11T07:38:00Z</dcterms:modified>
</cp:coreProperties>
</file>