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2549" w14:textId="4176C21C" w:rsidR="0001227F" w:rsidRPr="0001227F" w:rsidRDefault="0001227F" w:rsidP="0001227F">
      <w:pPr>
        <w:rPr>
          <w:rFonts w:ascii="Calibri" w:hAnsi="Calibri" w:cs="Calibri"/>
          <w:b/>
          <w:color w:val="13576B"/>
          <w:sz w:val="32"/>
          <w:szCs w:val="32"/>
        </w:rPr>
      </w:pPr>
      <w:r w:rsidRPr="0001227F">
        <w:rPr>
          <w:rFonts w:ascii="Calibri" w:hAnsi="Calibri" w:cs="Calibri"/>
          <w:b/>
          <w:color w:val="13576B"/>
          <w:sz w:val="32"/>
          <w:szCs w:val="32"/>
        </w:rPr>
        <w:t xml:space="preserve">ČBA </w:t>
      </w:r>
      <w:proofErr w:type="spellStart"/>
      <w:r w:rsidRPr="0001227F">
        <w:rPr>
          <w:rFonts w:ascii="Calibri" w:hAnsi="Calibri" w:cs="Calibri"/>
          <w:b/>
          <w:color w:val="13576B"/>
          <w:sz w:val="32"/>
          <w:szCs w:val="32"/>
        </w:rPr>
        <w:t>Hypomonitor</w:t>
      </w:r>
      <w:proofErr w:type="spellEnd"/>
      <w:r w:rsidR="005E4132">
        <w:rPr>
          <w:rFonts w:ascii="Calibri" w:hAnsi="Calibri" w:cs="Calibri"/>
          <w:b/>
          <w:color w:val="13576B"/>
          <w:sz w:val="32"/>
          <w:szCs w:val="32"/>
        </w:rPr>
        <w:t xml:space="preserve"> </w:t>
      </w:r>
      <w:r w:rsidR="00F531DC">
        <w:rPr>
          <w:rFonts w:ascii="Calibri" w:hAnsi="Calibri" w:cs="Calibri"/>
          <w:b/>
          <w:color w:val="13576B"/>
          <w:sz w:val="32"/>
          <w:szCs w:val="32"/>
        </w:rPr>
        <w:t>leden</w:t>
      </w:r>
      <w:r w:rsidR="000264B4">
        <w:rPr>
          <w:rFonts w:ascii="Calibri" w:hAnsi="Calibri" w:cs="Calibri"/>
          <w:b/>
          <w:color w:val="13576B"/>
          <w:sz w:val="32"/>
          <w:szCs w:val="32"/>
        </w:rPr>
        <w:t xml:space="preserve"> </w:t>
      </w:r>
      <w:r w:rsidRPr="0001227F">
        <w:rPr>
          <w:rFonts w:ascii="Calibri" w:hAnsi="Calibri" w:cs="Calibri"/>
          <w:b/>
          <w:color w:val="13576B"/>
          <w:sz w:val="32"/>
          <w:szCs w:val="32"/>
        </w:rPr>
        <w:t>202</w:t>
      </w:r>
      <w:r w:rsidR="00F531DC">
        <w:rPr>
          <w:rFonts w:ascii="Calibri" w:hAnsi="Calibri" w:cs="Calibri"/>
          <w:b/>
          <w:color w:val="13576B"/>
          <w:sz w:val="32"/>
          <w:szCs w:val="32"/>
        </w:rPr>
        <w:t>2</w:t>
      </w:r>
      <w:r w:rsidRPr="0001227F">
        <w:rPr>
          <w:rFonts w:ascii="Calibri" w:hAnsi="Calibri" w:cs="Calibri"/>
          <w:b/>
          <w:color w:val="13576B"/>
          <w:sz w:val="32"/>
          <w:szCs w:val="32"/>
        </w:rPr>
        <w:t xml:space="preserve">: </w:t>
      </w:r>
      <w:r w:rsidR="000264B4">
        <w:rPr>
          <w:rFonts w:ascii="Calibri" w:hAnsi="Calibri" w:cs="Calibri"/>
          <w:b/>
          <w:color w:val="13576B"/>
          <w:sz w:val="32"/>
          <w:szCs w:val="32"/>
        </w:rPr>
        <w:t>Hypoteční sazby pokračují v</w:t>
      </w:r>
      <w:r w:rsidR="004A5D84">
        <w:rPr>
          <w:rFonts w:ascii="Calibri" w:hAnsi="Calibri" w:cs="Calibri"/>
          <w:b/>
          <w:color w:val="13576B"/>
          <w:sz w:val="32"/>
          <w:szCs w:val="32"/>
        </w:rPr>
        <w:t> </w:t>
      </w:r>
      <w:r w:rsidR="000264B4">
        <w:rPr>
          <w:rFonts w:ascii="Calibri" w:hAnsi="Calibri" w:cs="Calibri"/>
          <w:b/>
          <w:color w:val="13576B"/>
          <w:sz w:val="32"/>
          <w:szCs w:val="32"/>
        </w:rPr>
        <w:t>růstu</w:t>
      </w:r>
      <w:r w:rsidR="004A5D84">
        <w:rPr>
          <w:rFonts w:ascii="Calibri" w:hAnsi="Calibri" w:cs="Calibri"/>
          <w:b/>
          <w:color w:val="13576B"/>
          <w:sz w:val="32"/>
          <w:szCs w:val="32"/>
        </w:rPr>
        <w:t>, objem</w:t>
      </w:r>
      <w:r w:rsidR="00676079">
        <w:rPr>
          <w:rFonts w:ascii="Calibri" w:hAnsi="Calibri" w:cs="Calibri"/>
          <w:b/>
          <w:color w:val="13576B"/>
          <w:sz w:val="32"/>
          <w:szCs w:val="32"/>
        </w:rPr>
        <w:t xml:space="preserve"> poskytnutých hypoték</w:t>
      </w:r>
      <w:r w:rsidR="005761EE">
        <w:rPr>
          <w:rFonts w:ascii="Calibri" w:hAnsi="Calibri" w:cs="Calibri"/>
          <w:b/>
          <w:color w:val="13576B"/>
          <w:sz w:val="32"/>
          <w:szCs w:val="32"/>
        </w:rPr>
        <w:t xml:space="preserve"> ale</w:t>
      </w:r>
      <w:r w:rsidR="006015EB">
        <w:rPr>
          <w:rFonts w:ascii="Calibri" w:hAnsi="Calibri" w:cs="Calibri"/>
          <w:b/>
          <w:color w:val="13576B"/>
          <w:sz w:val="32"/>
          <w:szCs w:val="32"/>
        </w:rPr>
        <w:t xml:space="preserve"> </w:t>
      </w:r>
      <w:r w:rsidR="005761EE">
        <w:rPr>
          <w:rFonts w:ascii="Calibri" w:hAnsi="Calibri" w:cs="Calibri"/>
          <w:b/>
          <w:color w:val="13576B"/>
          <w:sz w:val="32"/>
          <w:szCs w:val="32"/>
        </w:rPr>
        <w:t xml:space="preserve">o čtvrtinu klesl. </w:t>
      </w:r>
    </w:p>
    <w:p w14:paraId="5E7258BB" w14:textId="77777777" w:rsidR="0001227F" w:rsidRPr="0001227F" w:rsidRDefault="0001227F" w:rsidP="0001227F">
      <w:pPr>
        <w:rPr>
          <w:rFonts w:ascii="Calibri" w:hAnsi="Calibri" w:cs="Calibri"/>
          <w:b/>
          <w:bCs/>
        </w:rPr>
      </w:pPr>
    </w:p>
    <w:p w14:paraId="63C2D765" w14:textId="4844A906" w:rsidR="0001227F" w:rsidRPr="008A072D" w:rsidRDefault="000C12F1" w:rsidP="0001227F">
      <w:pPr>
        <w:rPr>
          <w:rFonts w:ascii="Calibri" w:hAnsi="Calibri" w:cs="Calibri"/>
          <w:b/>
          <w:i/>
          <w:iCs/>
          <w:color w:val="13576B"/>
          <w:sz w:val="22"/>
          <w:szCs w:val="22"/>
        </w:rPr>
      </w:pPr>
      <w:r w:rsidRPr="00B649F7">
        <w:rPr>
          <w:rFonts w:ascii="Calibri" w:hAnsi="Calibri" w:cs="Calibri"/>
          <w:b/>
          <w:color w:val="13576B"/>
          <w:sz w:val="22"/>
          <w:szCs w:val="22"/>
        </w:rPr>
        <w:t>Praha, 1</w:t>
      </w:r>
      <w:r w:rsidR="001E5571" w:rsidRPr="00B649F7">
        <w:rPr>
          <w:rFonts w:ascii="Calibri" w:hAnsi="Calibri" w:cs="Calibri"/>
          <w:b/>
          <w:color w:val="13576B"/>
          <w:sz w:val="22"/>
          <w:szCs w:val="22"/>
        </w:rPr>
        <w:t>1</w:t>
      </w:r>
      <w:r w:rsidRPr="00B649F7">
        <w:rPr>
          <w:rFonts w:ascii="Calibri" w:hAnsi="Calibri" w:cs="Calibri"/>
          <w:b/>
          <w:color w:val="13576B"/>
          <w:sz w:val="22"/>
          <w:szCs w:val="22"/>
        </w:rPr>
        <w:t>.</w:t>
      </w:r>
      <w:r w:rsidR="001E5571" w:rsidRPr="00B649F7">
        <w:rPr>
          <w:rFonts w:ascii="Calibri" w:hAnsi="Calibri" w:cs="Calibri"/>
          <w:b/>
          <w:color w:val="13576B"/>
          <w:sz w:val="22"/>
          <w:szCs w:val="22"/>
        </w:rPr>
        <w:t xml:space="preserve"> února</w:t>
      </w:r>
      <w:r w:rsidR="002F4CDA" w:rsidRPr="00B649F7">
        <w:rPr>
          <w:rFonts w:ascii="Calibri" w:hAnsi="Calibri" w:cs="Calibri"/>
          <w:b/>
          <w:color w:val="13576B"/>
          <w:sz w:val="22"/>
          <w:szCs w:val="22"/>
        </w:rPr>
        <w:t xml:space="preserve"> </w:t>
      </w:r>
      <w:r w:rsidRPr="00B649F7">
        <w:rPr>
          <w:rFonts w:ascii="Calibri" w:hAnsi="Calibri" w:cs="Calibri"/>
          <w:b/>
          <w:color w:val="13576B"/>
          <w:sz w:val="22"/>
          <w:szCs w:val="22"/>
        </w:rPr>
        <w:t>202</w:t>
      </w:r>
      <w:r w:rsidR="002F4CDA" w:rsidRPr="00B649F7">
        <w:rPr>
          <w:rFonts w:ascii="Calibri" w:hAnsi="Calibri" w:cs="Calibri"/>
          <w:b/>
          <w:color w:val="13576B"/>
          <w:sz w:val="22"/>
          <w:szCs w:val="22"/>
        </w:rPr>
        <w:t>2</w:t>
      </w:r>
      <w:r w:rsidRPr="00B649F7">
        <w:rPr>
          <w:rFonts w:ascii="Calibri" w:hAnsi="Calibri" w:cs="Calibri"/>
          <w:b/>
          <w:color w:val="13576B"/>
          <w:sz w:val="22"/>
          <w:szCs w:val="22"/>
        </w:rPr>
        <w:t xml:space="preserve"> – Banky </w:t>
      </w:r>
      <w:r w:rsidR="0007638A" w:rsidRPr="00B649F7">
        <w:rPr>
          <w:rFonts w:ascii="Calibri" w:hAnsi="Calibri" w:cs="Calibri"/>
          <w:b/>
          <w:color w:val="13576B"/>
          <w:sz w:val="22"/>
          <w:szCs w:val="22"/>
        </w:rPr>
        <w:t xml:space="preserve">a stavební spořitelny </w:t>
      </w:r>
      <w:r w:rsidR="00F812E4" w:rsidRPr="00B649F7">
        <w:rPr>
          <w:rFonts w:ascii="Calibri" w:hAnsi="Calibri" w:cs="Calibri"/>
          <w:b/>
          <w:color w:val="13576B"/>
          <w:sz w:val="22"/>
          <w:szCs w:val="22"/>
        </w:rPr>
        <w:t xml:space="preserve">poskytly </w:t>
      </w:r>
      <w:r w:rsidRPr="00B649F7">
        <w:rPr>
          <w:rFonts w:ascii="Calibri" w:hAnsi="Calibri" w:cs="Calibri"/>
          <w:b/>
          <w:color w:val="13576B"/>
          <w:sz w:val="22"/>
          <w:szCs w:val="22"/>
        </w:rPr>
        <w:t>v</w:t>
      </w:r>
      <w:r w:rsidR="001E5571" w:rsidRPr="00B649F7">
        <w:rPr>
          <w:rFonts w:ascii="Calibri" w:hAnsi="Calibri" w:cs="Calibri"/>
          <w:b/>
          <w:color w:val="13576B"/>
          <w:sz w:val="22"/>
          <w:szCs w:val="22"/>
        </w:rPr>
        <w:t xml:space="preserve"> lednu</w:t>
      </w:r>
      <w:r w:rsidRPr="00B649F7">
        <w:rPr>
          <w:rFonts w:ascii="Calibri" w:hAnsi="Calibri" w:cs="Calibri"/>
          <w:b/>
          <w:color w:val="13576B"/>
          <w:sz w:val="22"/>
          <w:szCs w:val="22"/>
        </w:rPr>
        <w:t xml:space="preserve"> </w:t>
      </w:r>
      <w:r w:rsidR="005C7FCE" w:rsidRPr="00B649F7">
        <w:rPr>
          <w:rFonts w:ascii="Calibri" w:hAnsi="Calibri" w:cs="Calibri"/>
          <w:b/>
          <w:color w:val="13576B"/>
          <w:sz w:val="22"/>
          <w:szCs w:val="22"/>
        </w:rPr>
        <w:t>hypoteční úvěry</w:t>
      </w:r>
      <w:r w:rsidRPr="00B649F7">
        <w:rPr>
          <w:rFonts w:ascii="Calibri" w:hAnsi="Calibri" w:cs="Calibri"/>
          <w:b/>
          <w:color w:val="13576B"/>
          <w:sz w:val="22"/>
          <w:szCs w:val="22"/>
        </w:rPr>
        <w:t xml:space="preserve"> v celkovém objemu přes </w:t>
      </w:r>
      <w:r w:rsidR="001B59D9" w:rsidRPr="00B649F7">
        <w:rPr>
          <w:rFonts w:ascii="Calibri" w:hAnsi="Calibri" w:cs="Calibri"/>
          <w:b/>
          <w:color w:val="13576B"/>
          <w:sz w:val="22"/>
          <w:szCs w:val="22"/>
        </w:rPr>
        <w:t>32,6</w:t>
      </w:r>
      <w:r w:rsidRPr="00B649F7">
        <w:rPr>
          <w:rFonts w:ascii="Calibri" w:hAnsi="Calibri" w:cs="Calibri"/>
          <w:b/>
          <w:color w:val="13576B"/>
          <w:sz w:val="22"/>
          <w:szCs w:val="22"/>
        </w:rPr>
        <w:t xml:space="preserve"> mld. Kč</w:t>
      </w:r>
      <w:r w:rsidR="005761EE" w:rsidRPr="00B649F7">
        <w:rPr>
          <w:rFonts w:ascii="Calibri" w:hAnsi="Calibri" w:cs="Calibri"/>
          <w:b/>
          <w:color w:val="13576B"/>
          <w:sz w:val="22"/>
          <w:szCs w:val="22"/>
        </w:rPr>
        <w:t>. To</w:t>
      </w:r>
      <w:r w:rsidRPr="00B649F7">
        <w:rPr>
          <w:rFonts w:ascii="Calibri" w:hAnsi="Calibri" w:cs="Calibri"/>
          <w:b/>
          <w:color w:val="13576B"/>
          <w:sz w:val="22"/>
          <w:szCs w:val="22"/>
        </w:rPr>
        <w:t xml:space="preserve"> </w:t>
      </w:r>
      <w:r w:rsidR="001B59D9" w:rsidRPr="00B649F7">
        <w:rPr>
          <w:rFonts w:ascii="Calibri" w:hAnsi="Calibri" w:cs="Calibri"/>
          <w:b/>
          <w:color w:val="13576B"/>
          <w:sz w:val="22"/>
          <w:szCs w:val="22"/>
        </w:rPr>
        <w:t xml:space="preserve">představuje oproti prosinci </w:t>
      </w:r>
      <w:r w:rsidR="007A6C81" w:rsidRPr="00B649F7">
        <w:rPr>
          <w:rFonts w:ascii="Calibri" w:hAnsi="Calibri" w:cs="Calibri"/>
          <w:b/>
          <w:color w:val="13576B"/>
          <w:sz w:val="22"/>
          <w:szCs w:val="22"/>
        </w:rPr>
        <w:t>víc</w:t>
      </w:r>
      <w:r w:rsidR="00B649F7">
        <w:rPr>
          <w:rFonts w:ascii="Calibri" w:hAnsi="Calibri" w:cs="Calibri"/>
          <w:b/>
          <w:color w:val="13576B"/>
          <w:sz w:val="22"/>
          <w:szCs w:val="22"/>
        </w:rPr>
        <w:t>e</w:t>
      </w:r>
      <w:r w:rsidR="007A6C81" w:rsidRPr="00B649F7">
        <w:rPr>
          <w:rFonts w:ascii="Calibri" w:hAnsi="Calibri" w:cs="Calibri"/>
          <w:b/>
          <w:color w:val="13576B"/>
          <w:sz w:val="22"/>
          <w:szCs w:val="22"/>
        </w:rPr>
        <w:t xml:space="preserve"> než </w:t>
      </w:r>
      <w:r w:rsidR="007A6C81" w:rsidRPr="00B649F7">
        <w:rPr>
          <w:rFonts w:ascii="Calibri" w:hAnsi="Calibri" w:cs="Calibri"/>
          <w:b/>
          <w:color w:val="5B9BD5" w:themeColor="accent1"/>
          <w:sz w:val="22"/>
          <w:szCs w:val="22"/>
        </w:rPr>
        <w:t xml:space="preserve">čtvrtinový pokles. </w:t>
      </w:r>
      <w:r w:rsidR="00CA2ACE" w:rsidRPr="00B649F7">
        <w:rPr>
          <w:rFonts w:ascii="Calibri" w:hAnsi="Calibri" w:cs="Calibri"/>
          <w:b/>
          <w:color w:val="13576B"/>
          <w:sz w:val="22"/>
          <w:szCs w:val="22"/>
        </w:rPr>
        <w:t>Ačkoli lednové měsíce bývají oproti konci roku obvykle z pohledu poskytnutých hypoték slabší, meziměsíční propad téměř</w:t>
      </w:r>
      <w:r w:rsidR="005761EE" w:rsidRPr="00B649F7">
        <w:rPr>
          <w:rFonts w:ascii="Calibri" w:hAnsi="Calibri" w:cs="Calibri"/>
          <w:b/>
          <w:color w:val="13576B"/>
          <w:sz w:val="22"/>
          <w:szCs w:val="22"/>
        </w:rPr>
        <w:t xml:space="preserve"> o</w:t>
      </w:r>
      <w:r w:rsidR="00CA2ACE" w:rsidRPr="00B649F7">
        <w:rPr>
          <w:rFonts w:ascii="Calibri" w:hAnsi="Calibri" w:cs="Calibri"/>
          <w:b/>
          <w:color w:val="13576B"/>
          <w:sz w:val="22"/>
          <w:szCs w:val="22"/>
        </w:rPr>
        <w:t xml:space="preserve"> 12 mld. Kč j</w:t>
      </w:r>
      <w:r w:rsidR="00FD6921" w:rsidRPr="00B649F7">
        <w:rPr>
          <w:rFonts w:ascii="Calibri" w:hAnsi="Calibri" w:cs="Calibri"/>
          <w:b/>
          <w:color w:val="13576B"/>
          <w:sz w:val="22"/>
          <w:szCs w:val="22"/>
        </w:rPr>
        <w:t>d</w:t>
      </w:r>
      <w:r w:rsidR="00CA21E3" w:rsidRPr="00B649F7">
        <w:rPr>
          <w:rFonts w:ascii="Calibri" w:hAnsi="Calibri" w:cs="Calibri"/>
          <w:b/>
          <w:color w:val="13576B"/>
          <w:sz w:val="22"/>
          <w:szCs w:val="22"/>
        </w:rPr>
        <w:t xml:space="preserve">e výrazně nad </w:t>
      </w:r>
      <w:r w:rsidR="00C30F85" w:rsidRPr="00B649F7">
        <w:rPr>
          <w:rFonts w:ascii="Calibri" w:hAnsi="Calibri" w:cs="Calibri"/>
          <w:b/>
          <w:color w:val="13576B"/>
          <w:sz w:val="22"/>
          <w:szCs w:val="22"/>
        </w:rPr>
        <w:t xml:space="preserve">rámec běžného lednového </w:t>
      </w:r>
      <w:r w:rsidR="00D0136A" w:rsidRPr="00B649F7">
        <w:rPr>
          <w:rFonts w:ascii="Calibri" w:hAnsi="Calibri" w:cs="Calibri"/>
          <w:b/>
          <w:color w:val="13576B"/>
          <w:sz w:val="22"/>
          <w:szCs w:val="22"/>
        </w:rPr>
        <w:t xml:space="preserve">zpomalení. </w:t>
      </w:r>
      <w:r w:rsidRPr="00B649F7">
        <w:rPr>
          <w:rFonts w:ascii="Calibri" w:hAnsi="Calibri" w:cs="Calibri"/>
          <w:b/>
          <w:color w:val="13576B"/>
          <w:sz w:val="22"/>
          <w:szCs w:val="22"/>
        </w:rPr>
        <w:t>Z</w:t>
      </w:r>
      <w:r w:rsidR="00F20DD7" w:rsidRPr="00B649F7">
        <w:rPr>
          <w:rFonts w:ascii="Calibri" w:hAnsi="Calibri" w:cs="Calibri"/>
          <w:b/>
          <w:color w:val="13576B"/>
          <w:sz w:val="22"/>
          <w:szCs w:val="22"/>
        </w:rPr>
        <w:t xml:space="preserve"> celkového objemu poskytnutých hypoték </w:t>
      </w:r>
      <w:proofErr w:type="gramStart"/>
      <w:r w:rsidRPr="00B649F7">
        <w:rPr>
          <w:rFonts w:ascii="Calibri" w:hAnsi="Calibri" w:cs="Calibri"/>
          <w:b/>
          <w:color w:val="13576B"/>
          <w:sz w:val="22"/>
          <w:szCs w:val="22"/>
        </w:rPr>
        <w:t>tvoř</w:t>
      </w:r>
      <w:r w:rsidR="00204F09" w:rsidRPr="00B649F7">
        <w:rPr>
          <w:rFonts w:ascii="Calibri" w:hAnsi="Calibri" w:cs="Calibri"/>
          <w:b/>
          <w:color w:val="13576B"/>
          <w:sz w:val="22"/>
          <w:szCs w:val="22"/>
        </w:rPr>
        <w:t>í</w:t>
      </w:r>
      <w:proofErr w:type="gramEnd"/>
      <w:r w:rsidRPr="00B649F7">
        <w:rPr>
          <w:rFonts w:ascii="Calibri" w:hAnsi="Calibri" w:cs="Calibri"/>
          <w:b/>
          <w:color w:val="13576B"/>
          <w:sz w:val="22"/>
          <w:szCs w:val="22"/>
        </w:rPr>
        <w:t xml:space="preserve"> </w:t>
      </w:r>
      <w:r w:rsidR="00E05C1A" w:rsidRPr="00B649F7">
        <w:rPr>
          <w:rFonts w:ascii="Calibri" w:hAnsi="Calibri" w:cs="Calibri"/>
          <w:b/>
          <w:color w:val="5B9BD5" w:themeColor="accent1"/>
          <w:sz w:val="22"/>
          <w:szCs w:val="22"/>
        </w:rPr>
        <w:t>přes</w:t>
      </w:r>
      <w:r w:rsidR="00F62F06" w:rsidRPr="00B649F7">
        <w:rPr>
          <w:rFonts w:ascii="Calibri" w:hAnsi="Calibri" w:cs="Calibri"/>
          <w:b/>
          <w:color w:val="5B9BD5" w:themeColor="accent1"/>
          <w:sz w:val="22"/>
          <w:szCs w:val="22"/>
        </w:rPr>
        <w:t xml:space="preserve"> </w:t>
      </w:r>
      <w:r w:rsidR="008A1C42" w:rsidRPr="00B649F7">
        <w:rPr>
          <w:rFonts w:ascii="Calibri" w:hAnsi="Calibri" w:cs="Calibri"/>
          <w:b/>
          <w:color w:val="5B9BD5" w:themeColor="accent1"/>
          <w:sz w:val="22"/>
          <w:szCs w:val="22"/>
        </w:rPr>
        <w:t>26</w:t>
      </w:r>
      <w:r w:rsidRPr="00B649F7">
        <w:rPr>
          <w:rFonts w:ascii="Calibri" w:hAnsi="Calibri" w:cs="Calibri"/>
          <w:b/>
          <w:color w:val="5B9BD5" w:themeColor="accent1"/>
          <w:sz w:val="22"/>
          <w:szCs w:val="22"/>
        </w:rPr>
        <w:t xml:space="preserve"> mld. Kč hypotéky </w:t>
      </w:r>
      <w:r w:rsidR="00F20DD7" w:rsidRPr="00B649F7">
        <w:rPr>
          <w:rFonts w:ascii="Calibri" w:hAnsi="Calibri" w:cs="Calibri"/>
          <w:b/>
          <w:color w:val="5B9BD5" w:themeColor="accent1"/>
          <w:sz w:val="22"/>
          <w:szCs w:val="22"/>
        </w:rPr>
        <w:t xml:space="preserve">skutečně </w:t>
      </w:r>
      <w:r w:rsidRPr="00B649F7">
        <w:rPr>
          <w:rFonts w:ascii="Calibri" w:hAnsi="Calibri" w:cs="Calibri"/>
          <w:b/>
          <w:color w:val="5B9BD5" w:themeColor="accent1"/>
          <w:sz w:val="22"/>
          <w:szCs w:val="22"/>
        </w:rPr>
        <w:t xml:space="preserve">nové a </w:t>
      </w:r>
      <w:r w:rsidR="008A1C42" w:rsidRPr="00B649F7">
        <w:rPr>
          <w:rFonts w:ascii="Calibri" w:hAnsi="Calibri" w:cs="Calibri"/>
          <w:b/>
          <w:color w:val="5B9BD5" w:themeColor="accent1"/>
          <w:sz w:val="22"/>
          <w:szCs w:val="22"/>
        </w:rPr>
        <w:t>6</w:t>
      </w:r>
      <w:r w:rsidRPr="00B649F7">
        <w:rPr>
          <w:rFonts w:ascii="Calibri" w:hAnsi="Calibri" w:cs="Calibri"/>
          <w:b/>
          <w:color w:val="5B9BD5" w:themeColor="accent1"/>
          <w:sz w:val="22"/>
          <w:szCs w:val="22"/>
        </w:rPr>
        <w:t xml:space="preserve"> mld. Kč pak hypotéky refinancované</w:t>
      </w:r>
      <w:r w:rsidRPr="00B649F7">
        <w:rPr>
          <w:rFonts w:ascii="Calibri" w:hAnsi="Calibri" w:cs="Calibri"/>
          <w:b/>
          <w:color w:val="13576B"/>
          <w:sz w:val="22"/>
          <w:szCs w:val="22"/>
        </w:rPr>
        <w:t xml:space="preserve">. Úroková sazba u </w:t>
      </w:r>
      <w:r w:rsidR="00B7214B" w:rsidRPr="00B649F7">
        <w:rPr>
          <w:rFonts w:ascii="Calibri" w:hAnsi="Calibri" w:cs="Calibri"/>
          <w:b/>
          <w:color w:val="13576B"/>
          <w:sz w:val="22"/>
          <w:szCs w:val="22"/>
        </w:rPr>
        <w:t xml:space="preserve">zmíněných skutečně </w:t>
      </w:r>
      <w:r w:rsidRPr="00B649F7">
        <w:rPr>
          <w:rFonts w:ascii="Calibri" w:hAnsi="Calibri" w:cs="Calibri"/>
          <w:b/>
          <w:color w:val="13576B"/>
          <w:sz w:val="22"/>
          <w:szCs w:val="22"/>
        </w:rPr>
        <w:t>nově poskytnutých</w:t>
      </w:r>
      <w:r w:rsidRPr="000C12F1">
        <w:rPr>
          <w:rFonts w:ascii="Calibri" w:hAnsi="Calibri" w:cs="Calibri"/>
          <w:b/>
          <w:color w:val="13576B"/>
          <w:sz w:val="22"/>
          <w:szCs w:val="22"/>
        </w:rPr>
        <w:t xml:space="preserve"> hypoték v</w:t>
      </w:r>
      <w:r w:rsidR="00B7214B">
        <w:rPr>
          <w:rFonts w:ascii="Calibri" w:hAnsi="Calibri" w:cs="Calibri"/>
          <w:b/>
          <w:color w:val="13576B"/>
          <w:sz w:val="22"/>
          <w:szCs w:val="22"/>
        </w:rPr>
        <w:t xml:space="preserve"> lednu </w:t>
      </w:r>
      <w:r w:rsidRPr="000C12F1">
        <w:rPr>
          <w:rFonts w:ascii="Calibri" w:hAnsi="Calibri" w:cs="Calibri"/>
          <w:b/>
          <w:color w:val="13576B"/>
          <w:sz w:val="22"/>
          <w:szCs w:val="22"/>
        </w:rPr>
        <w:t xml:space="preserve">vzrostla </w:t>
      </w:r>
      <w:r w:rsidR="00B7214B" w:rsidRPr="00B649F7">
        <w:rPr>
          <w:rFonts w:ascii="Calibri" w:hAnsi="Calibri" w:cs="Calibri"/>
          <w:b/>
          <w:color w:val="5B9BD5" w:themeColor="accent1"/>
          <w:sz w:val="22"/>
          <w:szCs w:val="22"/>
        </w:rPr>
        <w:t>z</w:t>
      </w:r>
      <w:r w:rsidR="008A072D" w:rsidRPr="00B649F7">
        <w:rPr>
          <w:rFonts w:ascii="Calibri" w:hAnsi="Calibri" w:cs="Calibri"/>
          <w:b/>
          <w:color w:val="5B9BD5" w:themeColor="accent1"/>
          <w:sz w:val="22"/>
          <w:szCs w:val="22"/>
        </w:rPr>
        <w:t>e</w:t>
      </w:r>
      <w:r w:rsidR="00B7214B" w:rsidRPr="00B649F7">
        <w:rPr>
          <w:rFonts w:ascii="Calibri" w:hAnsi="Calibri" w:cs="Calibri"/>
          <w:b/>
          <w:color w:val="5B9BD5" w:themeColor="accent1"/>
          <w:sz w:val="22"/>
          <w:szCs w:val="22"/>
        </w:rPr>
        <w:t> </w:t>
      </w:r>
      <w:r w:rsidR="00247A4D" w:rsidRPr="00B649F7">
        <w:rPr>
          <w:rFonts w:ascii="Calibri" w:hAnsi="Calibri" w:cs="Calibri"/>
          <w:b/>
          <w:color w:val="5B9BD5" w:themeColor="accent1"/>
          <w:sz w:val="22"/>
          <w:szCs w:val="22"/>
        </w:rPr>
        <w:t>3</w:t>
      </w:r>
      <w:r w:rsidR="00B7214B" w:rsidRPr="00B649F7">
        <w:rPr>
          <w:rFonts w:ascii="Calibri" w:hAnsi="Calibri" w:cs="Calibri"/>
          <w:b/>
          <w:color w:val="5B9BD5" w:themeColor="accent1"/>
          <w:sz w:val="22"/>
          <w:szCs w:val="22"/>
        </w:rPr>
        <w:t xml:space="preserve"> na 3,4 %</w:t>
      </w:r>
      <w:r w:rsidR="004D4156" w:rsidRPr="00B649F7">
        <w:rPr>
          <w:rFonts w:ascii="Calibri" w:hAnsi="Calibri" w:cs="Calibri"/>
          <w:b/>
          <w:color w:val="5B9BD5" w:themeColor="accent1"/>
          <w:sz w:val="22"/>
          <w:szCs w:val="22"/>
        </w:rPr>
        <w:t xml:space="preserve">. </w:t>
      </w:r>
      <w:r w:rsidR="004D4156">
        <w:rPr>
          <w:rFonts w:ascii="Calibri" w:hAnsi="Calibri" w:cs="Calibri"/>
          <w:b/>
          <w:color w:val="13576B"/>
          <w:sz w:val="22"/>
          <w:szCs w:val="22"/>
        </w:rPr>
        <w:t>Růst sazeb tak postupně zrychluje</w:t>
      </w:r>
      <w:r w:rsidR="0066030A">
        <w:rPr>
          <w:rFonts w:ascii="Calibri" w:hAnsi="Calibri" w:cs="Calibri"/>
          <w:b/>
          <w:color w:val="13576B"/>
          <w:sz w:val="22"/>
          <w:szCs w:val="22"/>
        </w:rPr>
        <w:t xml:space="preserve">, ačkoli se stále nachází pod </w:t>
      </w:r>
      <w:proofErr w:type="gramStart"/>
      <w:r w:rsidR="0066030A">
        <w:rPr>
          <w:rFonts w:ascii="Calibri" w:hAnsi="Calibri" w:cs="Calibri"/>
          <w:b/>
          <w:color w:val="13576B"/>
          <w:sz w:val="22"/>
          <w:szCs w:val="22"/>
        </w:rPr>
        <w:t xml:space="preserve">úrovní </w:t>
      </w:r>
      <w:r w:rsidR="00247A4D">
        <w:rPr>
          <w:rFonts w:ascii="Calibri" w:hAnsi="Calibri" w:cs="Calibri"/>
          <w:b/>
          <w:color w:val="13576B"/>
          <w:sz w:val="22"/>
          <w:szCs w:val="22"/>
        </w:rPr>
        <w:t xml:space="preserve"> nabídkový</w:t>
      </w:r>
      <w:r w:rsidR="0066030A">
        <w:rPr>
          <w:rFonts w:ascii="Calibri" w:hAnsi="Calibri" w:cs="Calibri"/>
          <w:b/>
          <w:color w:val="13576B"/>
          <w:sz w:val="22"/>
          <w:szCs w:val="22"/>
        </w:rPr>
        <w:t>ch</w:t>
      </w:r>
      <w:proofErr w:type="gramEnd"/>
      <w:r w:rsidR="00247A4D">
        <w:rPr>
          <w:rFonts w:ascii="Calibri" w:hAnsi="Calibri" w:cs="Calibri"/>
          <w:b/>
          <w:color w:val="13576B"/>
          <w:sz w:val="22"/>
          <w:szCs w:val="22"/>
        </w:rPr>
        <w:t xml:space="preserve"> </w:t>
      </w:r>
      <w:r w:rsidR="0066030A">
        <w:rPr>
          <w:rFonts w:ascii="Calibri" w:hAnsi="Calibri" w:cs="Calibri"/>
          <w:b/>
          <w:color w:val="13576B"/>
          <w:sz w:val="22"/>
          <w:szCs w:val="22"/>
        </w:rPr>
        <w:t xml:space="preserve">úrokových sazeb, </w:t>
      </w:r>
      <w:r w:rsidR="00126A7F">
        <w:rPr>
          <w:rFonts w:ascii="Calibri" w:hAnsi="Calibri" w:cs="Calibri"/>
          <w:b/>
          <w:color w:val="13576B"/>
          <w:sz w:val="22"/>
          <w:szCs w:val="22"/>
        </w:rPr>
        <w:t xml:space="preserve">které se </w:t>
      </w:r>
      <w:r w:rsidR="00477094">
        <w:rPr>
          <w:rFonts w:ascii="Calibri" w:hAnsi="Calibri" w:cs="Calibri"/>
          <w:b/>
          <w:color w:val="13576B"/>
          <w:sz w:val="22"/>
          <w:szCs w:val="22"/>
        </w:rPr>
        <w:t>začátkem rok</w:t>
      </w:r>
      <w:r w:rsidR="008A072D">
        <w:rPr>
          <w:rFonts w:ascii="Calibri" w:hAnsi="Calibri" w:cs="Calibri"/>
          <w:b/>
          <w:color w:val="13576B"/>
          <w:sz w:val="22"/>
          <w:szCs w:val="22"/>
        </w:rPr>
        <w:t>u</w:t>
      </w:r>
      <w:r w:rsidR="00DA61B6">
        <w:rPr>
          <w:rFonts w:ascii="Calibri" w:hAnsi="Calibri" w:cs="Calibri"/>
          <w:b/>
          <w:color w:val="13576B"/>
          <w:sz w:val="22"/>
          <w:szCs w:val="22"/>
        </w:rPr>
        <w:t xml:space="preserve"> nejčastěji </w:t>
      </w:r>
      <w:r w:rsidR="00126A7F">
        <w:rPr>
          <w:rFonts w:ascii="Calibri" w:hAnsi="Calibri" w:cs="Calibri"/>
          <w:b/>
          <w:color w:val="13576B"/>
          <w:sz w:val="22"/>
          <w:szCs w:val="22"/>
        </w:rPr>
        <w:t xml:space="preserve">pohybují v rozmezí 4–5 % v závislosti na </w:t>
      </w:r>
      <w:r w:rsidR="00E44F24">
        <w:rPr>
          <w:rFonts w:ascii="Calibri" w:hAnsi="Calibri" w:cs="Calibri"/>
          <w:b/>
          <w:color w:val="13576B"/>
          <w:sz w:val="22"/>
          <w:szCs w:val="22"/>
        </w:rPr>
        <w:t xml:space="preserve">konkrétních podmínkách žadatele. </w:t>
      </w:r>
      <w:r w:rsidR="00757649" w:rsidRPr="00B649F7">
        <w:rPr>
          <w:rFonts w:ascii="Calibri" w:hAnsi="Calibri" w:cs="Calibri"/>
          <w:b/>
          <w:color w:val="13576B"/>
          <w:sz w:val="22"/>
          <w:szCs w:val="22"/>
        </w:rPr>
        <w:t xml:space="preserve">Uvedené informace plynou </w:t>
      </w:r>
      <w:r w:rsidRPr="00B649F7">
        <w:rPr>
          <w:rFonts w:ascii="Calibri" w:hAnsi="Calibri" w:cs="Calibri"/>
          <w:b/>
          <w:color w:val="13576B"/>
          <w:sz w:val="22"/>
          <w:szCs w:val="22"/>
        </w:rPr>
        <w:t xml:space="preserve">z dat ČBA </w:t>
      </w:r>
      <w:proofErr w:type="spellStart"/>
      <w:r w:rsidRPr="00B649F7">
        <w:rPr>
          <w:rFonts w:ascii="Calibri" w:hAnsi="Calibri" w:cs="Calibri"/>
          <w:b/>
          <w:color w:val="13576B"/>
          <w:sz w:val="22"/>
          <w:szCs w:val="22"/>
        </w:rPr>
        <w:t>Hypomonitoru</w:t>
      </w:r>
      <w:proofErr w:type="spellEnd"/>
      <w:r w:rsidR="00052C6A" w:rsidRPr="00B649F7">
        <w:rPr>
          <w:rFonts w:ascii="Calibri" w:hAnsi="Calibri" w:cs="Calibri"/>
          <w:b/>
          <w:color w:val="13576B"/>
          <w:sz w:val="22"/>
          <w:szCs w:val="22"/>
        </w:rPr>
        <w:t xml:space="preserve">, který </w:t>
      </w:r>
      <w:r w:rsidR="00407FB6" w:rsidRPr="00B649F7">
        <w:rPr>
          <w:rFonts w:ascii="Calibri" w:hAnsi="Calibri" w:cs="Calibri"/>
          <w:b/>
          <w:color w:val="13576B"/>
          <w:sz w:val="22"/>
          <w:szCs w:val="22"/>
        </w:rPr>
        <w:t xml:space="preserve">jako jediný </w:t>
      </w:r>
      <w:r w:rsidR="00B649F7">
        <w:rPr>
          <w:rFonts w:ascii="Calibri" w:hAnsi="Calibri" w:cs="Calibri"/>
          <w:b/>
          <w:color w:val="13576B"/>
          <w:sz w:val="22"/>
          <w:szCs w:val="22"/>
        </w:rPr>
        <w:t>(</w:t>
      </w:r>
      <w:r w:rsidR="008272AC" w:rsidRPr="00B649F7">
        <w:rPr>
          <w:rFonts w:ascii="Calibri" w:hAnsi="Calibri" w:cs="Calibri"/>
          <w:b/>
          <w:color w:val="13576B"/>
          <w:sz w:val="22"/>
          <w:szCs w:val="22"/>
        </w:rPr>
        <w:t xml:space="preserve">kromě </w:t>
      </w:r>
      <w:r w:rsidR="00407FB6" w:rsidRPr="00B649F7">
        <w:rPr>
          <w:rFonts w:ascii="Calibri" w:hAnsi="Calibri" w:cs="Calibri"/>
          <w:b/>
          <w:color w:val="13576B"/>
          <w:sz w:val="22"/>
          <w:szCs w:val="22"/>
        </w:rPr>
        <w:t>oficiálních dat ČNB</w:t>
      </w:r>
      <w:r w:rsidR="00B649F7">
        <w:rPr>
          <w:rFonts w:ascii="Calibri" w:hAnsi="Calibri" w:cs="Calibri"/>
          <w:b/>
          <w:color w:val="13576B"/>
          <w:sz w:val="22"/>
          <w:szCs w:val="22"/>
        </w:rPr>
        <w:t>)</w:t>
      </w:r>
      <w:r w:rsidR="00407FB6" w:rsidRPr="00B649F7">
        <w:rPr>
          <w:rFonts w:ascii="Calibri" w:hAnsi="Calibri" w:cs="Calibri"/>
          <w:b/>
          <w:color w:val="13576B"/>
          <w:sz w:val="22"/>
          <w:szCs w:val="22"/>
        </w:rPr>
        <w:t xml:space="preserve"> </w:t>
      </w:r>
      <w:r w:rsidR="001C7200" w:rsidRPr="00B649F7">
        <w:rPr>
          <w:rFonts w:ascii="Calibri" w:hAnsi="Calibri" w:cs="Calibri"/>
          <w:b/>
          <w:color w:val="13576B"/>
          <w:sz w:val="22"/>
          <w:szCs w:val="22"/>
        </w:rPr>
        <w:t xml:space="preserve">obsahuje </w:t>
      </w:r>
      <w:r w:rsidR="00B649F7">
        <w:rPr>
          <w:rFonts w:ascii="Calibri" w:hAnsi="Calibri" w:cs="Calibri"/>
          <w:b/>
          <w:color w:val="13576B"/>
          <w:sz w:val="22"/>
          <w:szCs w:val="22"/>
        </w:rPr>
        <w:t>data</w:t>
      </w:r>
      <w:r w:rsidR="00291BE8" w:rsidRPr="00B649F7">
        <w:rPr>
          <w:rFonts w:ascii="Calibri" w:hAnsi="Calibri" w:cs="Calibri"/>
          <w:b/>
          <w:color w:val="13576B"/>
          <w:sz w:val="22"/>
          <w:szCs w:val="22"/>
        </w:rPr>
        <w:t xml:space="preserve"> </w:t>
      </w:r>
      <w:r w:rsidR="001C7200" w:rsidRPr="00B649F7">
        <w:rPr>
          <w:rFonts w:ascii="Calibri" w:hAnsi="Calibri" w:cs="Calibri"/>
          <w:b/>
          <w:color w:val="13576B"/>
          <w:sz w:val="22"/>
          <w:szCs w:val="22"/>
        </w:rPr>
        <w:t>všech tuzemských bank</w:t>
      </w:r>
      <w:r w:rsidR="00C665F2" w:rsidRPr="00B649F7">
        <w:rPr>
          <w:rFonts w:ascii="Calibri" w:hAnsi="Calibri" w:cs="Calibri"/>
          <w:b/>
          <w:color w:val="13576B"/>
          <w:sz w:val="22"/>
          <w:szCs w:val="22"/>
        </w:rPr>
        <w:t xml:space="preserve"> a stavebních spořitelen</w:t>
      </w:r>
      <w:r w:rsidR="001C7200" w:rsidRPr="00B649F7">
        <w:rPr>
          <w:rFonts w:ascii="Calibri" w:hAnsi="Calibri" w:cs="Calibri"/>
          <w:b/>
          <w:color w:val="13576B"/>
          <w:sz w:val="22"/>
          <w:szCs w:val="22"/>
        </w:rPr>
        <w:t xml:space="preserve"> poskytujících hypoteční úvěry</w:t>
      </w:r>
      <w:r w:rsidR="00C665F2" w:rsidRPr="00B649F7">
        <w:rPr>
          <w:rFonts w:ascii="Calibri" w:hAnsi="Calibri" w:cs="Calibri"/>
          <w:b/>
          <w:color w:val="13576B"/>
          <w:sz w:val="22"/>
          <w:szCs w:val="22"/>
        </w:rPr>
        <w:t xml:space="preserve"> na domácím trhu.</w:t>
      </w:r>
      <w:r w:rsidR="00461E79" w:rsidRPr="008A072D">
        <w:rPr>
          <w:rFonts w:ascii="Calibri" w:hAnsi="Calibri" w:cs="Calibri"/>
          <w:b/>
          <w:i/>
          <w:iCs/>
          <w:color w:val="13576B"/>
          <w:sz w:val="22"/>
          <w:szCs w:val="22"/>
        </w:rPr>
        <w:t xml:space="preserve"> </w:t>
      </w:r>
    </w:p>
    <w:p w14:paraId="44CE3940" w14:textId="77777777" w:rsidR="0001227F" w:rsidRPr="0001227F" w:rsidRDefault="0001227F" w:rsidP="0001227F">
      <w:pPr>
        <w:rPr>
          <w:rFonts w:ascii="Calibri" w:hAnsi="Calibri" w:cs="Calibri"/>
          <w:b/>
          <w:bCs/>
          <w:sz w:val="22"/>
          <w:szCs w:val="22"/>
        </w:rPr>
      </w:pPr>
    </w:p>
    <w:p w14:paraId="367713E2" w14:textId="4EADEE84" w:rsidR="0001227F" w:rsidRPr="008A072D" w:rsidRDefault="002E6C7C" w:rsidP="0001227F">
      <w:pPr>
        <w:rPr>
          <w:rFonts w:ascii="Calibri" w:hAnsi="Calibri" w:cs="Calibri"/>
          <w:b/>
          <w:color w:val="13576B"/>
          <w:sz w:val="24"/>
          <w:szCs w:val="24"/>
        </w:rPr>
      </w:pPr>
      <w:r w:rsidRPr="008A072D">
        <w:rPr>
          <w:rFonts w:ascii="Calibri" w:hAnsi="Calibri" w:cs="Calibri"/>
          <w:b/>
          <w:color w:val="13576B"/>
          <w:sz w:val="24"/>
          <w:szCs w:val="24"/>
        </w:rPr>
        <w:t>O</w:t>
      </w:r>
      <w:r w:rsidR="0001227F" w:rsidRPr="008A072D">
        <w:rPr>
          <w:rFonts w:ascii="Calibri" w:hAnsi="Calibri" w:cs="Calibri"/>
          <w:b/>
          <w:color w:val="13576B"/>
          <w:sz w:val="24"/>
          <w:szCs w:val="24"/>
        </w:rPr>
        <w:t xml:space="preserve">bjemy </w:t>
      </w:r>
      <w:r w:rsidRPr="008A072D">
        <w:rPr>
          <w:rFonts w:ascii="Calibri" w:hAnsi="Calibri" w:cs="Calibri"/>
          <w:b/>
          <w:color w:val="13576B"/>
          <w:sz w:val="24"/>
          <w:szCs w:val="24"/>
        </w:rPr>
        <w:t>poskytnutých</w:t>
      </w:r>
      <w:r w:rsidR="00703676" w:rsidRPr="008A072D">
        <w:rPr>
          <w:rFonts w:ascii="Calibri" w:hAnsi="Calibri" w:cs="Calibri"/>
          <w:b/>
          <w:color w:val="13576B"/>
          <w:sz w:val="24"/>
          <w:szCs w:val="24"/>
        </w:rPr>
        <w:t xml:space="preserve"> hypoték</w:t>
      </w:r>
      <w:r w:rsidR="00475D5E" w:rsidRPr="008A072D">
        <w:rPr>
          <w:rFonts w:ascii="Calibri" w:hAnsi="Calibri" w:cs="Calibri"/>
          <w:b/>
          <w:color w:val="13576B"/>
          <w:sz w:val="24"/>
          <w:szCs w:val="24"/>
        </w:rPr>
        <w:t xml:space="preserve"> v</w:t>
      </w:r>
      <w:r w:rsidR="00BC21D7" w:rsidRPr="008A072D">
        <w:rPr>
          <w:rFonts w:ascii="Calibri" w:hAnsi="Calibri" w:cs="Calibri"/>
          <w:b/>
          <w:color w:val="13576B"/>
          <w:sz w:val="24"/>
          <w:szCs w:val="24"/>
        </w:rPr>
        <w:t> lednu citelně propadly</w:t>
      </w:r>
      <w:r w:rsidR="001961C5" w:rsidRPr="008A072D">
        <w:rPr>
          <w:rFonts w:ascii="Calibri" w:hAnsi="Calibri" w:cs="Calibri"/>
          <w:b/>
          <w:color w:val="13576B"/>
          <w:sz w:val="24"/>
          <w:szCs w:val="24"/>
        </w:rPr>
        <w:t>, a to jak u nových, tak refinancovaných úvěrů</w:t>
      </w:r>
    </w:p>
    <w:p w14:paraId="0752ACEC" w14:textId="301A80F3" w:rsidR="00C1041E" w:rsidRDefault="0034310E" w:rsidP="0001227F">
      <w:pPr>
        <w:rPr>
          <w:rFonts w:ascii="Calibri" w:hAnsi="Calibri" w:cs="Calibri"/>
          <w:sz w:val="22"/>
          <w:szCs w:val="22"/>
        </w:rPr>
      </w:pPr>
      <w:r w:rsidRPr="002244BA">
        <w:rPr>
          <w:rFonts w:ascii="Calibri" w:hAnsi="Calibri" w:cs="Calibri"/>
          <w:b/>
          <w:bCs/>
          <w:sz w:val="22"/>
          <w:szCs w:val="22"/>
        </w:rPr>
        <w:t xml:space="preserve">V lednových číslech </w:t>
      </w:r>
      <w:r w:rsidR="007C525A" w:rsidRPr="002244BA">
        <w:rPr>
          <w:rFonts w:ascii="Calibri" w:hAnsi="Calibri" w:cs="Calibri"/>
          <w:b/>
          <w:bCs/>
          <w:sz w:val="22"/>
          <w:szCs w:val="22"/>
        </w:rPr>
        <w:t xml:space="preserve">se již začaly </w:t>
      </w:r>
      <w:r w:rsidR="001B6935" w:rsidRPr="002244BA">
        <w:rPr>
          <w:rFonts w:ascii="Calibri" w:hAnsi="Calibri" w:cs="Calibri"/>
          <w:b/>
          <w:bCs/>
          <w:sz w:val="22"/>
          <w:szCs w:val="22"/>
        </w:rPr>
        <w:t xml:space="preserve">plně </w:t>
      </w:r>
      <w:r w:rsidR="007C525A" w:rsidRPr="002244BA">
        <w:rPr>
          <w:rFonts w:ascii="Calibri" w:hAnsi="Calibri" w:cs="Calibri"/>
          <w:b/>
          <w:bCs/>
          <w:sz w:val="22"/>
          <w:szCs w:val="22"/>
        </w:rPr>
        <w:t xml:space="preserve">promítat </w:t>
      </w:r>
      <w:r w:rsidR="001B6935" w:rsidRPr="002244BA">
        <w:rPr>
          <w:rFonts w:ascii="Calibri" w:hAnsi="Calibri" w:cs="Calibri"/>
          <w:b/>
          <w:bCs/>
          <w:sz w:val="22"/>
          <w:szCs w:val="22"/>
        </w:rPr>
        <w:t xml:space="preserve">dřívější </w:t>
      </w:r>
      <w:r w:rsidR="007C525A" w:rsidRPr="002244BA">
        <w:rPr>
          <w:rFonts w:ascii="Calibri" w:hAnsi="Calibri" w:cs="Calibri"/>
          <w:b/>
          <w:bCs/>
          <w:sz w:val="22"/>
          <w:szCs w:val="22"/>
        </w:rPr>
        <w:t>odhady, že hypoteční trh v letošním roce citelně zpomalí</w:t>
      </w:r>
      <w:r w:rsidR="00407FB6" w:rsidRPr="002244BA">
        <w:rPr>
          <w:rFonts w:ascii="Calibri" w:hAnsi="Calibri" w:cs="Calibri"/>
          <w:b/>
          <w:bCs/>
          <w:sz w:val="22"/>
          <w:szCs w:val="22"/>
        </w:rPr>
        <w:t>.</w:t>
      </w:r>
      <w:r w:rsidR="00407FB6">
        <w:rPr>
          <w:rFonts w:ascii="Calibri" w:hAnsi="Calibri" w:cs="Calibri"/>
          <w:sz w:val="22"/>
          <w:szCs w:val="22"/>
        </w:rPr>
        <w:t xml:space="preserve"> </w:t>
      </w:r>
      <w:r w:rsidR="00AD3A59">
        <w:rPr>
          <w:rFonts w:ascii="Calibri" w:hAnsi="Calibri" w:cs="Calibri"/>
          <w:sz w:val="22"/>
          <w:szCs w:val="22"/>
        </w:rPr>
        <w:t>Banky a stavební spořitelny</w:t>
      </w:r>
      <w:r w:rsidR="0001227F" w:rsidRPr="0001227F">
        <w:rPr>
          <w:rFonts w:ascii="Calibri" w:hAnsi="Calibri" w:cs="Calibri"/>
          <w:sz w:val="22"/>
          <w:szCs w:val="22"/>
        </w:rPr>
        <w:t xml:space="preserve"> dle</w:t>
      </w:r>
      <w:r w:rsidR="00AD3A59">
        <w:rPr>
          <w:rFonts w:ascii="Calibri" w:hAnsi="Calibri" w:cs="Calibri"/>
          <w:sz w:val="22"/>
          <w:szCs w:val="22"/>
        </w:rPr>
        <w:t xml:space="preserve"> </w:t>
      </w:r>
      <w:r w:rsidR="001B6935">
        <w:rPr>
          <w:rFonts w:ascii="Calibri" w:hAnsi="Calibri" w:cs="Calibri"/>
          <w:sz w:val="22"/>
          <w:szCs w:val="22"/>
        </w:rPr>
        <w:t>lednového</w:t>
      </w:r>
      <w:r w:rsidR="00AD3A59">
        <w:rPr>
          <w:rFonts w:ascii="Calibri" w:hAnsi="Calibri" w:cs="Calibri"/>
          <w:sz w:val="22"/>
          <w:szCs w:val="22"/>
        </w:rPr>
        <w:t xml:space="preserve"> </w:t>
      </w:r>
      <w:r w:rsidR="0001227F" w:rsidRPr="001457AA">
        <w:rPr>
          <w:rFonts w:ascii="Calibri" w:hAnsi="Calibri" w:cs="Calibri"/>
          <w:b/>
          <w:bCs/>
          <w:sz w:val="22"/>
          <w:szCs w:val="22"/>
        </w:rPr>
        <w:t xml:space="preserve">ČBA </w:t>
      </w:r>
      <w:proofErr w:type="spellStart"/>
      <w:r w:rsidR="0001227F" w:rsidRPr="001457AA">
        <w:rPr>
          <w:rFonts w:ascii="Calibri" w:hAnsi="Calibri" w:cs="Calibri"/>
          <w:b/>
          <w:bCs/>
          <w:sz w:val="22"/>
          <w:szCs w:val="22"/>
        </w:rPr>
        <w:t>Hypomonitoru</w:t>
      </w:r>
      <w:proofErr w:type="spellEnd"/>
      <w:r w:rsidR="0001227F" w:rsidRPr="0001227F">
        <w:rPr>
          <w:rFonts w:ascii="Calibri" w:hAnsi="Calibri" w:cs="Calibri"/>
          <w:sz w:val="22"/>
          <w:szCs w:val="22"/>
        </w:rPr>
        <w:t xml:space="preserve"> </w:t>
      </w:r>
      <w:r w:rsidR="00AD3A59">
        <w:rPr>
          <w:rFonts w:ascii="Calibri" w:hAnsi="Calibri" w:cs="Calibri"/>
          <w:sz w:val="22"/>
          <w:szCs w:val="22"/>
        </w:rPr>
        <w:t xml:space="preserve">poskytly domácnostem hypotéky </w:t>
      </w:r>
      <w:r w:rsidR="0001227F" w:rsidRPr="0001227F">
        <w:rPr>
          <w:rFonts w:ascii="Calibri" w:hAnsi="Calibri" w:cs="Calibri"/>
          <w:sz w:val="22"/>
          <w:szCs w:val="22"/>
        </w:rPr>
        <w:t>v</w:t>
      </w:r>
      <w:r w:rsidR="005C7FCE">
        <w:rPr>
          <w:rFonts w:ascii="Calibri" w:hAnsi="Calibri" w:cs="Calibri"/>
          <w:sz w:val="22"/>
          <w:szCs w:val="22"/>
        </w:rPr>
        <w:t xml:space="preserve"> celkovém </w:t>
      </w:r>
      <w:r w:rsidR="0001227F" w:rsidRPr="0001227F">
        <w:rPr>
          <w:rFonts w:ascii="Calibri" w:hAnsi="Calibri" w:cs="Calibri"/>
          <w:sz w:val="22"/>
          <w:szCs w:val="22"/>
        </w:rPr>
        <w:t>objemu</w:t>
      </w:r>
      <w:r w:rsidR="00BE0DD9">
        <w:rPr>
          <w:rFonts w:ascii="Calibri" w:hAnsi="Calibri" w:cs="Calibri"/>
          <w:sz w:val="22"/>
          <w:szCs w:val="22"/>
        </w:rPr>
        <w:t xml:space="preserve"> </w:t>
      </w:r>
      <w:r w:rsidR="00F340F0" w:rsidRPr="001457AA">
        <w:rPr>
          <w:rFonts w:ascii="Calibri" w:hAnsi="Calibri" w:cs="Calibri"/>
          <w:b/>
          <w:bCs/>
          <w:sz w:val="22"/>
          <w:szCs w:val="22"/>
        </w:rPr>
        <w:t>32</w:t>
      </w:r>
      <w:r w:rsidR="001C266E" w:rsidRPr="001457AA">
        <w:rPr>
          <w:rFonts w:ascii="Calibri" w:hAnsi="Calibri" w:cs="Calibri"/>
          <w:b/>
          <w:bCs/>
          <w:sz w:val="22"/>
          <w:szCs w:val="22"/>
        </w:rPr>
        <w:t>,</w:t>
      </w:r>
      <w:r w:rsidR="00F340F0" w:rsidRPr="001457AA">
        <w:rPr>
          <w:rFonts w:ascii="Calibri" w:hAnsi="Calibri" w:cs="Calibri"/>
          <w:b/>
          <w:bCs/>
          <w:sz w:val="22"/>
          <w:szCs w:val="22"/>
        </w:rPr>
        <w:t>6</w:t>
      </w:r>
      <w:r w:rsidR="00BE0DD9" w:rsidRPr="001457AA">
        <w:rPr>
          <w:rFonts w:ascii="Calibri" w:hAnsi="Calibri" w:cs="Calibri"/>
          <w:b/>
          <w:bCs/>
          <w:sz w:val="22"/>
          <w:szCs w:val="22"/>
        </w:rPr>
        <w:t xml:space="preserve"> mld. Kč</w:t>
      </w:r>
      <w:r w:rsidR="00BE0DD9">
        <w:rPr>
          <w:rFonts w:ascii="Calibri" w:hAnsi="Calibri" w:cs="Calibri"/>
          <w:sz w:val="22"/>
          <w:szCs w:val="22"/>
        </w:rPr>
        <w:t>. Ve srovnání s</w:t>
      </w:r>
      <w:r w:rsidR="00F340F0">
        <w:rPr>
          <w:rFonts w:ascii="Calibri" w:hAnsi="Calibri" w:cs="Calibri"/>
          <w:sz w:val="22"/>
          <w:szCs w:val="22"/>
        </w:rPr>
        <w:t> prosincem minulého roku</w:t>
      </w:r>
      <w:r w:rsidR="00BE0DD9">
        <w:rPr>
          <w:rFonts w:ascii="Calibri" w:hAnsi="Calibri" w:cs="Calibri"/>
          <w:sz w:val="22"/>
          <w:szCs w:val="22"/>
        </w:rPr>
        <w:t xml:space="preserve"> </w:t>
      </w:r>
      <w:r w:rsidR="001E1AED">
        <w:rPr>
          <w:rFonts w:ascii="Calibri" w:hAnsi="Calibri" w:cs="Calibri"/>
          <w:sz w:val="22"/>
          <w:szCs w:val="22"/>
        </w:rPr>
        <w:t xml:space="preserve">se jedná </w:t>
      </w:r>
      <w:r w:rsidR="001E1AED" w:rsidRPr="001457AA">
        <w:rPr>
          <w:rFonts w:ascii="Calibri" w:hAnsi="Calibri" w:cs="Calibri"/>
          <w:b/>
          <w:bCs/>
          <w:sz w:val="22"/>
          <w:szCs w:val="22"/>
        </w:rPr>
        <w:t>o pokles o 11,7 mld. Kč, tj. 26 %.</w:t>
      </w:r>
      <w:r w:rsidR="001E1AED">
        <w:rPr>
          <w:rFonts w:ascii="Calibri" w:hAnsi="Calibri" w:cs="Calibri"/>
          <w:sz w:val="22"/>
          <w:szCs w:val="22"/>
        </w:rPr>
        <w:t xml:space="preserve"> </w:t>
      </w:r>
      <w:r w:rsidR="00C1041E">
        <w:rPr>
          <w:rFonts w:ascii="Calibri" w:hAnsi="Calibri" w:cs="Calibri"/>
          <w:sz w:val="22"/>
          <w:szCs w:val="22"/>
        </w:rPr>
        <w:t xml:space="preserve">Stejný trend pak následovaly i počty poskytnutých hypoték, </w:t>
      </w:r>
      <w:proofErr w:type="gramStart"/>
      <w:r w:rsidR="00C1041E">
        <w:rPr>
          <w:rFonts w:ascii="Calibri" w:hAnsi="Calibri" w:cs="Calibri"/>
          <w:sz w:val="22"/>
          <w:szCs w:val="22"/>
        </w:rPr>
        <w:t>které  v</w:t>
      </w:r>
      <w:proofErr w:type="gramEnd"/>
      <w:r w:rsidR="00C1041E">
        <w:rPr>
          <w:rFonts w:ascii="Calibri" w:hAnsi="Calibri" w:cs="Calibri"/>
          <w:sz w:val="22"/>
          <w:szCs w:val="22"/>
        </w:rPr>
        <w:t> lednu oproti předchozímu měsíci poklesly o téměř 28 %, a to z 14 na 10 tisíc</w:t>
      </w:r>
      <w:r w:rsidR="004D114D">
        <w:rPr>
          <w:rFonts w:ascii="Calibri" w:hAnsi="Calibri" w:cs="Calibri"/>
          <w:sz w:val="22"/>
          <w:szCs w:val="22"/>
        </w:rPr>
        <w:t>.</w:t>
      </w:r>
      <w:r w:rsidR="008F39F1">
        <w:rPr>
          <w:rFonts w:ascii="Calibri" w:hAnsi="Calibri" w:cs="Calibri"/>
          <w:sz w:val="22"/>
          <w:szCs w:val="22"/>
        </w:rPr>
        <w:t xml:space="preserve"> Jedná se o nejnižší počet</w:t>
      </w:r>
      <w:r w:rsidR="00C97546">
        <w:rPr>
          <w:rFonts w:ascii="Calibri" w:hAnsi="Calibri" w:cs="Calibri"/>
          <w:sz w:val="22"/>
          <w:szCs w:val="22"/>
        </w:rPr>
        <w:t xml:space="preserve"> poskytnutých hypoték</w:t>
      </w:r>
      <w:r w:rsidR="008F39F1">
        <w:rPr>
          <w:rFonts w:ascii="Calibri" w:hAnsi="Calibri" w:cs="Calibri"/>
          <w:sz w:val="22"/>
          <w:szCs w:val="22"/>
        </w:rPr>
        <w:t xml:space="preserve"> od srpna 2020.</w:t>
      </w:r>
    </w:p>
    <w:p w14:paraId="26310041" w14:textId="77777777" w:rsidR="004D114D" w:rsidRDefault="004D114D" w:rsidP="0001227F">
      <w:pPr>
        <w:rPr>
          <w:rFonts w:ascii="Calibri" w:hAnsi="Calibri" w:cs="Calibri"/>
          <w:sz w:val="22"/>
          <w:szCs w:val="22"/>
        </w:rPr>
      </w:pPr>
    </w:p>
    <w:p w14:paraId="77A68D0B" w14:textId="09743814" w:rsidR="00D07DD7" w:rsidRDefault="00493A20" w:rsidP="0001227F">
      <w:pPr>
        <w:rPr>
          <w:rFonts w:ascii="Calibri" w:hAnsi="Calibri" w:cs="Calibri"/>
          <w:sz w:val="22"/>
          <w:szCs w:val="22"/>
        </w:rPr>
      </w:pPr>
      <w:r w:rsidRPr="002244BA">
        <w:rPr>
          <w:rFonts w:ascii="Calibri" w:hAnsi="Calibri" w:cs="Calibri"/>
          <w:b/>
          <w:bCs/>
          <w:sz w:val="22"/>
          <w:szCs w:val="22"/>
        </w:rPr>
        <w:t>Objem skutečně</w:t>
      </w:r>
      <w:r w:rsidR="00BE5CDB" w:rsidRPr="002244BA">
        <w:rPr>
          <w:rFonts w:ascii="Calibri" w:hAnsi="Calibri" w:cs="Calibri"/>
          <w:b/>
          <w:bCs/>
          <w:sz w:val="22"/>
          <w:szCs w:val="22"/>
        </w:rPr>
        <w:t xml:space="preserve"> nově poskytnutých hypoték v lednu poklesl z 34,2 mld Kč na 26,3 mld. K</w:t>
      </w:r>
      <w:r w:rsidR="00C72AE9">
        <w:rPr>
          <w:rFonts w:ascii="Calibri" w:hAnsi="Calibri" w:cs="Calibri"/>
          <w:b/>
          <w:bCs/>
          <w:sz w:val="22"/>
          <w:szCs w:val="22"/>
        </w:rPr>
        <w:t>č</w:t>
      </w:r>
      <w:r w:rsidR="00BE5CDB" w:rsidRPr="002244BA">
        <w:rPr>
          <w:rFonts w:ascii="Calibri" w:hAnsi="Calibri" w:cs="Calibri"/>
          <w:b/>
          <w:bCs/>
          <w:sz w:val="22"/>
          <w:szCs w:val="22"/>
        </w:rPr>
        <w:t>, u refinancovaných úvěrů</w:t>
      </w:r>
      <w:r w:rsidR="00402D75" w:rsidRPr="002244BA">
        <w:rPr>
          <w:rFonts w:ascii="Calibri" w:hAnsi="Calibri" w:cs="Calibri"/>
          <w:b/>
          <w:bCs/>
          <w:sz w:val="22"/>
          <w:szCs w:val="22"/>
        </w:rPr>
        <w:t xml:space="preserve"> (interně či z jiné instituce) pak </w:t>
      </w:r>
      <w:r w:rsidR="00FA5B04" w:rsidRPr="002244BA">
        <w:rPr>
          <w:rFonts w:ascii="Calibri" w:hAnsi="Calibri" w:cs="Calibri"/>
          <w:b/>
          <w:bCs/>
          <w:sz w:val="22"/>
          <w:szCs w:val="22"/>
        </w:rPr>
        <w:t>z 10 na 6,3 mld. Kč</w:t>
      </w:r>
      <w:r w:rsidR="00942405">
        <w:rPr>
          <w:rFonts w:ascii="Calibri" w:hAnsi="Calibri" w:cs="Calibri"/>
          <w:b/>
          <w:bCs/>
          <w:sz w:val="22"/>
          <w:szCs w:val="22"/>
        </w:rPr>
        <w:t xml:space="preserve">. </w:t>
      </w:r>
      <w:r w:rsidR="002A23FA" w:rsidRPr="00C72AE9">
        <w:rPr>
          <w:rFonts w:ascii="Calibri" w:hAnsi="Calibri" w:cs="Calibri"/>
          <w:b/>
          <w:bCs/>
          <w:sz w:val="22"/>
          <w:szCs w:val="22"/>
        </w:rPr>
        <w:t xml:space="preserve">Počet </w:t>
      </w:r>
      <w:r w:rsidR="001C1FAA" w:rsidRPr="00C72AE9">
        <w:rPr>
          <w:rFonts w:ascii="Calibri" w:hAnsi="Calibri" w:cs="Calibri"/>
          <w:b/>
          <w:bCs/>
          <w:sz w:val="22"/>
          <w:szCs w:val="22"/>
        </w:rPr>
        <w:t xml:space="preserve">nově poskytnutých hypoték poklesl meziměsíčně </w:t>
      </w:r>
      <w:r w:rsidR="00BE0965" w:rsidRPr="00C72AE9">
        <w:rPr>
          <w:rFonts w:ascii="Calibri" w:hAnsi="Calibri" w:cs="Calibri"/>
          <w:b/>
          <w:bCs/>
          <w:sz w:val="22"/>
          <w:szCs w:val="22"/>
        </w:rPr>
        <w:t xml:space="preserve">o 22,5 </w:t>
      </w:r>
      <w:r w:rsidR="004D0EBA" w:rsidRPr="00C72AE9">
        <w:rPr>
          <w:rFonts w:ascii="Calibri" w:hAnsi="Calibri" w:cs="Calibri"/>
          <w:b/>
          <w:bCs/>
          <w:sz w:val="22"/>
          <w:szCs w:val="22"/>
        </w:rPr>
        <w:t>% z 9,9 na 7,7 tisíc.</w:t>
      </w:r>
      <w:r w:rsidR="005122E9">
        <w:rPr>
          <w:rFonts w:ascii="Calibri" w:hAnsi="Calibri" w:cs="Calibri"/>
          <w:sz w:val="22"/>
          <w:szCs w:val="22"/>
        </w:rPr>
        <w:t xml:space="preserve"> </w:t>
      </w:r>
      <w:r w:rsidR="0096744E">
        <w:rPr>
          <w:rFonts w:ascii="Calibri" w:hAnsi="Calibri" w:cs="Calibri"/>
          <w:sz w:val="22"/>
          <w:szCs w:val="22"/>
        </w:rPr>
        <w:t xml:space="preserve">Ačkoli leden bývá z pohledu poskytnutých hypoték </w:t>
      </w:r>
      <w:r w:rsidR="005137DB">
        <w:rPr>
          <w:rFonts w:ascii="Calibri" w:hAnsi="Calibri" w:cs="Calibri"/>
          <w:sz w:val="22"/>
          <w:szCs w:val="22"/>
        </w:rPr>
        <w:t>nejslabší měsíc v roce a oproti prosincovým hodnotám je tak</w:t>
      </w:r>
      <w:r w:rsidR="00FB6635">
        <w:rPr>
          <w:rFonts w:ascii="Calibri" w:hAnsi="Calibri" w:cs="Calibri"/>
          <w:sz w:val="22"/>
          <w:szCs w:val="22"/>
        </w:rPr>
        <w:t xml:space="preserve"> obvykle</w:t>
      </w:r>
      <w:r w:rsidR="005137DB">
        <w:rPr>
          <w:rFonts w:ascii="Calibri" w:hAnsi="Calibri" w:cs="Calibri"/>
          <w:sz w:val="22"/>
          <w:szCs w:val="22"/>
        </w:rPr>
        <w:t xml:space="preserve"> </w:t>
      </w:r>
      <w:r w:rsidR="00C72AE9">
        <w:rPr>
          <w:rFonts w:ascii="Calibri" w:hAnsi="Calibri" w:cs="Calibri"/>
          <w:sz w:val="22"/>
          <w:szCs w:val="22"/>
        </w:rPr>
        <w:t>výrazně</w:t>
      </w:r>
      <w:r w:rsidR="005137DB">
        <w:rPr>
          <w:rFonts w:ascii="Calibri" w:hAnsi="Calibri" w:cs="Calibri"/>
          <w:sz w:val="22"/>
          <w:szCs w:val="22"/>
        </w:rPr>
        <w:t xml:space="preserve"> slabší, propad v letošním lednu jde nad rámec tohoto</w:t>
      </w:r>
      <w:r w:rsidR="001E3706">
        <w:rPr>
          <w:rFonts w:ascii="Calibri" w:hAnsi="Calibri" w:cs="Calibri"/>
          <w:sz w:val="22"/>
          <w:szCs w:val="22"/>
        </w:rPr>
        <w:t xml:space="preserve"> běžného vývoje</w:t>
      </w:r>
      <w:r w:rsidR="001457AA">
        <w:rPr>
          <w:rFonts w:ascii="Calibri" w:hAnsi="Calibri" w:cs="Calibri"/>
          <w:sz w:val="22"/>
          <w:szCs w:val="22"/>
        </w:rPr>
        <w:t>.</w:t>
      </w:r>
      <w:r w:rsidR="00314AB6">
        <w:rPr>
          <w:rFonts w:ascii="Calibri" w:hAnsi="Calibri" w:cs="Calibri"/>
          <w:sz w:val="22"/>
          <w:szCs w:val="22"/>
        </w:rPr>
        <w:t xml:space="preserve"> </w:t>
      </w:r>
      <w:r w:rsidR="001457AA">
        <w:rPr>
          <w:rFonts w:ascii="Calibri" w:hAnsi="Calibri" w:cs="Calibri"/>
          <w:sz w:val="22"/>
          <w:szCs w:val="22"/>
        </w:rPr>
        <w:t>To</w:t>
      </w:r>
      <w:r w:rsidR="00314AB6">
        <w:rPr>
          <w:rFonts w:ascii="Calibri" w:hAnsi="Calibri" w:cs="Calibri"/>
          <w:sz w:val="22"/>
          <w:szCs w:val="22"/>
        </w:rPr>
        <w:t xml:space="preserve"> předznamenává, jak se bude letošní rok z</w:t>
      </w:r>
      <w:r w:rsidR="00D82637">
        <w:rPr>
          <w:rFonts w:ascii="Calibri" w:hAnsi="Calibri" w:cs="Calibri"/>
          <w:sz w:val="22"/>
          <w:szCs w:val="22"/>
        </w:rPr>
        <w:t> </w:t>
      </w:r>
      <w:r w:rsidR="00314AB6">
        <w:rPr>
          <w:rFonts w:ascii="Calibri" w:hAnsi="Calibri" w:cs="Calibri"/>
          <w:sz w:val="22"/>
          <w:szCs w:val="22"/>
        </w:rPr>
        <w:t>pohledu</w:t>
      </w:r>
      <w:r w:rsidR="00D82637">
        <w:rPr>
          <w:rFonts w:ascii="Calibri" w:hAnsi="Calibri" w:cs="Calibri"/>
          <w:sz w:val="22"/>
          <w:szCs w:val="22"/>
        </w:rPr>
        <w:t xml:space="preserve"> poskytnutých hypoték vyvíjet. </w:t>
      </w:r>
      <w:r w:rsidR="00C15648">
        <w:rPr>
          <w:rFonts w:ascii="Calibri" w:hAnsi="Calibri" w:cs="Calibri"/>
          <w:sz w:val="22"/>
          <w:szCs w:val="22"/>
        </w:rPr>
        <w:t xml:space="preserve">Z meziročního pohledu </w:t>
      </w:r>
      <w:r w:rsidR="00AF5145">
        <w:rPr>
          <w:rFonts w:ascii="Calibri" w:hAnsi="Calibri" w:cs="Calibri"/>
          <w:sz w:val="22"/>
          <w:szCs w:val="22"/>
        </w:rPr>
        <w:t xml:space="preserve">je však celkový </w:t>
      </w:r>
      <w:r w:rsidR="00782158">
        <w:rPr>
          <w:rFonts w:ascii="Calibri" w:hAnsi="Calibri" w:cs="Calibri"/>
          <w:sz w:val="22"/>
          <w:szCs w:val="22"/>
        </w:rPr>
        <w:t xml:space="preserve">propad mírnější a v případě skutečně nově poskytnutých hypoték </w:t>
      </w:r>
      <w:r w:rsidR="004F62FF">
        <w:rPr>
          <w:rFonts w:ascii="Calibri" w:hAnsi="Calibri" w:cs="Calibri"/>
          <w:sz w:val="22"/>
          <w:szCs w:val="22"/>
        </w:rPr>
        <w:t xml:space="preserve">zůstává meziroční dynamika stále </w:t>
      </w:r>
      <w:r w:rsidR="004B1442">
        <w:rPr>
          <w:rFonts w:ascii="Calibri" w:hAnsi="Calibri" w:cs="Calibri"/>
          <w:sz w:val="22"/>
          <w:szCs w:val="22"/>
        </w:rPr>
        <w:t>kladná a dvouciferná, ačkoli oproti předchozím měsícům citelně zpomalila.</w:t>
      </w:r>
      <w:r w:rsidR="004B1442" w:rsidRPr="00B649F7">
        <w:rPr>
          <w:rFonts w:ascii="Calibri" w:hAnsi="Calibri" w:cs="Calibri"/>
          <w:i/>
          <w:iCs/>
          <w:sz w:val="22"/>
          <w:szCs w:val="22"/>
        </w:rPr>
        <w:t xml:space="preserve"> </w:t>
      </w:r>
      <w:r w:rsidR="00BE0965" w:rsidRPr="00B649F7">
        <w:rPr>
          <w:rFonts w:ascii="Calibri" w:hAnsi="Calibri" w:cs="Calibri"/>
          <w:i/>
          <w:iCs/>
          <w:sz w:val="22"/>
          <w:szCs w:val="22"/>
        </w:rPr>
        <w:t xml:space="preserve">Bližší dělení </w:t>
      </w:r>
      <w:r w:rsidR="004D0EBA" w:rsidRPr="00B649F7">
        <w:rPr>
          <w:rFonts w:ascii="Calibri" w:hAnsi="Calibri" w:cs="Calibri"/>
          <w:i/>
          <w:iCs/>
          <w:sz w:val="22"/>
          <w:szCs w:val="22"/>
        </w:rPr>
        <w:t>poskytnutých</w:t>
      </w:r>
      <w:r w:rsidR="0098474E" w:rsidRPr="00B649F7">
        <w:rPr>
          <w:rFonts w:ascii="Calibri" w:hAnsi="Calibri" w:cs="Calibri"/>
          <w:i/>
          <w:iCs/>
          <w:sz w:val="22"/>
          <w:szCs w:val="22"/>
        </w:rPr>
        <w:t xml:space="preserve"> hypoték, a to zvlášť za banky a stavební spořitelny, je dostupné od ledna 2020 v</w:t>
      </w:r>
      <w:r w:rsidR="00E2789E" w:rsidRPr="00B649F7">
        <w:rPr>
          <w:rFonts w:ascii="Calibri" w:hAnsi="Calibri" w:cs="Calibri"/>
          <w:i/>
          <w:iCs/>
          <w:sz w:val="22"/>
          <w:szCs w:val="22"/>
        </w:rPr>
        <w:t> excelu na webu ČBA.</w:t>
      </w:r>
    </w:p>
    <w:p w14:paraId="2003E35D" w14:textId="77777777" w:rsidR="005B0F22" w:rsidRDefault="005B0F22" w:rsidP="0001227F">
      <w:pPr>
        <w:rPr>
          <w:rFonts w:ascii="Calibri" w:hAnsi="Calibri" w:cs="Calibri"/>
          <w:sz w:val="22"/>
          <w:szCs w:val="22"/>
        </w:rPr>
      </w:pPr>
    </w:p>
    <w:p w14:paraId="11B8840B" w14:textId="6DD5B32D" w:rsidR="00D8652F" w:rsidRPr="00C014C6" w:rsidRDefault="00D8652F" w:rsidP="00D8652F">
      <w:pPr>
        <w:rPr>
          <w:rFonts w:ascii="Calibri" w:hAnsi="Calibri" w:cs="Calibri"/>
          <w:b/>
          <w:bCs/>
          <w:sz w:val="22"/>
          <w:szCs w:val="22"/>
        </w:rPr>
      </w:pPr>
      <w:r w:rsidRPr="00E3540A">
        <w:rPr>
          <w:rFonts w:ascii="Calibri" w:hAnsi="Calibri" w:cs="Calibri"/>
          <w:b/>
          <w:color w:val="13576B"/>
          <w:sz w:val="23"/>
          <w:szCs w:val="23"/>
        </w:rPr>
        <w:t xml:space="preserve">Tabulka č. 1: Shrnutí </w:t>
      </w:r>
      <w:r w:rsidR="00C014C6" w:rsidRPr="00E3540A">
        <w:rPr>
          <w:rFonts w:ascii="Calibri" w:hAnsi="Calibri" w:cs="Calibri"/>
          <w:b/>
          <w:color w:val="13576B"/>
          <w:sz w:val="23"/>
          <w:szCs w:val="23"/>
        </w:rPr>
        <w:t xml:space="preserve">objemu poskytnutých hypoték a průměrných úrokových sazeb za </w:t>
      </w:r>
      <w:r w:rsidR="000C1E4E" w:rsidRPr="00E3540A">
        <w:rPr>
          <w:rFonts w:ascii="Calibri" w:hAnsi="Calibri" w:cs="Calibri"/>
          <w:b/>
          <w:color w:val="13576B"/>
          <w:sz w:val="23"/>
          <w:szCs w:val="23"/>
        </w:rPr>
        <w:t xml:space="preserve">leden </w:t>
      </w:r>
      <w:r w:rsidR="00C014C6" w:rsidRPr="00E3540A">
        <w:rPr>
          <w:rFonts w:ascii="Calibri" w:hAnsi="Calibri" w:cs="Calibri"/>
          <w:b/>
          <w:color w:val="13576B"/>
          <w:sz w:val="23"/>
          <w:szCs w:val="23"/>
        </w:rPr>
        <w:t>202</w:t>
      </w:r>
      <w:r w:rsidR="000C1E4E" w:rsidRPr="00E3540A">
        <w:rPr>
          <w:rFonts w:ascii="Calibri" w:hAnsi="Calibri" w:cs="Calibri"/>
          <w:b/>
          <w:color w:val="13576B"/>
          <w:sz w:val="23"/>
          <w:szCs w:val="23"/>
        </w:rPr>
        <w:t>2</w:t>
      </w:r>
    </w:p>
    <w:p w14:paraId="1382B06C" w14:textId="77777777" w:rsidR="00270F52" w:rsidRDefault="00270F52" w:rsidP="00F10D7E"/>
    <w:tbl>
      <w:tblPr>
        <w:tblW w:w="6560" w:type="dxa"/>
        <w:tblCellMar>
          <w:left w:w="70" w:type="dxa"/>
          <w:right w:w="70" w:type="dxa"/>
        </w:tblCellMar>
        <w:tblLook w:val="04A0" w:firstRow="1" w:lastRow="0" w:firstColumn="1" w:lastColumn="0" w:noHBand="0" w:noVBand="1"/>
      </w:tblPr>
      <w:tblGrid>
        <w:gridCol w:w="3539"/>
        <w:gridCol w:w="1101"/>
        <w:gridCol w:w="960"/>
        <w:gridCol w:w="960"/>
      </w:tblGrid>
      <w:tr w:rsidR="00270F52" w:rsidRPr="00270F52" w14:paraId="48D99826" w14:textId="77777777" w:rsidTr="00270F52">
        <w:trPr>
          <w:trHeight w:val="510"/>
        </w:trPr>
        <w:tc>
          <w:tcPr>
            <w:tcW w:w="4640" w:type="dxa"/>
            <w:gridSpan w:val="2"/>
            <w:tcBorders>
              <w:top w:val="nil"/>
              <w:left w:val="nil"/>
              <w:bottom w:val="nil"/>
              <w:right w:val="nil"/>
            </w:tcBorders>
            <w:shd w:val="clear" w:color="000000" w:fill="FFFFFF"/>
            <w:noWrap/>
            <w:vAlign w:val="center"/>
            <w:hideMark/>
          </w:tcPr>
          <w:p w14:paraId="3C17CDFD" w14:textId="77777777" w:rsidR="00270F52" w:rsidRPr="00270F52" w:rsidRDefault="00270F52" w:rsidP="00270F52">
            <w:pPr>
              <w:overflowPunct/>
              <w:autoSpaceDE/>
              <w:autoSpaceDN/>
              <w:adjustRightInd/>
              <w:jc w:val="left"/>
              <w:textAlignment w:val="auto"/>
              <w:rPr>
                <w:rFonts w:ascii="Calibri Light" w:hAnsi="Calibri Light" w:cs="Calibri Light"/>
                <w:b/>
                <w:bCs/>
                <w:color w:val="13576B"/>
                <w:sz w:val="28"/>
                <w:szCs w:val="28"/>
              </w:rPr>
            </w:pPr>
            <w:r w:rsidRPr="00270F52">
              <w:rPr>
                <w:rFonts w:ascii="Calibri Light" w:hAnsi="Calibri Light" w:cs="Calibri Light"/>
                <w:b/>
                <w:bCs/>
                <w:color w:val="13576B"/>
                <w:sz w:val="28"/>
                <w:szCs w:val="28"/>
              </w:rPr>
              <w:t xml:space="preserve">ČBA </w:t>
            </w:r>
            <w:proofErr w:type="spellStart"/>
            <w:r w:rsidRPr="00270F52">
              <w:rPr>
                <w:rFonts w:ascii="Calibri Light" w:hAnsi="Calibri Light" w:cs="Calibri Light"/>
                <w:b/>
                <w:bCs/>
                <w:color w:val="13576B"/>
                <w:sz w:val="28"/>
                <w:szCs w:val="28"/>
              </w:rPr>
              <w:t>Hypomonitor</w:t>
            </w:r>
            <w:proofErr w:type="spellEnd"/>
            <w:r w:rsidRPr="00270F52">
              <w:rPr>
                <w:rFonts w:ascii="Calibri Light" w:hAnsi="Calibri Light" w:cs="Calibri Light"/>
                <w:b/>
                <w:bCs/>
                <w:color w:val="13576B"/>
                <w:sz w:val="28"/>
                <w:szCs w:val="28"/>
              </w:rPr>
              <w:t xml:space="preserve"> leden 2022</w:t>
            </w:r>
          </w:p>
        </w:tc>
        <w:tc>
          <w:tcPr>
            <w:tcW w:w="960" w:type="dxa"/>
            <w:tcBorders>
              <w:top w:val="nil"/>
              <w:left w:val="nil"/>
              <w:bottom w:val="nil"/>
              <w:right w:val="nil"/>
            </w:tcBorders>
            <w:shd w:val="clear" w:color="000000" w:fill="FFFFFF"/>
            <w:noWrap/>
            <w:vAlign w:val="bottom"/>
            <w:hideMark/>
          </w:tcPr>
          <w:p w14:paraId="78463853" w14:textId="77777777" w:rsidR="00270F52" w:rsidRPr="00270F52" w:rsidRDefault="00270F52" w:rsidP="00270F52">
            <w:pPr>
              <w:overflowPunct/>
              <w:autoSpaceDE/>
              <w:autoSpaceDN/>
              <w:adjustRightInd/>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bottom"/>
            <w:hideMark/>
          </w:tcPr>
          <w:p w14:paraId="38EBCB0E" w14:textId="77777777" w:rsidR="00270F52" w:rsidRPr="00270F52" w:rsidRDefault="00270F52" w:rsidP="00270F52">
            <w:pPr>
              <w:overflowPunct/>
              <w:autoSpaceDE/>
              <w:autoSpaceDN/>
              <w:adjustRightInd/>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w:t>
            </w:r>
          </w:p>
        </w:tc>
      </w:tr>
      <w:tr w:rsidR="00270F52" w:rsidRPr="00270F52" w14:paraId="003BD19A" w14:textId="77777777" w:rsidTr="00270F52">
        <w:trPr>
          <w:trHeight w:val="300"/>
        </w:trPr>
        <w:tc>
          <w:tcPr>
            <w:tcW w:w="3539" w:type="dxa"/>
            <w:tcBorders>
              <w:top w:val="nil"/>
              <w:left w:val="nil"/>
              <w:bottom w:val="nil"/>
              <w:right w:val="nil"/>
            </w:tcBorders>
            <w:shd w:val="clear" w:color="000000" w:fill="FFFFFF"/>
            <w:noWrap/>
            <w:vAlign w:val="bottom"/>
            <w:hideMark/>
          </w:tcPr>
          <w:p w14:paraId="5EAECF42" w14:textId="77777777" w:rsidR="00270F52" w:rsidRPr="00270F52" w:rsidRDefault="00270F52" w:rsidP="00270F52">
            <w:pPr>
              <w:overflowPunct/>
              <w:autoSpaceDE/>
              <w:autoSpaceDN/>
              <w:adjustRightInd/>
              <w:jc w:val="left"/>
              <w:textAlignment w:val="auto"/>
              <w:rPr>
                <w:rFonts w:ascii="Calibri" w:hAnsi="Calibri" w:cs="Calibri"/>
                <w:color w:val="000000"/>
                <w:sz w:val="22"/>
                <w:szCs w:val="22"/>
              </w:rPr>
            </w:pPr>
            <w:r w:rsidRPr="00270F52">
              <w:rPr>
                <w:rFonts w:ascii="Calibri" w:hAnsi="Calibri" w:cs="Calibri"/>
                <w:color w:val="000000"/>
                <w:sz w:val="22"/>
                <w:szCs w:val="22"/>
              </w:rPr>
              <w:t> </w:t>
            </w:r>
          </w:p>
        </w:tc>
        <w:tc>
          <w:tcPr>
            <w:tcW w:w="1101" w:type="dxa"/>
            <w:vMerge w:val="restart"/>
            <w:tcBorders>
              <w:top w:val="nil"/>
              <w:left w:val="nil"/>
              <w:bottom w:val="single" w:sz="4" w:space="0" w:color="000000"/>
              <w:right w:val="single" w:sz="4" w:space="0" w:color="auto"/>
            </w:tcBorders>
            <w:shd w:val="clear" w:color="000000" w:fill="FFFFFF"/>
            <w:vAlign w:val="bottom"/>
            <w:hideMark/>
          </w:tcPr>
          <w:p w14:paraId="7351EE91" w14:textId="77777777" w:rsidR="00270F52" w:rsidRPr="00270F52" w:rsidRDefault="00270F52" w:rsidP="00270F52">
            <w:pPr>
              <w:overflowPunct/>
              <w:autoSpaceDE/>
              <w:autoSpaceDN/>
              <w:adjustRightInd/>
              <w:jc w:val="center"/>
              <w:textAlignment w:val="auto"/>
              <w:rPr>
                <w:rFonts w:ascii="Calibri Light" w:hAnsi="Calibri Light" w:cs="Calibri Light"/>
                <w:b/>
                <w:bCs/>
                <w:color w:val="13576B"/>
                <w:sz w:val="22"/>
                <w:szCs w:val="22"/>
              </w:rPr>
            </w:pPr>
            <w:r w:rsidRPr="00270F52">
              <w:rPr>
                <w:rFonts w:ascii="Calibri Light" w:hAnsi="Calibri Light" w:cs="Calibri Light"/>
                <w:b/>
                <w:bCs/>
                <w:color w:val="13576B"/>
                <w:sz w:val="22"/>
                <w:szCs w:val="22"/>
              </w:rPr>
              <w:t>Objem</w:t>
            </w:r>
            <w:r w:rsidRPr="00270F52">
              <w:rPr>
                <w:rFonts w:ascii="Calibri Light" w:hAnsi="Calibri Light" w:cs="Calibri Light"/>
                <w:b/>
                <w:bCs/>
                <w:color w:val="13576B"/>
                <w:sz w:val="22"/>
                <w:szCs w:val="22"/>
              </w:rPr>
              <w:br/>
              <w:t>(mld. Kč)</w:t>
            </w:r>
          </w:p>
        </w:tc>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93A177B" w14:textId="77777777" w:rsidR="00270F52" w:rsidRPr="00270F52" w:rsidRDefault="00270F52" w:rsidP="00270F52">
            <w:pPr>
              <w:overflowPunct/>
              <w:autoSpaceDE/>
              <w:autoSpaceDN/>
              <w:adjustRightInd/>
              <w:jc w:val="center"/>
              <w:textAlignment w:val="auto"/>
              <w:rPr>
                <w:rFonts w:ascii="Calibri Light" w:hAnsi="Calibri Light" w:cs="Calibri Light"/>
                <w:b/>
                <w:bCs/>
                <w:color w:val="13576B"/>
                <w:sz w:val="22"/>
                <w:szCs w:val="22"/>
              </w:rPr>
            </w:pPr>
            <w:r w:rsidRPr="00270F52">
              <w:rPr>
                <w:rFonts w:ascii="Calibri Light" w:hAnsi="Calibri Light" w:cs="Calibri Light"/>
                <w:b/>
                <w:bCs/>
                <w:color w:val="13576B"/>
                <w:sz w:val="22"/>
                <w:szCs w:val="22"/>
              </w:rPr>
              <w:t>Počet</w:t>
            </w:r>
          </w:p>
        </w:tc>
        <w:tc>
          <w:tcPr>
            <w:tcW w:w="960" w:type="dxa"/>
            <w:vMerge w:val="restart"/>
            <w:tcBorders>
              <w:top w:val="nil"/>
              <w:left w:val="nil"/>
              <w:bottom w:val="single" w:sz="4" w:space="0" w:color="000000"/>
              <w:right w:val="nil"/>
            </w:tcBorders>
            <w:shd w:val="clear" w:color="000000" w:fill="FFFFFF"/>
            <w:vAlign w:val="bottom"/>
            <w:hideMark/>
          </w:tcPr>
          <w:p w14:paraId="34A38541" w14:textId="77777777" w:rsidR="00270F52" w:rsidRPr="00270F52" w:rsidRDefault="00270F52" w:rsidP="00270F52">
            <w:pPr>
              <w:overflowPunct/>
              <w:autoSpaceDE/>
              <w:autoSpaceDN/>
              <w:adjustRightInd/>
              <w:jc w:val="center"/>
              <w:textAlignment w:val="auto"/>
              <w:rPr>
                <w:rFonts w:ascii="Calibri Light" w:hAnsi="Calibri Light" w:cs="Calibri Light"/>
                <w:b/>
                <w:bCs/>
                <w:color w:val="13576B"/>
                <w:sz w:val="22"/>
                <w:szCs w:val="22"/>
              </w:rPr>
            </w:pPr>
            <w:r w:rsidRPr="00270F52">
              <w:rPr>
                <w:rFonts w:ascii="Calibri Light" w:hAnsi="Calibri Light" w:cs="Calibri Light"/>
                <w:b/>
                <w:bCs/>
                <w:color w:val="13576B"/>
                <w:sz w:val="22"/>
                <w:szCs w:val="22"/>
              </w:rPr>
              <w:t>Sazba</w:t>
            </w:r>
            <w:r w:rsidRPr="00270F52">
              <w:rPr>
                <w:rFonts w:ascii="Calibri Light" w:hAnsi="Calibri Light" w:cs="Calibri Light"/>
                <w:b/>
                <w:bCs/>
                <w:color w:val="13576B"/>
                <w:sz w:val="22"/>
                <w:szCs w:val="22"/>
              </w:rPr>
              <w:br/>
              <w:t xml:space="preserve"> (%)</w:t>
            </w:r>
          </w:p>
        </w:tc>
      </w:tr>
      <w:tr w:rsidR="00270F52" w:rsidRPr="00270F52" w14:paraId="5DC7727C" w14:textId="77777777" w:rsidTr="00270F52">
        <w:trPr>
          <w:trHeight w:val="300"/>
        </w:trPr>
        <w:tc>
          <w:tcPr>
            <w:tcW w:w="3539" w:type="dxa"/>
            <w:tcBorders>
              <w:top w:val="nil"/>
              <w:left w:val="nil"/>
              <w:bottom w:val="single" w:sz="4" w:space="0" w:color="auto"/>
              <w:right w:val="nil"/>
            </w:tcBorders>
            <w:shd w:val="clear" w:color="000000" w:fill="FFFFFF"/>
            <w:noWrap/>
            <w:vAlign w:val="bottom"/>
            <w:hideMark/>
          </w:tcPr>
          <w:p w14:paraId="11E4C343" w14:textId="77777777" w:rsidR="00270F52" w:rsidRPr="00270F52" w:rsidRDefault="00270F52" w:rsidP="00270F52">
            <w:pPr>
              <w:overflowPunct/>
              <w:autoSpaceDE/>
              <w:autoSpaceDN/>
              <w:adjustRightInd/>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w:t>
            </w:r>
          </w:p>
        </w:tc>
        <w:tc>
          <w:tcPr>
            <w:tcW w:w="1101" w:type="dxa"/>
            <w:vMerge/>
            <w:tcBorders>
              <w:top w:val="nil"/>
              <w:left w:val="nil"/>
              <w:bottom w:val="single" w:sz="4" w:space="0" w:color="000000"/>
              <w:right w:val="single" w:sz="4" w:space="0" w:color="auto"/>
            </w:tcBorders>
            <w:vAlign w:val="center"/>
            <w:hideMark/>
          </w:tcPr>
          <w:p w14:paraId="10238B4E" w14:textId="77777777" w:rsidR="00270F52" w:rsidRPr="00270F52" w:rsidRDefault="00270F52" w:rsidP="00270F52">
            <w:pPr>
              <w:overflowPunct/>
              <w:autoSpaceDE/>
              <w:autoSpaceDN/>
              <w:adjustRightInd/>
              <w:jc w:val="left"/>
              <w:textAlignment w:val="auto"/>
              <w:rPr>
                <w:rFonts w:ascii="Calibri Light" w:hAnsi="Calibri Light" w:cs="Calibri Light"/>
                <w:b/>
                <w:bCs/>
                <w:color w:val="13576B"/>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3EA3E664" w14:textId="77777777" w:rsidR="00270F52" w:rsidRPr="00270F52" w:rsidRDefault="00270F52" w:rsidP="00270F52">
            <w:pPr>
              <w:overflowPunct/>
              <w:autoSpaceDE/>
              <w:autoSpaceDN/>
              <w:adjustRightInd/>
              <w:jc w:val="left"/>
              <w:textAlignment w:val="auto"/>
              <w:rPr>
                <w:rFonts w:ascii="Calibri Light" w:hAnsi="Calibri Light" w:cs="Calibri Light"/>
                <w:b/>
                <w:bCs/>
                <w:color w:val="13576B"/>
                <w:sz w:val="22"/>
                <w:szCs w:val="22"/>
              </w:rPr>
            </w:pPr>
          </w:p>
        </w:tc>
        <w:tc>
          <w:tcPr>
            <w:tcW w:w="960" w:type="dxa"/>
            <w:vMerge/>
            <w:tcBorders>
              <w:top w:val="nil"/>
              <w:left w:val="nil"/>
              <w:bottom w:val="single" w:sz="4" w:space="0" w:color="000000"/>
              <w:right w:val="nil"/>
            </w:tcBorders>
            <w:vAlign w:val="center"/>
            <w:hideMark/>
          </w:tcPr>
          <w:p w14:paraId="30CA590F" w14:textId="77777777" w:rsidR="00270F52" w:rsidRPr="00270F52" w:rsidRDefault="00270F52" w:rsidP="00270F52">
            <w:pPr>
              <w:overflowPunct/>
              <w:autoSpaceDE/>
              <w:autoSpaceDN/>
              <w:adjustRightInd/>
              <w:jc w:val="left"/>
              <w:textAlignment w:val="auto"/>
              <w:rPr>
                <w:rFonts w:ascii="Calibri Light" w:hAnsi="Calibri Light" w:cs="Calibri Light"/>
                <w:b/>
                <w:bCs/>
                <w:color w:val="13576B"/>
                <w:sz w:val="22"/>
                <w:szCs w:val="22"/>
              </w:rPr>
            </w:pPr>
          </w:p>
        </w:tc>
      </w:tr>
      <w:tr w:rsidR="00270F52" w:rsidRPr="00270F52" w14:paraId="3AA60A46" w14:textId="77777777" w:rsidTr="00270F52">
        <w:trPr>
          <w:trHeight w:val="300"/>
        </w:trPr>
        <w:tc>
          <w:tcPr>
            <w:tcW w:w="3539" w:type="dxa"/>
            <w:tcBorders>
              <w:top w:val="nil"/>
              <w:left w:val="nil"/>
              <w:bottom w:val="single" w:sz="4" w:space="0" w:color="auto"/>
              <w:right w:val="nil"/>
            </w:tcBorders>
            <w:shd w:val="clear" w:color="000000" w:fill="FFFFFF"/>
            <w:noWrap/>
            <w:vAlign w:val="bottom"/>
            <w:hideMark/>
          </w:tcPr>
          <w:p w14:paraId="477FD750" w14:textId="77777777" w:rsidR="00270F52" w:rsidRPr="00270F52" w:rsidRDefault="00270F52" w:rsidP="00270F52">
            <w:pPr>
              <w:overflowPunct/>
              <w:autoSpaceDE/>
              <w:autoSpaceDN/>
              <w:adjustRightInd/>
              <w:jc w:val="left"/>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Celkem</w:t>
            </w:r>
          </w:p>
        </w:tc>
        <w:tc>
          <w:tcPr>
            <w:tcW w:w="1101" w:type="dxa"/>
            <w:tcBorders>
              <w:top w:val="nil"/>
              <w:left w:val="nil"/>
              <w:bottom w:val="single" w:sz="4" w:space="0" w:color="auto"/>
              <w:right w:val="single" w:sz="4" w:space="0" w:color="auto"/>
            </w:tcBorders>
            <w:shd w:val="clear" w:color="000000" w:fill="FFFFFF"/>
            <w:noWrap/>
            <w:vAlign w:val="center"/>
            <w:hideMark/>
          </w:tcPr>
          <w:p w14:paraId="0E73F0DB" w14:textId="304178C6" w:rsidR="00270F52" w:rsidRPr="00270F52" w:rsidRDefault="00270F52" w:rsidP="00270F52">
            <w:pPr>
              <w:overflowPunct/>
              <w:autoSpaceDE/>
              <w:autoSpaceDN/>
              <w:adjustRightInd/>
              <w:jc w:val="center"/>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32</w:t>
            </w:r>
            <w:r>
              <w:rPr>
                <w:rFonts w:ascii="Calibri Light" w:hAnsi="Calibri Light" w:cs="Calibri Light"/>
                <w:b/>
                <w:bCs/>
                <w:color w:val="000000"/>
                <w:sz w:val="22"/>
                <w:szCs w:val="22"/>
              </w:rPr>
              <w:t>,</w:t>
            </w:r>
            <w:r w:rsidRPr="00270F52">
              <w:rPr>
                <w:rFonts w:ascii="Calibri Light" w:hAnsi="Calibri Light" w:cs="Calibri Light"/>
                <w:b/>
                <w:bCs/>
                <w:color w:val="000000"/>
                <w:sz w:val="22"/>
                <w:szCs w:val="22"/>
              </w:rPr>
              <w:t>6</w:t>
            </w:r>
          </w:p>
        </w:tc>
        <w:tc>
          <w:tcPr>
            <w:tcW w:w="960" w:type="dxa"/>
            <w:tcBorders>
              <w:top w:val="nil"/>
              <w:left w:val="nil"/>
              <w:bottom w:val="single" w:sz="4" w:space="0" w:color="auto"/>
              <w:right w:val="single" w:sz="4" w:space="0" w:color="auto"/>
            </w:tcBorders>
            <w:shd w:val="clear" w:color="000000" w:fill="FFFFFF"/>
            <w:noWrap/>
            <w:vAlign w:val="center"/>
            <w:hideMark/>
          </w:tcPr>
          <w:p w14:paraId="10EBBE67" w14:textId="3600A1C5"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10260</w:t>
            </w:r>
          </w:p>
        </w:tc>
        <w:tc>
          <w:tcPr>
            <w:tcW w:w="960" w:type="dxa"/>
            <w:tcBorders>
              <w:top w:val="nil"/>
              <w:left w:val="nil"/>
              <w:bottom w:val="single" w:sz="4" w:space="0" w:color="auto"/>
              <w:right w:val="nil"/>
            </w:tcBorders>
            <w:shd w:val="clear" w:color="000000" w:fill="FFFFFF"/>
            <w:noWrap/>
            <w:vAlign w:val="center"/>
            <w:hideMark/>
          </w:tcPr>
          <w:p w14:paraId="3EF43BC7" w14:textId="06325018"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3</w:t>
            </w:r>
            <w:r>
              <w:rPr>
                <w:rFonts w:ascii="Calibri Light" w:hAnsi="Calibri Light" w:cs="Calibri Light"/>
                <w:color w:val="000000"/>
                <w:sz w:val="22"/>
                <w:szCs w:val="22"/>
              </w:rPr>
              <w:t>,</w:t>
            </w:r>
            <w:r w:rsidRPr="00270F52">
              <w:rPr>
                <w:rFonts w:ascii="Calibri Light" w:hAnsi="Calibri Light" w:cs="Calibri Light"/>
                <w:color w:val="000000"/>
                <w:sz w:val="22"/>
                <w:szCs w:val="22"/>
              </w:rPr>
              <w:t>34</w:t>
            </w:r>
          </w:p>
        </w:tc>
      </w:tr>
      <w:tr w:rsidR="00270F52" w:rsidRPr="00270F52" w14:paraId="164B4900" w14:textId="77777777" w:rsidTr="00270F52">
        <w:trPr>
          <w:trHeight w:val="300"/>
        </w:trPr>
        <w:tc>
          <w:tcPr>
            <w:tcW w:w="3539" w:type="dxa"/>
            <w:tcBorders>
              <w:top w:val="nil"/>
              <w:left w:val="nil"/>
              <w:bottom w:val="nil"/>
              <w:right w:val="nil"/>
            </w:tcBorders>
            <w:shd w:val="clear" w:color="000000" w:fill="FFFFFF"/>
            <w:noWrap/>
            <w:vAlign w:val="bottom"/>
            <w:hideMark/>
          </w:tcPr>
          <w:p w14:paraId="0EE4F620" w14:textId="77777777" w:rsidR="00270F52" w:rsidRPr="00270F52" w:rsidRDefault="00270F52" w:rsidP="00270F52">
            <w:pPr>
              <w:overflowPunct/>
              <w:autoSpaceDE/>
              <w:autoSpaceDN/>
              <w:adjustRightInd/>
              <w:ind w:firstLineChars="100" w:firstLine="221"/>
              <w:jc w:val="left"/>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 xml:space="preserve">Nové úvěry </w:t>
            </w:r>
          </w:p>
        </w:tc>
        <w:tc>
          <w:tcPr>
            <w:tcW w:w="1101" w:type="dxa"/>
            <w:tcBorders>
              <w:top w:val="nil"/>
              <w:left w:val="nil"/>
              <w:bottom w:val="nil"/>
              <w:right w:val="single" w:sz="4" w:space="0" w:color="auto"/>
            </w:tcBorders>
            <w:shd w:val="clear" w:color="000000" w:fill="FFFFFF"/>
            <w:noWrap/>
            <w:vAlign w:val="center"/>
            <w:hideMark/>
          </w:tcPr>
          <w:p w14:paraId="00C2E32D" w14:textId="0C51CD6D" w:rsidR="00270F52" w:rsidRPr="00270F52" w:rsidRDefault="00270F52" w:rsidP="00270F52">
            <w:pPr>
              <w:overflowPunct/>
              <w:autoSpaceDE/>
              <w:autoSpaceDN/>
              <w:adjustRightInd/>
              <w:jc w:val="center"/>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26</w:t>
            </w:r>
            <w:r>
              <w:rPr>
                <w:rFonts w:ascii="Calibri Light" w:hAnsi="Calibri Light" w:cs="Calibri Light"/>
                <w:b/>
                <w:bCs/>
                <w:color w:val="000000"/>
                <w:sz w:val="22"/>
                <w:szCs w:val="22"/>
              </w:rPr>
              <w:t>,</w:t>
            </w:r>
            <w:r w:rsidRPr="00270F52">
              <w:rPr>
                <w:rFonts w:ascii="Calibri Light" w:hAnsi="Calibri Light" w:cs="Calibri Light"/>
                <w:b/>
                <w:bCs/>
                <w:color w:val="000000"/>
                <w:sz w:val="22"/>
                <w:szCs w:val="22"/>
              </w:rPr>
              <w:t>3</w:t>
            </w:r>
          </w:p>
        </w:tc>
        <w:tc>
          <w:tcPr>
            <w:tcW w:w="960" w:type="dxa"/>
            <w:tcBorders>
              <w:top w:val="nil"/>
              <w:left w:val="nil"/>
              <w:bottom w:val="nil"/>
              <w:right w:val="single" w:sz="4" w:space="0" w:color="auto"/>
            </w:tcBorders>
            <w:shd w:val="clear" w:color="000000" w:fill="FFFFFF"/>
            <w:noWrap/>
            <w:vAlign w:val="center"/>
            <w:hideMark/>
          </w:tcPr>
          <w:p w14:paraId="4F91D5A4" w14:textId="514AD669" w:rsidR="00270F52" w:rsidRPr="00270F52" w:rsidRDefault="00270F52" w:rsidP="00270F52">
            <w:pPr>
              <w:overflowPunct/>
              <w:autoSpaceDE/>
              <w:autoSpaceDN/>
              <w:adjustRightInd/>
              <w:jc w:val="center"/>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7705</w:t>
            </w:r>
          </w:p>
        </w:tc>
        <w:tc>
          <w:tcPr>
            <w:tcW w:w="960" w:type="dxa"/>
            <w:tcBorders>
              <w:top w:val="nil"/>
              <w:left w:val="nil"/>
              <w:bottom w:val="nil"/>
              <w:right w:val="nil"/>
            </w:tcBorders>
            <w:shd w:val="clear" w:color="000000" w:fill="FFFFFF"/>
            <w:noWrap/>
            <w:vAlign w:val="center"/>
            <w:hideMark/>
          </w:tcPr>
          <w:p w14:paraId="28BDD96F" w14:textId="4AF47D00" w:rsidR="00270F52" w:rsidRPr="00270F52" w:rsidRDefault="00270F52" w:rsidP="00270F52">
            <w:pPr>
              <w:overflowPunct/>
              <w:autoSpaceDE/>
              <w:autoSpaceDN/>
              <w:adjustRightInd/>
              <w:jc w:val="center"/>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3</w:t>
            </w:r>
            <w:r>
              <w:rPr>
                <w:rFonts w:ascii="Calibri Light" w:hAnsi="Calibri Light" w:cs="Calibri Light"/>
                <w:b/>
                <w:bCs/>
                <w:color w:val="000000"/>
                <w:sz w:val="22"/>
                <w:szCs w:val="22"/>
              </w:rPr>
              <w:t>,</w:t>
            </w:r>
            <w:r w:rsidRPr="00270F52">
              <w:rPr>
                <w:rFonts w:ascii="Calibri Light" w:hAnsi="Calibri Light" w:cs="Calibri Light"/>
                <w:b/>
                <w:bCs/>
                <w:color w:val="000000"/>
                <w:sz w:val="22"/>
                <w:szCs w:val="22"/>
              </w:rPr>
              <w:t>39</w:t>
            </w:r>
          </w:p>
        </w:tc>
      </w:tr>
      <w:tr w:rsidR="00270F52" w:rsidRPr="00270F52" w14:paraId="51B27416" w14:textId="77777777" w:rsidTr="00270F52">
        <w:trPr>
          <w:trHeight w:val="300"/>
        </w:trPr>
        <w:tc>
          <w:tcPr>
            <w:tcW w:w="3539" w:type="dxa"/>
            <w:tcBorders>
              <w:top w:val="nil"/>
              <w:left w:val="nil"/>
              <w:bottom w:val="nil"/>
              <w:right w:val="nil"/>
            </w:tcBorders>
            <w:shd w:val="clear" w:color="000000" w:fill="FFFFFF"/>
            <w:noWrap/>
            <w:vAlign w:val="bottom"/>
            <w:hideMark/>
          </w:tcPr>
          <w:p w14:paraId="613C3806" w14:textId="77777777" w:rsidR="00270F52" w:rsidRPr="00270F52" w:rsidRDefault="00270F52" w:rsidP="00270F52">
            <w:pPr>
              <w:overflowPunct/>
              <w:autoSpaceDE/>
              <w:autoSpaceDN/>
              <w:adjustRightInd/>
              <w:ind w:firstLineChars="200" w:firstLine="440"/>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xml:space="preserve">z toho: </w:t>
            </w:r>
          </w:p>
        </w:tc>
        <w:tc>
          <w:tcPr>
            <w:tcW w:w="1101" w:type="dxa"/>
            <w:tcBorders>
              <w:top w:val="nil"/>
              <w:left w:val="nil"/>
              <w:bottom w:val="nil"/>
              <w:right w:val="single" w:sz="4" w:space="0" w:color="auto"/>
            </w:tcBorders>
            <w:shd w:val="clear" w:color="000000" w:fill="FFFFFF"/>
            <w:noWrap/>
            <w:vAlign w:val="center"/>
            <w:hideMark/>
          </w:tcPr>
          <w:p w14:paraId="5E3E32C4" w14:textId="77777777"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w:t>
            </w:r>
          </w:p>
        </w:tc>
        <w:tc>
          <w:tcPr>
            <w:tcW w:w="960" w:type="dxa"/>
            <w:tcBorders>
              <w:top w:val="nil"/>
              <w:left w:val="nil"/>
              <w:bottom w:val="nil"/>
              <w:right w:val="single" w:sz="4" w:space="0" w:color="auto"/>
            </w:tcBorders>
            <w:shd w:val="clear" w:color="000000" w:fill="FFFFFF"/>
            <w:noWrap/>
            <w:vAlign w:val="center"/>
            <w:hideMark/>
          </w:tcPr>
          <w:p w14:paraId="132E7B52" w14:textId="77777777"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center"/>
            <w:hideMark/>
          </w:tcPr>
          <w:p w14:paraId="793DC4C3" w14:textId="77777777"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w:t>
            </w:r>
          </w:p>
        </w:tc>
      </w:tr>
      <w:tr w:rsidR="00270F52" w:rsidRPr="00270F52" w14:paraId="0C4664C4" w14:textId="77777777" w:rsidTr="00270F52">
        <w:trPr>
          <w:trHeight w:val="300"/>
        </w:trPr>
        <w:tc>
          <w:tcPr>
            <w:tcW w:w="3539" w:type="dxa"/>
            <w:tcBorders>
              <w:top w:val="nil"/>
              <w:left w:val="nil"/>
              <w:bottom w:val="nil"/>
              <w:right w:val="nil"/>
            </w:tcBorders>
            <w:shd w:val="clear" w:color="000000" w:fill="FFFFFF"/>
            <w:noWrap/>
            <w:vAlign w:val="bottom"/>
            <w:hideMark/>
          </w:tcPr>
          <w:p w14:paraId="461C4496" w14:textId="77777777" w:rsidR="00270F52" w:rsidRPr="00270F52" w:rsidRDefault="00270F52" w:rsidP="00270F52">
            <w:pPr>
              <w:overflowPunct/>
              <w:autoSpaceDE/>
              <w:autoSpaceDN/>
              <w:adjustRightInd/>
              <w:ind w:firstLineChars="300" w:firstLine="660"/>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na koupi</w:t>
            </w:r>
          </w:p>
        </w:tc>
        <w:tc>
          <w:tcPr>
            <w:tcW w:w="1101" w:type="dxa"/>
            <w:tcBorders>
              <w:top w:val="nil"/>
              <w:left w:val="nil"/>
              <w:bottom w:val="nil"/>
              <w:right w:val="single" w:sz="4" w:space="0" w:color="auto"/>
            </w:tcBorders>
            <w:shd w:val="clear" w:color="000000" w:fill="FFFFFF"/>
            <w:noWrap/>
            <w:vAlign w:val="center"/>
            <w:hideMark/>
          </w:tcPr>
          <w:p w14:paraId="45800B1B" w14:textId="74F97C04"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16</w:t>
            </w:r>
            <w:r>
              <w:rPr>
                <w:rFonts w:ascii="Calibri Light" w:hAnsi="Calibri Light" w:cs="Calibri Light"/>
                <w:color w:val="000000"/>
                <w:sz w:val="22"/>
                <w:szCs w:val="22"/>
              </w:rPr>
              <w:t>,</w:t>
            </w:r>
            <w:r w:rsidRPr="00270F52">
              <w:rPr>
                <w:rFonts w:ascii="Calibri Light" w:hAnsi="Calibri Light" w:cs="Calibri Light"/>
                <w:color w:val="000000"/>
                <w:sz w:val="22"/>
                <w:szCs w:val="22"/>
              </w:rPr>
              <w:t>4</w:t>
            </w:r>
          </w:p>
        </w:tc>
        <w:tc>
          <w:tcPr>
            <w:tcW w:w="960" w:type="dxa"/>
            <w:tcBorders>
              <w:top w:val="nil"/>
              <w:left w:val="nil"/>
              <w:bottom w:val="nil"/>
              <w:right w:val="single" w:sz="4" w:space="0" w:color="auto"/>
            </w:tcBorders>
            <w:shd w:val="clear" w:color="000000" w:fill="FFFFFF"/>
            <w:noWrap/>
            <w:vAlign w:val="center"/>
            <w:hideMark/>
          </w:tcPr>
          <w:p w14:paraId="5C36D1C4" w14:textId="3F105DCD"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4621</w:t>
            </w:r>
          </w:p>
        </w:tc>
        <w:tc>
          <w:tcPr>
            <w:tcW w:w="960" w:type="dxa"/>
            <w:tcBorders>
              <w:top w:val="nil"/>
              <w:left w:val="nil"/>
              <w:bottom w:val="nil"/>
              <w:right w:val="nil"/>
            </w:tcBorders>
            <w:shd w:val="clear" w:color="000000" w:fill="FFFFFF"/>
            <w:noWrap/>
            <w:vAlign w:val="center"/>
            <w:hideMark/>
          </w:tcPr>
          <w:p w14:paraId="3E1A2691" w14:textId="7D9A4E09"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3</w:t>
            </w:r>
            <w:r>
              <w:rPr>
                <w:rFonts w:ascii="Calibri Light" w:hAnsi="Calibri Light" w:cs="Calibri Light"/>
                <w:color w:val="000000"/>
                <w:sz w:val="22"/>
                <w:szCs w:val="22"/>
              </w:rPr>
              <w:t>,</w:t>
            </w:r>
            <w:r w:rsidRPr="00270F52">
              <w:rPr>
                <w:rFonts w:ascii="Calibri Light" w:hAnsi="Calibri Light" w:cs="Calibri Light"/>
                <w:color w:val="000000"/>
                <w:sz w:val="22"/>
                <w:szCs w:val="22"/>
              </w:rPr>
              <w:t>39</w:t>
            </w:r>
          </w:p>
        </w:tc>
      </w:tr>
      <w:tr w:rsidR="00270F52" w:rsidRPr="00270F52" w14:paraId="6097B024" w14:textId="77777777" w:rsidTr="00270F52">
        <w:trPr>
          <w:trHeight w:val="300"/>
        </w:trPr>
        <w:tc>
          <w:tcPr>
            <w:tcW w:w="3539" w:type="dxa"/>
            <w:tcBorders>
              <w:top w:val="nil"/>
              <w:left w:val="nil"/>
              <w:bottom w:val="nil"/>
              <w:right w:val="nil"/>
            </w:tcBorders>
            <w:shd w:val="clear" w:color="000000" w:fill="FFFFFF"/>
            <w:noWrap/>
            <w:vAlign w:val="bottom"/>
            <w:hideMark/>
          </w:tcPr>
          <w:p w14:paraId="03946FC0" w14:textId="77777777" w:rsidR="00270F52" w:rsidRPr="00270F52" w:rsidRDefault="00270F52" w:rsidP="00270F52">
            <w:pPr>
              <w:overflowPunct/>
              <w:autoSpaceDE/>
              <w:autoSpaceDN/>
              <w:adjustRightInd/>
              <w:ind w:firstLineChars="300" w:firstLine="660"/>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na výstavbu</w:t>
            </w:r>
          </w:p>
        </w:tc>
        <w:tc>
          <w:tcPr>
            <w:tcW w:w="1101" w:type="dxa"/>
            <w:tcBorders>
              <w:top w:val="nil"/>
              <w:left w:val="nil"/>
              <w:bottom w:val="nil"/>
              <w:right w:val="single" w:sz="4" w:space="0" w:color="auto"/>
            </w:tcBorders>
            <w:shd w:val="clear" w:color="000000" w:fill="FFFFFF"/>
            <w:noWrap/>
            <w:vAlign w:val="center"/>
            <w:hideMark/>
          </w:tcPr>
          <w:p w14:paraId="708FC33B" w14:textId="4E0BD253"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8</w:t>
            </w:r>
            <w:r>
              <w:rPr>
                <w:rFonts w:ascii="Calibri Light" w:hAnsi="Calibri Light" w:cs="Calibri Light"/>
                <w:color w:val="000000"/>
                <w:sz w:val="22"/>
                <w:szCs w:val="22"/>
              </w:rPr>
              <w:t>,</w:t>
            </w:r>
            <w:r w:rsidRPr="00270F52">
              <w:rPr>
                <w:rFonts w:ascii="Calibri Light" w:hAnsi="Calibri Light" w:cs="Calibri Light"/>
                <w:color w:val="000000"/>
                <w:sz w:val="22"/>
                <w:szCs w:val="22"/>
              </w:rPr>
              <w:t>0</w:t>
            </w:r>
          </w:p>
        </w:tc>
        <w:tc>
          <w:tcPr>
            <w:tcW w:w="960" w:type="dxa"/>
            <w:tcBorders>
              <w:top w:val="nil"/>
              <w:left w:val="nil"/>
              <w:bottom w:val="nil"/>
              <w:right w:val="single" w:sz="4" w:space="0" w:color="auto"/>
            </w:tcBorders>
            <w:shd w:val="clear" w:color="000000" w:fill="FFFFFF"/>
            <w:noWrap/>
            <w:vAlign w:val="center"/>
            <w:hideMark/>
          </w:tcPr>
          <w:p w14:paraId="5641AE43" w14:textId="71EB4B46"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2408</w:t>
            </w:r>
          </w:p>
        </w:tc>
        <w:tc>
          <w:tcPr>
            <w:tcW w:w="960" w:type="dxa"/>
            <w:tcBorders>
              <w:top w:val="nil"/>
              <w:left w:val="nil"/>
              <w:bottom w:val="nil"/>
              <w:right w:val="nil"/>
            </w:tcBorders>
            <w:shd w:val="clear" w:color="000000" w:fill="FFFFFF"/>
            <w:noWrap/>
            <w:vAlign w:val="center"/>
            <w:hideMark/>
          </w:tcPr>
          <w:p w14:paraId="30C715AF" w14:textId="643F60CC"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3</w:t>
            </w:r>
            <w:r>
              <w:rPr>
                <w:rFonts w:ascii="Calibri Light" w:hAnsi="Calibri Light" w:cs="Calibri Light"/>
                <w:color w:val="000000"/>
                <w:sz w:val="22"/>
                <w:szCs w:val="22"/>
              </w:rPr>
              <w:t>,</w:t>
            </w:r>
            <w:r w:rsidRPr="00270F52">
              <w:rPr>
                <w:rFonts w:ascii="Calibri Light" w:hAnsi="Calibri Light" w:cs="Calibri Light"/>
                <w:color w:val="000000"/>
                <w:sz w:val="22"/>
                <w:szCs w:val="22"/>
              </w:rPr>
              <w:t>26</w:t>
            </w:r>
          </w:p>
        </w:tc>
      </w:tr>
      <w:tr w:rsidR="00270F52" w:rsidRPr="00270F52" w14:paraId="1D92ED79" w14:textId="77777777" w:rsidTr="00270F52">
        <w:trPr>
          <w:trHeight w:val="300"/>
        </w:trPr>
        <w:tc>
          <w:tcPr>
            <w:tcW w:w="3539" w:type="dxa"/>
            <w:tcBorders>
              <w:top w:val="nil"/>
              <w:left w:val="nil"/>
              <w:bottom w:val="single" w:sz="4" w:space="0" w:color="auto"/>
              <w:right w:val="nil"/>
            </w:tcBorders>
            <w:shd w:val="clear" w:color="000000" w:fill="FFFFFF"/>
            <w:noWrap/>
            <w:vAlign w:val="bottom"/>
            <w:hideMark/>
          </w:tcPr>
          <w:p w14:paraId="364D3F8D" w14:textId="77777777" w:rsidR="00270F52" w:rsidRPr="00270F52" w:rsidRDefault="00270F52" w:rsidP="00270F52">
            <w:pPr>
              <w:overflowPunct/>
              <w:autoSpaceDE/>
              <w:autoSpaceDN/>
              <w:adjustRightInd/>
              <w:ind w:firstLineChars="300" w:firstLine="660"/>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ostatní</w:t>
            </w:r>
          </w:p>
        </w:tc>
        <w:tc>
          <w:tcPr>
            <w:tcW w:w="1101" w:type="dxa"/>
            <w:tcBorders>
              <w:top w:val="nil"/>
              <w:left w:val="nil"/>
              <w:bottom w:val="single" w:sz="4" w:space="0" w:color="auto"/>
              <w:right w:val="single" w:sz="4" w:space="0" w:color="auto"/>
            </w:tcBorders>
            <w:shd w:val="clear" w:color="000000" w:fill="FFFFFF"/>
            <w:noWrap/>
            <w:vAlign w:val="center"/>
            <w:hideMark/>
          </w:tcPr>
          <w:p w14:paraId="4C8BE255" w14:textId="0CC04C57"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1</w:t>
            </w:r>
            <w:r>
              <w:rPr>
                <w:rFonts w:ascii="Calibri Light" w:hAnsi="Calibri Light" w:cs="Calibri Light"/>
                <w:color w:val="000000"/>
                <w:sz w:val="22"/>
                <w:szCs w:val="22"/>
              </w:rPr>
              <w:t>,</w:t>
            </w:r>
            <w:r w:rsidRPr="00270F52">
              <w:rPr>
                <w:rFonts w:ascii="Calibri Light" w:hAnsi="Calibri Light" w:cs="Calibri Light"/>
                <w:color w:val="000000"/>
                <w:sz w:val="22"/>
                <w:szCs w:val="22"/>
              </w:rPr>
              <w:t>9</w:t>
            </w:r>
          </w:p>
        </w:tc>
        <w:tc>
          <w:tcPr>
            <w:tcW w:w="960" w:type="dxa"/>
            <w:tcBorders>
              <w:top w:val="nil"/>
              <w:left w:val="nil"/>
              <w:bottom w:val="single" w:sz="4" w:space="0" w:color="auto"/>
              <w:right w:val="single" w:sz="4" w:space="0" w:color="auto"/>
            </w:tcBorders>
            <w:shd w:val="clear" w:color="000000" w:fill="FFFFFF"/>
            <w:noWrap/>
            <w:vAlign w:val="center"/>
            <w:hideMark/>
          </w:tcPr>
          <w:p w14:paraId="2D76B61D" w14:textId="77777777"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676</w:t>
            </w:r>
          </w:p>
        </w:tc>
        <w:tc>
          <w:tcPr>
            <w:tcW w:w="960" w:type="dxa"/>
            <w:tcBorders>
              <w:top w:val="nil"/>
              <w:left w:val="nil"/>
              <w:bottom w:val="single" w:sz="4" w:space="0" w:color="auto"/>
              <w:right w:val="nil"/>
            </w:tcBorders>
            <w:shd w:val="clear" w:color="000000" w:fill="FFFFFF"/>
            <w:noWrap/>
            <w:vAlign w:val="center"/>
            <w:hideMark/>
          </w:tcPr>
          <w:p w14:paraId="3E354B34" w14:textId="73B4D620"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3</w:t>
            </w:r>
            <w:r>
              <w:rPr>
                <w:rFonts w:ascii="Calibri Light" w:hAnsi="Calibri Light" w:cs="Calibri Light"/>
                <w:color w:val="000000"/>
                <w:sz w:val="22"/>
                <w:szCs w:val="22"/>
              </w:rPr>
              <w:t>,</w:t>
            </w:r>
            <w:r w:rsidRPr="00270F52">
              <w:rPr>
                <w:rFonts w:ascii="Calibri Light" w:hAnsi="Calibri Light" w:cs="Calibri Light"/>
                <w:color w:val="000000"/>
                <w:sz w:val="22"/>
                <w:szCs w:val="22"/>
              </w:rPr>
              <w:t>91</w:t>
            </w:r>
          </w:p>
        </w:tc>
      </w:tr>
      <w:tr w:rsidR="00270F52" w:rsidRPr="00270F52" w14:paraId="259E16F7" w14:textId="77777777" w:rsidTr="00270F52">
        <w:trPr>
          <w:trHeight w:val="300"/>
        </w:trPr>
        <w:tc>
          <w:tcPr>
            <w:tcW w:w="3539" w:type="dxa"/>
            <w:tcBorders>
              <w:top w:val="nil"/>
              <w:left w:val="nil"/>
              <w:bottom w:val="single" w:sz="4" w:space="0" w:color="auto"/>
              <w:right w:val="nil"/>
            </w:tcBorders>
            <w:shd w:val="clear" w:color="000000" w:fill="FFFFFF"/>
            <w:noWrap/>
            <w:vAlign w:val="bottom"/>
            <w:hideMark/>
          </w:tcPr>
          <w:p w14:paraId="28ACFDCB" w14:textId="77777777" w:rsidR="00270F52" w:rsidRPr="00270F52" w:rsidRDefault="00270F52" w:rsidP="00270F52">
            <w:pPr>
              <w:overflowPunct/>
              <w:autoSpaceDE/>
              <w:autoSpaceDN/>
              <w:adjustRightInd/>
              <w:ind w:firstLineChars="100" w:firstLine="221"/>
              <w:jc w:val="left"/>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Refinancované z jiné instituce</w:t>
            </w:r>
          </w:p>
        </w:tc>
        <w:tc>
          <w:tcPr>
            <w:tcW w:w="1101" w:type="dxa"/>
            <w:tcBorders>
              <w:top w:val="nil"/>
              <w:left w:val="nil"/>
              <w:bottom w:val="single" w:sz="4" w:space="0" w:color="auto"/>
              <w:right w:val="single" w:sz="4" w:space="0" w:color="auto"/>
            </w:tcBorders>
            <w:shd w:val="clear" w:color="000000" w:fill="FFFFFF"/>
            <w:noWrap/>
            <w:vAlign w:val="center"/>
            <w:hideMark/>
          </w:tcPr>
          <w:p w14:paraId="0F912F7D" w14:textId="1A9F91AD" w:rsidR="00270F52" w:rsidRPr="00270F52" w:rsidRDefault="00270F52" w:rsidP="00270F52">
            <w:pPr>
              <w:overflowPunct/>
              <w:autoSpaceDE/>
              <w:autoSpaceDN/>
              <w:adjustRightInd/>
              <w:jc w:val="center"/>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5</w:t>
            </w:r>
            <w:r>
              <w:rPr>
                <w:rFonts w:ascii="Calibri Light" w:hAnsi="Calibri Light" w:cs="Calibri Light"/>
                <w:b/>
                <w:bCs/>
                <w:color w:val="000000"/>
                <w:sz w:val="22"/>
                <w:szCs w:val="22"/>
              </w:rPr>
              <w:t>,</w:t>
            </w:r>
            <w:r w:rsidRPr="00270F52">
              <w:rPr>
                <w:rFonts w:ascii="Calibri Light" w:hAnsi="Calibri Light" w:cs="Calibri Light"/>
                <w:b/>
                <w:bCs/>
                <w:color w:val="000000"/>
                <w:sz w:val="22"/>
                <w:szCs w:val="22"/>
              </w:rPr>
              <w:t>0</w:t>
            </w:r>
          </w:p>
        </w:tc>
        <w:tc>
          <w:tcPr>
            <w:tcW w:w="960" w:type="dxa"/>
            <w:tcBorders>
              <w:top w:val="nil"/>
              <w:left w:val="nil"/>
              <w:bottom w:val="single" w:sz="4" w:space="0" w:color="auto"/>
              <w:right w:val="single" w:sz="4" w:space="0" w:color="auto"/>
            </w:tcBorders>
            <w:shd w:val="clear" w:color="000000" w:fill="FFFFFF"/>
            <w:noWrap/>
            <w:vAlign w:val="center"/>
            <w:hideMark/>
          </w:tcPr>
          <w:p w14:paraId="4FD7809D" w14:textId="6AB3B968"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1953</w:t>
            </w:r>
          </w:p>
        </w:tc>
        <w:tc>
          <w:tcPr>
            <w:tcW w:w="960" w:type="dxa"/>
            <w:tcBorders>
              <w:top w:val="nil"/>
              <w:left w:val="nil"/>
              <w:bottom w:val="single" w:sz="4" w:space="0" w:color="auto"/>
              <w:right w:val="nil"/>
            </w:tcBorders>
            <w:shd w:val="clear" w:color="000000" w:fill="FFFFFF"/>
            <w:noWrap/>
            <w:vAlign w:val="center"/>
            <w:hideMark/>
          </w:tcPr>
          <w:p w14:paraId="196DD557" w14:textId="1CC64652" w:rsidR="00270F52" w:rsidRPr="00270F52" w:rsidRDefault="00270F52" w:rsidP="00270F52">
            <w:pPr>
              <w:overflowPunct/>
              <w:autoSpaceDE/>
              <w:autoSpaceDN/>
              <w:adjustRightInd/>
              <w:jc w:val="center"/>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3</w:t>
            </w:r>
            <w:r>
              <w:rPr>
                <w:rFonts w:ascii="Calibri Light" w:hAnsi="Calibri Light" w:cs="Calibri Light"/>
                <w:b/>
                <w:bCs/>
                <w:color w:val="000000"/>
                <w:sz w:val="22"/>
                <w:szCs w:val="22"/>
              </w:rPr>
              <w:t>,</w:t>
            </w:r>
            <w:r w:rsidRPr="00270F52">
              <w:rPr>
                <w:rFonts w:ascii="Calibri Light" w:hAnsi="Calibri Light" w:cs="Calibri Light"/>
                <w:b/>
                <w:bCs/>
                <w:color w:val="000000"/>
                <w:sz w:val="22"/>
                <w:szCs w:val="22"/>
              </w:rPr>
              <w:t>19</w:t>
            </w:r>
          </w:p>
        </w:tc>
      </w:tr>
      <w:tr w:rsidR="00270F52" w:rsidRPr="00270F52" w14:paraId="38286656" w14:textId="77777777" w:rsidTr="00270F52">
        <w:trPr>
          <w:trHeight w:val="300"/>
        </w:trPr>
        <w:tc>
          <w:tcPr>
            <w:tcW w:w="3539" w:type="dxa"/>
            <w:tcBorders>
              <w:top w:val="nil"/>
              <w:left w:val="nil"/>
              <w:bottom w:val="single" w:sz="4" w:space="0" w:color="auto"/>
              <w:right w:val="nil"/>
            </w:tcBorders>
            <w:shd w:val="clear" w:color="000000" w:fill="FFFFFF"/>
            <w:noWrap/>
            <w:vAlign w:val="bottom"/>
            <w:hideMark/>
          </w:tcPr>
          <w:p w14:paraId="3CE3C996" w14:textId="77777777" w:rsidR="00270F52" w:rsidRPr="00270F52" w:rsidRDefault="00270F52" w:rsidP="00270F52">
            <w:pPr>
              <w:overflowPunct/>
              <w:autoSpaceDE/>
              <w:autoSpaceDN/>
              <w:adjustRightInd/>
              <w:ind w:firstLineChars="100" w:firstLine="221"/>
              <w:jc w:val="left"/>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Refinancované interně</w:t>
            </w:r>
          </w:p>
        </w:tc>
        <w:tc>
          <w:tcPr>
            <w:tcW w:w="1101" w:type="dxa"/>
            <w:tcBorders>
              <w:top w:val="nil"/>
              <w:left w:val="nil"/>
              <w:bottom w:val="single" w:sz="4" w:space="0" w:color="auto"/>
              <w:right w:val="single" w:sz="4" w:space="0" w:color="auto"/>
            </w:tcBorders>
            <w:shd w:val="clear" w:color="000000" w:fill="FFFFFF"/>
            <w:noWrap/>
            <w:vAlign w:val="center"/>
            <w:hideMark/>
          </w:tcPr>
          <w:p w14:paraId="09B960C1" w14:textId="5E3BC88B" w:rsidR="00270F52" w:rsidRPr="00270F52" w:rsidRDefault="00270F52" w:rsidP="00270F52">
            <w:pPr>
              <w:overflowPunct/>
              <w:autoSpaceDE/>
              <w:autoSpaceDN/>
              <w:adjustRightInd/>
              <w:jc w:val="center"/>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1</w:t>
            </w:r>
            <w:r>
              <w:rPr>
                <w:rFonts w:ascii="Calibri Light" w:hAnsi="Calibri Light" w:cs="Calibri Light"/>
                <w:b/>
                <w:bCs/>
                <w:color w:val="000000"/>
                <w:sz w:val="22"/>
                <w:szCs w:val="22"/>
              </w:rPr>
              <w:t>,</w:t>
            </w:r>
            <w:r w:rsidRPr="00270F52">
              <w:rPr>
                <w:rFonts w:ascii="Calibri Light" w:hAnsi="Calibri Light" w:cs="Calibri Light"/>
                <w:b/>
                <w:bCs/>
                <w:color w:val="000000"/>
                <w:sz w:val="22"/>
                <w:szCs w:val="22"/>
              </w:rPr>
              <w:t>3</w:t>
            </w:r>
          </w:p>
        </w:tc>
        <w:tc>
          <w:tcPr>
            <w:tcW w:w="960" w:type="dxa"/>
            <w:tcBorders>
              <w:top w:val="nil"/>
              <w:left w:val="nil"/>
              <w:bottom w:val="single" w:sz="4" w:space="0" w:color="auto"/>
              <w:right w:val="single" w:sz="4" w:space="0" w:color="auto"/>
            </w:tcBorders>
            <w:shd w:val="clear" w:color="000000" w:fill="FFFFFF"/>
            <w:noWrap/>
            <w:vAlign w:val="center"/>
            <w:hideMark/>
          </w:tcPr>
          <w:p w14:paraId="27C176C0" w14:textId="77777777" w:rsidR="00270F52" w:rsidRPr="00270F52" w:rsidRDefault="00270F52" w:rsidP="00270F52">
            <w:pPr>
              <w:overflowPunct/>
              <w:autoSpaceDE/>
              <w:autoSpaceDN/>
              <w:adjustRightInd/>
              <w:jc w:val="center"/>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602</w:t>
            </w:r>
          </w:p>
        </w:tc>
        <w:tc>
          <w:tcPr>
            <w:tcW w:w="960" w:type="dxa"/>
            <w:tcBorders>
              <w:top w:val="nil"/>
              <w:left w:val="nil"/>
              <w:bottom w:val="single" w:sz="4" w:space="0" w:color="auto"/>
              <w:right w:val="nil"/>
            </w:tcBorders>
            <w:shd w:val="clear" w:color="000000" w:fill="FFFFFF"/>
            <w:noWrap/>
            <w:vAlign w:val="center"/>
            <w:hideMark/>
          </w:tcPr>
          <w:p w14:paraId="43F564CA" w14:textId="4FDE5A9A" w:rsidR="00270F52" w:rsidRPr="00270F52" w:rsidRDefault="00270F52" w:rsidP="00270F52">
            <w:pPr>
              <w:overflowPunct/>
              <w:autoSpaceDE/>
              <w:autoSpaceDN/>
              <w:adjustRightInd/>
              <w:jc w:val="center"/>
              <w:textAlignment w:val="auto"/>
              <w:rPr>
                <w:rFonts w:ascii="Calibri Light" w:hAnsi="Calibri Light" w:cs="Calibri Light"/>
                <w:b/>
                <w:bCs/>
                <w:color w:val="000000"/>
                <w:sz w:val="22"/>
                <w:szCs w:val="22"/>
              </w:rPr>
            </w:pPr>
            <w:r w:rsidRPr="00270F52">
              <w:rPr>
                <w:rFonts w:ascii="Calibri Light" w:hAnsi="Calibri Light" w:cs="Calibri Light"/>
                <w:b/>
                <w:bCs/>
                <w:color w:val="000000"/>
                <w:sz w:val="22"/>
                <w:szCs w:val="22"/>
              </w:rPr>
              <w:t>3</w:t>
            </w:r>
            <w:r>
              <w:rPr>
                <w:rFonts w:ascii="Calibri Light" w:hAnsi="Calibri Light" w:cs="Calibri Light"/>
                <w:b/>
                <w:bCs/>
                <w:color w:val="000000"/>
                <w:sz w:val="22"/>
                <w:szCs w:val="22"/>
              </w:rPr>
              <w:t>,</w:t>
            </w:r>
            <w:r w:rsidRPr="00270F52">
              <w:rPr>
                <w:rFonts w:ascii="Calibri Light" w:hAnsi="Calibri Light" w:cs="Calibri Light"/>
                <w:b/>
                <w:bCs/>
                <w:color w:val="000000"/>
                <w:sz w:val="22"/>
                <w:szCs w:val="22"/>
              </w:rPr>
              <w:t>03</w:t>
            </w:r>
          </w:p>
        </w:tc>
      </w:tr>
      <w:tr w:rsidR="00270F52" w:rsidRPr="00270F52" w14:paraId="362D5515" w14:textId="77777777" w:rsidTr="00270F52">
        <w:trPr>
          <w:trHeight w:val="300"/>
        </w:trPr>
        <w:tc>
          <w:tcPr>
            <w:tcW w:w="3539" w:type="dxa"/>
            <w:tcBorders>
              <w:top w:val="nil"/>
              <w:left w:val="nil"/>
              <w:bottom w:val="nil"/>
              <w:right w:val="nil"/>
            </w:tcBorders>
            <w:shd w:val="clear" w:color="000000" w:fill="FFFFFF"/>
            <w:noWrap/>
            <w:vAlign w:val="bottom"/>
            <w:hideMark/>
          </w:tcPr>
          <w:p w14:paraId="00EAB9A1" w14:textId="77777777" w:rsidR="00270F52" w:rsidRPr="00270F52" w:rsidRDefault="00270F52" w:rsidP="00270F52">
            <w:pPr>
              <w:overflowPunct/>
              <w:autoSpaceDE/>
              <w:autoSpaceDN/>
              <w:adjustRightInd/>
              <w:jc w:val="left"/>
              <w:textAlignment w:val="auto"/>
              <w:rPr>
                <w:rFonts w:ascii="Calibri Light" w:hAnsi="Calibri Light" w:cs="Calibri Light"/>
                <w:color w:val="13576B"/>
                <w:sz w:val="20"/>
              </w:rPr>
            </w:pPr>
            <w:r w:rsidRPr="00270F52">
              <w:rPr>
                <w:rFonts w:ascii="Calibri Light" w:hAnsi="Calibri Light" w:cs="Calibri Light"/>
                <w:color w:val="13576B"/>
                <w:sz w:val="20"/>
              </w:rPr>
              <w:t xml:space="preserve">Pramen: ČBA </w:t>
            </w:r>
            <w:proofErr w:type="spellStart"/>
            <w:r w:rsidRPr="00270F52">
              <w:rPr>
                <w:rFonts w:ascii="Calibri Light" w:hAnsi="Calibri Light" w:cs="Calibri Light"/>
                <w:color w:val="13576B"/>
                <w:sz w:val="20"/>
              </w:rPr>
              <w:t>Hypomonitor</w:t>
            </w:r>
            <w:proofErr w:type="spellEnd"/>
          </w:p>
        </w:tc>
        <w:tc>
          <w:tcPr>
            <w:tcW w:w="1101" w:type="dxa"/>
            <w:tcBorders>
              <w:top w:val="nil"/>
              <w:left w:val="nil"/>
              <w:bottom w:val="nil"/>
              <w:right w:val="nil"/>
            </w:tcBorders>
            <w:shd w:val="clear" w:color="000000" w:fill="FFFFFF"/>
            <w:noWrap/>
            <w:vAlign w:val="bottom"/>
            <w:hideMark/>
          </w:tcPr>
          <w:p w14:paraId="47DFF46F" w14:textId="77777777" w:rsidR="00270F52" w:rsidRPr="00270F52" w:rsidRDefault="00270F52" w:rsidP="00270F52">
            <w:pPr>
              <w:overflowPunct/>
              <w:autoSpaceDE/>
              <w:autoSpaceDN/>
              <w:adjustRightInd/>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bottom"/>
            <w:hideMark/>
          </w:tcPr>
          <w:p w14:paraId="75B120D6" w14:textId="77777777" w:rsidR="00270F52" w:rsidRPr="00270F52" w:rsidRDefault="00270F52" w:rsidP="00270F52">
            <w:pPr>
              <w:overflowPunct/>
              <w:autoSpaceDE/>
              <w:autoSpaceDN/>
              <w:adjustRightInd/>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w:t>
            </w:r>
          </w:p>
        </w:tc>
        <w:tc>
          <w:tcPr>
            <w:tcW w:w="960" w:type="dxa"/>
            <w:tcBorders>
              <w:top w:val="nil"/>
              <w:left w:val="nil"/>
              <w:bottom w:val="nil"/>
              <w:right w:val="nil"/>
            </w:tcBorders>
            <w:shd w:val="clear" w:color="000000" w:fill="FFFFFF"/>
            <w:noWrap/>
            <w:vAlign w:val="bottom"/>
            <w:hideMark/>
          </w:tcPr>
          <w:p w14:paraId="2745A73B" w14:textId="77777777" w:rsidR="00270F52" w:rsidRPr="00270F52" w:rsidRDefault="00270F52" w:rsidP="00270F52">
            <w:pPr>
              <w:overflowPunct/>
              <w:autoSpaceDE/>
              <w:autoSpaceDN/>
              <w:adjustRightInd/>
              <w:jc w:val="left"/>
              <w:textAlignment w:val="auto"/>
              <w:rPr>
                <w:rFonts w:ascii="Calibri Light" w:hAnsi="Calibri Light" w:cs="Calibri Light"/>
                <w:color w:val="000000"/>
                <w:sz w:val="22"/>
                <w:szCs w:val="22"/>
              </w:rPr>
            </w:pPr>
            <w:r w:rsidRPr="00270F52">
              <w:rPr>
                <w:rFonts w:ascii="Calibri Light" w:hAnsi="Calibri Light" w:cs="Calibri Light"/>
                <w:color w:val="000000"/>
                <w:sz w:val="22"/>
                <w:szCs w:val="22"/>
              </w:rPr>
              <w:t> </w:t>
            </w:r>
          </w:p>
        </w:tc>
      </w:tr>
    </w:tbl>
    <w:p w14:paraId="37476374" w14:textId="249F6B2A" w:rsidR="0081060D" w:rsidRDefault="0081060D" w:rsidP="00F10D7E"/>
    <w:p w14:paraId="69FF7EDC" w14:textId="77777777" w:rsidR="00E3540A" w:rsidRDefault="00E3540A" w:rsidP="00E3540A">
      <w:pPr>
        <w:rPr>
          <w:rFonts w:ascii="Calibri" w:hAnsi="Calibri" w:cs="Calibri"/>
          <w:sz w:val="22"/>
          <w:szCs w:val="22"/>
        </w:rPr>
      </w:pPr>
      <w:r w:rsidRPr="002B3AB2">
        <w:rPr>
          <w:rFonts w:ascii="Calibri" w:hAnsi="Calibri" w:cs="Calibri"/>
          <w:sz w:val="22"/>
          <w:szCs w:val="22"/>
        </w:rPr>
        <w:t>„</w:t>
      </w:r>
      <w:r w:rsidRPr="002B3AB2">
        <w:rPr>
          <w:rFonts w:ascii="Calibri" w:hAnsi="Calibri" w:cs="Calibri"/>
          <w:i/>
          <w:iCs/>
          <w:sz w:val="22"/>
          <w:szCs w:val="22"/>
        </w:rPr>
        <w:t xml:space="preserve">Zájem klientů o hypotéky v lednu oproti konci roku znatelně poklesl, což primárně přisuzujeme pokračujícímu růstu úrokových sazeb. Další ochlazení trhu očekáváme po letošním dubnu, kdy vstupuje v platnost přísnější regulace limitů pro poskytování hypoték. Za celý letošní rok pak očekáváme celkový pokles </w:t>
      </w:r>
      <w:proofErr w:type="gramStart"/>
      <w:r w:rsidRPr="002B3AB2">
        <w:rPr>
          <w:rFonts w:ascii="Calibri" w:hAnsi="Calibri" w:cs="Calibri"/>
          <w:i/>
          <w:iCs/>
          <w:sz w:val="22"/>
          <w:szCs w:val="22"/>
        </w:rPr>
        <w:t>trhu  okolo</w:t>
      </w:r>
      <w:proofErr w:type="gramEnd"/>
      <w:r w:rsidRPr="002B3AB2">
        <w:rPr>
          <w:rFonts w:ascii="Calibri" w:hAnsi="Calibri" w:cs="Calibri"/>
          <w:i/>
          <w:iCs/>
          <w:sz w:val="22"/>
          <w:szCs w:val="22"/>
        </w:rPr>
        <w:t xml:space="preserve"> 50 procent</w:t>
      </w:r>
      <w:r w:rsidRPr="002B3AB2">
        <w:rPr>
          <w:rFonts w:ascii="Calibri" w:hAnsi="Calibri" w:cs="Calibri"/>
          <w:sz w:val="22"/>
          <w:szCs w:val="22"/>
        </w:rPr>
        <w:t>,“ uvedl Matěj Novák</w:t>
      </w:r>
      <w:r>
        <w:rPr>
          <w:rFonts w:ascii="Calibri" w:hAnsi="Calibri" w:cs="Calibri"/>
          <w:sz w:val="22"/>
          <w:szCs w:val="22"/>
        </w:rPr>
        <w:t>,</w:t>
      </w:r>
      <w:r w:rsidRPr="002B3AB2">
        <w:rPr>
          <w:rFonts w:ascii="Calibri" w:hAnsi="Calibri" w:cs="Calibri"/>
          <w:sz w:val="22"/>
          <w:szCs w:val="22"/>
        </w:rPr>
        <w:t xml:space="preserve"> Senior manažer hypoték Moneta Money Bank.</w:t>
      </w:r>
    </w:p>
    <w:p w14:paraId="1DB5FEDF" w14:textId="77777777" w:rsidR="00E3540A" w:rsidRDefault="00E3540A" w:rsidP="00A72C93">
      <w:pPr>
        <w:rPr>
          <w:rFonts w:ascii="Calibri" w:hAnsi="Calibri" w:cs="Calibri"/>
          <w:b/>
          <w:color w:val="13576B"/>
          <w:sz w:val="23"/>
          <w:szCs w:val="23"/>
        </w:rPr>
      </w:pPr>
    </w:p>
    <w:p w14:paraId="7AE0CCC0" w14:textId="3385590C" w:rsidR="00A72C93" w:rsidRPr="00477CEB" w:rsidRDefault="0000363D" w:rsidP="00A72C93">
      <w:pPr>
        <w:rPr>
          <w:rFonts w:ascii="Calibri" w:hAnsi="Calibri" w:cs="Calibri"/>
          <w:b/>
          <w:color w:val="13576B"/>
          <w:sz w:val="23"/>
          <w:szCs w:val="23"/>
        </w:rPr>
      </w:pPr>
      <w:r>
        <w:rPr>
          <w:rFonts w:ascii="Calibri" w:hAnsi="Calibri" w:cs="Calibri"/>
          <w:b/>
          <w:color w:val="13576B"/>
          <w:sz w:val="23"/>
          <w:szCs w:val="23"/>
        </w:rPr>
        <w:t>Průměrná hypoteční sazba</w:t>
      </w:r>
      <w:r w:rsidR="002E6312">
        <w:rPr>
          <w:rFonts w:ascii="Calibri" w:hAnsi="Calibri" w:cs="Calibri"/>
          <w:b/>
          <w:color w:val="13576B"/>
          <w:sz w:val="23"/>
          <w:szCs w:val="23"/>
        </w:rPr>
        <w:t xml:space="preserve"> bude dále postupně růst</w:t>
      </w:r>
    </w:p>
    <w:p w14:paraId="566E3DDB" w14:textId="4FD5E5FF" w:rsidR="00FF211E" w:rsidRDefault="0001227F" w:rsidP="0001227F">
      <w:pPr>
        <w:rPr>
          <w:rFonts w:ascii="Calibri" w:hAnsi="Calibri" w:cs="Calibri"/>
          <w:sz w:val="22"/>
          <w:szCs w:val="22"/>
        </w:rPr>
      </w:pPr>
      <w:r w:rsidRPr="006C090C">
        <w:rPr>
          <w:rFonts w:ascii="Calibri" w:hAnsi="Calibri" w:cs="Calibri"/>
          <w:b/>
          <w:bCs/>
          <w:sz w:val="22"/>
          <w:szCs w:val="22"/>
        </w:rPr>
        <w:t>Úroková sazba u </w:t>
      </w:r>
      <w:r w:rsidR="00BD532D">
        <w:rPr>
          <w:rFonts w:ascii="Calibri" w:hAnsi="Calibri" w:cs="Calibri"/>
          <w:b/>
          <w:bCs/>
          <w:sz w:val="22"/>
          <w:szCs w:val="22"/>
        </w:rPr>
        <w:t xml:space="preserve">skutečně </w:t>
      </w:r>
      <w:r w:rsidRPr="006C090C">
        <w:rPr>
          <w:rFonts w:ascii="Calibri" w:hAnsi="Calibri" w:cs="Calibri"/>
          <w:b/>
          <w:bCs/>
          <w:sz w:val="22"/>
          <w:szCs w:val="22"/>
        </w:rPr>
        <w:t>nově poskytnutých hypotečních úvěrů</w:t>
      </w:r>
      <w:r w:rsidR="006C3F79" w:rsidRPr="006C090C">
        <w:rPr>
          <w:rFonts w:ascii="Calibri" w:hAnsi="Calibri" w:cs="Calibri"/>
          <w:b/>
          <w:bCs/>
          <w:sz w:val="22"/>
          <w:szCs w:val="22"/>
        </w:rPr>
        <w:t xml:space="preserve"> </w:t>
      </w:r>
      <w:r w:rsidRPr="006C090C">
        <w:rPr>
          <w:rFonts w:ascii="Calibri" w:hAnsi="Calibri" w:cs="Calibri"/>
          <w:b/>
          <w:bCs/>
          <w:sz w:val="22"/>
          <w:szCs w:val="22"/>
        </w:rPr>
        <w:t>v</w:t>
      </w:r>
      <w:r w:rsidR="00E36335" w:rsidRPr="006C090C">
        <w:rPr>
          <w:rFonts w:ascii="Calibri" w:hAnsi="Calibri" w:cs="Calibri"/>
          <w:b/>
          <w:bCs/>
          <w:sz w:val="22"/>
          <w:szCs w:val="22"/>
        </w:rPr>
        <w:t xml:space="preserve"> </w:t>
      </w:r>
      <w:r w:rsidR="00BD532D">
        <w:rPr>
          <w:rFonts w:ascii="Calibri" w:hAnsi="Calibri" w:cs="Calibri"/>
          <w:b/>
          <w:bCs/>
          <w:sz w:val="22"/>
          <w:szCs w:val="22"/>
        </w:rPr>
        <w:t>lednu</w:t>
      </w:r>
      <w:r w:rsidRPr="006C090C">
        <w:rPr>
          <w:rFonts w:ascii="Calibri" w:hAnsi="Calibri" w:cs="Calibri"/>
          <w:b/>
          <w:bCs/>
          <w:sz w:val="22"/>
          <w:szCs w:val="22"/>
        </w:rPr>
        <w:t xml:space="preserve"> </w:t>
      </w:r>
      <w:r w:rsidR="006C3F79" w:rsidRPr="006C090C">
        <w:rPr>
          <w:rFonts w:ascii="Calibri" w:hAnsi="Calibri" w:cs="Calibri"/>
          <w:b/>
          <w:bCs/>
          <w:sz w:val="22"/>
          <w:szCs w:val="22"/>
        </w:rPr>
        <w:t>vzrostla</w:t>
      </w:r>
      <w:r w:rsidRPr="006C090C">
        <w:rPr>
          <w:rFonts w:ascii="Calibri" w:hAnsi="Calibri" w:cs="Calibri"/>
          <w:b/>
          <w:bCs/>
          <w:sz w:val="22"/>
          <w:szCs w:val="22"/>
        </w:rPr>
        <w:t xml:space="preserve"> </w:t>
      </w:r>
      <w:r w:rsidR="008D3273">
        <w:rPr>
          <w:rFonts w:ascii="Calibri" w:hAnsi="Calibri" w:cs="Calibri"/>
          <w:b/>
          <w:bCs/>
          <w:sz w:val="22"/>
          <w:szCs w:val="22"/>
        </w:rPr>
        <w:t xml:space="preserve">na </w:t>
      </w:r>
      <w:r w:rsidR="00C975A8">
        <w:rPr>
          <w:rFonts w:ascii="Calibri" w:hAnsi="Calibri" w:cs="Calibri"/>
          <w:b/>
          <w:bCs/>
          <w:sz w:val="22"/>
          <w:szCs w:val="22"/>
        </w:rPr>
        <w:t>3</w:t>
      </w:r>
      <w:r w:rsidR="00BD532D">
        <w:rPr>
          <w:rFonts w:ascii="Calibri" w:hAnsi="Calibri" w:cs="Calibri"/>
          <w:b/>
          <w:bCs/>
          <w:sz w:val="22"/>
          <w:szCs w:val="22"/>
        </w:rPr>
        <w:t>,4</w:t>
      </w:r>
      <w:r w:rsidR="008D3273">
        <w:rPr>
          <w:rFonts w:ascii="Calibri" w:hAnsi="Calibri" w:cs="Calibri"/>
          <w:b/>
          <w:bCs/>
          <w:sz w:val="22"/>
          <w:szCs w:val="22"/>
        </w:rPr>
        <w:t xml:space="preserve"> % z</w:t>
      </w:r>
      <w:r w:rsidR="00BD532D">
        <w:rPr>
          <w:rFonts w:ascii="Calibri" w:hAnsi="Calibri" w:cs="Calibri"/>
          <w:b/>
          <w:bCs/>
          <w:sz w:val="22"/>
          <w:szCs w:val="22"/>
        </w:rPr>
        <w:t> prosincových</w:t>
      </w:r>
      <w:r w:rsidR="00ED5035">
        <w:rPr>
          <w:rFonts w:ascii="Calibri" w:hAnsi="Calibri" w:cs="Calibri"/>
          <w:b/>
          <w:bCs/>
          <w:sz w:val="22"/>
          <w:szCs w:val="22"/>
        </w:rPr>
        <w:t xml:space="preserve"> </w:t>
      </w:r>
      <w:r w:rsidR="00BD532D">
        <w:rPr>
          <w:rFonts w:ascii="Calibri" w:hAnsi="Calibri" w:cs="Calibri"/>
          <w:b/>
          <w:bCs/>
          <w:sz w:val="22"/>
          <w:szCs w:val="22"/>
        </w:rPr>
        <w:t>3</w:t>
      </w:r>
      <w:r w:rsidRPr="006C090C">
        <w:rPr>
          <w:rFonts w:ascii="Calibri" w:hAnsi="Calibri" w:cs="Calibri"/>
          <w:b/>
          <w:bCs/>
          <w:sz w:val="22"/>
          <w:szCs w:val="22"/>
        </w:rPr>
        <w:t xml:space="preserve"> %</w:t>
      </w:r>
      <w:r w:rsidR="008D3273">
        <w:rPr>
          <w:rFonts w:ascii="Calibri" w:hAnsi="Calibri" w:cs="Calibri"/>
          <w:b/>
          <w:bCs/>
          <w:sz w:val="22"/>
          <w:szCs w:val="22"/>
        </w:rPr>
        <w:t xml:space="preserve">. </w:t>
      </w:r>
      <w:r w:rsidR="00D926E9">
        <w:rPr>
          <w:rFonts w:ascii="Calibri" w:hAnsi="Calibri" w:cs="Calibri"/>
          <w:sz w:val="22"/>
          <w:szCs w:val="22"/>
        </w:rPr>
        <w:t xml:space="preserve">Růst sazeb tak </w:t>
      </w:r>
      <w:r w:rsidR="00E042FF">
        <w:rPr>
          <w:rFonts w:ascii="Calibri" w:hAnsi="Calibri" w:cs="Calibri"/>
          <w:sz w:val="22"/>
          <w:szCs w:val="22"/>
        </w:rPr>
        <w:t xml:space="preserve">dále </w:t>
      </w:r>
      <w:r w:rsidR="008D3273">
        <w:rPr>
          <w:rFonts w:ascii="Calibri" w:hAnsi="Calibri" w:cs="Calibri"/>
          <w:sz w:val="22"/>
          <w:szCs w:val="22"/>
        </w:rPr>
        <w:t>zrychluje</w:t>
      </w:r>
      <w:r w:rsidR="00BD532D">
        <w:rPr>
          <w:rFonts w:ascii="Calibri" w:hAnsi="Calibri" w:cs="Calibri"/>
          <w:sz w:val="22"/>
          <w:szCs w:val="22"/>
        </w:rPr>
        <w:t xml:space="preserve"> a byl v lednu nejrychlejší </w:t>
      </w:r>
      <w:r w:rsidR="009E204D">
        <w:rPr>
          <w:rFonts w:ascii="Calibri" w:hAnsi="Calibri" w:cs="Calibri"/>
          <w:sz w:val="22"/>
          <w:szCs w:val="22"/>
        </w:rPr>
        <w:t xml:space="preserve">od </w:t>
      </w:r>
      <w:r w:rsidR="00137050">
        <w:rPr>
          <w:rFonts w:ascii="Calibri" w:hAnsi="Calibri" w:cs="Calibri"/>
          <w:sz w:val="22"/>
          <w:szCs w:val="22"/>
        </w:rPr>
        <w:t xml:space="preserve">poloviny loňského roku, </w:t>
      </w:r>
      <w:r w:rsidR="009E204D">
        <w:rPr>
          <w:rFonts w:ascii="Calibri" w:hAnsi="Calibri" w:cs="Calibri"/>
          <w:sz w:val="22"/>
          <w:szCs w:val="22"/>
        </w:rPr>
        <w:t xml:space="preserve">kdy </w:t>
      </w:r>
      <w:r w:rsidR="00137050">
        <w:rPr>
          <w:rFonts w:ascii="Calibri" w:hAnsi="Calibri" w:cs="Calibri"/>
          <w:sz w:val="22"/>
          <w:szCs w:val="22"/>
        </w:rPr>
        <w:t xml:space="preserve">ČNB začala </w:t>
      </w:r>
      <w:r w:rsidR="009E204D">
        <w:rPr>
          <w:rFonts w:ascii="Calibri" w:hAnsi="Calibri" w:cs="Calibri"/>
          <w:sz w:val="22"/>
          <w:szCs w:val="22"/>
        </w:rPr>
        <w:t>zvyšovat sazby.</w:t>
      </w:r>
      <w:r w:rsidR="00EE3C34">
        <w:rPr>
          <w:rFonts w:ascii="Calibri" w:hAnsi="Calibri" w:cs="Calibri"/>
          <w:sz w:val="22"/>
          <w:szCs w:val="22"/>
        </w:rPr>
        <w:t xml:space="preserve"> Průměrná hypoteční sazba se tak v lednu dostala na nejvyšší úroveň od </w:t>
      </w:r>
      <w:r w:rsidR="00D51271">
        <w:rPr>
          <w:rFonts w:ascii="Calibri" w:hAnsi="Calibri" w:cs="Calibri"/>
          <w:sz w:val="22"/>
          <w:szCs w:val="22"/>
        </w:rPr>
        <w:t xml:space="preserve">přelomu </w:t>
      </w:r>
      <w:r w:rsidR="00137050">
        <w:rPr>
          <w:rFonts w:ascii="Calibri" w:hAnsi="Calibri" w:cs="Calibri"/>
          <w:sz w:val="22"/>
          <w:szCs w:val="22"/>
        </w:rPr>
        <w:t>let</w:t>
      </w:r>
      <w:r w:rsidR="00D51271">
        <w:rPr>
          <w:rFonts w:ascii="Calibri" w:hAnsi="Calibri" w:cs="Calibri"/>
          <w:sz w:val="22"/>
          <w:szCs w:val="22"/>
        </w:rPr>
        <w:t xml:space="preserve"> 2012 a 2013. </w:t>
      </w:r>
      <w:r w:rsidR="0013407D">
        <w:rPr>
          <w:rFonts w:ascii="Calibri" w:hAnsi="Calibri" w:cs="Calibri"/>
          <w:sz w:val="22"/>
          <w:szCs w:val="22"/>
        </w:rPr>
        <w:t xml:space="preserve">Stejně jako v předchozích měsících však </w:t>
      </w:r>
      <w:r w:rsidR="00C963E5">
        <w:rPr>
          <w:rFonts w:ascii="Calibri" w:hAnsi="Calibri" w:cs="Calibri"/>
          <w:sz w:val="22"/>
          <w:szCs w:val="22"/>
        </w:rPr>
        <w:t xml:space="preserve">průměrná </w:t>
      </w:r>
      <w:r w:rsidR="0013407D">
        <w:rPr>
          <w:rFonts w:ascii="Calibri" w:hAnsi="Calibri" w:cs="Calibri"/>
          <w:sz w:val="22"/>
          <w:szCs w:val="22"/>
        </w:rPr>
        <w:t xml:space="preserve">lednová </w:t>
      </w:r>
      <w:r w:rsidR="00C963E5">
        <w:rPr>
          <w:rFonts w:ascii="Calibri" w:hAnsi="Calibri" w:cs="Calibri"/>
          <w:sz w:val="22"/>
          <w:szCs w:val="22"/>
        </w:rPr>
        <w:t xml:space="preserve">úroková sazba </w:t>
      </w:r>
      <w:r w:rsidR="00D86169">
        <w:rPr>
          <w:rFonts w:ascii="Calibri" w:hAnsi="Calibri" w:cs="Calibri"/>
          <w:sz w:val="22"/>
          <w:szCs w:val="22"/>
        </w:rPr>
        <w:t xml:space="preserve">ještě zachycuje </w:t>
      </w:r>
      <w:r w:rsidR="00001E72">
        <w:rPr>
          <w:rFonts w:ascii="Calibri" w:hAnsi="Calibri" w:cs="Calibri"/>
          <w:sz w:val="22"/>
          <w:szCs w:val="22"/>
        </w:rPr>
        <w:t xml:space="preserve">uzavřené </w:t>
      </w:r>
      <w:r w:rsidR="00D86169">
        <w:rPr>
          <w:rFonts w:ascii="Calibri" w:hAnsi="Calibri" w:cs="Calibri"/>
          <w:sz w:val="22"/>
          <w:szCs w:val="22"/>
        </w:rPr>
        <w:t xml:space="preserve">smlouvy, které byly rozjednány s klienty </w:t>
      </w:r>
      <w:r w:rsidR="00DE2574">
        <w:rPr>
          <w:rFonts w:ascii="Calibri" w:hAnsi="Calibri" w:cs="Calibri"/>
          <w:sz w:val="22"/>
          <w:szCs w:val="22"/>
        </w:rPr>
        <w:t>v </w:t>
      </w:r>
      <w:r w:rsidR="00E042FF">
        <w:rPr>
          <w:rFonts w:ascii="Calibri" w:hAnsi="Calibri" w:cs="Calibri"/>
          <w:sz w:val="22"/>
          <w:szCs w:val="22"/>
        </w:rPr>
        <w:t>dřívějších</w:t>
      </w:r>
      <w:r w:rsidR="00DE2574">
        <w:rPr>
          <w:rFonts w:ascii="Calibri" w:hAnsi="Calibri" w:cs="Calibri"/>
          <w:sz w:val="22"/>
          <w:szCs w:val="22"/>
        </w:rPr>
        <w:t xml:space="preserve"> měsících, </w:t>
      </w:r>
      <w:r w:rsidR="0013407D">
        <w:rPr>
          <w:rFonts w:ascii="Calibri" w:hAnsi="Calibri" w:cs="Calibri"/>
          <w:sz w:val="22"/>
          <w:szCs w:val="22"/>
        </w:rPr>
        <w:t xml:space="preserve">kdy byly </w:t>
      </w:r>
      <w:r w:rsidR="00FE5C0B">
        <w:rPr>
          <w:rFonts w:ascii="Calibri" w:hAnsi="Calibri" w:cs="Calibri"/>
          <w:sz w:val="22"/>
          <w:szCs w:val="22"/>
        </w:rPr>
        <w:t xml:space="preserve">úrokové sazby ještě nižší. </w:t>
      </w:r>
      <w:r w:rsidR="00FE5C0B" w:rsidRPr="00137050">
        <w:rPr>
          <w:rFonts w:ascii="Calibri" w:hAnsi="Calibri" w:cs="Calibri"/>
          <w:b/>
          <w:bCs/>
          <w:sz w:val="22"/>
          <w:szCs w:val="22"/>
        </w:rPr>
        <w:t xml:space="preserve">Proto se průměrná hypoteční sazba u nově uzavřených smluv pohybuje stále pod nabídkovými </w:t>
      </w:r>
      <w:r w:rsidR="00B66DB7" w:rsidRPr="00137050">
        <w:rPr>
          <w:rFonts w:ascii="Calibri" w:hAnsi="Calibri" w:cs="Calibri"/>
          <w:b/>
          <w:bCs/>
          <w:sz w:val="22"/>
          <w:szCs w:val="22"/>
        </w:rPr>
        <w:t>sazbami hypoték.</w:t>
      </w:r>
      <w:r w:rsidR="00B66DB7">
        <w:rPr>
          <w:rFonts w:ascii="Calibri" w:hAnsi="Calibri" w:cs="Calibri"/>
          <w:sz w:val="22"/>
          <w:szCs w:val="22"/>
        </w:rPr>
        <w:t xml:space="preserve"> </w:t>
      </w:r>
      <w:r w:rsidR="0080130F">
        <w:rPr>
          <w:rFonts w:ascii="Calibri" w:hAnsi="Calibri" w:cs="Calibri"/>
          <w:sz w:val="22"/>
          <w:szCs w:val="22"/>
        </w:rPr>
        <w:t xml:space="preserve">Ty se </w:t>
      </w:r>
      <w:r w:rsidR="000606C6">
        <w:rPr>
          <w:rFonts w:ascii="Calibri" w:hAnsi="Calibri" w:cs="Calibri"/>
          <w:sz w:val="22"/>
          <w:szCs w:val="22"/>
        </w:rPr>
        <w:t>v </w:t>
      </w:r>
      <w:r w:rsidR="00B66DB7">
        <w:rPr>
          <w:rFonts w:ascii="Calibri" w:hAnsi="Calibri" w:cs="Calibri"/>
          <w:sz w:val="22"/>
          <w:szCs w:val="22"/>
        </w:rPr>
        <w:t>lednu</w:t>
      </w:r>
      <w:r w:rsidR="000606C6">
        <w:rPr>
          <w:rFonts w:ascii="Calibri" w:hAnsi="Calibri" w:cs="Calibri"/>
          <w:sz w:val="22"/>
          <w:szCs w:val="22"/>
        </w:rPr>
        <w:t xml:space="preserve"> </w:t>
      </w:r>
      <w:r w:rsidR="00DE2574">
        <w:rPr>
          <w:rFonts w:ascii="Calibri" w:hAnsi="Calibri" w:cs="Calibri"/>
          <w:sz w:val="22"/>
          <w:szCs w:val="22"/>
        </w:rPr>
        <w:t>pohybovaly</w:t>
      </w:r>
      <w:r w:rsidR="0080130F">
        <w:rPr>
          <w:rFonts w:ascii="Calibri" w:hAnsi="Calibri" w:cs="Calibri"/>
          <w:sz w:val="22"/>
          <w:szCs w:val="22"/>
        </w:rPr>
        <w:t xml:space="preserve"> </w:t>
      </w:r>
      <w:r w:rsidR="00B66DB7">
        <w:rPr>
          <w:rFonts w:ascii="Calibri" w:hAnsi="Calibri" w:cs="Calibri"/>
          <w:sz w:val="22"/>
          <w:szCs w:val="22"/>
        </w:rPr>
        <w:t>nejčastěji v širokém rozmezí od 4 do 5 %,</w:t>
      </w:r>
      <w:r w:rsidR="00D228B8">
        <w:rPr>
          <w:rFonts w:ascii="Calibri" w:hAnsi="Calibri" w:cs="Calibri"/>
          <w:sz w:val="22"/>
          <w:szCs w:val="22"/>
        </w:rPr>
        <w:t xml:space="preserve"> a vzhledem k vývoji </w:t>
      </w:r>
      <w:r w:rsidR="0066000B">
        <w:rPr>
          <w:rFonts w:ascii="Calibri" w:hAnsi="Calibri" w:cs="Calibri"/>
          <w:sz w:val="22"/>
          <w:szCs w:val="22"/>
        </w:rPr>
        <w:t xml:space="preserve">tržních úrokových sazeb </w:t>
      </w:r>
      <w:r w:rsidR="00D228B8">
        <w:rPr>
          <w:rFonts w:ascii="Calibri" w:hAnsi="Calibri" w:cs="Calibri"/>
          <w:sz w:val="22"/>
          <w:szCs w:val="22"/>
        </w:rPr>
        <w:t xml:space="preserve">lze </w:t>
      </w:r>
      <w:r w:rsidR="00402778">
        <w:rPr>
          <w:rFonts w:ascii="Calibri" w:hAnsi="Calibri" w:cs="Calibri"/>
          <w:sz w:val="22"/>
          <w:szCs w:val="22"/>
        </w:rPr>
        <w:t>očekávat jejich další růst.</w:t>
      </w:r>
      <w:r w:rsidR="00DE2574">
        <w:rPr>
          <w:rFonts w:ascii="Calibri" w:hAnsi="Calibri" w:cs="Calibri"/>
          <w:sz w:val="22"/>
          <w:szCs w:val="22"/>
        </w:rPr>
        <w:t xml:space="preserve"> </w:t>
      </w:r>
    </w:p>
    <w:p w14:paraId="5BE53C61" w14:textId="044A3FCA" w:rsidR="007826E0" w:rsidRDefault="007826E0" w:rsidP="0001227F">
      <w:pPr>
        <w:rPr>
          <w:rFonts w:ascii="Calibri" w:hAnsi="Calibri" w:cs="Calibri"/>
          <w:sz w:val="22"/>
          <w:szCs w:val="22"/>
        </w:rPr>
      </w:pPr>
    </w:p>
    <w:p w14:paraId="0C178533" w14:textId="77777777" w:rsidR="007826E0" w:rsidRPr="00E341F0" w:rsidRDefault="007826E0" w:rsidP="007826E0">
      <w:pPr>
        <w:rPr>
          <w:rFonts w:ascii="Calibri" w:hAnsi="Calibri" w:cs="Calibri"/>
          <w:b/>
          <w:color w:val="13576B"/>
          <w:sz w:val="23"/>
          <w:szCs w:val="23"/>
        </w:rPr>
      </w:pPr>
      <w:r w:rsidRPr="00E341F0">
        <w:rPr>
          <w:rFonts w:ascii="Calibri" w:hAnsi="Calibri" w:cs="Calibri"/>
          <w:b/>
          <w:color w:val="13576B"/>
          <w:sz w:val="23"/>
          <w:szCs w:val="23"/>
        </w:rPr>
        <w:t xml:space="preserve">Graf č. 1: Průměrná hypoteční sazba u nových obchodů dle oficiálních dat ČNB a ČBA </w:t>
      </w:r>
      <w:proofErr w:type="spellStart"/>
      <w:r w:rsidRPr="00E341F0">
        <w:rPr>
          <w:rFonts w:ascii="Calibri" w:hAnsi="Calibri" w:cs="Calibri"/>
          <w:b/>
          <w:color w:val="13576B"/>
          <w:sz w:val="23"/>
          <w:szCs w:val="23"/>
        </w:rPr>
        <w:t>Hypomonitoru</w:t>
      </w:r>
      <w:proofErr w:type="spellEnd"/>
    </w:p>
    <w:p w14:paraId="7D5DA434" w14:textId="77777777" w:rsidR="007826E0" w:rsidRDefault="007826E0" w:rsidP="007826E0">
      <w:pPr>
        <w:rPr>
          <w:rFonts w:ascii="Calibri" w:hAnsi="Calibri" w:cs="Calibri"/>
          <w:b/>
          <w:color w:val="13576B"/>
          <w:sz w:val="22"/>
          <w:szCs w:val="22"/>
        </w:rPr>
      </w:pPr>
    </w:p>
    <w:p w14:paraId="0C716551" w14:textId="77777777" w:rsidR="007826E0" w:rsidRDefault="007826E0" w:rsidP="007826E0">
      <w:pPr>
        <w:rPr>
          <w:rFonts w:ascii="Calibri" w:hAnsi="Calibri" w:cs="Calibri"/>
          <w:b/>
          <w:color w:val="13576B"/>
          <w:sz w:val="22"/>
          <w:szCs w:val="22"/>
        </w:rPr>
      </w:pPr>
      <w:r w:rsidRPr="00E341F0">
        <w:rPr>
          <w:noProof/>
        </w:rPr>
        <w:drawing>
          <wp:inline distT="0" distB="0" distL="0" distR="0" wp14:anchorId="754882CE" wp14:editId="79CF0361">
            <wp:extent cx="4105275" cy="24087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784" cy="2411981"/>
                    </a:xfrm>
                    <a:prstGeom prst="rect">
                      <a:avLst/>
                    </a:prstGeom>
                    <a:noFill/>
                    <a:ln>
                      <a:noFill/>
                    </a:ln>
                  </pic:spPr>
                </pic:pic>
              </a:graphicData>
            </a:graphic>
          </wp:inline>
        </w:drawing>
      </w:r>
    </w:p>
    <w:p w14:paraId="2A259DDB" w14:textId="0025A56B" w:rsidR="007826E0" w:rsidRDefault="007826E0" w:rsidP="0001227F">
      <w:pPr>
        <w:rPr>
          <w:rFonts w:ascii="Calibri" w:hAnsi="Calibri" w:cs="Calibri"/>
          <w:sz w:val="22"/>
          <w:szCs w:val="22"/>
        </w:rPr>
      </w:pPr>
    </w:p>
    <w:p w14:paraId="4138A24B" w14:textId="0F62A201" w:rsidR="007826E0" w:rsidRPr="00476A2A" w:rsidRDefault="007826E0" w:rsidP="007826E0">
      <w:pPr>
        <w:rPr>
          <w:rFonts w:ascii="Calibri" w:hAnsi="Calibri" w:cs="Calibri"/>
          <w:sz w:val="22"/>
          <w:szCs w:val="22"/>
        </w:rPr>
      </w:pPr>
      <w:r w:rsidRPr="007826E0">
        <w:rPr>
          <w:rFonts w:ascii="Calibri" w:hAnsi="Calibri" w:cs="Calibri"/>
          <w:i/>
          <w:iCs/>
          <w:sz w:val="22"/>
          <w:szCs w:val="22"/>
        </w:rPr>
        <w:t>Očekáváme, že do poloviny letošního roku půjdou úrokové sazby ještě nahoru a budou se pohybovat kolem 5–5,5</w:t>
      </w:r>
      <w:r>
        <w:rPr>
          <w:rFonts w:ascii="Calibri" w:hAnsi="Calibri" w:cs="Calibri"/>
          <w:i/>
          <w:iCs/>
          <w:sz w:val="22"/>
          <w:szCs w:val="22"/>
        </w:rPr>
        <w:t> </w:t>
      </w:r>
      <w:r w:rsidRPr="007826E0">
        <w:rPr>
          <w:rFonts w:ascii="Calibri" w:hAnsi="Calibri" w:cs="Calibri"/>
          <w:i/>
          <w:iCs/>
          <w:sz w:val="22"/>
          <w:szCs w:val="22"/>
        </w:rPr>
        <w:t>%, koncem roku by pak pozvolna mohly začít klesat</w:t>
      </w:r>
      <w:r w:rsidRPr="007826E0">
        <w:rPr>
          <w:rFonts w:ascii="Calibri" w:hAnsi="Calibri" w:cs="Calibri"/>
          <w:sz w:val="22"/>
          <w:szCs w:val="22"/>
        </w:rPr>
        <w:t xml:space="preserve">," uvedl Milan Voldřich, manažer hypotečních úvěrů </w:t>
      </w:r>
      <w:proofErr w:type="spellStart"/>
      <w:r w:rsidRPr="007826E0">
        <w:rPr>
          <w:rFonts w:ascii="Calibri" w:hAnsi="Calibri" w:cs="Calibri"/>
          <w:sz w:val="22"/>
          <w:szCs w:val="22"/>
        </w:rPr>
        <w:t>Raiffeissenbank</w:t>
      </w:r>
      <w:proofErr w:type="spellEnd"/>
      <w:r w:rsidRPr="007826E0">
        <w:rPr>
          <w:rFonts w:ascii="Calibri" w:hAnsi="Calibri" w:cs="Calibri"/>
          <w:sz w:val="22"/>
          <w:szCs w:val="22"/>
        </w:rPr>
        <w:t>.</w:t>
      </w:r>
    </w:p>
    <w:p w14:paraId="6184DDAA" w14:textId="77777777" w:rsidR="007826E0" w:rsidRDefault="007826E0" w:rsidP="0001227F">
      <w:pPr>
        <w:rPr>
          <w:rFonts w:ascii="Calibri" w:hAnsi="Calibri" w:cs="Calibri"/>
          <w:sz w:val="22"/>
          <w:szCs w:val="22"/>
        </w:rPr>
      </w:pPr>
    </w:p>
    <w:p w14:paraId="3A190CDC" w14:textId="74970AC3" w:rsidR="00CE20E9" w:rsidRDefault="00597DD9" w:rsidP="0001227F">
      <w:pPr>
        <w:rPr>
          <w:rFonts w:ascii="Calibri" w:hAnsi="Calibri" w:cs="Calibri"/>
          <w:sz w:val="22"/>
          <w:szCs w:val="22"/>
        </w:rPr>
      </w:pPr>
      <w:r w:rsidRPr="00597DD9">
        <w:rPr>
          <w:rFonts w:ascii="Calibri" w:hAnsi="Calibri" w:cs="Calibri"/>
          <w:sz w:val="22"/>
          <w:szCs w:val="22"/>
        </w:rPr>
        <w:t xml:space="preserve">Hypoteční sazby reagují </w:t>
      </w:r>
      <w:r w:rsidR="00FE34B0">
        <w:rPr>
          <w:rFonts w:ascii="Calibri" w:hAnsi="Calibri" w:cs="Calibri"/>
          <w:sz w:val="22"/>
          <w:szCs w:val="22"/>
        </w:rPr>
        <w:t>s</w:t>
      </w:r>
      <w:r w:rsidR="00B5765A">
        <w:rPr>
          <w:rFonts w:ascii="Calibri" w:hAnsi="Calibri" w:cs="Calibri"/>
          <w:sz w:val="22"/>
          <w:szCs w:val="22"/>
        </w:rPr>
        <w:t xml:space="preserve"> mírným </w:t>
      </w:r>
      <w:r w:rsidR="00FE34B0">
        <w:rPr>
          <w:rFonts w:ascii="Calibri" w:hAnsi="Calibri" w:cs="Calibri"/>
          <w:sz w:val="22"/>
          <w:szCs w:val="22"/>
        </w:rPr>
        <w:t xml:space="preserve">zpožděním </w:t>
      </w:r>
      <w:r w:rsidRPr="00597DD9">
        <w:rPr>
          <w:rFonts w:ascii="Calibri" w:hAnsi="Calibri" w:cs="Calibri"/>
          <w:sz w:val="22"/>
          <w:szCs w:val="22"/>
        </w:rPr>
        <w:t xml:space="preserve">především na </w:t>
      </w:r>
      <w:r w:rsidR="00B5765A">
        <w:rPr>
          <w:rFonts w:ascii="Calibri" w:hAnsi="Calibri" w:cs="Calibri"/>
          <w:sz w:val="22"/>
          <w:szCs w:val="22"/>
        </w:rPr>
        <w:t xml:space="preserve">vývoj </w:t>
      </w:r>
      <w:r w:rsidRPr="00597DD9">
        <w:rPr>
          <w:rFonts w:ascii="Calibri" w:hAnsi="Calibri" w:cs="Calibri"/>
          <w:sz w:val="22"/>
          <w:szCs w:val="22"/>
        </w:rPr>
        <w:t>tržní</w:t>
      </w:r>
      <w:r w:rsidR="00B5765A">
        <w:rPr>
          <w:rFonts w:ascii="Calibri" w:hAnsi="Calibri" w:cs="Calibri"/>
          <w:sz w:val="22"/>
          <w:szCs w:val="22"/>
        </w:rPr>
        <w:t>ch</w:t>
      </w:r>
      <w:r w:rsidRPr="00597DD9">
        <w:rPr>
          <w:rFonts w:ascii="Calibri" w:hAnsi="Calibri" w:cs="Calibri"/>
          <w:sz w:val="22"/>
          <w:szCs w:val="22"/>
        </w:rPr>
        <w:t xml:space="preserve"> úrokov</w:t>
      </w:r>
      <w:r w:rsidR="00B5765A">
        <w:rPr>
          <w:rFonts w:ascii="Calibri" w:hAnsi="Calibri" w:cs="Calibri"/>
          <w:sz w:val="22"/>
          <w:szCs w:val="22"/>
        </w:rPr>
        <w:t>ých</w:t>
      </w:r>
      <w:r w:rsidRPr="00597DD9">
        <w:rPr>
          <w:rFonts w:ascii="Calibri" w:hAnsi="Calibri" w:cs="Calibri"/>
          <w:sz w:val="22"/>
          <w:szCs w:val="22"/>
        </w:rPr>
        <w:t xml:space="preserve"> saz</w:t>
      </w:r>
      <w:r w:rsidR="00B5765A">
        <w:rPr>
          <w:rFonts w:ascii="Calibri" w:hAnsi="Calibri" w:cs="Calibri"/>
          <w:sz w:val="22"/>
          <w:szCs w:val="22"/>
        </w:rPr>
        <w:t>eb</w:t>
      </w:r>
      <w:r w:rsidRPr="00597DD9">
        <w:rPr>
          <w:rFonts w:ascii="Calibri" w:hAnsi="Calibri" w:cs="Calibri"/>
          <w:sz w:val="22"/>
          <w:szCs w:val="22"/>
        </w:rPr>
        <w:t xml:space="preserve"> delších splatností. V nich se promítá řada faktorů</w:t>
      </w:r>
      <w:r w:rsidR="00824A84">
        <w:rPr>
          <w:rFonts w:ascii="Calibri" w:hAnsi="Calibri" w:cs="Calibri"/>
          <w:sz w:val="22"/>
          <w:szCs w:val="22"/>
        </w:rPr>
        <w:t xml:space="preserve"> </w:t>
      </w:r>
      <w:r w:rsidR="00922AFA" w:rsidRPr="00922AFA">
        <w:rPr>
          <w:rFonts w:ascii="Calibri" w:hAnsi="Calibri" w:cs="Calibri"/>
        </w:rPr>
        <w:t>–</w:t>
      </w:r>
      <w:r w:rsidRPr="00597DD9">
        <w:rPr>
          <w:rFonts w:ascii="Calibri" w:hAnsi="Calibri" w:cs="Calibri"/>
          <w:sz w:val="22"/>
          <w:szCs w:val="22"/>
        </w:rPr>
        <w:t xml:space="preserve"> nejen očekáváný vývoj základních sazeb ČNB, ale i výhled na inflaci, ekonomický vývoj či dynamiku obdobných úrokových sazeb v zahraničí. Zmíněné tržní úrokové sazby delších splatností</w:t>
      </w:r>
      <w:r>
        <w:rPr>
          <w:rStyle w:val="Znakapoznpodarou"/>
          <w:rFonts w:ascii="Calibri" w:hAnsi="Calibri" w:cs="Calibri"/>
          <w:i/>
          <w:iCs/>
          <w:sz w:val="22"/>
          <w:szCs w:val="22"/>
        </w:rPr>
        <w:footnoteReference w:id="1"/>
      </w:r>
      <w:r w:rsidR="00833EC7">
        <w:rPr>
          <w:rFonts w:ascii="Calibri" w:hAnsi="Calibri" w:cs="Calibri"/>
          <w:sz w:val="22"/>
          <w:szCs w:val="22"/>
        </w:rPr>
        <w:t xml:space="preserve"> </w:t>
      </w:r>
      <w:r w:rsidR="002A266C">
        <w:rPr>
          <w:rFonts w:ascii="Calibri" w:hAnsi="Calibri" w:cs="Calibri"/>
          <w:sz w:val="22"/>
          <w:szCs w:val="22"/>
        </w:rPr>
        <w:t xml:space="preserve">se nacházejí na nejvyšší úrovni </w:t>
      </w:r>
      <w:r w:rsidR="00840749">
        <w:rPr>
          <w:rFonts w:ascii="Calibri" w:hAnsi="Calibri" w:cs="Calibri"/>
          <w:sz w:val="22"/>
          <w:szCs w:val="22"/>
        </w:rPr>
        <w:t>od rok</w:t>
      </w:r>
      <w:r w:rsidR="00A86CD7">
        <w:rPr>
          <w:rFonts w:ascii="Calibri" w:hAnsi="Calibri" w:cs="Calibri"/>
          <w:sz w:val="22"/>
          <w:szCs w:val="22"/>
        </w:rPr>
        <w:t>ů</w:t>
      </w:r>
      <w:r w:rsidR="00840749">
        <w:rPr>
          <w:rFonts w:ascii="Calibri" w:hAnsi="Calibri" w:cs="Calibri"/>
          <w:sz w:val="22"/>
          <w:szCs w:val="22"/>
        </w:rPr>
        <w:t xml:space="preserve"> 2008</w:t>
      </w:r>
      <w:r w:rsidR="002A266C">
        <w:rPr>
          <w:rFonts w:ascii="Calibri" w:hAnsi="Calibri" w:cs="Calibri"/>
          <w:sz w:val="22"/>
          <w:szCs w:val="22"/>
        </w:rPr>
        <w:t xml:space="preserve"> a 2009</w:t>
      </w:r>
      <w:r w:rsidR="007A03B9">
        <w:rPr>
          <w:rFonts w:ascii="Calibri" w:hAnsi="Calibri" w:cs="Calibri"/>
          <w:sz w:val="22"/>
          <w:szCs w:val="22"/>
        </w:rPr>
        <w:t>.</w:t>
      </w:r>
      <w:r w:rsidR="0051508B">
        <w:rPr>
          <w:rFonts w:ascii="Calibri" w:hAnsi="Calibri" w:cs="Calibri"/>
          <w:sz w:val="22"/>
          <w:szCs w:val="22"/>
        </w:rPr>
        <w:t xml:space="preserve"> </w:t>
      </w:r>
    </w:p>
    <w:p w14:paraId="5CADB7B1" w14:textId="44DAE182" w:rsidR="00C975A8" w:rsidRDefault="00C975A8" w:rsidP="0001227F">
      <w:pPr>
        <w:rPr>
          <w:rFonts w:ascii="Calibri" w:hAnsi="Calibri" w:cs="Calibri"/>
          <w:sz w:val="22"/>
          <w:szCs w:val="22"/>
        </w:rPr>
      </w:pPr>
    </w:p>
    <w:p w14:paraId="0DB9B084" w14:textId="2E8FDD09" w:rsidR="00C975A8" w:rsidRDefault="00336412" w:rsidP="00C975A8">
      <w:pPr>
        <w:rPr>
          <w:rFonts w:ascii="Calibri" w:hAnsi="Calibri" w:cs="Calibri"/>
          <w:sz w:val="22"/>
          <w:szCs w:val="22"/>
        </w:rPr>
      </w:pPr>
      <w:r>
        <w:rPr>
          <w:rFonts w:ascii="Calibri" w:hAnsi="Calibri" w:cs="Calibri"/>
          <w:i/>
          <w:iCs/>
          <w:sz w:val="22"/>
          <w:szCs w:val="22"/>
        </w:rPr>
        <w:t>„</w:t>
      </w:r>
      <w:r w:rsidR="00254CA2">
        <w:rPr>
          <w:rFonts w:ascii="Calibri" w:hAnsi="Calibri" w:cs="Calibri"/>
          <w:i/>
          <w:iCs/>
          <w:sz w:val="22"/>
          <w:szCs w:val="22"/>
        </w:rPr>
        <w:t>Tr</w:t>
      </w:r>
      <w:r w:rsidR="0053659F">
        <w:rPr>
          <w:rFonts w:ascii="Calibri" w:hAnsi="Calibri" w:cs="Calibri"/>
          <w:i/>
          <w:iCs/>
          <w:sz w:val="22"/>
          <w:szCs w:val="22"/>
        </w:rPr>
        <w:t>ž</w:t>
      </w:r>
      <w:r w:rsidR="00254CA2">
        <w:rPr>
          <w:rFonts w:ascii="Calibri" w:hAnsi="Calibri" w:cs="Calibri"/>
          <w:i/>
          <w:iCs/>
          <w:sz w:val="22"/>
          <w:szCs w:val="22"/>
        </w:rPr>
        <w:t>ní úrokové sazby</w:t>
      </w:r>
      <w:r w:rsidR="009804C2">
        <w:rPr>
          <w:rFonts w:ascii="Calibri" w:hAnsi="Calibri" w:cs="Calibri"/>
          <w:i/>
          <w:iCs/>
          <w:sz w:val="22"/>
          <w:szCs w:val="22"/>
        </w:rPr>
        <w:t xml:space="preserve"> </w:t>
      </w:r>
      <w:r w:rsidR="00306844">
        <w:rPr>
          <w:rFonts w:ascii="Calibri" w:hAnsi="Calibri" w:cs="Calibri"/>
          <w:i/>
          <w:iCs/>
          <w:sz w:val="22"/>
          <w:szCs w:val="22"/>
        </w:rPr>
        <w:t xml:space="preserve">delších </w:t>
      </w:r>
      <w:r w:rsidR="009804C2">
        <w:rPr>
          <w:rFonts w:ascii="Calibri" w:hAnsi="Calibri" w:cs="Calibri"/>
          <w:i/>
          <w:iCs/>
          <w:sz w:val="22"/>
          <w:szCs w:val="22"/>
        </w:rPr>
        <w:t>splatností</w:t>
      </w:r>
      <w:r w:rsidR="00306844">
        <w:rPr>
          <w:rFonts w:ascii="Calibri" w:hAnsi="Calibri" w:cs="Calibri"/>
          <w:i/>
          <w:iCs/>
          <w:sz w:val="22"/>
          <w:szCs w:val="22"/>
        </w:rPr>
        <w:t>, které jsou důležité pro vývoj hypotečních sazeb, se</w:t>
      </w:r>
      <w:r w:rsidR="009804C2">
        <w:rPr>
          <w:rFonts w:ascii="Calibri" w:hAnsi="Calibri" w:cs="Calibri"/>
          <w:i/>
          <w:iCs/>
          <w:sz w:val="22"/>
          <w:szCs w:val="22"/>
        </w:rPr>
        <w:t xml:space="preserve"> </w:t>
      </w:r>
      <w:r w:rsidR="00FE5ADE">
        <w:rPr>
          <w:rFonts w:ascii="Calibri" w:hAnsi="Calibri" w:cs="Calibri"/>
          <w:i/>
          <w:iCs/>
          <w:sz w:val="22"/>
          <w:szCs w:val="22"/>
        </w:rPr>
        <w:t>v současnosti pohybuji na nejvyšší úrovni od roků 2008 a 2009</w:t>
      </w:r>
      <w:r w:rsidR="00A86CD7">
        <w:rPr>
          <w:rFonts w:ascii="Calibri" w:hAnsi="Calibri" w:cs="Calibri"/>
          <w:i/>
          <w:iCs/>
          <w:sz w:val="22"/>
          <w:szCs w:val="22"/>
        </w:rPr>
        <w:t>.</w:t>
      </w:r>
      <w:r w:rsidR="00FE5ADE">
        <w:rPr>
          <w:rFonts w:ascii="Calibri" w:hAnsi="Calibri" w:cs="Calibri"/>
          <w:i/>
          <w:iCs/>
          <w:sz w:val="22"/>
          <w:szCs w:val="22"/>
        </w:rPr>
        <w:t xml:space="preserve"> </w:t>
      </w:r>
      <w:r w:rsidR="00412186">
        <w:rPr>
          <w:rFonts w:ascii="Calibri" w:hAnsi="Calibri" w:cs="Calibri"/>
          <w:i/>
          <w:iCs/>
          <w:sz w:val="22"/>
          <w:szCs w:val="22"/>
        </w:rPr>
        <w:t xml:space="preserve">V té době </w:t>
      </w:r>
      <w:r w:rsidR="00C25B6F">
        <w:rPr>
          <w:rFonts w:ascii="Calibri" w:hAnsi="Calibri" w:cs="Calibri"/>
          <w:i/>
          <w:iCs/>
          <w:sz w:val="22"/>
          <w:szCs w:val="22"/>
        </w:rPr>
        <w:t xml:space="preserve">byla </w:t>
      </w:r>
      <w:r>
        <w:rPr>
          <w:rFonts w:ascii="Calibri" w:hAnsi="Calibri" w:cs="Calibri"/>
          <w:i/>
          <w:iCs/>
          <w:sz w:val="22"/>
          <w:szCs w:val="22"/>
        </w:rPr>
        <w:t xml:space="preserve">průměrná </w:t>
      </w:r>
      <w:r w:rsidR="00412186">
        <w:rPr>
          <w:rFonts w:ascii="Calibri" w:hAnsi="Calibri" w:cs="Calibri"/>
          <w:i/>
          <w:iCs/>
          <w:sz w:val="22"/>
          <w:szCs w:val="22"/>
        </w:rPr>
        <w:t>hypoteční sazb</w:t>
      </w:r>
      <w:r w:rsidR="00C25B6F">
        <w:rPr>
          <w:rFonts w:ascii="Calibri" w:hAnsi="Calibri" w:cs="Calibri"/>
          <w:i/>
          <w:iCs/>
          <w:sz w:val="22"/>
          <w:szCs w:val="22"/>
        </w:rPr>
        <w:t xml:space="preserve">a u nových hypoték </w:t>
      </w:r>
      <w:r w:rsidR="00FE5ADE">
        <w:rPr>
          <w:rFonts w:ascii="Calibri" w:hAnsi="Calibri" w:cs="Calibri"/>
          <w:i/>
          <w:iCs/>
          <w:sz w:val="22"/>
          <w:szCs w:val="22"/>
        </w:rPr>
        <w:t xml:space="preserve">dle oficiálních dat ČNB </w:t>
      </w:r>
      <w:r w:rsidR="00412186">
        <w:rPr>
          <w:rFonts w:ascii="Calibri" w:hAnsi="Calibri" w:cs="Calibri"/>
          <w:i/>
          <w:iCs/>
          <w:sz w:val="22"/>
          <w:szCs w:val="22"/>
        </w:rPr>
        <w:t xml:space="preserve">kolem 5,5 %. </w:t>
      </w:r>
      <w:r w:rsidR="000752D6">
        <w:rPr>
          <w:rFonts w:ascii="Calibri" w:hAnsi="Calibri" w:cs="Calibri"/>
          <w:i/>
          <w:iCs/>
          <w:sz w:val="22"/>
          <w:szCs w:val="22"/>
        </w:rPr>
        <w:t>H</w:t>
      </w:r>
      <w:r w:rsidR="0023703D" w:rsidRPr="0023703D">
        <w:rPr>
          <w:rFonts w:ascii="Calibri" w:hAnsi="Calibri" w:cs="Calibri"/>
          <w:i/>
          <w:iCs/>
          <w:sz w:val="22"/>
          <w:szCs w:val="22"/>
        </w:rPr>
        <w:t xml:space="preserve">ypoteční sazby </w:t>
      </w:r>
      <w:r w:rsidR="000752D6">
        <w:rPr>
          <w:rFonts w:ascii="Calibri" w:hAnsi="Calibri" w:cs="Calibri"/>
          <w:i/>
          <w:iCs/>
          <w:sz w:val="22"/>
          <w:szCs w:val="22"/>
        </w:rPr>
        <w:t xml:space="preserve">by tak </w:t>
      </w:r>
      <w:r w:rsidR="0023703D" w:rsidRPr="0023703D">
        <w:rPr>
          <w:rFonts w:ascii="Calibri" w:hAnsi="Calibri" w:cs="Calibri"/>
          <w:i/>
          <w:iCs/>
          <w:sz w:val="22"/>
          <w:szCs w:val="22"/>
        </w:rPr>
        <w:t xml:space="preserve">letos </w:t>
      </w:r>
      <w:r w:rsidR="000752D6">
        <w:rPr>
          <w:rFonts w:ascii="Calibri" w:hAnsi="Calibri" w:cs="Calibri"/>
          <w:i/>
          <w:iCs/>
          <w:sz w:val="22"/>
          <w:szCs w:val="22"/>
        </w:rPr>
        <w:t xml:space="preserve">měly </w:t>
      </w:r>
      <w:r w:rsidR="0023703D" w:rsidRPr="0023703D">
        <w:rPr>
          <w:rFonts w:ascii="Calibri" w:hAnsi="Calibri" w:cs="Calibri"/>
          <w:i/>
          <w:iCs/>
          <w:sz w:val="22"/>
          <w:szCs w:val="22"/>
        </w:rPr>
        <w:t>postupně směřovat k této hranici, ačkoli konkrétní sazba se bude odvíjet od jednotlivých parametrů hypotéky, například zvolené délky fixace či velikosti vlastních zdrojů</w:t>
      </w:r>
      <w:r w:rsidR="007A03B9">
        <w:rPr>
          <w:rFonts w:ascii="Calibri" w:hAnsi="Calibri" w:cs="Calibri"/>
          <w:i/>
          <w:iCs/>
          <w:sz w:val="22"/>
          <w:szCs w:val="22"/>
        </w:rPr>
        <w:t xml:space="preserve">. </w:t>
      </w:r>
      <w:r w:rsidR="00730E2D">
        <w:rPr>
          <w:rFonts w:ascii="Calibri" w:hAnsi="Calibri" w:cs="Calibri"/>
          <w:i/>
          <w:iCs/>
          <w:sz w:val="22"/>
          <w:szCs w:val="22"/>
        </w:rPr>
        <w:t xml:space="preserve">S delší </w:t>
      </w:r>
      <w:r w:rsidR="00730E2D">
        <w:rPr>
          <w:rFonts w:ascii="Calibri" w:hAnsi="Calibri" w:cs="Calibri"/>
          <w:i/>
          <w:iCs/>
          <w:sz w:val="22"/>
          <w:szCs w:val="22"/>
        </w:rPr>
        <w:lastRenderedPageBreak/>
        <w:t xml:space="preserve">fixací by se měla </w:t>
      </w:r>
      <w:r w:rsidR="004718BD">
        <w:rPr>
          <w:rFonts w:ascii="Calibri" w:hAnsi="Calibri" w:cs="Calibri"/>
          <w:i/>
          <w:iCs/>
          <w:sz w:val="22"/>
          <w:szCs w:val="22"/>
        </w:rPr>
        <w:t xml:space="preserve">úroková sazba </w:t>
      </w:r>
      <w:r w:rsidR="00887ABB">
        <w:rPr>
          <w:rFonts w:ascii="Calibri" w:hAnsi="Calibri" w:cs="Calibri"/>
          <w:i/>
          <w:iCs/>
          <w:sz w:val="22"/>
          <w:szCs w:val="22"/>
        </w:rPr>
        <w:t xml:space="preserve">mírně </w:t>
      </w:r>
      <w:r w:rsidR="00E21C56">
        <w:rPr>
          <w:rFonts w:ascii="Calibri" w:hAnsi="Calibri" w:cs="Calibri"/>
          <w:i/>
          <w:iCs/>
          <w:sz w:val="22"/>
          <w:szCs w:val="22"/>
        </w:rPr>
        <w:t>s</w:t>
      </w:r>
      <w:r w:rsidR="004718BD">
        <w:rPr>
          <w:rFonts w:ascii="Calibri" w:hAnsi="Calibri" w:cs="Calibri"/>
          <w:i/>
          <w:iCs/>
          <w:sz w:val="22"/>
          <w:szCs w:val="22"/>
        </w:rPr>
        <w:t>nižovat, což odráží</w:t>
      </w:r>
      <w:r w:rsidR="00887ABB">
        <w:rPr>
          <w:rFonts w:ascii="Calibri" w:hAnsi="Calibri" w:cs="Calibri"/>
          <w:i/>
          <w:iCs/>
          <w:sz w:val="22"/>
          <w:szCs w:val="22"/>
        </w:rPr>
        <w:t xml:space="preserve"> současný </w:t>
      </w:r>
      <w:r w:rsidR="00E21C56">
        <w:rPr>
          <w:rFonts w:ascii="Calibri" w:hAnsi="Calibri" w:cs="Calibri"/>
          <w:i/>
          <w:iCs/>
          <w:sz w:val="22"/>
          <w:szCs w:val="22"/>
        </w:rPr>
        <w:t>vývoj úrokových sazeb na trhu</w:t>
      </w:r>
      <w:r w:rsidR="005B2CB5">
        <w:rPr>
          <w:rFonts w:ascii="Calibri" w:hAnsi="Calibri" w:cs="Calibri"/>
          <w:i/>
          <w:iCs/>
          <w:sz w:val="22"/>
          <w:szCs w:val="22"/>
        </w:rPr>
        <w:t>,</w:t>
      </w:r>
      <w:r>
        <w:rPr>
          <w:rFonts w:ascii="Calibri" w:hAnsi="Calibri" w:cs="Calibri"/>
          <w:i/>
          <w:iCs/>
          <w:sz w:val="22"/>
          <w:szCs w:val="22"/>
        </w:rPr>
        <w:t>“</w:t>
      </w:r>
      <w:r w:rsidR="005B2CB5">
        <w:rPr>
          <w:rFonts w:ascii="Calibri" w:hAnsi="Calibri" w:cs="Calibri"/>
          <w:i/>
          <w:iCs/>
          <w:sz w:val="22"/>
          <w:szCs w:val="22"/>
        </w:rPr>
        <w:t xml:space="preserve"> </w:t>
      </w:r>
      <w:r w:rsidR="005B2CB5" w:rsidRPr="00476A2A">
        <w:rPr>
          <w:rFonts w:ascii="Calibri" w:hAnsi="Calibri" w:cs="Calibri"/>
          <w:sz w:val="22"/>
          <w:szCs w:val="22"/>
        </w:rPr>
        <w:t xml:space="preserve">říká Jakub Seidler, </w:t>
      </w:r>
      <w:r w:rsidR="00FE34B0" w:rsidRPr="00476A2A">
        <w:rPr>
          <w:rFonts w:ascii="Calibri" w:hAnsi="Calibri" w:cs="Calibri"/>
          <w:sz w:val="22"/>
          <w:szCs w:val="22"/>
        </w:rPr>
        <w:t>h</w:t>
      </w:r>
      <w:r w:rsidR="005B2CB5" w:rsidRPr="00476A2A">
        <w:rPr>
          <w:rFonts w:ascii="Calibri" w:hAnsi="Calibri" w:cs="Calibri"/>
          <w:sz w:val="22"/>
          <w:szCs w:val="22"/>
        </w:rPr>
        <w:t>lavní ekonom ČBA.</w:t>
      </w:r>
    </w:p>
    <w:p w14:paraId="56DFC912" w14:textId="77777777" w:rsidR="00CE20E9" w:rsidRDefault="00CE20E9" w:rsidP="0001227F">
      <w:pPr>
        <w:rPr>
          <w:rFonts w:ascii="Calibri" w:hAnsi="Calibri" w:cs="Calibri"/>
          <w:sz w:val="22"/>
          <w:szCs w:val="22"/>
        </w:rPr>
      </w:pPr>
    </w:p>
    <w:p w14:paraId="55AC6E8F" w14:textId="0C84E749" w:rsidR="00D266A9" w:rsidRPr="007D73E5" w:rsidRDefault="00D266A9" w:rsidP="00D266A9">
      <w:pPr>
        <w:rPr>
          <w:rFonts w:ascii="Calibri" w:hAnsi="Calibri" w:cs="Calibri"/>
          <w:b/>
          <w:color w:val="13576B"/>
          <w:sz w:val="24"/>
          <w:szCs w:val="24"/>
        </w:rPr>
      </w:pPr>
      <w:r w:rsidRPr="007D73E5">
        <w:rPr>
          <w:rFonts w:ascii="Calibri" w:hAnsi="Calibri" w:cs="Calibri"/>
          <w:b/>
          <w:color w:val="13576B"/>
          <w:sz w:val="24"/>
          <w:szCs w:val="24"/>
        </w:rPr>
        <w:t xml:space="preserve">Rok 2021 byl z pohledu </w:t>
      </w:r>
      <w:r w:rsidR="00E6160E" w:rsidRPr="007D73E5">
        <w:rPr>
          <w:rFonts w:ascii="Calibri" w:hAnsi="Calibri" w:cs="Calibri"/>
          <w:b/>
          <w:color w:val="13576B"/>
          <w:sz w:val="24"/>
          <w:szCs w:val="24"/>
        </w:rPr>
        <w:t>poskytnutých hypoték zcela výjimečný</w:t>
      </w:r>
    </w:p>
    <w:p w14:paraId="226BE1E4" w14:textId="5DC4A065" w:rsidR="0054574A" w:rsidRDefault="003E4312" w:rsidP="0001227F">
      <w:pPr>
        <w:rPr>
          <w:rFonts w:ascii="Calibri" w:hAnsi="Calibri" w:cs="Calibri"/>
          <w:sz w:val="22"/>
          <w:szCs w:val="22"/>
        </w:rPr>
      </w:pPr>
      <w:r w:rsidRPr="007D73E5">
        <w:rPr>
          <w:rFonts w:ascii="Calibri" w:hAnsi="Calibri" w:cs="Calibri"/>
          <w:b/>
          <w:bCs/>
          <w:sz w:val="22"/>
          <w:szCs w:val="22"/>
        </w:rPr>
        <w:t>Za celý loňský rok bylo poskytnuto téměř 178 tisíc hypoték, o polovinu více než v roce 2020.</w:t>
      </w:r>
      <w:r w:rsidR="003A76ED">
        <w:rPr>
          <w:rFonts w:ascii="Calibri" w:hAnsi="Calibri" w:cs="Calibri"/>
          <w:sz w:val="22"/>
          <w:szCs w:val="22"/>
        </w:rPr>
        <w:t xml:space="preserve"> </w:t>
      </w:r>
      <w:r w:rsidR="00F11D60">
        <w:rPr>
          <w:rFonts w:ascii="Calibri" w:hAnsi="Calibri" w:cs="Calibri"/>
          <w:sz w:val="22"/>
          <w:szCs w:val="22"/>
        </w:rPr>
        <w:t xml:space="preserve">Celkový objem včetně refinancování dosáhl v roce 2021 rekordního objemu </w:t>
      </w:r>
      <w:r w:rsidR="00E95441" w:rsidRPr="00A82860">
        <w:rPr>
          <w:rFonts w:ascii="Calibri" w:hAnsi="Calibri" w:cs="Calibri"/>
          <w:b/>
          <w:bCs/>
          <w:sz w:val="22"/>
          <w:szCs w:val="22"/>
        </w:rPr>
        <w:t>541 mld. Kč</w:t>
      </w:r>
      <w:r w:rsidR="00E95441">
        <w:rPr>
          <w:rFonts w:ascii="Calibri" w:hAnsi="Calibri" w:cs="Calibri"/>
          <w:sz w:val="22"/>
          <w:szCs w:val="22"/>
        </w:rPr>
        <w:t xml:space="preserve">, v roce 2020 činil objem 312 mld. Kč. </w:t>
      </w:r>
      <w:r w:rsidR="0059007C">
        <w:rPr>
          <w:rFonts w:ascii="Calibri" w:hAnsi="Calibri" w:cs="Calibri"/>
          <w:sz w:val="22"/>
          <w:szCs w:val="22"/>
        </w:rPr>
        <w:t xml:space="preserve">Obdobně </w:t>
      </w:r>
      <w:r w:rsidR="00112AA1">
        <w:rPr>
          <w:rFonts w:ascii="Calibri" w:hAnsi="Calibri" w:cs="Calibri"/>
          <w:sz w:val="22"/>
          <w:szCs w:val="22"/>
        </w:rPr>
        <w:t xml:space="preserve">silný meziroční růst byl pak patrný i v případě </w:t>
      </w:r>
      <w:r w:rsidR="00FD4587">
        <w:rPr>
          <w:rFonts w:ascii="Calibri" w:hAnsi="Calibri" w:cs="Calibri"/>
          <w:sz w:val="22"/>
          <w:szCs w:val="22"/>
        </w:rPr>
        <w:t>skutečně</w:t>
      </w:r>
      <w:r w:rsidR="00112AA1">
        <w:rPr>
          <w:rFonts w:ascii="Calibri" w:hAnsi="Calibri" w:cs="Calibri"/>
          <w:sz w:val="22"/>
          <w:szCs w:val="22"/>
        </w:rPr>
        <w:t xml:space="preserve"> nově poskytnutých hypoték</w:t>
      </w:r>
      <w:r w:rsidR="00FD4587">
        <w:rPr>
          <w:rFonts w:ascii="Calibri" w:hAnsi="Calibri" w:cs="Calibri"/>
          <w:sz w:val="22"/>
          <w:szCs w:val="22"/>
        </w:rPr>
        <w:t xml:space="preserve"> (bez refinancování a refixací)</w:t>
      </w:r>
      <w:r w:rsidR="00112AA1">
        <w:rPr>
          <w:rFonts w:ascii="Calibri" w:hAnsi="Calibri" w:cs="Calibri"/>
          <w:sz w:val="22"/>
          <w:szCs w:val="22"/>
        </w:rPr>
        <w:t xml:space="preserve">, </w:t>
      </w:r>
      <w:r w:rsidR="00742174">
        <w:rPr>
          <w:rFonts w:ascii="Calibri" w:hAnsi="Calibri" w:cs="Calibri"/>
          <w:sz w:val="22"/>
          <w:szCs w:val="22"/>
        </w:rPr>
        <w:t>které banky poskytly v minulém roce</w:t>
      </w:r>
      <w:r w:rsidR="007B129D">
        <w:rPr>
          <w:rFonts w:ascii="Calibri" w:hAnsi="Calibri" w:cs="Calibri"/>
          <w:sz w:val="22"/>
          <w:szCs w:val="22"/>
        </w:rPr>
        <w:t xml:space="preserve"> rovněž</w:t>
      </w:r>
      <w:r w:rsidR="00742174">
        <w:rPr>
          <w:rFonts w:ascii="Calibri" w:hAnsi="Calibri" w:cs="Calibri"/>
          <w:sz w:val="22"/>
          <w:szCs w:val="22"/>
        </w:rPr>
        <w:t xml:space="preserve"> v historicky rekordním objemu 379 mld. Kč</w:t>
      </w:r>
      <w:r w:rsidR="00742174" w:rsidRPr="007D73E5">
        <w:rPr>
          <w:rFonts w:ascii="Calibri" w:hAnsi="Calibri" w:cs="Calibri"/>
          <w:b/>
          <w:bCs/>
          <w:sz w:val="22"/>
          <w:szCs w:val="22"/>
        </w:rPr>
        <w:t>.</w:t>
      </w:r>
      <w:r w:rsidR="00783455" w:rsidRPr="007D73E5">
        <w:rPr>
          <w:rFonts w:ascii="Calibri" w:hAnsi="Calibri" w:cs="Calibri"/>
          <w:b/>
          <w:bCs/>
          <w:sz w:val="22"/>
          <w:szCs w:val="22"/>
        </w:rPr>
        <w:t xml:space="preserve"> Oproti roku 2020 to představuje meziroční ná</w:t>
      </w:r>
      <w:r w:rsidR="00BC5A14" w:rsidRPr="007D73E5">
        <w:rPr>
          <w:rFonts w:ascii="Calibri" w:hAnsi="Calibri" w:cs="Calibri"/>
          <w:b/>
          <w:bCs/>
          <w:sz w:val="22"/>
          <w:szCs w:val="22"/>
        </w:rPr>
        <w:t xml:space="preserve">růst </w:t>
      </w:r>
      <w:r w:rsidR="00783455" w:rsidRPr="007D73E5">
        <w:rPr>
          <w:rFonts w:ascii="Calibri" w:hAnsi="Calibri" w:cs="Calibri"/>
          <w:b/>
          <w:bCs/>
          <w:sz w:val="22"/>
          <w:szCs w:val="22"/>
        </w:rPr>
        <w:t>o 70 %</w:t>
      </w:r>
      <w:r w:rsidR="00BC5A14" w:rsidRPr="007D73E5">
        <w:rPr>
          <w:rFonts w:ascii="Calibri" w:hAnsi="Calibri" w:cs="Calibri"/>
          <w:b/>
          <w:bCs/>
          <w:sz w:val="22"/>
          <w:szCs w:val="22"/>
        </w:rPr>
        <w:t>.</w:t>
      </w:r>
      <w:r w:rsidR="00BC5A14">
        <w:rPr>
          <w:rFonts w:ascii="Calibri" w:hAnsi="Calibri" w:cs="Calibri"/>
          <w:sz w:val="22"/>
          <w:szCs w:val="22"/>
        </w:rPr>
        <w:t xml:space="preserve"> </w:t>
      </w:r>
      <w:r w:rsidR="00D27660">
        <w:rPr>
          <w:rFonts w:ascii="Calibri" w:hAnsi="Calibri" w:cs="Calibri"/>
          <w:sz w:val="22"/>
          <w:szCs w:val="22"/>
        </w:rPr>
        <w:t xml:space="preserve">Pokud by </w:t>
      </w:r>
      <w:r w:rsidR="00C00471">
        <w:rPr>
          <w:rFonts w:ascii="Calibri" w:hAnsi="Calibri" w:cs="Calibri"/>
          <w:sz w:val="22"/>
          <w:szCs w:val="22"/>
        </w:rPr>
        <w:t xml:space="preserve">se </w:t>
      </w:r>
      <w:r w:rsidR="00BD499A">
        <w:rPr>
          <w:rFonts w:ascii="Calibri" w:hAnsi="Calibri" w:cs="Calibri"/>
          <w:sz w:val="22"/>
          <w:szCs w:val="22"/>
        </w:rPr>
        <w:t xml:space="preserve">objem poskytnutých úvěrů v letošním roce navrátil k úrovni předminulého roku, </w:t>
      </w:r>
      <w:r w:rsidR="00B961C8">
        <w:rPr>
          <w:rFonts w:ascii="Calibri" w:hAnsi="Calibri" w:cs="Calibri"/>
          <w:sz w:val="22"/>
          <w:szCs w:val="22"/>
        </w:rPr>
        <w:t xml:space="preserve">znamenalo by to meziroční propad o 40 %. </w:t>
      </w:r>
    </w:p>
    <w:p w14:paraId="5B4A1E41" w14:textId="45777C1B" w:rsidR="007826E0" w:rsidRDefault="007826E0" w:rsidP="0001227F">
      <w:pPr>
        <w:rPr>
          <w:rFonts w:ascii="Calibri" w:hAnsi="Calibri" w:cs="Calibri"/>
          <w:sz w:val="22"/>
          <w:szCs w:val="22"/>
        </w:rPr>
      </w:pPr>
    </w:p>
    <w:p w14:paraId="5B3CAEED" w14:textId="04D8CCCD" w:rsidR="007826E0" w:rsidRDefault="009D3067" w:rsidP="007826E0">
      <w:pPr>
        <w:rPr>
          <w:rFonts w:ascii="Calibri" w:hAnsi="Calibri" w:cs="Calibri"/>
          <w:b/>
          <w:color w:val="13576B"/>
          <w:sz w:val="24"/>
          <w:szCs w:val="24"/>
        </w:rPr>
      </w:pPr>
      <w:r w:rsidRPr="007D73E5">
        <w:rPr>
          <w:rFonts w:ascii="Calibri" w:hAnsi="Calibri" w:cs="Calibri"/>
          <w:b/>
          <w:color w:val="13576B"/>
          <w:sz w:val="24"/>
          <w:szCs w:val="24"/>
        </w:rPr>
        <w:t xml:space="preserve">Průměrná splátka hypotéky </w:t>
      </w:r>
      <w:r w:rsidR="007826E0">
        <w:rPr>
          <w:rFonts w:ascii="Calibri" w:hAnsi="Calibri" w:cs="Calibri"/>
          <w:b/>
          <w:color w:val="13576B"/>
          <w:sz w:val="24"/>
          <w:szCs w:val="24"/>
        </w:rPr>
        <w:t>se zvyšuje</w:t>
      </w:r>
      <w:r w:rsidRPr="007D73E5">
        <w:rPr>
          <w:rFonts w:ascii="Calibri" w:hAnsi="Calibri" w:cs="Calibri"/>
          <w:b/>
          <w:color w:val="13576B"/>
          <w:sz w:val="24"/>
          <w:szCs w:val="24"/>
        </w:rPr>
        <w:t xml:space="preserve"> </w:t>
      </w:r>
    </w:p>
    <w:p w14:paraId="7310FE59" w14:textId="191F278B" w:rsidR="009D3067" w:rsidRDefault="009D3067" w:rsidP="007826E0">
      <w:pPr>
        <w:overflowPunct/>
        <w:autoSpaceDE/>
        <w:autoSpaceDN/>
        <w:adjustRightInd/>
        <w:spacing w:after="160" w:line="259" w:lineRule="auto"/>
        <w:jc w:val="left"/>
        <w:textAlignment w:val="auto"/>
        <w:rPr>
          <w:rFonts w:ascii="Calibri" w:hAnsi="Calibri" w:cs="Calibri"/>
          <w:sz w:val="22"/>
          <w:szCs w:val="22"/>
        </w:rPr>
      </w:pPr>
      <w:r w:rsidRPr="0001227F">
        <w:rPr>
          <w:rFonts w:ascii="Calibri" w:hAnsi="Calibri" w:cs="Calibri"/>
          <w:sz w:val="22"/>
          <w:szCs w:val="22"/>
        </w:rPr>
        <w:t>Průměrná výše hypotéky v</w:t>
      </w:r>
      <w:r w:rsidR="00412763">
        <w:rPr>
          <w:rFonts w:ascii="Calibri" w:hAnsi="Calibri" w:cs="Calibri"/>
          <w:sz w:val="22"/>
          <w:szCs w:val="22"/>
        </w:rPr>
        <w:t> </w:t>
      </w:r>
      <w:r w:rsidR="006D7F80">
        <w:rPr>
          <w:rFonts w:ascii="Calibri" w:hAnsi="Calibri" w:cs="Calibri"/>
          <w:sz w:val="22"/>
          <w:szCs w:val="22"/>
        </w:rPr>
        <w:t>lednu</w:t>
      </w:r>
      <w:r w:rsidR="00412763">
        <w:rPr>
          <w:rFonts w:ascii="Calibri" w:hAnsi="Calibri" w:cs="Calibri"/>
          <w:sz w:val="22"/>
          <w:szCs w:val="22"/>
        </w:rPr>
        <w:t xml:space="preserve"> nepatrně poklesla, </w:t>
      </w:r>
      <w:r w:rsidR="00105ACC">
        <w:rPr>
          <w:rFonts w:ascii="Calibri" w:hAnsi="Calibri" w:cs="Calibri"/>
          <w:sz w:val="22"/>
          <w:szCs w:val="22"/>
        </w:rPr>
        <w:t>pohybovala se však na podobné úrovní jako v</w:t>
      </w:r>
      <w:r w:rsidR="006D7F80">
        <w:rPr>
          <w:rFonts w:ascii="Calibri" w:hAnsi="Calibri" w:cs="Calibri"/>
          <w:sz w:val="22"/>
          <w:szCs w:val="22"/>
        </w:rPr>
        <w:t xml:space="preserve"> předchozích měsících, a to </w:t>
      </w:r>
      <w:r w:rsidR="002A1748">
        <w:rPr>
          <w:rFonts w:ascii="Calibri" w:hAnsi="Calibri" w:cs="Calibri"/>
          <w:sz w:val="22"/>
          <w:szCs w:val="22"/>
        </w:rPr>
        <w:t xml:space="preserve">kolem </w:t>
      </w:r>
      <w:r w:rsidR="00105ACC">
        <w:rPr>
          <w:rFonts w:ascii="Calibri" w:hAnsi="Calibri" w:cs="Calibri"/>
          <w:sz w:val="22"/>
          <w:szCs w:val="22"/>
        </w:rPr>
        <w:t>3,4 mil</w:t>
      </w:r>
      <w:r w:rsidR="002A1748">
        <w:rPr>
          <w:rFonts w:ascii="Calibri" w:hAnsi="Calibri" w:cs="Calibri"/>
          <w:sz w:val="22"/>
          <w:szCs w:val="22"/>
        </w:rPr>
        <w:t>.</w:t>
      </w:r>
      <w:r w:rsidR="00105ACC">
        <w:rPr>
          <w:rFonts w:ascii="Calibri" w:hAnsi="Calibri" w:cs="Calibri"/>
          <w:sz w:val="22"/>
          <w:szCs w:val="22"/>
        </w:rPr>
        <w:t xml:space="preserve"> Kč. </w:t>
      </w:r>
      <w:r>
        <w:rPr>
          <w:rFonts w:ascii="Calibri" w:hAnsi="Calibri" w:cs="Calibri"/>
          <w:sz w:val="22"/>
          <w:szCs w:val="22"/>
        </w:rPr>
        <w:t xml:space="preserve">S očekávaným růstem úrokových sazeb </w:t>
      </w:r>
      <w:r w:rsidR="003608A1">
        <w:rPr>
          <w:rFonts w:ascii="Calibri" w:hAnsi="Calibri" w:cs="Calibri"/>
          <w:sz w:val="22"/>
          <w:szCs w:val="22"/>
        </w:rPr>
        <w:t xml:space="preserve">se zvyšuje </w:t>
      </w:r>
      <w:r>
        <w:rPr>
          <w:rFonts w:ascii="Calibri" w:hAnsi="Calibri" w:cs="Calibri"/>
          <w:sz w:val="22"/>
          <w:szCs w:val="22"/>
        </w:rPr>
        <w:t xml:space="preserve">i měsíční splátka u nových či </w:t>
      </w:r>
      <w:proofErr w:type="spellStart"/>
      <w:r>
        <w:rPr>
          <w:rFonts w:ascii="Calibri" w:hAnsi="Calibri" w:cs="Calibri"/>
          <w:sz w:val="22"/>
          <w:szCs w:val="22"/>
        </w:rPr>
        <w:t>refixovaných</w:t>
      </w:r>
      <w:proofErr w:type="spellEnd"/>
      <w:r>
        <w:rPr>
          <w:rFonts w:ascii="Calibri" w:hAnsi="Calibri" w:cs="Calibri"/>
          <w:sz w:val="22"/>
          <w:szCs w:val="22"/>
        </w:rPr>
        <w:t xml:space="preserve"> úvěrů. Scénáře vývoje měsíční splátky pro různé délky splatnosti hypotéky</w:t>
      </w:r>
      <w:r w:rsidR="003608A1">
        <w:rPr>
          <w:rFonts w:ascii="Calibri" w:hAnsi="Calibri" w:cs="Calibri"/>
          <w:sz w:val="22"/>
          <w:szCs w:val="22"/>
        </w:rPr>
        <w:t xml:space="preserve"> </w:t>
      </w:r>
      <w:r>
        <w:rPr>
          <w:rFonts w:ascii="Calibri" w:hAnsi="Calibri" w:cs="Calibri"/>
          <w:sz w:val="22"/>
          <w:szCs w:val="22"/>
        </w:rPr>
        <w:t xml:space="preserve">udává tabulka č. 2. Z ní je patrné, že </w:t>
      </w:r>
      <w:r w:rsidR="008B2EB5">
        <w:rPr>
          <w:rFonts w:ascii="Calibri" w:hAnsi="Calibri" w:cs="Calibri"/>
          <w:sz w:val="22"/>
          <w:szCs w:val="22"/>
        </w:rPr>
        <w:t xml:space="preserve">růst hypotečních sazeb o jeden procentní bod </w:t>
      </w:r>
      <w:r w:rsidR="00C81867">
        <w:rPr>
          <w:rFonts w:ascii="Calibri" w:hAnsi="Calibri" w:cs="Calibri"/>
          <w:sz w:val="22"/>
          <w:szCs w:val="22"/>
        </w:rPr>
        <w:t xml:space="preserve">znamená pro </w:t>
      </w:r>
      <w:r>
        <w:rPr>
          <w:rFonts w:ascii="Calibri" w:hAnsi="Calibri" w:cs="Calibri"/>
          <w:sz w:val="22"/>
          <w:szCs w:val="22"/>
        </w:rPr>
        <w:t xml:space="preserve">průměrnou velikost hypotéky </w:t>
      </w:r>
      <w:r w:rsidR="009001B0">
        <w:rPr>
          <w:rFonts w:ascii="Calibri" w:hAnsi="Calibri" w:cs="Calibri"/>
          <w:sz w:val="22"/>
          <w:szCs w:val="22"/>
        </w:rPr>
        <w:t xml:space="preserve">zvýšení </w:t>
      </w:r>
      <w:r w:rsidR="00C81867">
        <w:rPr>
          <w:rFonts w:ascii="Calibri" w:hAnsi="Calibri" w:cs="Calibri"/>
          <w:sz w:val="22"/>
          <w:szCs w:val="22"/>
        </w:rPr>
        <w:t>měsíční splátky o</w:t>
      </w:r>
      <w:r w:rsidR="009001B0">
        <w:rPr>
          <w:rFonts w:ascii="Calibri" w:hAnsi="Calibri" w:cs="Calibri"/>
          <w:sz w:val="22"/>
          <w:szCs w:val="22"/>
        </w:rPr>
        <w:t xml:space="preserve"> 1,</w:t>
      </w:r>
      <w:r w:rsidR="00084CF9">
        <w:rPr>
          <w:rFonts w:ascii="Calibri" w:hAnsi="Calibri" w:cs="Calibri"/>
          <w:sz w:val="22"/>
          <w:szCs w:val="22"/>
        </w:rPr>
        <w:t>6</w:t>
      </w:r>
      <w:r w:rsidR="009001B0">
        <w:rPr>
          <w:rFonts w:ascii="Calibri" w:hAnsi="Calibri" w:cs="Calibri"/>
          <w:sz w:val="22"/>
          <w:szCs w:val="22"/>
        </w:rPr>
        <w:t xml:space="preserve"> až 2 tisíce Kč. </w:t>
      </w:r>
      <w:r w:rsidR="00316BAA">
        <w:rPr>
          <w:rFonts w:ascii="Calibri" w:hAnsi="Calibri" w:cs="Calibri"/>
          <w:sz w:val="22"/>
          <w:szCs w:val="22"/>
        </w:rPr>
        <w:t>Ve srovnání s</w:t>
      </w:r>
      <w:r w:rsidR="0051570C">
        <w:rPr>
          <w:rFonts w:ascii="Calibri" w:hAnsi="Calibri" w:cs="Calibri"/>
          <w:sz w:val="22"/>
          <w:szCs w:val="22"/>
        </w:rPr>
        <w:t> </w:t>
      </w:r>
      <w:proofErr w:type="gramStart"/>
      <w:r w:rsidR="0051570C">
        <w:rPr>
          <w:rFonts w:ascii="Calibri" w:hAnsi="Calibri" w:cs="Calibri"/>
          <w:sz w:val="22"/>
          <w:szCs w:val="22"/>
        </w:rPr>
        <w:t>2%</w:t>
      </w:r>
      <w:proofErr w:type="gramEnd"/>
      <w:r w:rsidR="0051570C">
        <w:rPr>
          <w:rFonts w:ascii="Calibri" w:hAnsi="Calibri" w:cs="Calibri"/>
          <w:sz w:val="22"/>
          <w:szCs w:val="22"/>
        </w:rPr>
        <w:t xml:space="preserve"> úrokovou sazbou</w:t>
      </w:r>
      <w:r w:rsidR="009D0BF3">
        <w:rPr>
          <w:rFonts w:ascii="Calibri" w:hAnsi="Calibri" w:cs="Calibri"/>
          <w:sz w:val="22"/>
          <w:szCs w:val="22"/>
        </w:rPr>
        <w:t>, kter</w:t>
      </w:r>
      <w:r w:rsidR="00B472C9">
        <w:rPr>
          <w:rFonts w:ascii="Calibri" w:hAnsi="Calibri" w:cs="Calibri"/>
          <w:sz w:val="22"/>
          <w:szCs w:val="22"/>
        </w:rPr>
        <w:t>á</w:t>
      </w:r>
      <w:r w:rsidR="009D0BF3">
        <w:rPr>
          <w:rFonts w:ascii="Calibri" w:hAnsi="Calibri" w:cs="Calibri"/>
          <w:sz w:val="22"/>
          <w:szCs w:val="22"/>
        </w:rPr>
        <w:t xml:space="preserve"> byl</w:t>
      </w:r>
      <w:r w:rsidR="00F27A13">
        <w:rPr>
          <w:rFonts w:ascii="Calibri" w:hAnsi="Calibri" w:cs="Calibri"/>
          <w:sz w:val="22"/>
          <w:szCs w:val="22"/>
        </w:rPr>
        <w:t>a</w:t>
      </w:r>
      <w:r w:rsidR="009D0BF3">
        <w:rPr>
          <w:rFonts w:ascii="Calibri" w:hAnsi="Calibri" w:cs="Calibri"/>
          <w:sz w:val="22"/>
          <w:szCs w:val="22"/>
        </w:rPr>
        <w:t xml:space="preserve"> na trhu běžn</w:t>
      </w:r>
      <w:r w:rsidR="00B472C9">
        <w:rPr>
          <w:rFonts w:ascii="Calibri" w:hAnsi="Calibri" w:cs="Calibri"/>
          <w:sz w:val="22"/>
          <w:szCs w:val="22"/>
        </w:rPr>
        <w:t>á</w:t>
      </w:r>
      <w:r w:rsidR="009D0BF3">
        <w:rPr>
          <w:rFonts w:ascii="Calibri" w:hAnsi="Calibri" w:cs="Calibri"/>
          <w:sz w:val="22"/>
          <w:szCs w:val="22"/>
        </w:rPr>
        <w:t xml:space="preserve"> v</w:t>
      </w:r>
      <w:r w:rsidR="00395549">
        <w:rPr>
          <w:rFonts w:ascii="Calibri" w:hAnsi="Calibri" w:cs="Calibri"/>
          <w:sz w:val="22"/>
          <w:szCs w:val="22"/>
        </w:rPr>
        <w:t> dřívějších letech</w:t>
      </w:r>
      <w:r w:rsidR="009D0BF3">
        <w:rPr>
          <w:rFonts w:ascii="Calibri" w:hAnsi="Calibri" w:cs="Calibri"/>
          <w:sz w:val="22"/>
          <w:szCs w:val="22"/>
        </w:rPr>
        <w:t xml:space="preserve">, </w:t>
      </w:r>
      <w:r w:rsidR="00E47328">
        <w:rPr>
          <w:rFonts w:ascii="Calibri" w:hAnsi="Calibri" w:cs="Calibri"/>
          <w:sz w:val="22"/>
          <w:szCs w:val="22"/>
        </w:rPr>
        <w:t>by</w:t>
      </w:r>
      <w:r w:rsidR="00557A53">
        <w:rPr>
          <w:rFonts w:ascii="Calibri" w:hAnsi="Calibri" w:cs="Calibri"/>
          <w:sz w:val="22"/>
          <w:szCs w:val="22"/>
        </w:rPr>
        <w:t xml:space="preserve"> hypoteční saz</w:t>
      </w:r>
      <w:r w:rsidR="00E47328">
        <w:rPr>
          <w:rFonts w:ascii="Calibri" w:hAnsi="Calibri" w:cs="Calibri"/>
          <w:sz w:val="22"/>
          <w:szCs w:val="22"/>
        </w:rPr>
        <w:t>b</w:t>
      </w:r>
      <w:r w:rsidR="00710F87">
        <w:rPr>
          <w:rFonts w:ascii="Calibri" w:hAnsi="Calibri" w:cs="Calibri"/>
          <w:sz w:val="22"/>
          <w:szCs w:val="22"/>
        </w:rPr>
        <w:t>a</w:t>
      </w:r>
      <w:r w:rsidR="00557A53">
        <w:rPr>
          <w:rFonts w:ascii="Calibri" w:hAnsi="Calibri" w:cs="Calibri"/>
          <w:sz w:val="22"/>
          <w:szCs w:val="22"/>
        </w:rPr>
        <w:t xml:space="preserve"> 5 % znamena</w:t>
      </w:r>
      <w:r w:rsidR="00E47328">
        <w:rPr>
          <w:rFonts w:ascii="Calibri" w:hAnsi="Calibri" w:cs="Calibri"/>
          <w:sz w:val="22"/>
          <w:szCs w:val="22"/>
        </w:rPr>
        <w:t>l</w:t>
      </w:r>
      <w:r w:rsidR="00F27A13">
        <w:rPr>
          <w:rFonts w:ascii="Calibri" w:hAnsi="Calibri" w:cs="Calibri"/>
          <w:sz w:val="22"/>
          <w:szCs w:val="22"/>
        </w:rPr>
        <w:t>a</w:t>
      </w:r>
      <w:r w:rsidR="00557A53">
        <w:rPr>
          <w:rFonts w:ascii="Calibri" w:hAnsi="Calibri" w:cs="Calibri"/>
          <w:sz w:val="22"/>
          <w:szCs w:val="22"/>
        </w:rPr>
        <w:t xml:space="preserve"> růst měsíční splátky u </w:t>
      </w:r>
      <w:r w:rsidR="0033298A">
        <w:rPr>
          <w:rFonts w:ascii="Calibri" w:hAnsi="Calibri" w:cs="Calibri"/>
          <w:sz w:val="22"/>
          <w:szCs w:val="22"/>
        </w:rPr>
        <w:t>průměrné</w:t>
      </w:r>
      <w:r w:rsidR="00557A53">
        <w:rPr>
          <w:rFonts w:ascii="Calibri" w:hAnsi="Calibri" w:cs="Calibri"/>
          <w:sz w:val="22"/>
          <w:szCs w:val="22"/>
        </w:rPr>
        <w:t xml:space="preserve"> hypotéky </w:t>
      </w:r>
      <w:r w:rsidR="0033298A">
        <w:rPr>
          <w:rFonts w:ascii="Calibri" w:hAnsi="Calibri" w:cs="Calibri"/>
          <w:sz w:val="22"/>
          <w:szCs w:val="22"/>
        </w:rPr>
        <w:t>o 5 až 6 tisíc Kč měsíčně</w:t>
      </w:r>
      <w:r>
        <w:rPr>
          <w:rFonts w:ascii="Calibri" w:hAnsi="Calibri" w:cs="Calibri"/>
          <w:sz w:val="22"/>
          <w:szCs w:val="22"/>
        </w:rPr>
        <w:t xml:space="preserve">. </w:t>
      </w:r>
      <w:r>
        <w:rPr>
          <w:rStyle w:val="Znakapoznpodarou"/>
          <w:rFonts w:ascii="Calibri" w:hAnsi="Calibri" w:cs="Calibri"/>
          <w:sz w:val="22"/>
          <w:szCs w:val="22"/>
        </w:rPr>
        <w:footnoteReference w:id="2"/>
      </w:r>
      <w:r w:rsidR="00684AB4">
        <w:rPr>
          <w:rFonts w:ascii="Calibri" w:hAnsi="Calibri" w:cs="Calibri"/>
          <w:sz w:val="22"/>
          <w:szCs w:val="22"/>
        </w:rPr>
        <w:t xml:space="preserve"> </w:t>
      </w:r>
    </w:p>
    <w:p w14:paraId="6DFA9603" w14:textId="77777777" w:rsidR="009D3067" w:rsidRDefault="009D3067" w:rsidP="009D3067">
      <w:pPr>
        <w:rPr>
          <w:rFonts w:ascii="Calibri" w:hAnsi="Calibri" w:cs="Calibri"/>
          <w:sz w:val="22"/>
          <w:szCs w:val="22"/>
        </w:rPr>
      </w:pPr>
    </w:p>
    <w:p w14:paraId="1A267256" w14:textId="1AADEB67" w:rsidR="009D3067" w:rsidRDefault="009D3067" w:rsidP="009D3067">
      <w:pPr>
        <w:rPr>
          <w:rFonts w:ascii="Calibri" w:hAnsi="Calibri" w:cs="Calibri"/>
          <w:b/>
          <w:bCs/>
          <w:sz w:val="22"/>
          <w:szCs w:val="22"/>
        </w:rPr>
      </w:pPr>
      <w:r w:rsidRPr="001534F6">
        <w:rPr>
          <w:rFonts w:ascii="Calibri" w:hAnsi="Calibri" w:cs="Calibri"/>
          <w:b/>
          <w:color w:val="13576B"/>
          <w:sz w:val="23"/>
          <w:szCs w:val="23"/>
        </w:rPr>
        <w:t>Tabulka č. 2: Měsíční splátka průměrné hypotéky v závislosti na délce splatnosti a úrokové sazbě</w:t>
      </w:r>
    </w:p>
    <w:p w14:paraId="1D2C99F3" w14:textId="531AB659" w:rsidR="009E05AC" w:rsidRDefault="009E05AC" w:rsidP="009D3067">
      <w:pPr>
        <w:rPr>
          <w:rFonts w:ascii="Calibri" w:hAnsi="Calibri" w:cs="Calibri"/>
          <w:b/>
          <w:bCs/>
          <w:sz w:val="22"/>
          <w:szCs w:val="22"/>
        </w:rPr>
      </w:pPr>
    </w:p>
    <w:tbl>
      <w:tblPr>
        <w:tblW w:w="10540" w:type="dxa"/>
        <w:tblCellMar>
          <w:left w:w="70" w:type="dxa"/>
          <w:right w:w="70" w:type="dxa"/>
        </w:tblCellMar>
        <w:tblLook w:val="04A0" w:firstRow="1" w:lastRow="0" w:firstColumn="1" w:lastColumn="0" w:noHBand="0" w:noVBand="1"/>
      </w:tblPr>
      <w:tblGrid>
        <w:gridCol w:w="4469"/>
        <w:gridCol w:w="431"/>
        <w:gridCol w:w="1460"/>
        <w:gridCol w:w="1045"/>
        <w:gridCol w:w="1045"/>
        <w:gridCol w:w="1045"/>
        <w:gridCol w:w="1045"/>
      </w:tblGrid>
      <w:tr w:rsidR="009E05AC" w:rsidRPr="009E05AC" w14:paraId="6E20B439" w14:textId="77777777" w:rsidTr="009E05AC">
        <w:trPr>
          <w:trHeight w:val="555"/>
        </w:trPr>
        <w:tc>
          <w:tcPr>
            <w:tcW w:w="4900" w:type="dxa"/>
            <w:gridSpan w:val="2"/>
            <w:tcBorders>
              <w:top w:val="nil"/>
              <w:left w:val="nil"/>
              <w:bottom w:val="single" w:sz="4" w:space="0" w:color="auto"/>
              <w:right w:val="nil"/>
            </w:tcBorders>
            <w:shd w:val="clear" w:color="auto" w:fill="auto"/>
            <w:noWrap/>
            <w:vAlign w:val="center"/>
            <w:hideMark/>
          </w:tcPr>
          <w:p w14:paraId="21434577" w14:textId="77777777" w:rsidR="009E05AC" w:rsidRPr="009E05AC" w:rsidRDefault="009E05AC" w:rsidP="009E05AC">
            <w:pPr>
              <w:overflowPunct/>
              <w:autoSpaceDE/>
              <w:autoSpaceDN/>
              <w:adjustRightInd/>
              <w:jc w:val="left"/>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Průměrná velikost nové hypotéky v Kč:</w:t>
            </w:r>
          </w:p>
        </w:tc>
        <w:tc>
          <w:tcPr>
            <w:tcW w:w="1460" w:type="dxa"/>
            <w:tcBorders>
              <w:top w:val="nil"/>
              <w:left w:val="nil"/>
              <w:bottom w:val="single" w:sz="4" w:space="0" w:color="auto"/>
              <w:right w:val="nil"/>
            </w:tcBorders>
            <w:shd w:val="clear" w:color="auto" w:fill="auto"/>
            <w:noWrap/>
            <w:vAlign w:val="center"/>
            <w:hideMark/>
          </w:tcPr>
          <w:p w14:paraId="2CCCA3D3" w14:textId="77777777" w:rsidR="009E05AC" w:rsidRPr="009E05AC" w:rsidRDefault="009E05AC" w:rsidP="009E05AC">
            <w:pPr>
              <w:overflowPunct/>
              <w:autoSpaceDE/>
              <w:autoSpaceDN/>
              <w:adjustRightInd/>
              <w:jc w:val="left"/>
              <w:textAlignment w:val="auto"/>
              <w:rPr>
                <w:rFonts w:ascii="Calibri" w:hAnsi="Calibri" w:cs="Calibri"/>
                <w:color w:val="000000"/>
                <w:sz w:val="22"/>
                <w:szCs w:val="22"/>
              </w:rPr>
            </w:pPr>
            <w:r w:rsidRPr="009E05AC">
              <w:rPr>
                <w:rFonts w:ascii="Calibri" w:hAnsi="Calibri" w:cs="Calibri"/>
                <w:color w:val="000000"/>
                <w:sz w:val="22"/>
                <w:szCs w:val="22"/>
              </w:rPr>
              <w:t> </w:t>
            </w:r>
          </w:p>
        </w:tc>
        <w:tc>
          <w:tcPr>
            <w:tcW w:w="4180" w:type="dxa"/>
            <w:gridSpan w:val="4"/>
            <w:tcBorders>
              <w:top w:val="nil"/>
              <w:left w:val="nil"/>
              <w:bottom w:val="single" w:sz="4" w:space="0" w:color="auto"/>
              <w:right w:val="nil"/>
            </w:tcBorders>
            <w:shd w:val="clear" w:color="auto" w:fill="auto"/>
            <w:noWrap/>
            <w:vAlign w:val="center"/>
            <w:hideMark/>
          </w:tcPr>
          <w:p w14:paraId="41B594F8" w14:textId="3CFF5C8F" w:rsidR="009E05AC" w:rsidRPr="009E05AC" w:rsidRDefault="009E05AC" w:rsidP="009E05AC">
            <w:pPr>
              <w:overflowPunct/>
              <w:autoSpaceDE/>
              <w:autoSpaceDN/>
              <w:adjustRightInd/>
              <w:jc w:val="center"/>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3</w:t>
            </w:r>
            <w:r w:rsidR="00A1004D">
              <w:rPr>
                <w:rFonts w:ascii="Calibri Light" w:hAnsi="Calibri Light" w:cs="Calibri Light"/>
                <w:b/>
                <w:bCs/>
                <w:color w:val="000000"/>
                <w:sz w:val="22"/>
                <w:szCs w:val="22"/>
              </w:rPr>
              <w:t xml:space="preserve"> </w:t>
            </w:r>
            <w:r w:rsidRPr="009E05AC">
              <w:rPr>
                <w:rFonts w:ascii="Calibri Light" w:hAnsi="Calibri Light" w:cs="Calibri Light"/>
                <w:b/>
                <w:bCs/>
                <w:color w:val="000000"/>
                <w:sz w:val="22"/>
                <w:szCs w:val="22"/>
              </w:rPr>
              <w:t>414</w:t>
            </w:r>
            <w:r w:rsidR="00A1004D">
              <w:rPr>
                <w:rFonts w:ascii="Calibri Light" w:hAnsi="Calibri Light" w:cs="Calibri Light"/>
                <w:b/>
                <w:bCs/>
                <w:color w:val="000000"/>
                <w:sz w:val="22"/>
                <w:szCs w:val="22"/>
              </w:rPr>
              <w:t xml:space="preserve"> </w:t>
            </w:r>
            <w:r w:rsidRPr="009E05AC">
              <w:rPr>
                <w:rFonts w:ascii="Calibri Light" w:hAnsi="Calibri Light" w:cs="Calibri Light"/>
                <w:b/>
                <w:bCs/>
                <w:color w:val="000000"/>
                <w:sz w:val="22"/>
                <w:szCs w:val="22"/>
              </w:rPr>
              <w:t>218</w:t>
            </w:r>
          </w:p>
        </w:tc>
      </w:tr>
      <w:tr w:rsidR="009E05AC" w:rsidRPr="009E05AC" w14:paraId="087C180B" w14:textId="77777777" w:rsidTr="009E05AC">
        <w:trPr>
          <w:trHeight w:val="300"/>
        </w:trPr>
        <w:tc>
          <w:tcPr>
            <w:tcW w:w="4469" w:type="dxa"/>
            <w:tcBorders>
              <w:top w:val="nil"/>
              <w:left w:val="nil"/>
              <w:bottom w:val="single" w:sz="4" w:space="0" w:color="auto"/>
              <w:right w:val="nil"/>
            </w:tcBorders>
            <w:shd w:val="clear" w:color="auto" w:fill="auto"/>
            <w:noWrap/>
            <w:vAlign w:val="bottom"/>
            <w:hideMark/>
          </w:tcPr>
          <w:p w14:paraId="77AEEF81" w14:textId="77777777" w:rsidR="009E05AC" w:rsidRPr="009E05AC" w:rsidRDefault="009E05AC" w:rsidP="009E05AC">
            <w:pPr>
              <w:overflowPunct/>
              <w:autoSpaceDE/>
              <w:autoSpaceDN/>
              <w:adjustRightInd/>
              <w:jc w:val="left"/>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Průměrná úroková sazba v %:</w:t>
            </w:r>
          </w:p>
        </w:tc>
        <w:tc>
          <w:tcPr>
            <w:tcW w:w="431" w:type="dxa"/>
            <w:tcBorders>
              <w:top w:val="nil"/>
              <w:left w:val="nil"/>
              <w:bottom w:val="single" w:sz="4" w:space="0" w:color="auto"/>
              <w:right w:val="nil"/>
            </w:tcBorders>
            <w:shd w:val="clear" w:color="auto" w:fill="auto"/>
            <w:noWrap/>
            <w:vAlign w:val="bottom"/>
            <w:hideMark/>
          </w:tcPr>
          <w:p w14:paraId="0D27315C" w14:textId="77777777" w:rsidR="009E05AC" w:rsidRPr="009E05AC" w:rsidRDefault="009E05AC" w:rsidP="009E05AC">
            <w:pPr>
              <w:overflowPunct/>
              <w:autoSpaceDE/>
              <w:autoSpaceDN/>
              <w:adjustRightInd/>
              <w:jc w:val="left"/>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 </w:t>
            </w:r>
          </w:p>
        </w:tc>
        <w:tc>
          <w:tcPr>
            <w:tcW w:w="1460" w:type="dxa"/>
            <w:tcBorders>
              <w:top w:val="nil"/>
              <w:left w:val="nil"/>
              <w:bottom w:val="single" w:sz="4" w:space="0" w:color="auto"/>
              <w:right w:val="nil"/>
            </w:tcBorders>
            <w:shd w:val="clear" w:color="auto" w:fill="auto"/>
            <w:noWrap/>
            <w:vAlign w:val="center"/>
            <w:hideMark/>
          </w:tcPr>
          <w:p w14:paraId="339D55E3" w14:textId="2B8EB716" w:rsidR="009E05AC" w:rsidRPr="009E05AC" w:rsidRDefault="009E05AC" w:rsidP="009E05AC">
            <w:pPr>
              <w:overflowPunct/>
              <w:autoSpaceDE/>
              <w:autoSpaceDN/>
              <w:adjustRightInd/>
              <w:jc w:val="center"/>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2</w:t>
            </w:r>
            <w:r w:rsidR="00A1004D">
              <w:rPr>
                <w:rFonts w:ascii="Calibri Light" w:hAnsi="Calibri Light" w:cs="Calibri Light"/>
                <w:b/>
                <w:bCs/>
                <w:color w:val="000000"/>
                <w:sz w:val="22"/>
                <w:szCs w:val="22"/>
              </w:rPr>
              <w:t>,</w:t>
            </w:r>
            <w:r w:rsidRPr="009E05AC">
              <w:rPr>
                <w:rFonts w:ascii="Calibri Light" w:hAnsi="Calibri Light" w:cs="Calibri Light"/>
                <w:b/>
                <w:bCs/>
                <w:color w:val="000000"/>
                <w:sz w:val="22"/>
                <w:szCs w:val="22"/>
              </w:rPr>
              <w:t>0</w:t>
            </w:r>
          </w:p>
        </w:tc>
        <w:tc>
          <w:tcPr>
            <w:tcW w:w="1045" w:type="dxa"/>
            <w:tcBorders>
              <w:top w:val="nil"/>
              <w:left w:val="nil"/>
              <w:bottom w:val="single" w:sz="4" w:space="0" w:color="auto"/>
              <w:right w:val="nil"/>
            </w:tcBorders>
            <w:shd w:val="clear" w:color="000000" w:fill="DAF3EA"/>
            <w:noWrap/>
            <w:vAlign w:val="center"/>
            <w:hideMark/>
          </w:tcPr>
          <w:p w14:paraId="35F4B989" w14:textId="1D12985E" w:rsidR="009E05AC" w:rsidRPr="009E05AC" w:rsidRDefault="009E05AC" w:rsidP="009E05AC">
            <w:pPr>
              <w:overflowPunct/>
              <w:autoSpaceDE/>
              <w:autoSpaceDN/>
              <w:adjustRightInd/>
              <w:jc w:val="center"/>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3</w:t>
            </w:r>
            <w:r w:rsidR="00A1004D">
              <w:rPr>
                <w:rFonts w:ascii="Calibri Light" w:hAnsi="Calibri Light" w:cs="Calibri Light"/>
                <w:b/>
                <w:bCs/>
                <w:color w:val="000000"/>
                <w:sz w:val="22"/>
                <w:szCs w:val="22"/>
              </w:rPr>
              <w:t>,</w:t>
            </w:r>
            <w:r w:rsidRPr="009E05AC">
              <w:rPr>
                <w:rFonts w:ascii="Calibri Light" w:hAnsi="Calibri Light" w:cs="Calibri Light"/>
                <w:b/>
                <w:bCs/>
                <w:color w:val="000000"/>
                <w:sz w:val="22"/>
                <w:szCs w:val="22"/>
              </w:rPr>
              <w:t>4</w:t>
            </w:r>
          </w:p>
        </w:tc>
        <w:tc>
          <w:tcPr>
            <w:tcW w:w="1045" w:type="dxa"/>
            <w:tcBorders>
              <w:top w:val="nil"/>
              <w:left w:val="nil"/>
              <w:bottom w:val="single" w:sz="4" w:space="0" w:color="auto"/>
              <w:right w:val="nil"/>
            </w:tcBorders>
            <w:shd w:val="clear" w:color="auto" w:fill="auto"/>
            <w:noWrap/>
            <w:vAlign w:val="center"/>
            <w:hideMark/>
          </w:tcPr>
          <w:p w14:paraId="087E8EF8" w14:textId="6D6C0BAA" w:rsidR="009E05AC" w:rsidRPr="009E05AC" w:rsidRDefault="009E05AC" w:rsidP="009E05AC">
            <w:pPr>
              <w:overflowPunct/>
              <w:autoSpaceDE/>
              <w:autoSpaceDN/>
              <w:adjustRightInd/>
              <w:jc w:val="center"/>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4</w:t>
            </w:r>
            <w:r w:rsidR="00A1004D">
              <w:rPr>
                <w:rFonts w:ascii="Calibri Light" w:hAnsi="Calibri Light" w:cs="Calibri Light"/>
                <w:b/>
                <w:bCs/>
                <w:color w:val="000000"/>
                <w:sz w:val="22"/>
                <w:szCs w:val="22"/>
              </w:rPr>
              <w:t>,</w:t>
            </w:r>
            <w:r w:rsidRPr="009E05AC">
              <w:rPr>
                <w:rFonts w:ascii="Calibri Light" w:hAnsi="Calibri Light" w:cs="Calibri Light"/>
                <w:b/>
                <w:bCs/>
                <w:color w:val="000000"/>
                <w:sz w:val="22"/>
                <w:szCs w:val="22"/>
              </w:rPr>
              <w:t>0</w:t>
            </w:r>
          </w:p>
        </w:tc>
        <w:tc>
          <w:tcPr>
            <w:tcW w:w="1045" w:type="dxa"/>
            <w:tcBorders>
              <w:top w:val="nil"/>
              <w:left w:val="nil"/>
              <w:bottom w:val="single" w:sz="4" w:space="0" w:color="auto"/>
              <w:right w:val="nil"/>
            </w:tcBorders>
            <w:shd w:val="clear" w:color="auto" w:fill="auto"/>
            <w:noWrap/>
            <w:vAlign w:val="center"/>
            <w:hideMark/>
          </w:tcPr>
          <w:p w14:paraId="7A3F7D88" w14:textId="65085777" w:rsidR="009E05AC" w:rsidRPr="009E05AC" w:rsidRDefault="009E05AC" w:rsidP="009E05AC">
            <w:pPr>
              <w:overflowPunct/>
              <w:autoSpaceDE/>
              <w:autoSpaceDN/>
              <w:adjustRightInd/>
              <w:jc w:val="center"/>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5</w:t>
            </w:r>
            <w:r w:rsidR="00A1004D">
              <w:rPr>
                <w:rFonts w:ascii="Calibri Light" w:hAnsi="Calibri Light" w:cs="Calibri Light"/>
                <w:b/>
                <w:bCs/>
                <w:color w:val="000000"/>
                <w:sz w:val="22"/>
                <w:szCs w:val="22"/>
              </w:rPr>
              <w:t>,</w:t>
            </w:r>
            <w:r w:rsidRPr="009E05AC">
              <w:rPr>
                <w:rFonts w:ascii="Calibri Light" w:hAnsi="Calibri Light" w:cs="Calibri Light"/>
                <w:b/>
                <w:bCs/>
                <w:color w:val="000000"/>
                <w:sz w:val="22"/>
                <w:szCs w:val="22"/>
              </w:rPr>
              <w:t>0</w:t>
            </w:r>
          </w:p>
        </w:tc>
        <w:tc>
          <w:tcPr>
            <w:tcW w:w="1045" w:type="dxa"/>
            <w:tcBorders>
              <w:top w:val="nil"/>
              <w:left w:val="nil"/>
              <w:bottom w:val="single" w:sz="4" w:space="0" w:color="auto"/>
              <w:right w:val="nil"/>
            </w:tcBorders>
            <w:shd w:val="clear" w:color="auto" w:fill="auto"/>
            <w:noWrap/>
            <w:vAlign w:val="center"/>
            <w:hideMark/>
          </w:tcPr>
          <w:p w14:paraId="70BFC882" w14:textId="0C1060DA" w:rsidR="009E05AC" w:rsidRPr="009E05AC" w:rsidRDefault="009E05AC" w:rsidP="009E05AC">
            <w:pPr>
              <w:overflowPunct/>
              <w:autoSpaceDE/>
              <w:autoSpaceDN/>
              <w:adjustRightInd/>
              <w:jc w:val="center"/>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6</w:t>
            </w:r>
            <w:r w:rsidR="00A1004D">
              <w:rPr>
                <w:rFonts w:ascii="Calibri Light" w:hAnsi="Calibri Light" w:cs="Calibri Light"/>
                <w:b/>
                <w:bCs/>
                <w:color w:val="000000"/>
                <w:sz w:val="22"/>
                <w:szCs w:val="22"/>
              </w:rPr>
              <w:t>,</w:t>
            </w:r>
            <w:r w:rsidRPr="009E05AC">
              <w:rPr>
                <w:rFonts w:ascii="Calibri Light" w:hAnsi="Calibri Light" w:cs="Calibri Light"/>
                <w:b/>
                <w:bCs/>
                <w:color w:val="000000"/>
                <w:sz w:val="22"/>
                <w:szCs w:val="22"/>
              </w:rPr>
              <w:t>0</w:t>
            </w:r>
          </w:p>
        </w:tc>
      </w:tr>
      <w:tr w:rsidR="009E05AC" w:rsidRPr="009E05AC" w14:paraId="6EFAA76E" w14:textId="77777777" w:rsidTr="009E05AC">
        <w:trPr>
          <w:trHeight w:val="300"/>
        </w:trPr>
        <w:tc>
          <w:tcPr>
            <w:tcW w:w="4469" w:type="dxa"/>
            <w:tcBorders>
              <w:top w:val="nil"/>
              <w:left w:val="nil"/>
              <w:bottom w:val="nil"/>
              <w:right w:val="nil"/>
            </w:tcBorders>
            <w:shd w:val="clear" w:color="auto" w:fill="auto"/>
            <w:noWrap/>
            <w:vAlign w:val="bottom"/>
            <w:hideMark/>
          </w:tcPr>
          <w:p w14:paraId="1BB3185E" w14:textId="77777777" w:rsidR="009E05AC" w:rsidRPr="009E05AC" w:rsidRDefault="009E05AC" w:rsidP="009E05AC">
            <w:pPr>
              <w:overflowPunct/>
              <w:autoSpaceDE/>
              <w:autoSpaceDN/>
              <w:adjustRightInd/>
              <w:jc w:val="center"/>
              <w:textAlignment w:val="auto"/>
              <w:rPr>
                <w:rFonts w:ascii="Calibri Light" w:hAnsi="Calibri Light" w:cs="Calibri Light"/>
                <w:b/>
                <w:bCs/>
                <w:color w:val="000000"/>
                <w:sz w:val="22"/>
                <w:szCs w:val="22"/>
              </w:rPr>
            </w:pPr>
          </w:p>
        </w:tc>
        <w:tc>
          <w:tcPr>
            <w:tcW w:w="431" w:type="dxa"/>
            <w:tcBorders>
              <w:top w:val="nil"/>
              <w:left w:val="nil"/>
              <w:bottom w:val="nil"/>
              <w:right w:val="nil"/>
            </w:tcBorders>
            <w:shd w:val="clear" w:color="auto" w:fill="auto"/>
            <w:noWrap/>
            <w:vAlign w:val="bottom"/>
            <w:hideMark/>
          </w:tcPr>
          <w:p w14:paraId="40BA94BB" w14:textId="77777777" w:rsidR="009E05AC" w:rsidRPr="009E05AC" w:rsidRDefault="009E05AC" w:rsidP="009E05AC">
            <w:pPr>
              <w:overflowPunct/>
              <w:autoSpaceDE/>
              <w:autoSpaceDN/>
              <w:adjustRightInd/>
              <w:jc w:val="left"/>
              <w:textAlignment w:val="auto"/>
              <w:rPr>
                <w:rFonts w:ascii="Times New Roman" w:hAnsi="Times New Roman"/>
                <w:sz w:val="20"/>
              </w:rPr>
            </w:pPr>
          </w:p>
        </w:tc>
        <w:tc>
          <w:tcPr>
            <w:tcW w:w="1460" w:type="dxa"/>
            <w:tcBorders>
              <w:top w:val="nil"/>
              <w:left w:val="nil"/>
              <w:bottom w:val="single" w:sz="4" w:space="0" w:color="auto"/>
              <w:right w:val="nil"/>
            </w:tcBorders>
            <w:shd w:val="clear" w:color="auto" w:fill="auto"/>
            <w:noWrap/>
            <w:vAlign w:val="bottom"/>
            <w:hideMark/>
          </w:tcPr>
          <w:p w14:paraId="50E8A7D1" w14:textId="77777777" w:rsidR="009E05AC" w:rsidRPr="009E05AC" w:rsidRDefault="009E05AC" w:rsidP="009E05AC">
            <w:pPr>
              <w:overflowPunct/>
              <w:autoSpaceDE/>
              <w:autoSpaceDN/>
              <w:adjustRightInd/>
              <w:jc w:val="left"/>
              <w:textAlignment w:val="auto"/>
              <w:rPr>
                <w:rFonts w:ascii="Calibri" w:hAnsi="Calibri" w:cs="Calibri"/>
                <w:color w:val="000000"/>
                <w:sz w:val="22"/>
                <w:szCs w:val="22"/>
              </w:rPr>
            </w:pPr>
            <w:r w:rsidRPr="009E05AC">
              <w:rPr>
                <w:rFonts w:ascii="Calibri" w:hAnsi="Calibri" w:cs="Calibri"/>
                <w:color w:val="000000"/>
                <w:sz w:val="22"/>
                <w:szCs w:val="22"/>
              </w:rPr>
              <w:t> </w:t>
            </w:r>
          </w:p>
        </w:tc>
        <w:tc>
          <w:tcPr>
            <w:tcW w:w="4180" w:type="dxa"/>
            <w:gridSpan w:val="4"/>
            <w:tcBorders>
              <w:top w:val="single" w:sz="4" w:space="0" w:color="auto"/>
              <w:left w:val="nil"/>
              <w:bottom w:val="single" w:sz="4" w:space="0" w:color="auto"/>
              <w:right w:val="nil"/>
            </w:tcBorders>
            <w:shd w:val="clear" w:color="auto" w:fill="auto"/>
            <w:noWrap/>
            <w:vAlign w:val="bottom"/>
            <w:hideMark/>
          </w:tcPr>
          <w:p w14:paraId="087AED9F" w14:textId="77777777" w:rsidR="009E05AC" w:rsidRPr="009E05AC" w:rsidRDefault="009E05AC" w:rsidP="009E05AC">
            <w:pPr>
              <w:overflowPunct/>
              <w:autoSpaceDE/>
              <w:autoSpaceDN/>
              <w:adjustRightInd/>
              <w:jc w:val="center"/>
              <w:textAlignment w:val="auto"/>
              <w:rPr>
                <w:rFonts w:ascii="Calibri Light" w:hAnsi="Calibri Light" w:cs="Calibri Light"/>
                <w:b/>
                <w:bCs/>
                <w:color w:val="000000"/>
                <w:sz w:val="22"/>
                <w:szCs w:val="22"/>
              </w:rPr>
            </w:pPr>
            <w:r w:rsidRPr="009E05AC">
              <w:rPr>
                <w:rFonts w:ascii="Calibri Light" w:hAnsi="Calibri Light" w:cs="Calibri Light"/>
                <w:b/>
                <w:bCs/>
                <w:color w:val="000000"/>
                <w:sz w:val="22"/>
                <w:szCs w:val="22"/>
              </w:rPr>
              <w:t>Měsíční splátka:</w:t>
            </w:r>
          </w:p>
        </w:tc>
      </w:tr>
      <w:tr w:rsidR="009E05AC" w:rsidRPr="009E05AC" w14:paraId="655DFFE4" w14:textId="77777777" w:rsidTr="009E05AC">
        <w:trPr>
          <w:trHeight w:val="300"/>
        </w:trPr>
        <w:tc>
          <w:tcPr>
            <w:tcW w:w="4469" w:type="dxa"/>
            <w:tcBorders>
              <w:top w:val="nil"/>
              <w:left w:val="nil"/>
              <w:bottom w:val="nil"/>
              <w:right w:val="nil"/>
            </w:tcBorders>
            <w:shd w:val="clear" w:color="auto" w:fill="auto"/>
            <w:noWrap/>
            <w:vAlign w:val="bottom"/>
            <w:hideMark/>
          </w:tcPr>
          <w:p w14:paraId="20F6096B" w14:textId="77777777" w:rsidR="009E05AC" w:rsidRPr="009E05AC" w:rsidRDefault="009E05AC" w:rsidP="009E05AC">
            <w:pPr>
              <w:overflowPunct/>
              <w:autoSpaceDE/>
              <w:autoSpaceDN/>
              <w:adjustRightInd/>
              <w:jc w:val="left"/>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Splatnost hypotéky v letech:</w:t>
            </w:r>
          </w:p>
        </w:tc>
        <w:tc>
          <w:tcPr>
            <w:tcW w:w="431" w:type="dxa"/>
            <w:tcBorders>
              <w:top w:val="nil"/>
              <w:left w:val="nil"/>
              <w:bottom w:val="nil"/>
              <w:right w:val="nil"/>
            </w:tcBorders>
            <w:shd w:val="clear" w:color="auto" w:fill="auto"/>
            <w:noWrap/>
            <w:vAlign w:val="bottom"/>
            <w:hideMark/>
          </w:tcPr>
          <w:p w14:paraId="19D41B6D" w14:textId="77777777"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15</w:t>
            </w:r>
          </w:p>
        </w:tc>
        <w:tc>
          <w:tcPr>
            <w:tcW w:w="1460" w:type="dxa"/>
            <w:tcBorders>
              <w:top w:val="nil"/>
              <w:left w:val="nil"/>
              <w:bottom w:val="nil"/>
              <w:right w:val="nil"/>
            </w:tcBorders>
            <w:shd w:val="clear" w:color="auto" w:fill="auto"/>
            <w:noWrap/>
            <w:vAlign w:val="center"/>
            <w:hideMark/>
          </w:tcPr>
          <w:p w14:paraId="792CD7FF" w14:textId="4B2E7F86"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21</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971</w:t>
            </w:r>
          </w:p>
        </w:tc>
        <w:tc>
          <w:tcPr>
            <w:tcW w:w="1045" w:type="dxa"/>
            <w:tcBorders>
              <w:top w:val="nil"/>
              <w:left w:val="nil"/>
              <w:bottom w:val="nil"/>
              <w:right w:val="nil"/>
            </w:tcBorders>
            <w:shd w:val="clear" w:color="000000" w:fill="DAF3EA"/>
            <w:noWrap/>
            <w:vAlign w:val="center"/>
            <w:hideMark/>
          </w:tcPr>
          <w:p w14:paraId="486742B4" w14:textId="769E8240"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24</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217</w:t>
            </w:r>
          </w:p>
        </w:tc>
        <w:tc>
          <w:tcPr>
            <w:tcW w:w="1045" w:type="dxa"/>
            <w:tcBorders>
              <w:top w:val="nil"/>
              <w:left w:val="nil"/>
              <w:bottom w:val="nil"/>
              <w:right w:val="nil"/>
            </w:tcBorders>
            <w:shd w:val="clear" w:color="auto" w:fill="auto"/>
            <w:noWrap/>
            <w:vAlign w:val="center"/>
            <w:hideMark/>
          </w:tcPr>
          <w:p w14:paraId="3C76D0FA" w14:textId="73957C06"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25</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255</w:t>
            </w:r>
          </w:p>
        </w:tc>
        <w:tc>
          <w:tcPr>
            <w:tcW w:w="1045" w:type="dxa"/>
            <w:tcBorders>
              <w:top w:val="nil"/>
              <w:left w:val="nil"/>
              <w:bottom w:val="nil"/>
              <w:right w:val="nil"/>
            </w:tcBorders>
            <w:shd w:val="clear" w:color="auto" w:fill="auto"/>
            <w:noWrap/>
            <w:vAlign w:val="center"/>
            <w:hideMark/>
          </w:tcPr>
          <w:p w14:paraId="353BDBA4" w14:textId="204A8A85"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26</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999</w:t>
            </w:r>
          </w:p>
        </w:tc>
        <w:tc>
          <w:tcPr>
            <w:tcW w:w="1045" w:type="dxa"/>
            <w:tcBorders>
              <w:top w:val="nil"/>
              <w:left w:val="nil"/>
              <w:bottom w:val="nil"/>
              <w:right w:val="nil"/>
            </w:tcBorders>
            <w:shd w:val="clear" w:color="auto" w:fill="auto"/>
            <w:noWrap/>
            <w:vAlign w:val="center"/>
            <w:hideMark/>
          </w:tcPr>
          <w:p w14:paraId="5465EDBB" w14:textId="29C68CB7"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28</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811</w:t>
            </w:r>
          </w:p>
        </w:tc>
      </w:tr>
      <w:tr w:rsidR="009E05AC" w:rsidRPr="009E05AC" w14:paraId="795A8FBD" w14:textId="77777777" w:rsidTr="009E05AC">
        <w:trPr>
          <w:trHeight w:val="300"/>
        </w:trPr>
        <w:tc>
          <w:tcPr>
            <w:tcW w:w="4469" w:type="dxa"/>
            <w:tcBorders>
              <w:top w:val="nil"/>
              <w:left w:val="nil"/>
              <w:bottom w:val="nil"/>
              <w:right w:val="nil"/>
            </w:tcBorders>
            <w:shd w:val="clear" w:color="auto" w:fill="auto"/>
            <w:noWrap/>
            <w:vAlign w:val="bottom"/>
            <w:hideMark/>
          </w:tcPr>
          <w:p w14:paraId="622EA950" w14:textId="77777777"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p>
        </w:tc>
        <w:tc>
          <w:tcPr>
            <w:tcW w:w="431" w:type="dxa"/>
            <w:tcBorders>
              <w:top w:val="nil"/>
              <w:left w:val="nil"/>
              <w:bottom w:val="nil"/>
              <w:right w:val="nil"/>
            </w:tcBorders>
            <w:shd w:val="clear" w:color="auto" w:fill="auto"/>
            <w:noWrap/>
            <w:vAlign w:val="bottom"/>
            <w:hideMark/>
          </w:tcPr>
          <w:p w14:paraId="332259F3" w14:textId="77777777"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20</w:t>
            </w:r>
          </w:p>
        </w:tc>
        <w:tc>
          <w:tcPr>
            <w:tcW w:w="1460" w:type="dxa"/>
            <w:tcBorders>
              <w:top w:val="nil"/>
              <w:left w:val="nil"/>
              <w:bottom w:val="nil"/>
              <w:right w:val="nil"/>
            </w:tcBorders>
            <w:shd w:val="clear" w:color="auto" w:fill="auto"/>
            <w:noWrap/>
            <w:vAlign w:val="center"/>
            <w:hideMark/>
          </w:tcPr>
          <w:p w14:paraId="47E18ABB" w14:textId="496CD4D0"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17</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272</w:t>
            </w:r>
          </w:p>
        </w:tc>
        <w:tc>
          <w:tcPr>
            <w:tcW w:w="1045" w:type="dxa"/>
            <w:tcBorders>
              <w:top w:val="nil"/>
              <w:left w:val="nil"/>
              <w:bottom w:val="nil"/>
              <w:right w:val="nil"/>
            </w:tcBorders>
            <w:shd w:val="clear" w:color="000000" w:fill="DAF3EA"/>
            <w:noWrap/>
            <w:vAlign w:val="center"/>
            <w:hideMark/>
          </w:tcPr>
          <w:p w14:paraId="3293FE67" w14:textId="30668838"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19</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602</w:t>
            </w:r>
          </w:p>
        </w:tc>
        <w:tc>
          <w:tcPr>
            <w:tcW w:w="1045" w:type="dxa"/>
            <w:tcBorders>
              <w:top w:val="nil"/>
              <w:left w:val="nil"/>
              <w:bottom w:val="nil"/>
              <w:right w:val="nil"/>
            </w:tcBorders>
            <w:shd w:val="clear" w:color="auto" w:fill="auto"/>
            <w:noWrap/>
            <w:vAlign w:val="center"/>
            <w:hideMark/>
          </w:tcPr>
          <w:p w14:paraId="7293806B" w14:textId="3F2B2152"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20</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689</w:t>
            </w:r>
          </w:p>
        </w:tc>
        <w:tc>
          <w:tcPr>
            <w:tcW w:w="1045" w:type="dxa"/>
            <w:tcBorders>
              <w:top w:val="nil"/>
              <w:left w:val="nil"/>
              <w:bottom w:val="nil"/>
              <w:right w:val="nil"/>
            </w:tcBorders>
            <w:shd w:val="clear" w:color="auto" w:fill="auto"/>
            <w:noWrap/>
            <w:vAlign w:val="center"/>
            <w:hideMark/>
          </w:tcPr>
          <w:p w14:paraId="1FB28242" w14:textId="3F89FCF3"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22</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532</w:t>
            </w:r>
          </w:p>
        </w:tc>
        <w:tc>
          <w:tcPr>
            <w:tcW w:w="1045" w:type="dxa"/>
            <w:tcBorders>
              <w:top w:val="nil"/>
              <w:left w:val="nil"/>
              <w:bottom w:val="nil"/>
              <w:right w:val="nil"/>
            </w:tcBorders>
            <w:shd w:val="clear" w:color="auto" w:fill="auto"/>
            <w:noWrap/>
            <w:vAlign w:val="center"/>
            <w:hideMark/>
          </w:tcPr>
          <w:p w14:paraId="1E3BDB58" w14:textId="1499C7BE"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24</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461</w:t>
            </w:r>
          </w:p>
        </w:tc>
      </w:tr>
      <w:tr w:rsidR="009E05AC" w:rsidRPr="009E05AC" w14:paraId="59198918" w14:textId="77777777" w:rsidTr="009E05AC">
        <w:trPr>
          <w:trHeight w:val="300"/>
        </w:trPr>
        <w:tc>
          <w:tcPr>
            <w:tcW w:w="4469" w:type="dxa"/>
            <w:tcBorders>
              <w:top w:val="nil"/>
              <w:left w:val="nil"/>
              <w:bottom w:val="nil"/>
              <w:right w:val="nil"/>
            </w:tcBorders>
            <w:shd w:val="clear" w:color="auto" w:fill="auto"/>
            <w:noWrap/>
            <w:vAlign w:val="bottom"/>
            <w:hideMark/>
          </w:tcPr>
          <w:p w14:paraId="22493E86" w14:textId="77777777"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p>
        </w:tc>
        <w:tc>
          <w:tcPr>
            <w:tcW w:w="431" w:type="dxa"/>
            <w:tcBorders>
              <w:top w:val="nil"/>
              <w:left w:val="nil"/>
              <w:bottom w:val="nil"/>
              <w:right w:val="nil"/>
            </w:tcBorders>
            <w:shd w:val="clear" w:color="auto" w:fill="auto"/>
            <w:noWrap/>
            <w:vAlign w:val="bottom"/>
            <w:hideMark/>
          </w:tcPr>
          <w:p w14:paraId="6EF04DB4" w14:textId="77777777"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25</w:t>
            </w:r>
          </w:p>
        </w:tc>
        <w:tc>
          <w:tcPr>
            <w:tcW w:w="1460" w:type="dxa"/>
            <w:tcBorders>
              <w:top w:val="nil"/>
              <w:left w:val="nil"/>
              <w:bottom w:val="nil"/>
              <w:right w:val="nil"/>
            </w:tcBorders>
            <w:shd w:val="clear" w:color="auto" w:fill="auto"/>
            <w:noWrap/>
            <w:vAlign w:val="center"/>
            <w:hideMark/>
          </w:tcPr>
          <w:p w14:paraId="13E1E6FB" w14:textId="455BE31E"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14</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471</w:t>
            </w:r>
          </w:p>
        </w:tc>
        <w:tc>
          <w:tcPr>
            <w:tcW w:w="1045" w:type="dxa"/>
            <w:tcBorders>
              <w:top w:val="nil"/>
              <w:left w:val="nil"/>
              <w:bottom w:val="nil"/>
              <w:right w:val="nil"/>
            </w:tcBorders>
            <w:shd w:val="clear" w:color="000000" w:fill="DAF3EA"/>
            <w:noWrap/>
            <w:vAlign w:val="center"/>
            <w:hideMark/>
          </w:tcPr>
          <w:p w14:paraId="5C66F6EF" w14:textId="2C4DD6D1"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16</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885</w:t>
            </w:r>
          </w:p>
        </w:tc>
        <w:tc>
          <w:tcPr>
            <w:tcW w:w="1045" w:type="dxa"/>
            <w:tcBorders>
              <w:top w:val="nil"/>
              <w:left w:val="nil"/>
              <w:bottom w:val="nil"/>
              <w:right w:val="nil"/>
            </w:tcBorders>
            <w:shd w:val="clear" w:color="auto" w:fill="auto"/>
            <w:noWrap/>
            <w:vAlign w:val="center"/>
            <w:hideMark/>
          </w:tcPr>
          <w:p w14:paraId="751C2129" w14:textId="702EF2D7"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18</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021</w:t>
            </w:r>
          </w:p>
        </w:tc>
        <w:tc>
          <w:tcPr>
            <w:tcW w:w="1045" w:type="dxa"/>
            <w:tcBorders>
              <w:top w:val="nil"/>
              <w:left w:val="nil"/>
              <w:bottom w:val="nil"/>
              <w:right w:val="nil"/>
            </w:tcBorders>
            <w:shd w:val="clear" w:color="auto" w:fill="auto"/>
            <w:noWrap/>
            <w:vAlign w:val="center"/>
            <w:hideMark/>
          </w:tcPr>
          <w:p w14:paraId="53312924" w14:textId="7CA6BF15"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19</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959</w:t>
            </w:r>
          </w:p>
        </w:tc>
        <w:tc>
          <w:tcPr>
            <w:tcW w:w="1045" w:type="dxa"/>
            <w:tcBorders>
              <w:top w:val="nil"/>
              <w:left w:val="nil"/>
              <w:bottom w:val="nil"/>
              <w:right w:val="nil"/>
            </w:tcBorders>
            <w:shd w:val="clear" w:color="auto" w:fill="auto"/>
            <w:noWrap/>
            <w:vAlign w:val="center"/>
            <w:hideMark/>
          </w:tcPr>
          <w:p w14:paraId="20041EAD" w14:textId="4CE22E4E"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21</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998</w:t>
            </w:r>
          </w:p>
        </w:tc>
      </w:tr>
      <w:tr w:rsidR="009E05AC" w:rsidRPr="009E05AC" w14:paraId="45BC3CE2" w14:textId="77777777" w:rsidTr="009E05AC">
        <w:trPr>
          <w:trHeight w:val="300"/>
        </w:trPr>
        <w:tc>
          <w:tcPr>
            <w:tcW w:w="4469" w:type="dxa"/>
            <w:tcBorders>
              <w:top w:val="nil"/>
              <w:left w:val="nil"/>
              <w:bottom w:val="single" w:sz="4" w:space="0" w:color="auto"/>
              <w:right w:val="nil"/>
            </w:tcBorders>
            <w:shd w:val="clear" w:color="auto" w:fill="auto"/>
            <w:noWrap/>
            <w:vAlign w:val="bottom"/>
            <w:hideMark/>
          </w:tcPr>
          <w:p w14:paraId="43AD4B0A" w14:textId="77777777" w:rsidR="009E05AC" w:rsidRPr="009E05AC" w:rsidRDefault="009E05AC" w:rsidP="009E05AC">
            <w:pPr>
              <w:overflowPunct/>
              <w:autoSpaceDE/>
              <w:autoSpaceDN/>
              <w:adjustRightInd/>
              <w:jc w:val="left"/>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 </w:t>
            </w:r>
          </w:p>
        </w:tc>
        <w:tc>
          <w:tcPr>
            <w:tcW w:w="431" w:type="dxa"/>
            <w:tcBorders>
              <w:top w:val="nil"/>
              <w:left w:val="nil"/>
              <w:bottom w:val="single" w:sz="4" w:space="0" w:color="auto"/>
              <w:right w:val="nil"/>
            </w:tcBorders>
            <w:shd w:val="clear" w:color="auto" w:fill="auto"/>
            <w:noWrap/>
            <w:vAlign w:val="bottom"/>
            <w:hideMark/>
          </w:tcPr>
          <w:p w14:paraId="6A2498FE" w14:textId="77777777"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30</w:t>
            </w:r>
          </w:p>
        </w:tc>
        <w:tc>
          <w:tcPr>
            <w:tcW w:w="1460" w:type="dxa"/>
            <w:tcBorders>
              <w:top w:val="nil"/>
              <w:left w:val="nil"/>
              <w:bottom w:val="single" w:sz="4" w:space="0" w:color="auto"/>
              <w:right w:val="nil"/>
            </w:tcBorders>
            <w:shd w:val="clear" w:color="auto" w:fill="auto"/>
            <w:noWrap/>
            <w:vAlign w:val="center"/>
            <w:hideMark/>
          </w:tcPr>
          <w:p w14:paraId="190E4ABA" w14:textId="447E5F14"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12</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620</w:t>
            </w:r>
          </w:p>
        </w:tc>
        <w:tc>
          <w:tcPr>
            <w:tcW w:w="1045" w:type="dxa"/>
            <w:tcBorders>
              <w:top w:val="nil"/>
              <w:left w:val="nil"/>
              <w:bottom w:val="single" w:sz="4" w:space="0" w:color="auto"/>
              <w:right w:val="nil"/>
            </w:tcBorders>
            <w:shd w:val="clear" w:color="000000" w:fill="DAF3EA"/>
            <w:noWrap/>
            <w:vAlign w:val="center"/>
            <w:hideMark/>
          </w:tcPr>
          <w:p w14:paraId="54557E1D" w14:textId="3DE8AF0B"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15</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115</w:t>
            </w:r>
          </w:p>
        </w:tc>
        <w:tc>
          <w:tcPr>
            <w:tcW w:w="1045" w:type="dxa"/>
            <w:tcBorders>
              <w:top w:val="nil"/>
              <w:left w:val="nil"/>
              <w:bottom w:val="single" w:sz="4" w:space="0" w:color="auto"/>
              <w:right w:val="nil"/>
            </w:tcBorders>
            <w:shd w:val="clear" w:color="auto" w:fill="auto"/>
            <w:noWrap/>
            <w:vAlign w:val="center"/>
            <w:hideMark/>
          </w:tcPr>
          <w:p w14:paraId="6ED3EF61" w14:textId="09EDA76A"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16</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300</w:t>
            </w:r>
          </w:p>
        </w:tc>
        <w:tc>
          <w:tcPr>
            <w:tcW w:w="1045" w:type="dxa"/>
            <w:tcBorders>
              <w:top w:val="nil"/>
              <w:left w:val="nil"/>
              <w:bottom w:val="single" w:sz="4" w:space="0" w:color="auto"/>
              <w:right w:val="nil"/>
            </w:tcBorders>
            <w:shd w:val="clear" w:color="auto" w:fill="auto"/>
            <w:noWrap/>
            <w:vAlign w:val="center"/>
            <w:hideMark/>
          </w:tcPr>
          <w:p w14:paraId="53935C11" w14:textId="092BD107"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18</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328</w:t>
            </w:r>
          </w:p>
        </w:tc>
        <w:tc>
          <w:tcPr>
            <w:tcW w:w="1045" w:type="dxa"/>
            <w:tcBorders>
              <w:top w:val="nil"/>
              <w:left w:val="nil"/>
              <w:bottom w:val="single" w:sz="4" w:space="0" w:color="auto"/>
              <w:right w:val="nil"/>
            </w:tcBorders>
            <w:shd w:val="clear" w:color="auto" w:fill="auto"/>
            <w:noWrap/>
            <w:vAlign w:val="center"/>
            <w:hideMark/>
          </w:tcPr>
          <w:p w14:paraId="573FCD85" w14:textId="75BEE4CC" w:rsidR="009E05AC" w:rsidRPr="009E05AC" w:rsidRDefault="009E05AC" w:rsidP="009E05AC">
            <w:pPr>
              <w:overflowPunct/>
              <w:autoSpaceDE/>
              <w:autoSpaceDN/>
              <w:adjustRightInd/>
              <w:jc w:val="center"/>
              <w:textAlignment w:val="auto"/>
              <w:rPr>
                <w:rFonts w:ascii="Calibri Light" w:hAnsi="Calibri Light" w:cs="Calibri Light"/>
                <w:color w:val="000000"/>
                <w:sz w:val="22"/>
                <w:szCs w:val="22"/>
              </w:rPr>
            </w:pPr>
            <w:r w:rsidRPr="009E05AC">
              <w:rPr>
                <w:rFonts w:ascii="Calibri Light" w:hAnsi="Calibri Light" w:cs="Calibri Light"/>
                <w:color w:val="000000"/>
                <w:sz w:val="22"/>
                <w:szCs w:val="22"/>
              </w:rPr>
              <w:t>20</w:t>
            </w:r>
            <w:r w:rsidR="00A1004D">
              <w:rPr>
                <w:rFonts w:ascii="Calibri Light" w:hAnsi="Calibri Light" w:cs="Calibri Light"/>
                <w:color w:val="000000"/>
                <w:sz w:val="22"/>
                <w:szCs w:val="22"/>
              </w:rPr>
              <w:t xml:space="preserve"> </w:t>
            </w:r>
            <w:r w:rsidRPr="009E05AC">
              <w:rPr>
                <w:rFonts w:ascii="Calibri Light" w:hAnsi="Calibri Light" w:cs="Calibri Light"/>
                <w:color w:val="000000"/>
                <w:sz w:val="22"/>
                <w:szCs w:val="22"/>
              </w:rPr>
              <w:t>470</w:t>
            </w:r>
          </w:p>
        </w:tc>
      </w:tr>
      <w:tr w:rsidR="009E05AC" w:rsidRPr="009E05AC" w14:paraId="32A2541B" w14:textId="77777777" w:rsidTr="009E05AC">
        <w:trPr>
          <w:trHeight w:val="300"/>
        </w:trPr>
        <w:tc>
          <w:tcPr>
            <w:tcW w:w="4469" w:type="dxa"/>
            <w:tcBorders>
              <w:top w:val="nil"/>
              <w:left w:val="nil"/>
              <w:bottom w:val="nil"/>
              <w:right w:val="nil"/>
            </w:tcBorders>
            <w:shd w:val="clear" w:color="auto" w:fill="auto"/>
            <w:noWrap/>
            <w:vAlign w:val="bottom"/>
            <w:hideMark/>
          </w:tcPr>
          <w:p w14:paraId="61789493" w14:textId="77777777" w:rsidR="009E05AC" w:rsidRPr="009E05AC" w:rsidRDefault="009E05AC" w:rsidP="009E05AC">
            <w:pPr>
              <w:overflowPunct/>
              <w:autoSpaceDE/>
              <w:autoSpaceDN/>
              <w:adjustRightInd/>
              <w:jc w:val="left"/>
              <w:textAlignment w:val="auto"/>
              <w:rPr>
                <w:rFonts w:ascii="Calibri" w:hAnsi="Calibri" w:cs="Calibri"/>
                <w:color w:val="13576B"/>
                <w:sz w:val="22"/>
                <w:szCs w:val="22"/>
              </w:rPr>
            </w:pPr>
            <w:r w:rsidRPr="009E05AC">
              <w:rPr>
                <w:rFonts w:ascii="Calibri" w:hAnsi="Calibri" w:cs="Calibri"/>
                <w:color w:val="13576B"/>
                <w:sz w:val="22"/>
                <w:szCs w:val="22"/>
              </w:rPr>
              <w:t>Zdroj: ČBA</w:t>
            </w:r>
          </w:p>
        </w:tc>
        <w:tc>
          <w:tcPr>
            <w:tcW w:w="431" w:type="dxa"/>
            <w:tcBorders>
              <w:top w:val="nil"/>
              <w:left w:val="nil"/>
              <w:bottom w:val="nil"/>
              <w:right w:val="nil"/>
            </w:tcBorders>
            <w:shd w:val="clear" w:color="auto" w:fill="auto"/>
            <w:noWrap/>
            <w:vAlign w:val="bottom"/>
            <w:hideMark/>
          </w:tcPr>
          <w:p w14:paraId="69E8A983" w14:textId="77777777" w:rsidR="009E05AC" w:rsidRPr="009E05AC" w:rsidRDefault="009E05AC" w:rsidP="009E05AC">
            <w:pPr>
              <w:overflowPunct/>
              <w:autoSpaceDE/>
              <w:autoSpaceDN/>
              <w:adjustRightInd/>
              <w:jc w:val="left"/>
              <w:textAlignment w:val="auto"/>
              <w:rPr>
                <w:rFonts w:ascii="Calibri" w:hAnsi="Calibri" w:cs="Calibri"/>
                <w:color w:val="13576B"/>
                <w:sz w:val="22"/>
                <w:szCs w:val="22"/>
              </w:rPr>
            </w:pPr>
          </w:p>
        </w:tc>
        <w:tc>
          <w:tcPr>
            <w:tcW w:w="1460" w:type="dxa"/>
            <w:tcBorders>
              <w:top w:val="nil"/>
              <w:left w:val="nil"/>
              <w:bottom w:val="nil"/>
              <w:right w:val="nil"/>
            </w:tcBorders>
            <w:shd w:val="clear" w:color="auto" w:fill="auto"/>
            <w:noWrap/>
            <w:vAlign w:val="bottom"/>
            <w:hideMark/>
          </w:tcPr>
          <w:p w14:paraId="1DBBE5D3" w14:textId="77777777" w:rsidR="009E05AC" w:rsidRPr="009E05AC" w:rsidRDefault="009E05AC" w:rsidP="009E05AC">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4C6CA452" w14:textId="77777777" w:rsidR="009E05AC" w:rsidRPr="009E05AC" w:rsidRDefault="009E05AC" w:rsidP="009E05AC">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7EE8C15E" w14:textId="77777777" w:rsidR="009E05AC" w:rsidRPr="009E05AC" w:rsidRDefault="009E05AC" w:rsidP="009E05AC">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424F1C59" w14:textId="77777777" w:rsidR="009E05AC" w:rsidRPr="009E05AC" w:rsidRDefault="009E05AC" w:rsidP="009E05AC">
            <w:pPr>
              <w:overflowPunct/>
              <w:autoSpaceDE/>
              <w:autoSpaceDN/>
              <w:adjustRightInd/>
              <w:jc w:val="left"/>
              <w:textAlignment w:val="auto"/>
              <w:rPr>
                <w:rFonts w:ascii="Times New Roman" w:hAnsi="Times New Roman"/>
                <w:sz w:val="20"/>
              </w:rPr>
            </w:pPr>
          </w:p>
        </w:tc>
        <w:tc>
          <w:tcPr>
            <w:tcW w:w="1045" w:type="dxa"/>
            <w:tcBorders>
              <w:top w:val="nil"/>
              <w:left w:val="nil"/>
              <w:bottom w:val="nil"/>
              <w:right w:val="nil"/>
            </w:tcBorders>
            <w:shd w:val="clear" w:color="auto" w:fill="auto"/>
            <w:noWrap/>
            <w:vAlign w:val="bottom"/>
            <w:hideMark/>
          </w:tcPr>
          <w:p w14:paraId="6FFF5D11" w14:textId="77777777" w:rsidR="009E05AC" w:rsidRPr="009E05AC" w:rsidRDefault="009E05AC" w:rsidP="009E05AC">
            <w:pPr>
              <w:overflowPunct/>
              <w:autoSpaceDE/>
              <w:autoSpaceDN/>
              <w:adjustRightInd/>
              <w:jc w:val="left"/>
              <w:textAlignment w:val="auto"/>
              <w:rPr>
                <w:rFonts w:ascii="Times New Roman" w:hAnsi="Times New Roman"/>
                <w:sz w:val="20"/>
              </w:rPr>
            </w:pPr>
          </w:p>
        </w:tc>
      </w:tr>
    </w:tbl>
    <w:p w14:paraId="42D26194" w14:textId="77777777" w:rsidR="009E05AC" w:rsidRPr="00383D10" w:rsidRDefault="009E05AC" w:rsidP="009D3067">
      <w:pPr>
        <w:rPr>
          <w:rFonts w:ascii="Calibri" w:hAnsi="Calibri" w:cs="Calibri"/>
          <w:b/>
          <w:bCs/>
          <w:sz w:val="22"/>
          <w:szCs w:val="22"/>
        </w:rPr>
      </w:pPr>
    </w:p>
    <w:p w14:paraId="08A4B71F" w14:textId="3A333A90" w:rsidR="00BE2CB6" w:rsidRDefault="00F132E8" w:rsidP="0001227F">
      <w:pPr>
        <w:rPr>
          <w:rFonts w:ascii="Calibri" w:hAnsi="Calibri" w:cs="Calibri"/>
          <w:color w:val="13576B"/>
          <w:sz w:val="22"/>
          <w:szCs w:val="22"/>
        </w:rPr>
      </w:pPr>
      <w:r w:rsidRPr="001E4032">
        <w:rPr>
          <w:rFonts w:ascii="Calibri" w:hAnsi="Calibri" w:cs="Calibri"/>
          <w:color w:val="13576B"/>
          <w:sz w:val="22"/>
          <w:szCs w:val="22"/>
        </w:rPr>
        <w:t xml:space="preserve">Pozn.: barevný sloupec odpovídá úrokové sazbě posledního ČBA </w:t>
      </w:r>
      <w:proofErr w:type="spellStart"/>
      <w:r w:rsidRPr="001E4032">
        <w:rPr>
          <w:rFonts w:ascii="Calibri" w:hAnsi="Calibri" w:cs="Calibri"/>
          <w:color w:val="13576B"/>
          <w:sz w:val="22"/>
          <w:szCs w:val="22"/>
        </w:rPr>
        <w:t>Hypomonitoru</w:t>
      </w:r>
      <w:proofErr w:type="spellEnd"/>
      <w:r w:rsidRPr="001E4032">
        <w:rPr>
          <w:rFonts w:ascii="Calibri" w:hAnsi="Calibri" w:cs="Calibri"/>
          <w:color w:val="13576B"/>
          <w:sz w:val="22"/>
          <w:szCs w:val="22"/>
        </w:rPr>
        <w:t>, ostatní úrokové sazby jsou ilustrační</w:t>
      </w:r>
    </w:p>
    <w:p w14:paraId="5A5A7330" w14:textId="0D9F3C0D" w:rsidR="00F132E8" w:rsidRDefault="00F132E8" w:rsidP="0001227F">
      <w:pPr>
        <w:rPr>
          <w:rFonts w:ascii="Calibri" w:hAnsi="Calibri" w:cs="Calibri"/>
          <w:color w:val="13576B"/>
          <w:sz w:val="22"/>
          <w:szCs w:val="22"/>
        </w:rPr>
      </w:pPr>
    </w:p>
    <w:p w14:paraId="77C568AB" w14:textId="432183F4" w:rsidR="0001227F" w:rsidRPr="004B6A7C" w:rsidRDefault="0001227F" w:rsidP="0001227F">
      <w:pPr>
        <w:rPr>
          <w:rFonts w:ascii="Calibri" w:hAnsi="Calibri" w:cs="Calibri"/>
          <w:b/>
          <w:color w:val="13576B"/>
          <w:sz w:val="23"/>
          <w:szCs w:val="23"/>
        </w:rPr>
      </w:pPr>
      <w:r w:rsidRPr="004B6A7C">
        <w:rPr>
          <w:rFonts w:ascii="Calibri" w:hAnsi="Calibri" w:cs="Calibri"/>
          <w:b/>
          <w:color w:val="13576B"/>
          <w:sz w:val="23"/>
          <w:szCs w:val="23"/>
        </w:rPr>
        <w:t xml:space="preserve">ČBA </w:t>
      </w:r>
      <w:r w:rsidR="00336412">
        <w:rPr>
          <w:rFonts w:ascii="Calibri" w:hAnsi="Calibri" w:cs="Calibri"/>
          <w:b/>
          <w:color w:val="13576B"/>
          <w:sz w:val="23"/>
          <w:szCs w:val="23"/>
        </w:rPr>
        <w:t xml:space="preserve">zveřejňuje </w:t>
      </w:r>
      <w:r w:rsidRPr="004B6A7C">
        <w:rPr>
          <w:rFonts w:ascii="Calibri" w:hAnsi="Calibri" w:cs="Calibri"/>
          <w:b/>
          <w:color w:val="13576B"/>
          <w:sz w:val="23"/>
          <w:szCs w:val="23"/>
        </w:rPr>
        <w:t>nové souhrnné statistiky za celý bankovní trh</w:t>
      </w:r>
    </w:p>
    <w:p w14:paraId="6B4D5EA8" w14:textId="471A03DC" w:rsidR="0001227F" w:rsidRDefault="0001227F" w:rsidP="0001227F">
      <w:pPr>
        <w:rPr>
          <w:rFonts w:ascii="Calibri" w:hAnsi="Calibri" w:cs="Calibri"/>
          <w:sz w:val="22"/>
          <w:szCs w:val="22"/>
        </w:rPr>
      </w:pPr>
      <w:r w:rsidRPr="0001227F">
        <w:rPr>
          <w:rFonts w:ascii="Calibri" w:hAnsi="Calibri" w:cs="Calibri"/>
          <w:sz w:val="22"/>
          <w:szCs w:val="22"/>
        </w:rPr>
        <w:t xml:space="preserve">Česká bankovní asociace </w:t>
      </w:r>
      <w:r w:rsidR="00336412">
        <w:rPr>
          <w:rFonts w:ascii="Calibri" w:hAnsi="Calibri" w:cs="Calibri"/>
          <w:sz w:val="22"/>
          <w:szCs w:val="22"/>
        </w:rPr>
        <w:t>zveřejňuje</w:t>
      </w:r>
      <w:r w:rsidR="00336412" w:rsidRPr="0001227F">
        <w:rPr>
          <w:rFonts w:ascii="Calibri" w:hAnsi="Calibri" w:cs="Calibri"/>
          <w:sz w:val="22"/>
          <w:szCs w:val="22"/>
        </w:rPr>
        <w:t xml:space="preserve"> </w:t>
      </w:r>
      <w:r w:rsidRPr="0001227F">
        <w:rPr>
          <w:rFonts w:ascii="Calibri" w:hAnsi="Calibri" w:cs="Calibri"/>
          <w:sz w:val="22"/>
          <w:szCs w:val="22"/>
        </w:rPr>
        <w:t xml:space="preserve">ve spolupráci s členskými bankami nové souhrnné statistiky z trhu bydlení. Jde především o objemy a počty nově poskytnutých a refinancovaných hypoték a příslušnou úrokovou sazbu. Tyto statistiky </w:t>
      </w:r>
      <w:r w:rsidR="00336412">
        <w:rPr>
          <w:rFonts w:ascii="Calibri" w:hAnsi="Calibri" w:cs="Calibri"/>
          <w:sz w:val="22"/>
          <w:szCs w:val="22"/>
        </w:rPr>
        <w:t>publikuje ČBA</w:t>
      </w:r>
      <w:r w:rsidRPr="0001227F">
        <w:rPr>
          <w:rFonts w:ascii="Calibri" w:hAnsi="Calibri" w:cs="Calibri"/>
          <w:sz w:val="22"/>
          <w:szCs w:val="22"/>
        </w:rPr>
        <w:t xml:space="preserve"> v agregované podobě za celý bankovní sektor na pravidelné bázi vždy </w:t>
      </w:r>
      <w:r w:rsidR="006E7DC6">
        <w:rPr>
          <w:rFonts w:ascii="Calibri" w:hAnsi="Calibri" w:cs="Calibri"/>
          <w:sz w:val="22"/>
          <w:szCs w:val="22"/>
        </w:rPr>
        <w:t xml:space="preserve">zhruba </w:t>
      </w:r>
      <w:r w:rsidRPr="0001227F">
        <w:rPr>
          <w:rFonts w:ascii="Calibri" w:hAnsi="Calibri" w:cs="Calibri"/>
          <w:sz w:val="22"/>
          <w:szCs w:val="22"/>
        </w:rPr>
        <w:t xml:space="preserve">v polovině měsíce. Šetření se účastní všechny tuzemské banky a stavební spořitelny poskytující v ČR hypotéky. </w:t>
      </w:r>
      <w:r w:rsidR="007F299B">
        <w:rPr>
          <w:rFonts w:ascii="Calibri" w:hAnsi="Calibri" w:cs="Calibri"/>
          <w:sz w:val="22"/>
          <w:szCs w:val="22"/>
        </w:rPr>
        <w:t xml:space="preserve">Data </w:t>
      </w:r>
      <w:r w:rsidR="00E6160E">
        <w:rPr>
          <w:rFonts w:ascii="Calibri" w:hAnsi="Calibri" w:cs="Calibri"/>
          <w:sz w:val="22"/>
          <w:szCs w:val="22"/>
        </w:rPr>
        <w:t>jsou dos</w:t>
      </w:r>
      <w:r w:rsidR="00B91481">
        <w:rPr>
          <w:rFonts w:ascii="Calibri" w:hAnsi="Calibri" w:cs="Calibri"/>
          <w:sz w:val="22"/>
          <w:szCs w:val="22"/>
        </w:rPr>
        <w:t xml:space="preserve">tupná od ledna roku 2020 </w:t>
      </w:r>
      <w:r w:rsidR="007F299B">
        <w:rPr>
          <w:rFonts w:ascii="Calibri" w:hAnsi="Calibri" w:cs="Calibri"/>
          <w:sz w:val="22"/>
          <w:szCs w:val="22"/>
        </w:rPr>
        <w:t>v</w:t>
      </w:r>
      <w:r w:rsidR="0040474A">
        <w:rPr>
          <w:rFonts w:ascii="Calibri" w:hAnsi="Calibri" w:cs="Calibri"/>
          <w:sz w:val="22"/>
          <w:szCs w:val="22"/>
        </w:rPr>
        <w:t> přiloženém souboru</w:t>
      </w:r>
      <w:r w:rsidR="003F12D5">
        <w:rPr>
          <w:rFonts w:ascii="Calibri" w:hAnsi="Calibri" w:cs="Calibri"/>
          <w:sz w:val="22"/>
          <w:szCs w:val="22"/>
        </w:rPr>
        <w:t xml:space="preserve"> na stránkách </w:t>
      </w:r>
      <w:r w:rsidR="00F27A13" w:rsidRPr="00F27A13">
        <w:rPr>
          <w:rFonts w:ascii="Calibri" w:hAnsi="Calibri" w:cs="Calibri"/>
          <w:b/>
          <w:bCs/>
          <w:sz w:val="22"/>
          <w:szCs w:val="22"/>
        </w:rPr>
        <w:t>www.</w:t>
      </w:r>
      <w:r w:rsidR="003F12D5" w:rsidRPr="00F27A13">
        <w:rPr>
          <w:rFonts w:ascii="Calibri" w:hAnsi="Calibri" w:cs="Calibri"/>
          <w:b/>
          <w:bCs/>
          <w:sz w:val="22"/>
          <w:szCs w:val="22"/>
        </w:rPr>
        <w:t>cbaonline.cz</w:t>
      </w:r>
      <w:r w:rsidR="00B91481">
        <w:rPr>
          <w:rFonts w:ascii="Calibri" w:hAnsi="Calibri" w:cs="Calibri"/>
          <w:sz w:val="22"/>
          <w:szCs w:val="22"/>
        </w:rPr>
        <w:t>, kde lze také</w:t>
      </w:r>
      <w:r w:rsidR="0040474A">
        <w:rPr>
          <w:rFonts w:ascii="Calibri" w:hAnsi="Calibri" w:cs="Calibri"/>
          <w:sz w:val="22"/>
          <w:szCs w:val="22"/>
        </w:rPr>
        <w:t xml:space="preserve"> příslušné statistiky </w:t>
      </w:r>
      <w:r w:rsidR="00B91481">
        <w:rPr>
          <w:rFonts w:ascii="Calibri" w:hAnsi="Calibri" w:cs="Calibri"/>
          <w:sz w:val="22"/>
          <w:szCs w:val="22"/>
        </w:rPr>
        <w:t xml:space="preserve">najít </w:t>
      </w:r>
      <w:r w:rsidR="0040474A">
        <w:rPr>
          <w:rFonts w:ascii="Calibri" w:hAnsi="Calibri" w:cs="Calibri"/>
          <w:sz w:val="22"/>
          <w:szCs w:val="22"/>
        </w:rPr>
        <w:t>zvlášť pro banky a stavební spořitelny. Výše uvedené hodnoty jsou pro sektor jako celek.</w:t>
      </w:r>
    </w:p>
    <w:p w14:paraId="5B9C4AA3" w14:textId="34B6E16D" w:rsidR="00C42F00" w:rsidRPr="0001227F" w:rsidRDefault="0001227F" w:rsidP="007826E0">
      <w:pPr>
        <w:overflowPunct/>
        <w:autoSpaceDE/>
        <w:autoSpaceDN/>
        <w:adjustRightInd/>
        <w:spacing w:after="160" w:line="259" w:lineRule="auto"/>
        <w:jc w:val="left"/>
        <w:textAlignment w:val="auto"/>
        <w:rPr>
          <w:rFonts w:ascii="Calibri" w:hAnsi="Calibri" w:cs="Calibri"/>
          <w:i/>
          <w:iCs/>
          <w:sz w:val="20"/>
        </w:rPr>
      </w:pPr>
      <w:r>
        <w:rPr>
          <w:rFonts w:ascii="Calibri" w:hAnsi="Calibri" w:cs="Calibri"/>
          <w:sz w:val="22"/>
          <w:szCs w:val="22"/>
        </w:rPr>
        <w:br w:type="page"/>
      </w:r>
      <w:r w:rsidRPr="0001227F">
        <w:rPr>
          <w:rFonts w:ascii="Calibri" w:hAnsi="Calibri" w:cs="Calibri"/>
          <w:i/>
          <w:iCs/>
          <w:noProof/>
          <w:sz w:val="20"/>
        </w:rPr>
        <w:lastRenderedPageBreak/>
        <mc:AlternateContent>
          <mc:Choice Requires="wps">
            <w:drawing>
              <wp:anchor distT="45720" distB="45720" distL="114300" distR="114300" simplePos="0" relativeHeight="251682816" behindDoc="0" locked="0" layoutInCell="1" allowOverlap="1" wp14:anchorId="025DA650" wp14:editId="757BC2D9">
                <wp:simplePos x="0" y="0"/>
                <wp:positionH relativeFrom="column">
                  <wp:posOffset>-52705</wp:posOffset>
                </wp:positionH>
                <wp:positionV relativeFrom="paragraph">
                  <wp:posOffset>25400</wp:posOffset>
                </wp:positionV>
                <wp:extent cx="6574790" cy="51892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5189220"/>
                        </a:xfrm>
                        <a:prstGeom prst="rect">
                          <a:avLst/>
                        </a:prstGeom>
                        <a:solidFill>
                          <a:srgbClr val="13576B">
                            <a:alpha val="83922"/>
                          </a:srgbClr>
                        </a:solidFill>
                        <a:ln w="9525">
                          <a:noFill/>
                          <a:miter lim="800000"/>
                          <a:headEnd/>
                          <a:tailEnd/>
                        </a:ln>
                      </wps:spPr>
                      <wps:txbx>
                        <w:txbxContent>
                          <w:p w14:paraId="5A50287C" w14:textId="77777777" w:rsidR="0001227F" w:rsidRDefault="0001227F" w:rsidP="0001227F">
                            <w:pPr>
                              <w:spacing w:line="276" w:lineRule="auto"/>
                              <w:rPr>
                                <w:rFonts w:ascii="Calibri" w:hAnsi="Calibri" w:cs="Calibri"/>
                                <w:b/>
                                <w:bCs/>
                                <w:color w:val="FFFFFF" w:themeColor="background1"/>
                                <w:sz w:val="24"/>
                                <w:szCs w:val="24"/>
                              </w:rPr>
                            </w:pPr>
                          </w:p>
                          <w:p w14:paraId="523681E4" w14:textId="20B4FCBA" w:rsidR="0001227F" w:rsidRPr="00E818C3" w:rsidRDefault="0001227F" w:rsidP="0001227F">
                            <w:pPr>
                              <w:spacing w:line="276" w:lineRule="auto"/>
                              <w:rPr>
                                <w:rFonts w:ascii="Calibri" w:hAnsi="Calibri" w:cs="Calibri"/>
                                <w:b/>
                                <w:bCs/>
                                <w:color w:val="FFFFFF" w:themeColor="background1"/>
                                <w:sz w:val="22"/>
                                <w:szCs w:val="22"/>
                              </w:rPr>
                            </w:pPr>
                            <w:r w:rsidRPr="00E818C3">
                              <w:rPr>
                                <w:rFonts w:ascii="Calibri" w:hAnsi="Calibri" w:cs="Calibri"/>
                                <w:b/>
                                <w:bCs/>
                                <w:color w:val="FFFFFF" w:themeColor="background1"/>
                                <w:sz w:val="22"/>
                                <w:szCs w:val="22"/>
                              </w:rPr>
                              <w:t>Metodika ČBA Hypomonitoru</w:t>
                            </w:r>
                          </w:p>
                          <w:p w14:paraId="7401467C" w14:textId="77777777" w:rsidR="00414AD4" w:rsidRPr="007C6225" w:rsidRDefault="00414AD4" w:rsidP="0001227F">
                            <w:pPr>
                              <w:spacing w:line="276" w:lineRule="auto"/>
                              <w:rPr>
                                <w:rFonts w:ascii="Calibri" w:hAnsi="Calibri" w:cs="Calibri"/>
                                <w:color w:val="FFFFFF" w:themeColor="background1"/>
                                <w:szCs w:val="18"/>
                              </w:rPr>
                            </w:pPr>
                          </w:p>
                          <w:p w14:paraId="1021EABD" w14:textId="16015784" w:rsidR="0001227F" w:rsidRPr="007C6225" w:rsidRDefault="00414AD4" w:rsidP="0001227F">
                            <w:pPr>
                              <w:spacing w:line="276" w:lineRule="auto"/>
                              <w:rPr>
                                <w:rFonts w:ascii="Calibri" w:hAnsi="Calibri" w:cs="Calibri"/>
                                <w:color w:val="FFFFFF" w:themeColor="background1"/>
                                <w:szCs w:val="18"/>
                              </w:rPr>
                            </w:pPr>
                            <w:r w:rsidRPr="007C6225">
                              <w:rPr>
                                <w:rFonts w:ascii="Calibri" w:hAnsi="Calibri" w:cs="Calibri"/>
                                <w:color w:val="FFFFFF" w:themeColor="background1"/>
                                <w:szCs w:val="18"/>
                              </w:rPr>
                              <w:t xml:space="preserve">ČBA Hypomonitor </w:t>
                            </w:r>
                            <w:r w:rsidR="00FB47DE" w:rsidRPr="007C6225">
                              <w:rPr>
                                <w:rFonts w:ascii="Calibri" w:hAnsi="Calibri" w:cs="Calibri"/>
                                <w:color w:val="FFFFFF" w:themeColor="background1"/>
                                <w:szCs w:val="18"/>
                              </w:rPr>
                              <w:t xml:space="preserve">rozděluje poskytnuté hypoteční úvěry </w:t>
                            </w:r>
                            <w:r w:rsidR="00810DCF">
                              <w:rPr>
                                <w:rFonts w:ascii="Calibri" w:hAnsi="Calibri" w:cs="Calibri"/>
                                <w:color w:val="FFFFFF" w:themeColor="background1"/>
                                <w:szCs w:val="18"/>
                              </w:rPr>
                              <w:t>bank a stavebních spořitelen</w:t>
                            </w:r>
                            <w:r w:rsidR="00B426A2">
                              <w:rPr>
                                <w:rFonts w:ascii="Calibri" w:hAnsi="Calibri" w:cs="Calibri"/>
                                <w:color w:val="FFFFFF" w:themeColor="background1"/>
                                <w:szCs w:val="18"/>
                              </w:rPr>
                              <w:t xml:space="preserve"> domácnostem</w:t>
                            </w:r>
                            <w:r w:rsidR="00810DCF">
                              <w:rPr>
                                <w:rFonts w:ascii="Calibri" w:hAnsi="Calibri" w:cs="Calibri"/>
                                <w:color w:val="FFFFFF" w:themeColor="background1"/>
                                <w:szCs w:val="18"/>
                              </w:rPr>
                              <w:t xml:space="preserve"> </w:t>
                            </w:r>
                            <w:r w:rsidRPr="007C6225">
                              <w:rPr>
                                <w:rFonts w:ascii="Calibri" w:hAnsi="Calibri" w:cs="Calibri"/>
                                <w:color w:val="FFFFFF" w:themeColor="background1"/>
                                <w:szCs w:val="18"/>
                              </w:rPr>
                              <w:t>do několika kategorií tak, aby byly rozlišeny nové úvěry od refinancovaných či interních refixací</w:t>
                            </w:r>
                            <w:r w:rsidR="000B70C8">
                              <w:rPr>
                                <w:rFonts w:ascii="Calibri" w:hAnsi="Calibri" w:cs="Calibri"/>
                                <w:color w:val="FFFFFF" w:themeColor="background1"/>
                                <w:szCs w:val="18"/>
                              </w:rPr>
                              <w:t>.</w:t>
                            </w:r>
                            <w:r w:rsidRPr="007C6225">
                              <w:rPr>
                                <w:rFonts w:ascii="Calibri" w:hAnsi="Calibri" w:cs="Calibri"/>
                                <w:color w:val="FFFFFF" w:themeColor="background1"/>
                                <w:szCs w:val="18"/>
                              </w:rPr>
                              <w:t xml:space="preserve"> Nové úvěry jsou </w:t>
                            </w:r>
                            <w:r w:rsidR="00581CC1">
                              <w:rPr>
                                <w:rFonts w:ascii="Calibri" w:hAnsi="Calibri" w:cs="Calibri"/>
                                <w:color w:val="FFFFFF" w:themeColor="background1"/>
                                <w:szCs w:val="18"/>
                              </w:rPr>
                              <w:t>pak</w:t>
                            </w:r>
                            <w:r w:rsidRPr="007C6225">
                              <w:rPr>
                                <w:rFonts w:ascii="Calibri" w:hAnsi="Calibri" w:cs="Calibri"/>
                                <w:color w:val="FFFFFF" w:themeColor="background1"/>
                                <w:szCs w:val="18"/>
                              </w:rPr>
                              <w:t xml:space="preserve"> vykazovány v</w:t>
                            </w:r>
                            <w:r w:rsidR="00581CC1">
                              <w:rPr>
                                <w:rFonts w:ascii="Calibri" w:hAnsi="Calibri" w:cs="Calibri"/>
                                <w:color w:val="FFFFFF" w:themeColor="background1"/>
                                <w:szCs w:val="18"/>
                              </w:rPr>
                              <w:t> </w:t>
                            </w:r>
                            <w:r w:rsidRPr="007C6225">
                              <w:rPr>
                                <w:rFonts w:ascii="Calibri" w:hAnsi="Calibri" w:cs="Calibri"/>
                                <w:color w:val="FFFFFF" w:themeColor="background1"/>
                                <w:szCs w:val="18"/>
                              </w:rPr>
                              <w:t>kategoriích</w:t>
                            </w:r>
                            <w:r w:rsidR="00581CC1">
                              <w:rPr>
                                <w:rFonts w:ascii="Calibri" w:hAnsi="Calibri" w:cs="Calibri"/>
                                <w:color w:val="FFFFFF" w:themeColor="background1"/>
                                <w:szCs w:val="18"/>
                              </w:rPr>
                              <w:t xml:space="preserve"> dle účelu úvěru</w:t>
                            </w:r>
                            <w:r w:rsidRPr="007C6225">
                              <w:rPr>
                                <w:rFonts w:ascii="Calibri" w:hAnsi="Calibri" w:cs="Calibri"/>
                                <w:color w:val="FFFFFF" w:themeColor="background1"/>
                                <w:szCs w:val="18"/>
                              </w:rPr>
                              <w:t>:</w:t>
                            </w:r>
                          </w:p>
                          <w:p w14:paraId="58E707E8" w14:textId="77777777" w:rsidR="0001227F" w:rsidRPr="0001227F" w:rsidRDefault="0001227F" w:rsidP="0001227F">
                            <w:pPr>
                              <w:spacing w:line="276" w:lineRule="auto"/>
                              <w:rPr>
                                <w:rFonts w:ascii="Calibri" w:hAnsi="Calibri" w:cs="Calibri"/>
                                <w:color w:val="FFFFFF" w:themeColor="background1"/>
                              </w:rPr>
                            </w:pPr>
                          </w:p>
                          <w:p w14:paraId="3227247A" w14:textId="11714118" w:rsidR="0001227F" w:rsidRPr="00E818C3" w:rsidRDefault="00E818C3" w:rsidP="00E818C3">
                            <w:pPr>
                              <w:spacing w:line="276" w:lineRule="auto"/>
                              <w:rPr>
                                <w:rFonts w:ascii="Calibri" w:hAnsi="Calibri" w:cs="Calibri"/>
                                <w:b/>
                                <w:color w:val="FFFFFF" w:themeColor="background1"/>
                              </w:rPr>
                            </w:pPr>
                            <w:r w:rsidRPr="00E818C3">
                              <w:rPr>
                                <w:rFonts w:ascii="Calibri" w:hAnsi="Calibri" w:cs="Calibri"/>
                                <w:b/>
                                <w:color w:val="FFFFFF" w:themeColor="background1"/>
                              </w:rPr>
                              <w:t>1.</w:t>
                            </w:r>
                            <w:r>
                              <w:rPr>
                                <w:rFonts w:ascii="Calibri" w:hAnsi="Calibri" w:cs="Calibri"/>
                                <w:b/>
                                <w:color w:val="FFFFFF" w:themeColor="background1"/>
                              </w:rPr>
                              <w:t xml:space="preserve"> </w:t>
                            </w:r>
                            <w:r w:rsidR="0001227F" w:rsidRPr="00E818C3">
                              <w:rPr>
                                <w:rFonts w:ascii="Calibri" w:hAnsi="Calibri" w:cs="Calibri"/>
                                <w:b/>
                                <w:color w:val="FFFFFF" w:themeColor="background1"/>
                              </w:rPr>
                              <w:t>Nové úvěry</w:t>
                            </w:r>
                          </w:p>
                          <w:p w14:paraId="22AF3257" w14:textId="77777777"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Jsou úvěry, jejichž celý objem poprvé vstupuje do ekonomiky. Do této kategorie nepatří konsolidace úvěrů anebo refinancování úvěrů. Dělí se do tří kategorií:</w:t>
                            </w:r>
                          </w:p>
                          <w:p w14:paraId="362AFB2A" w14:textId="77777777"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Nákup nemovitosti</w:t>
                            </w:r>
                            <w:r w:rsidRPr="00E818C3">
                              <w:rPr>
                                <w:rFonts w:ascii="Calibri" w:hAnsi="Calibri" w:cs="Calibri"/>
                                <w:color w:val="FFFFFF" w:themeColor="background1"/>
                              </w:rPr>
                              <w:t xml:space="preserve"> </w:t>
                            </w:r>
                          </w:p>
                          <w:p w14:paraId="29F23FA5" w14:textId="6EE96893"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Výstavba nemovitosti</w:t>
                            </w:r>
                            <w:r w:rsidRPr="00E818C3">
                              <w:rPr>
                                <w:rFonts w:ascii="Calibri" w:hAnsi="Calibri" w:cs="Calibri"/>
                                <w:color w:val="FFFFFF" w:themeColor="background1"/>
                              </w:rPr>
                              <w:t xml:space="preserve"> – včetně rekonstrukce nemovitosti </w:t>
                            </w:r>
                          </w:p>
                          <w:p w14:paraId="4D80580F" w14:textId="11E0715F" w:rsidR="0001227F" w:rsidRPr="00E818C3" w:rsidRDefault="0001227F" w:rsidP="00E818C3">
                            <w:pPr>
                              <w:pStyle w:val="Odstavecseseznamem"/>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Ostatní nová ujednání</w:t>
                            </w:r>
                            <w:r w:rsidRPr="00E818C3">
                              <w:rPr>
                                <w:rFonts w:ascii="Calibri" w:hAnsi="Calibri" w:cs="Calibri"/>
                                <w:color w:val="FFFFFF" w:themeColor="background1"/>
                              </w:rPr>
                              <w:t xml:space="preserve"> – pouze nové úvěry, které nijak nesouvisí s koupí nebo výstavbou nemovitosti, např. tzv. americké hypotéky, vypořádání SJM, zpětná úhrada kupní ceny, vypořádání dědického podílu, vypořádání družstevního podílu, atp.</w:t>
                            </w:r>
                          </w:p>
                          <w:p w14:paraId="4FBF1D5A" w14:textId="77777777" w:rsidR="0001227F" w:rsidRPr="0001227F" w:rsidRDefault="0001227F" w:rsidP="0001227F">
                            <w:pPr>
                              <w:spacing w:line="276" w:lineRule="auto"/>
                              <w:ind w:left="708"/>
                              <w:rPr>
                                <w:rFonts w:ascii="Calibri" w:hAnsi="Calibri" w:cs="Calibri"/>
                                <w:color w:val="FFFFFF" w:themeColor="background1"/>
                              </w:rPr>
                            </w:pPr>
                          </w:p>
                          <w:p w14:paraId="71D5E0BB" w14:textId="7D112C27" w:rsidR="0001227F" w:rsidRPr="0001227F"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2. </w:t>
                            </w:r>
                            <w:r w:rsidR="0001227F" w:rsidRPr="0001227F">
                              <w:rPr>
                                <w:rFonts w:ascii="Calibri" w:hAnsi="Calibri" w:cs="Calibri"/>
                                <w:b/>
                                <w:color w:val="FFFFFF" w:themeColor="background1"/>
                              </w:rPr>
                              <w:t>Refinancované úvěry z jiné finanční instituce</w:t>
                            </w:r>
                          </w:p>
                          <w:p w14:paraId="351B5A60" w14:textId="0B5DCBB6"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 xml:space="preserve">Jsou úvěry, které vznikly refinancováním jednoho nebo více úvěrů z jiné finanční instituce než </w:t>
                            </w:r>
                            <w:r w:rsidR="00973197">
                              <w:rPr>
                                <w:rFonts w:ascii="Calibri" w:hAnsi="Calibri" w:cs="Calibri"/>
                                <w:color w:val="FFFFFF" w:themeColor="background1"/>
                              </w:rPr>
                              <w:t>té</w:t>
                            </w:r>
                            <w:r w:rsidRPr="0001227F">
                              <w:rPr>
                                <w:rFonts w:ascii="Calibri" w:hAnsi="Calibri" w:cs="Calibri"/>
                                <w:color w:val="FFFFFF" w:themeColor="background1"/>
                              </w:rPr>
                              <w:t xml:space="preserve"> vykazující. Bez ohledu na výši refinancované částky a bez ohledu na výši případného navýšení se celková výše nově vzniklého úvěru vykazuje do této kategorie. </w:t>
                            </w:r>
                          </w:p>
                          <w:p w14:paraId="7566D2D6" w14:textId="77777777" w:rsidR="0001227F" w:rsidRPr="0001227F" w:rsidRDefault="0001227F" w:rsidP="0001227F">
                            <w:pPr>
                              <w:spacing w:line="276" w:lineRule="auto"/>
                              <w:rPr>
                                <w:rFonts w:ascii="Calibri" w:hAnsi="Calibri" w:cs="Calibri"/>
                                <w:color w:val="FFFFFF" w:themeColor="background1"/>
                              </w:rPr>
                            </w:pPr>
                          </w:p>
                          <w:p w14:paraId="04B36444" w14:textId="4F20B25F" w:rsidR="0001227F" w:rsidRPr="000C045B"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3. </w:t>
                            </w:r>
                            <w:r w:rsidR="0001227F" w:rsidRPr="0001227F">
                              <w:rPr>
                                <w:rFonts w:ascii="Calibri" w:hAnsi="Calibri" w:cs="Calibri"/>
                                <w:b/>
                                <w:color w:val="FFFFFF" w:themeColor="background1"/>
                              </w:rPr>
                              <w:t>Navý</w:t>
                            </w:r>
                            <w:r w:rsidR="0001227F" w:rsidRPr="000C045B">
                              <w:rPr>
                                <w:rFonts w:ascii="Calibri" w:hAnsi="Calibri" w:cs="Calibri"/>
                                <w:b/>
                                <w:color w:val="FFFFFF" w:themeColor="background1"/>
                              </w:rPr>
                              <w:t>šené anebo interně refinancované úvěry</w:t>
                            </w:r>
                          </w:p>
                          <w:p w14:paraId="711A3661" w14:textId="2A271010" w:rsidR="0001227F" w:rsidRPr="0001227F" w:rsidRDefault="0001227F" w:rsidP="0001227F">
                            <w:pPr>
                              <w:spacing w:line="276" w:lineRule="auto"/>
                              <w:rPr>
                                <w:rFonts w:ascii="Calibri" w:hAnsi="Calibri" w:cs="Calibri"/>
                                <w:color w:val="FFFFFF" w:themeColor="background1"/>
                              </w:rPr>
                            </w:pPr>
                            <w:r w:rsidRPr="000C045B">
                              <w:rPr>
                                <w:rFonts w:ascii="Calibri" w:hAnsi="Calibri" w:cs="Calibri"/>
                                <w:color w:val="FFFFFF" w:themeColor="background1"/>
                              </w:rPr>
                              <w:t xml:space="preserve">Jsou úvěry, které již </w:t>
                            </w:r>
                            <w:r w:rsidRPr="007C6225">
                              <w:rPr>
                                <w:rFonts w:ascii="Calibri" w:hAnsi="Calibri" w:cs="Calibri"/>
                                <w:color w:val="FFFFFF" w:themeColor="background1"/>
                              </w:rPr>
                              <w:t xml:space="preserve">byly </w:t>
                            </w:r>
                            <w:r w:rsidR="00647A7A">
                              <w:rPr>
                                <w:rFonts w:ascii="Calibri" w:hAnsi="Calibri" w:cs="Calibri"/>
                                <w:color w:val="FFFFFF" w:themeColor="background1"/>
                              </w:rPr>
                              <w:t xml:space="preserve">v </w:t>
                            </w:r>
                            <w:r w:rsidRPr="007C6225">
                              <w:rPr>
                                <w:rFonts w:ascii="Calibri" w:hAnsi="Calibri" w:cs="Calibri"/>
                                <w:color w:val="FFFFFF" w:themeColor="background1"/>
                              </w:rPr>
                              <w:t>předchozí</w:t>
                            </w:r>
                            <w:r w:rsidR="0079039B">
                              <w:rPr>
                                <w:rFonts w:ascii="Calibri" w:hAnsi="Calibri" w:cs="Calibri"/>
                                <w:color w:val="FFFFFF" w:themeColor="background1"/>
                              </w:rPr>
                              <w:t>m</w:t>
                            </w:r>
                            <w:r w:rsidRPr="007C6225">
                              <w:rPr>
                                <w:rFonts w:ascii="Calibri" w:hAnsi="Calibri" w:cs="Calibri"/>
                                <w:color w:val="FFFFFF" w:themeColor="background1"/>
                              </w:rPr>
                              <w:t xml:space="preserve"> vykazované</w:t>
                            </w:r>
                            <w:r w:rsidR="0079039B">
                              <w:rPr>
                                <w:rFonts w:ascii="Calibri" w:hAnsi="Calibri" w:cs="Calibri"/>
                                <w:color w:val="FFFFFF" w:themeColor="background1"/>
                              </w:rPr>
                              <w:t>m</w:t>
                            </w:r>
                            <w:r w:rsidRPr="007C6225">
                              <w:rPr>
                                <w:rFonts w:ascii="Calibri" w:hAnsi="Calibri" w:cs="Calibri"/>
                                <w:color w:val="FFFFFF" w:themeColor="background1"/>
                              </w:rPr>
                              <w:t xml:space="preserve"> období součástí portfolia</w:t>
                            </w:r>
                            <w:r w:rsidRPr="000C045B">
                              <w:rPr>
                                <w:rFonts w:ascii="Calibri" w:hAnsi="Calibri" w:cs="Calibri"/>
                                <w:color w:val="FFFFFF" w:themeColor="background1"/>
                              </w:rPr>
                              <w:t xml:space="preserve"> vykazujícího</w:t>
                            </w:r>
                            <w:r w:rsidRPr="0001227F">
                              <w:rPr>
                                <w:rFonts w:ascii="Calibri" w:hAnsi="Calibri" w:cs="Calibri"/>
                                <w:color w:val="FFFFFF" w:themeColor="background1"/>
                              </w:rPr>
                              <w:t xml:space="preserve"> subjektu, a ve vykazovaném období u nich došlo k některé z následujících změn:</w:t>
                            </w:r>
                          </w:p>
                          <w:p w14:paraId="4A6B00C0" w14:textId="77777777" w:rsidR="00E818C3"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01227F">
                              <w:rPr>
                                <w:rFonts w:ascii="Calibri" w:hAnsi="Calibri" w:cs="Calibri"/>
                                <w:color w:val="FFFFFF" w:themeColor="background1"/>
                              </w:rPr>
                              <w:t xml:space="preserve">navýšení sjednané částky </w:t>
                            </w:r>
                          </w:p>
                          <w:p w14:paraId="44682079" w14:textId="72C23671" w:rsidR="0001227F" w:rsidRDefault="0001227F" w:rsidP="0001227F">
                            <w:pPr>
                              <w:pStyle w:val="Odstavecseseznamem"/>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E818C3">
                              <w:rPr>
                                <w:rFonts w:ascii="Calibri" w:hAnsi="Calibri" w:cs="Calibri"/>
                                <w:color w:val="FFFFFF" w:themeColor="background1"/>
                              </w:rPr>
                              <w:t xml:space="preserve">došlo k takovým změnám, že původní úvěr byl v rámci vykazujícího subjektu refinancován/převeden na nový úvěr. </w:t>
                            </w:r>
                            <w:r w:rsidR="00E74228">
                              <w:rPr>
                                <w:rFonts w:ascii="Calibri" w:hAnsi="Calibri" w:cs="Calibri"/>
                                <w:color w:val="FFFFFF" w:themeColor="background1"/>
                              </w:rPr>
                              <w:t>J</w:t>
                            </w:r>
                            <w:r w:rsidRPr="00E818C3">
                              <w:rPr>
                                <w:rFonts w:ascii="Calibri" w:hAnsi="Calibri" w:cs="Calibri"/>
                                <w:color w:val="FFFFFF" w:themeColor="background1"/>
                              </w:rPr>
                              <w:t>de</w:t>
                            </w:r>
                            <w:r w:rsidR="00CD28EC">
                              <w:rPr>
                                <w:rFonts w:ascii="Calibri" w:hAnsi="Calibri" w:cs="Calibri"/>
                                <w:color w:val="FFFFFF" w:themeColor="background1"/>
                              </w:rPr>
                              <w:t xml:space="preserve"> tak o</w:t>
                            </w:r>
                            <w:r w:rsidRPr="00E818C3">
                              <w:rPr>
                                <w:rFonts w:ascii="Calibri" w:hAnsi="Calibri" w:cs="Calibri"/>
                                <w:color w:val="FFFFFF" w:themeColor="background1"/>
                              </w:rPr>
                              <w:t xml:space="preserve"> skutečně </w:t>
                            </w:r>
                            <w:r w:rsidR="00E74228">
                              <w:rPr>
                                <w:rFonts w:ascii="Calibri" w:hAnsi="Calibri" w:cs="Calibri"/>
                                <w:color w:val="FFFFFF" w:themeColor="background1"/>
                              </w:rPr>
                              <w:t>novou smlouvu</w:t>
                            </w:r>
                            <w:r w:rsidR="00132EE9">
                              <w:rPr>
                                <w:rFonts w:ascii="Calibri" w:hAnsi="Calibri" w:cs="Calibri"/>
                                <w:color w:val="FFFFFF" w:themeColor="background1"/>
                              </w:rPr>
                              <w:t xml:space="preserve">, nikoli např. jen </w:t>
                            </w:r>
                            <w:r w:rsidR="007B79F6">
                              <w:rPr>
                                <w:rFonts w:ascii="Calibri" w:hAnsi="Calibri" w:cs="Calibri"/>
                                <w:color w:val="FFFFFF" w:themeColor="background1"/>
                              </w:rPr>
                              <w:t>nové ujednání v rámci refi</w:t>
                            </w:r>
                            <w:r w:rsidR="000F02C1">
                              <w:rPr>
                                <w:rFonts w:ascii="Calibri" w:hAnsi="Calibri" w:cs="Calibri"/>
                                <w:color w:val="FFFFFF" w:themeColor="background1"/>
                              </w:rPr>
                              <w:t xml:space="preserve">xace </w:t>
                            </w:r>
                            <w:r w:rsidR="00132EE9">
                              <w:rPr>
                                <w:rFonts w:ascii="Calibri" w:hAnsi="Calibri" w:cs="Calibri"/>
                                <w:color w:val="FFFFFF" w:themeColor="background1"/>
                              </w:rPr>
                              <w:t xml:space="preserve">stávající smlouvy. Proto je objem takových úvěru ve statistice ČBA nižší oproti „ostatním novým ujednáním“ ve statistice České </w:t>
                            </w:r>
                            <w:r w:rsidR="002D3F94">
                              <w:rPr>
                                <w:rFonts w:ascii="Calibri" w:hAnsi="Calibri" w:cs="Calibri"/>
                                <w:color w:val="FFFFFF" w:themeColor="background1"/>
                              </w:rPr>
                              <w:t>n</w:t>
                            </w:r>
                            <w:r w:rsidR="00132EE9">
                              <w:rPr>
                                <w:rFonts w:ascii="Calibri" w:hAnsi="Calibri" w:cs="Calibri"/>
                                <w:color w:val="FFFFFF" w:themeColor="background1"/>
                              </w:rPr>
                              <w:t xml:space="preserve">árodní </w:t>
                            </w:r>
                            <w:r w:rsidR="002D3F94">
                              <w:rPr>
                                <w:rFonts w:ascii="Calibri" w:hAnsi="Calibri" w:cs="Calibri"/>
                                <w:color w:val="FFFFFF" w:themeColor="background1"/>
                              </w:rPr>
                              <w:t>b</w:t>
                            </w:r>
                            <w:r w:rsidR="00132EE9">
                              <w:rPr>
                                <w:rFonts w:ascii="Calibri" w:hAnsi="Calibri" w:cs="Calibri"/>
                                <w:color w:val="FFFFFF" w:themeColor="background1"/>
                              </w:rPr>
                              <w:t>anky.</w:t>
                            </w:r>
                          </w:p>
                          <w:p w14:paraId="1FAF8B9B" w14:textId="4C474A58" w:rsidR="006F08E1" w:rsidRDefault="006F08E1" w:rsidP="006F08E1">
                            <w:pPr>
                              <w:overflowPunct/>
                              <w:autoSpaceDE/>
                              <w:autoSpaceDN/>
                              <w:adjustRightInd/>
                              <w:spacing w:line="276" w:lineRule="auto"/>
                              <w:jc w:val="left"/>
                              <w:textAlignment w:val="auto"/>
                              <w:rPr>
                                <w:rFonts w:ascii="Calibri" w:hAnsi="Calibri" w:cs="Calibri"/>
                                <w:color w:val="FFFFFF" w:themeColor="background1"/>
                              </w:rPr>
                            </w:pPr>
                          </w:p>
                          <w:p w14:paraId="65FC0189" w14:textId="761DFD60" w:rsidR="006F08E1" w:rsidRPr="006F08E1" w:rsidRDefault="001F49EA" w:rsidP="006F08E1">
                            <w:pPr>
                              <w:overflowPunct/>
                              <w:autoSpaceDE/>
                              <w:autoSpaceDN/>
                              <w:adjustRightInd/>
                              <w:spacing w:line="276" w:lineRule="auto"/>
                              <w:jc w:val="left"/>
                              <w:textAlignment w:val="auto"/>
                              <w:rPr>
                                <w:rFonts w:ascii="Calibri" w:hAnsi="Calibri" w:cs="Calibri"/>
                                <w:color w:val="FFFFFF" w:themeColor="background1"/>
                              </w:rPr>
                            </w:pPr>
                            <w:r w:rsidRPr="001F49EA">
                              <w:rPr>
                                <w:rFonts w:ascii="Calibri" w:hAnsi="Calibri" w:cs="Calibri"/>
                                <w:color w:val="FFFFFF" w:themeColor="background1"/>
                              </w:rPr>
                              <w:t>Data pro ČBA Hypomonitor poskytují následující banky a stavební spořitelny: Air Bank, Banka Creditas, Česká spořitelna, ČSOB, ČSOB Stavební spořitelna, Fio banka, Hypoteční banka, Komerční banka, mBank, Modrá pyramida, MONETA Money Bank, MONETA Stavební spořitelna, Oberbank, Raiffeisen stavební spořitelna, Raiffeisenbank, Sberbank, Stavební spořitelna České spořitelny, UniCredit Bank</w:t>
                            </w:r>
                            <w:r>
                              <w:rPr>
                                <w:rFonts w:ascii="Calibri" w:hAnsi="Calibri" w:cs="Calibri"/>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DA650" id="_x0000_t202" coordsize="21600,21600" o:spt="202" path="m,l,21600r21600,l21600,xe">
                <v:stroke joinstyle="miter"/>
                <v:path gradientshapeok="t" o:connecttype="rect"/>
              </v:shapetype>
              <v:shape id="Textové pole 2" o:spid="_x0000_s1026" type="#_x0000_t202" style="position:absolute;margin-left:-4.15pt;margin-top:2pt;width:517.7pt;height:408.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" fillcolor="#13576b" stroked="f">
                <v:fill opacity="54998f"/>
                <v:textbox>
                  <w:txbxContent>
                    <w:p w14:paraId="5A50287C" w14:textId="77777777" w:rsidR="0001227F" w:rsidRDefault="0001227F" w:rsidP="0001227F">
                      <w:pPr>
                        <w:spacing w:line="276" w:lineRule="auto"/>
                        <w:rPr>
                          <w:rFonts w:ascii="Calibri" w:hAnsi="Calibri" w:cs="Calibri"/>
                          <w:b/>
                          <w:bCs/>
                          <w:color w:val="FFFFFF" w:themeColor="background1"/>
                          <w:sz w:val="24"/>
                          <w:szCs w:val="24"/>
                        </w:rPr>
                      </w:pPr>
                    </w:p>
                    <w:p w14:paraId="523681E4" w14:textId="20B4FCBA" w:rsidR="0001227F" w:rsidRPr="00E818C3" w:rsidRDefault="0001227F" w:rsidP="0001227F">
                      <w:pPr>
                        <w:spacing w:line="276" w:lineRule="auto"/>
                        <w:rPr>
                          <w:rFonts w:ascii="Calibri" w:hAnsi="Calibri" w:cs="Calibri"/>
                          <w:b/>
                          <w:bCs/>
                          <w:color w:val="FFFFFF" w:themeColor="background1"/>
                          <w:sz w:val="22"/>
                          <w:szCs w:val="22"/>
                        </w:rPr>
                      </w:pPr>
                      <w:r w:rsidRPr="00E818C3">
                        <w:rPr>
                          <w:rFonts w:ascii="Calibri" w:hAnsi="Calibri" w:cs="Calibri"/>
                          <w:b/>
                          <w:bCs/>
                          <w:color w:val="FFFFFF" w:themeColor="background1"/>
                          <w:sz w:val="22"/>
                          <w:szCs w:val="22"/>
                        </w:rPr>
                        <w:t xml:space="preserve">Metodika ČBA </w:t>
                      </w:r>
                      <w:proofErr w:type="spellStart"/>
                      <w:r w:rsidRPr="00E818C3">
                        <w:rPr>
                          <w:rFonts w:ascii="Calibri" w:hAnsi="Calibri" w:cs="Calibri"/>
                          <w:b/>
                          <w:bCs/>
                          <w:color w:val="FFFFFF" w:themeColor="background1"/>
                          <w:sz w:val="22"/>
                          <w:szCs w:val="22"/>
                        </w:rPr>
                        <w:t>Hypomonitoru</w:t>
                      </w:r>
                      <w:proofErr w:type="spellEnd"/>
                    </w:p>
                    <w:p w14:paraId="7401467C" w14:textId="77777777" w:rsidR="00414AD4" w:rsidRPr="007C6225" w:rsidRDefault="00414AD4" w:rsidP="0001227F">
                      <w:pPr>
                        <w:spacing w:line="276" w:lineRule="auto"/>
                        <w:rPr>
                          <w:rFonts w:ascii="Calibri" w:hAnsi="Calibri" w:cs="Calibri"/>
                          <w:color w:val="FFFFFF" w:themeColor="background1"/>
                          <w:szCs w:val="18"/>
                        </w:rPr>
                      </w:pPr>
                    </w:p>
                    <w:p w14:paraId="1021EABD" w14:textId="16015784" w:rsidR="0001227F" w:rsidRPr="007C6225" w:rsidRDefault="00414AD4" w:rsidP="0001227F">
                      <w:pPr>
                        <w:spacing w:line="276" w:lineRule="auto"/>
                        <w:rPr>
                          <w:rFonts w:ascii="Calibri" w:hAnsi="Calibri" w:cs="Calibri"/>
                          <w:color w:val="FFFFFF" w:themeColor="background1"/>
                          <w:szCs w:val="18"/>
                        </w:rPr>
                      </w:pPr>
                      <w:r w:rsidRPr="007C6225">
                        <w:rPr>
                          <w:rFonts w:ascii="Calibri" w:hAnsi="Calibri" w:cs="Calibri"/>
                          <w:color w:val="FFFFFF" w:themeColor="background1"/>
                          <w:szCs w:val="18"/>
                        </w:rPr>
                        <w:t xml:space="preserve">ČBA </w:t>
                      </w:r>
                      <w:proofErr w:type="spellStart"/>
                      <w:r w:rsidRPr="007C6225">
                        <w:rPr>
                          <w:rFonts w:ascii="Calibri" w:hAnsi="Calibri" w:cs="Calibri"/>
                          <w:color w:val="FFFFFF" w:themeColor="background1"/>
                          <w:szCs w:val="18"/>
                        </w:rPr>
                        <w:t>Hypomonitor</w:t>
                      </w:r>
                      <w:proofErr w:type="spellEnd"/>
                      <w:r w:rsidRPr="007C6225">
                        <w:rPr>
                          <w:rFonts w:ascii="Calibri" w:hAnsi="Calibri" w:cs="Calibri"/>
                          <w:color w:val="FFFFFF" w:themeColor="background1"/>
                          <w:szCs w:val="18"/>
                        </w:rPr>
                        <w:t xml:space="preserve"> </w:t>
                      </w:r>
                      <w:r w:rsidR="00FB47DE" w:rsidRPr="007C6225">
                        <w:rPr>
                          <w:rFonts w:ascii="Calibri" w:hAnsi="Calibri" w:cs="Calibri"/>
                          <w:color w:val="FFFFFF" w:themeColor="background1"/>
                          <w:szCs w:val="18"/>
                        </w:rPr>
                        <w:t xml:space="preserve">rozděluje poskytnuté hypoteční úvěry </w:t>
                      </w:r>
                      <w:r w:rsidR="00810DCF">
                        <w:rPr>
                          <w:rFonts w:ascii="Calibri" w:hAnsi="Calibri" w:cs="Calibri"/>
                          <w:color w:val="FFFFFF" w:themeColor="background1"/>
                          <w:szCs w:val="18"/>
                        </w:rPr>
                        <w:t>bank a stavebních spořitelen</w:t>
                      </w:r>
                      <w:r w:rsidR="00B426A2">
                        <w:rPr>
                          <w:rFonts w:ascii="Calibri" w:hAnsi="Calibri" w:cs="Calibri"/>
                          <w:color w:val="FFFFFF" w:themeColor="background1"/>
                          <w:szCs w:val="18"/>
                        </w:rPr>
                        <w:t xml:space="preserve"> domácnostem</w:t>
                      </w:r>
                      <w:r w:rsidR="00810DCF">
                        <w:rPr>
                          <w:rFonts w:ascii="Calibri" w:hAnsi="Calibri" w:cs="Calibri"/>
                          <w:color w:val="FFFFFF" w:themeColor="background1"/>
                          <w:szCs w:val="18"/>
                        </w:rPr>
                        <w:t xml:space="preserve"> </w:t>
                      </w:r>
                      <w:r w:rsidRPr="007C6225">
                        <w:rPr>
                          <w:rFonts w:ascii="Calibri" w:hAnsi="Calibri" w:cs="Calibri"/>
                          <w:color w:val="FFFFFF" w:themeColor="background1"/>
                          <w:szCs w:val="18"/>
                        </w:rPr>
                        <w:t>do několika kategorií tak, aby byly rozlišeny nové úvěry od refinancovaných či interních refixací</w:t>
                      </w:r>
                      <w:r w:rsidR="000B70C8">
                        <w:rPr>
                          <w:rFonts w:ascii="Calibri" w:hAnsi="Calibri" w:cs="Calibri"/>
                          <w:color w:val="FFFFFF" w:themeColor="background1"/>
                          <w:szCs w:val="18"/>
                        </w:rPr>
                        <w:t>.</w:t>
                      </w:r>
                      <w:r w:rsidRPr="007C6225">
                        <w:rPr>
                          <w:rFonts w:ascii="Calibri" w:hAnsi="Calibri" w:cs="Calibri"/>
                          <w:color w:val="FFFFFF" w:themeColor="background1"/>
                          <w:szCs w:val="18"/>
                        </w:rPr>
                        <w:t xml:space="preserve"> Nové úvěry jsou </w:t>
                      </w:r>
                      <w:r w:rsidR="00581CC1">
                        <w:rPr>
                          <w:rFonts w:ascii="Calibri" w:hAnsi="Calibri" w:cs="Calibri"/>
                          <w:color w:val="FFFFFF" w:themeColor="background1"/>
                          <w:szCs w:val="18"/>
                        </w:rPr>
                        <w:t>pak</w:t>
                      </w:r>
                      <w:r w:rsidRPr="007C6225">
                        <w:rPr>
                          <w:rFonts w:ascii="Calibri" w:hAnsi="Calibri" w:cs="Calibri"/>
                          <w:color w:val="FFFFFF" w:themeColor="background1"/>
                          <w:szCs w:val="18"/>
                        </w:rPr>
                        <w:t xml:space="preserve"> vykazovány v</w:t>
                      </w:r>
                      <w:r w:rsidR="00581CC1">
                        <w:rPr>
                          <w:rFonts w:ascii="Calibri" w:hAnsi="Calibri" w:cs="Calibri"/>
                          <w:color w:val="FFFFFF" w:themeColor="background1"/>
                          <w:szCs w:val="18"/>
                        </w:rPr>
                        <w:t> </w:t>
                      </w:r>
                      <w:r w:rsidRPr="007C6225">
                        <w:rPr>
                          <w:rFonts w:ascii="Calibri" w:hAnsi="Calibri" w:cs="Calibri"/>
                          <w:color w:val="FFFFFF" w:themeColor="background1"/>
                          <w:szCs w:val="18"/>
                        </w:rPr>
                        <w:t>kategoriích</w:t>
                      </w:r>
                      <w:r w:rsidR="00581CC1">
                        <w:rPr>
                          <w:rFonts w:ascii="Calibri" w:hAnsi="Calibri" w:cs="Calibri"/>
                          <w:color w:val="FFFFFF" w:themeColor="background1"/>
                          <w:szCs w:val="18"/>
                        </w:rPr>
                        <w:t xml:space="preserve"> dle účelu úvěru</w:t>
                      </w:r>
                      <w:r w:rsidRPr="007C6225">
                        <w:rPr>
                          <w:rFonts w:ascii="Calibri" w:hAnsi="Calibri" w:cs="Calibri"/>
                          <w:color w:val="FFFFFF" w:themeColor="background1"/>
                          <w:szCs w:val="18"/>
                        </w:rPr>
                        <w:t>:</w:t>
                      </w:r>
                    </w:p>
                    <w:p w14:paraId="58E707E8" w14:textId="77777777" w:rsidR="0001227F" w:rsidRPr="0001227F" w:rsidRDefault="0001227F" w:rsidP="0001227F">
                      <w:pPr>
                        <w:spacing w:line="276" w:lineRule="auto"/>
                        <w:rPr>
                          <w:rFonts w:ascii="Calibri" w:hAnsi="Calibri" w:cs="Calibri"/>
                          <w:color w:val="FFFFFF" w:themeColor="background1"/>
                        </w:rPr>
                      </w:pPr>
                    </w:p>
                    <w:p w14:paraId="3227247A" w14:textId="11714118" w:rsidR="0001227F" w:rsidRPr="00E818C3" w:rsidRDefault="00E818C3" w:rsidP="00E818C3">
                      <w:pPr>
                        <w:spacing w:line="276" w:lineRule="auto"/>
                        <w:rPr>
                          <w:rFonts w:ascii="Calibri" w:hAnsi="Calibri" w:cs="Calibri"/>
                          <w:b/>
                          <w:color w:val="FFFFFF" w:themeColor="background1"/>
                        </w:rPr>
                      </w:pPr>
                      <w:r w:rsidRPr="00E818C3">
                        <w:rPr>
                          <w:rFonts w:ascii="Calibri" w:hAnsi="Calibri" w:cs="Calibri"/>
                          <w:b/>
                          <w:color w:val="FFFFFF" w:themeColor="background1"/>
                        </w:rPr>
                        <w:t>1.</w:t>
                      </w:r>
                      <w:r>
                        <w:rPr>
                          <w:rFonts w:ascii="Calibri" w:hAnsi="Calibri" w:cs="Calibri"/>
                          <w:b/>
                          <w:color w:val="FFFFFF" w:themeColor="background1"/>
                        </w:rPr>
                        <w:t xml:space="preserve"> </w:t>
                      </w:r>
                      <w:r w:rsidR="0001227F" w:rsidRPr="00E818C3">
                        <w:rPr>
                          <w:rFonts w:ascii="Calibri" w:hAnsi="Calibri" w:cs="Calibri"/>
                          <w:b/>
                          <w:color w:val="FFFFFF" w:themeColor="background1"/>
                        </w:rPr>
                        <w:t>Nové úvěry</w:t>
                      </w:r>
                    </w:p>
                    <w:p w14:paraId="22AF3257" w14:textId="77777777"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Jsou úvěry, jejichž celý objem poprvé vstupuje do ekonomiky. Do této kategorie nepatří konsolidace úvěrů anebo refinancování úvěrů. Dělí se do tří kategorií:</w:t>
                      </w:r>
                    </w:p>
                    <w:p w14:paraId="362AFB2A" w14:textId="77777777" w:rsidR="0001227F" w:rsidRPr="00E818C3" w:rsidRDefault="0001227F" w:rsidP="00E818C3">
                      <w:pPr>
                        <w:pStyle w:val="ListParagraph"/>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Nákup nemovitosti</w:t>
                      </w:r>
                      <w:r w:rsidRPr="00E818C3">
                        <w:rPr>
                          <w:rFonts w:ascii="Calibri" w:hAnsi="Calibri" w:cs="Calibri"/>
                          <w:color w:val="FFFFFF" w:themeColor="background1"/>
                        </w:rPr>
                        <w:t xml:space="preserve"> </w:t>
                      </w:r>
                    </w:p>
                    <w:p w14:paraId="29F23FA5" w14:textId="6EE96893" w:rsidR="0001227F" w:rsidRPr="00E818C3" w:rsidRDefault="0001227F" w:rsidP="00E818C3">
                      <w:pPr>
                        <w:pStyle w:val="ListParagraph"/>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Výstavba nemovitosti</w:t>
                      </w:r>
                      <w:r w:rsidRPr="00E818C3">
                        <w:rPr>
                          <w:rFonts w:ascii="Calibri" w:hAnsi="Calibri" w:cs="Calibri"/>
                          <w:color w:val="FFFFFF" w:themeColor="background1"/>
                        </w:rPr>
                        <w:t xml:space="preserve"> – včetně rekonstrukce nemovitosti </w:t>
                      </w:r>
                    </w:p>
                    <w:p w14:paraId="4D80580F" w14:textId="11E0715F" w:rsidR="0001227F" w:rsidRPr="00E818C3" w:rsidRDefault="0001227F" w:rsidP="00E818C3">
                      <w:pPr>
                        <w:pStyle w:val="ListParagraph"/>
                        <w:numPr>
                          <w:ilvl w:val="0"/>
                          <w:numId w:val="30"/>
                        </w:numPr>
                        <w:spacing w:line="276" w:lineRule="auto"/>
                        <w:rPr>
                          <w:rFonts w:ascii="Calibri" w:hAnsi="Calibri" w:cs="Calibri"/>
                          <w:color w:val="FFFFFF" w:themeColor="background1"/>
                        </w:rPr>
                      </w:pPr>
                      <w:r w:rsidRPr="00E818C3">
                        <w:rPr>
                          <w:rFonts w:ascii="Calibri" w:hAnsi="Calibri" w:cs="Calibri"/>
                          <w:b/>
                          <w:color w:val="FFFFFF" w:themeColor="background1"/>
                        </w:rPr>
                        <w:t>Ostatní nová ujednání</w:t>
                      </w:r>
                      <w:r w:rsidRPr="00E818C3">
                        <w:rPr>
                          <w:rFonts w:ascii="Calibri" w:hAnsi="Calibri" w:cs="Calibri"/>
                          <w:color w:val="FFFFFF" w:themeColor="background1"/>
                        </w:rPr>
                        <w:t xml:space="preserve"> – pouze nové úvěry, které nijak nesouvisí s koupí nebo výstavbou nemovitosti, např. tzv. americké hypotéky, vypořádání SJM, zpětná úhrada kupní ceny, vypořádání dědického podílu, vypořádání družstevního podílu, atp.</w:t>
                      </w:r>
                    </w:p>
                    <w:p w14:paraId="4FBF1D5A" w14:textId="77777777" w:rsidR="0001227F" w:rsidRPr="0001227F" w:rsidRDefault="0001227F" w:rsidP="0001227F">
                      <w:pPr>
                        <w:spacing w:line="276" w:lineRule="auto"/>
                        <w:ind w:left="708"/>
                        <w:rPr>
                          <w:rFonts w:ascii="Calibri" w:hAnsi="Calibri" w:cs="Calibri"/>
                          <w:color w:val="FFFFFF" w:themeColor="background1"/>
                        </w:rPr>
                      </w:pPr>
                    </w:p>
                    <w:p w14:paraId="71D5E0BB" w14:textId="7D112C27" w:rsidR="0001227F" w:rsidRPr="0001227F"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2. </w:t>
                      </w:r>
                      <w:r w:rsidR="0001227F" w:rsidRPr="0001227F">
                        <w:rPr>
                          <w:rFonts w:ascii="Calibri" w:hAnsi="Calibri" w:cs="Calibri"/>
                          <w:b/>
                          <w:color w:val="FFFFFF" w:themeColor="background1"/>
                        </w:rPr>
                        <w:t>Refinancované úvěry z jiné finanční instituce</w:t>
                      </w:r>
                    </w:p>
                    <w:p w14:paraId="351B5A60" w14:textId="0B5DCBB6" w:rsidR="0001227F" w:rsidRPr="0001227F" w:rsidRDefault="0001227F" w:rsidP="0001227F">
                      <w:pPr>
                        <w:spacing w:line="276" w:lineRule="auto"/>
                        <w:rPr>
                          <w:rFonts w:ascii="Calibri" w:hAnsi="Calibri" w:cs="Calibri"/>
                          <w:color w:val="FFFFFF" w:themeColor="background1"/>
                        </w:rPr>
                      </w:pPr>
                      <w:r w:rsidRPr="0001227F">
                        <w:rPr>
                          <w:rFonts w:ascii="Calibri" w:hAnsi="Calibri" w:cs="Calibri"/>
                          <w:color w:val="FFFFFF" w:themeColor="background1"/>
                        </w:rPr>
                        <w:t xml:space="preserve">Jsou úvěry, které vznikly refinancováním jednoho nebo více úvěrů z jiné finanční instituce než </w:t>
                      </w:r>
                      <w:r w:rsidR="00973197">
                        <w:rPr>
                          <w:rFonts w:ascii="Calibri" w:hAnsi="Calibri" w:cs="Calibri"/>
                          <w:color w:val="FFFFFF" w:themeColor="background1"/>
                        </w:rPr>
                        <w:t>té</w:t>
                      </w:r>
                      <w:r w:rsidRPr="0001227F">
                        <w:rPr>
                          <w:rFonts w:ascii="Calibri" w:hAnsi="Calibri" w:cs="Calibri"/>
                          <w:color w:val="FFFFFF" w:themeColor="background1"/>
                        </w:rPr>
                        <w:t xml:space="preserve"> vykazující. Bez ohledu na výši refinancované částky a bez ohledu na výši případného navýšení se celková výše nově vzniklého úvěru vykazuje do této kategorie. </w:t>
                      </w:r>
                    </w:p>
                    <w:p w14:paraId="7566D2D6" w14:textId="77777777" w:rsidR="0001227F" w:rsidRPr="0001227F" w:rsidRDefault="0001227F" w:rsidP="0001227F">
                      <w:pPr>
                        <w:spacing w:line="276" w:lineRule="auto"/>
                        <w:rPr>
                          <w:rFonts w:ascii="Calibri" w:hAnsi="Calibri" w:cs="Calibri"/>
                          <w:color w:val="FFFFFF" w:themeColor="background1"/>
                        </w:rPr>
                      </w:pPr>
                    </w:p>
                    <w:p w14:paraId="04B36444" w14:textId="4F20B25F" w:rsidR="0001227F" w:rsidRPr="000C045B" w:rsidRDefault="00E818C3" w:rsidP="0001227F">
                      <w:pPr>
                        <w:spacing w:line="276" w:lineRule="auto"/>
                        <w:rPr>
                          <w:rFonts w:ascii="Calibri" w:hAnsi="Calibri" w:cs="Calibri"/>
                          <w:b/>
                          <w:color w:val="FFFFFF" w:themeColor="background1"/>
                        </w:rPr>
                      </w:pPr>
                      <w:r>
                        <w:rPr>
                          <w:rFonts w:ascii="Calibri" w:hAnsi="Calibri" w:cs="Calibri"/>
                          <w:b/>
                          <w:color w:val="FFFFFF" w:themeColor="background1"/>
                        </w:rPr>
                        <w:t xml:space="preserve">3. </w:t>
                      </w:r>
                      <w:r w:rsidR="0001227F" w:rsidRPr="0001227F">
                        <w:rPr>
                          <w:rFonts w:ascii="Calibri" w:hAnsi="Calibri" w:cs="Calibri"/>
                          <w:b/>
                          <w:color w:val="FFFFFF" w:themeColor="background1"/>
                        </w:rPr>
                        <w:t>Navý</w:t>
                      </w:r>
                      <w:r w:rsidR="0001227F" w:rsidRPr="000C045B">
                        <w:rPr>
                          <w:rFonts w:ascii="Calibri" w:hAnsi="Calibri" w:cs="Calibri"/>
                          <w:b/>
                          <w:color w:val="FFFFFF" w:themeColor="background1"/>
                        </w:rPr>
                        <w:t>šené anebo interně refinancované úvěry</w:t>
                      </w:r>
                    </w:p>
                    <w:p w14:paraId="711A3661" w14:textId="2A271010" w:rsidR="0001227F" w:rsidRPr="0001227F" w:rsidRDefault="0001227F" w:rsidP="0001227F">
                      <w:pPr>
                        <w:spacing w:line="276" w:lineRule="auto"/>
                        <w:rPr>
                          <w:rFonts w:ascii="Calibri" w:hAnsi="Calibri" w:cs="Calibri"/>
                          <w:color w:val="FFFFFF" w:themeColor="background1"/>
                        </w:rPr>
                      </w:pPr>
                      <w:r w:rsidRPr="000C045B">
                        <w:rPr>
                          <w:rFonts w:ascii="Calibri" w:hAnsi="Calibri" w:cs="Calibri"/>
                          <w:color w:val="FFFFFF" w:themeColor="background1"/>
                        </w:rPr>
                        <w:t xml:space="preserve">Jsou úvěry, které již </w:t>
                      </w:r>
                      <w:r w:rsidRPr="007C6225">
                        <w:rPr>
                          <w:rFonts w:ascii="Calibri" w:hAnsi="Calibri" w:cs="Calibri"/>
                          <w:color w:val="FFFFFF" w:themeColor="background1"/>
                        </w:rPr>
                        <w:t xml:space="preserve">byly </w:t>
                      </w:r>
                      <w:r w:rsidR="00647A7A">
                        <w:rPr>
                          <w:rFonts w:ascii="Calibri" w:hAnsi="Calibri" w:cs="Calibri"/>
                          <w:color w:val="FFFFFF" w:themeColor="background1"/>
                        </w:rPr>
                        <w:t xml:space="preserve">v </w:t>
                      </w:r>
                      <w:r w:rsidRPr="007C6225">
                        <w:rPr>
                          <w:rFonts w:ascii="Calibri" w:hAnsi="Calibri" w:cs="Calibri"/>
                          <w:color w:val="FFFFFF" w:themeColor="background1"/>
                        </w:rPr>
                        <w:t>předchozí</w:t>
                      </w:r>
                      <w:r w:rsidR="0079039B">
                        <w:rPr>
                          <w:rFonts w:ascii="Calibri" w:hAnsi="Calibri" w:cs="Calibri"/>
                          <w:color w:val="FFFFFF" w:themeColor="background1"/>
                        </w:rPr>
                        <w:t>m</w:t>
                      </w:r>
                      <w:r w:rsidRPr="007C6225">
                        <w:rPr>
                          <w:rFonts w:ascii="Calibri" w:hAnsi="Calibri" w:cs="Calibri"/>
                          <w:color w:val="FFFFFF" w:themeColor="background1"/>
                        </w:rPr>
                        <w:t xml:space="preserve"> vykazované</w:t>
                      </w:r>
                      <w:r w:rsidR="0079039B">
                        <w:rPr>
                          <w:rFonts w:ascii="Calibri" w:hAnsi="Calibri" w:cs="Calibri"/>
                          <w:color w:val="FFFFFF" w:themeColor="background1"/>
                        </w:rPr>
                        <w:t>m</w:t>
                      </w:r>
                      <w:r w:rsidRPr="007C6225">
                        <w:rPr>
                          <w:rFonts w:ascii="Calibri" w:hAnsi="Calibri" w:cs="Calibri"/>
                          <w:color w:val="FFFFFF" w:themeColor="background1"/>
                        </w:rPr>
                        <w:t xml:space="preserve"> období součástí portfolia</w:t>
                      </w:r>
                      <w:r w:rsidRPr="000C045B">
                        <w:rPr>
                          <w:rFonts w:ascii="Calibri" w:hAnsi="Calibri" w:cs="Calibri"/>
                          <w:color w:val="FFFFFF" w:themeColor="background1"/>
                        </w:rPr>
                        <w:t xml:space="preserve"> vykazujícího</w:t>
                      </w:r>
                      <w:r w:rsidRPr="0001227F">
                        <w:rPr>
                          <w:rFonts w:ascii="Calibri" w:hAnsi="Calibri" w:cs="Calibri"/>
                          <w:color w:val="FFFFFF" w:themeColor="background1"/>
                        </w:rPr>
                        <w:t xml:space="preserve"> subjektu, a ve vykazovaném období u nich došlo k některé z následujících změn:</w:t>
                      </w:r>
                    </w:p>
                    <w:p w14:paraId="4A6B00C0" w14:textId="77777777" w:rsidR="00E818C3" w:rsidRDefault="0001227F" w:rsidP="0001227F">
                      <w:pPr>
                        <w:pStyle w:val="ListParagraph"/>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01227F">
                        <w:rPr>
                          <w:rFonts w:ascii="Calibri" w:hAnsi="Calibri" w:cs="Calibri"/>
                          <w:color w:val="FFFFFF" w:themeColor="background1"/>
                        </w:rPr>
                        <w:t xml:space="preserve">navýšení sjednané částky </w:t>
                      </w:r>
                    </w:p>
                    <w:p w14:paraId="44682079" w14:textId="72C23671" w:rsidR="0001227F" w:rsidRDefault="0001227F" w:rsidP="0001227F">
                      <w:pPr>
                        <w:pStyle w:val="ListParagraph"/>
                        <w:numPr>
                          <w:ilvl w:val="0"/>
                          <w:numId w:val="28"/>
                        </w:numPr>
                        <w:overflowPunct/>
                        <w:autoSpaceDE/>
                        <w:autoSpaceDN/>
                        <w:adjustRightInd/>
                        <w:spacing w:line="276" w:lineRule="auto"/>
                        <w:jc w:val="left"/>
                        <w:textAlignment w:val="auto"/>
                        <w:rPr>
                          <w:rFonts w:ascii="Calibri" w:hAnsi="Calibri" w:cs="Calibri"/>
                          <w:color w:val="FFFFFF" w:themeColor="background1"/>
                        </w:rPr>
                      </w:pPr>
                      <w:r w:rsidRPr="00E818C3">
                        <w:rPr>
                          <w:rFonts w:ascii="Calibri" w:hAnsi="Calibri" w:cs="Calibri"/>
                          <w:color w:val="FFFFFF" w:themeColor="background1"/>
                        </w:rPr>
                        <w:t xml:space="preserve">došlo k takovým změnám, že původní úvěr byl v rámci vykazujícího subjektu refinancován/převeden na nový úvěr. </w:t>
                      </w:r>
                      <w:r w:rsidR="00E74228">
                        <w:rPr>
                          <w:rFonts w:ascii="Calibri" w:hAnsi="Calibri" w:cs="Calibri"/>
                          <w:color w:val="FFFFFF" w:themeColor="background1"/>
                        </w:rPr>
                        <w:t>J</w:t>
                      </w:r>
                      <w:r w:rsidRPr="00E818C3">
                        <w:rPr>
                          <w:rFonts w:ascii="Calibri" w:hAnsi="Calibri" w:cs="Calibri"/>
                          <w:color w:val="FFFFFF" w:themeColor="background1"/>
                        </w:rPr>
                        <w:t>de</w:t>
                      </w:r>
                      <w:r w:rsidR="00CD28EC">
                        <w:rPr>
                          <w:rFonts w:ascii="Calibri" w:hAnsi="Calibri" w:cs="Calibri"/>
                          <w:color w:val="FFFFFF" w:themeColor="background1"/>
                        </w:rPr>
                        <w:t xml:space="preserve"> tak o</w:t>
                      </w:r>
                      <w:r w:rsidRPr="00E818C3">
                        <w:rPr>
                          <w:rFonts w:ascii="Calibri" w:hAnsi="Calibri" w:cs="Calibri"/>
                          <w:color w:val="FFFFFF" w:themeColor="background1"/>
                        </w:rPr>
                        <w:t xml:space="preserve"> skutečně </w:t>
                      </w:r>
                      <w:r w:rsidR="00E74228">
                        <w:rPr>
                          <w:rFonts w:ascii="Calibri" w:hAnsi="Calibri" w:cs="Calibri"/>
                          <w:color w:val="FFFFFF" w:themeColor="background1"/>
                        </w:rPr>
                        <w:t>novou smlouvu</w:t>
                      </w:r>
                      <w:r w:rsidR="00132EE9">
                        <w:rPr>
                          <w:rFonts w:ascii="Calibri" w:hAnsi="Calibri" w:cs="Calibri"/>
                          <w:color w:val="FFFFFF" w:themeColor="background1"/>
                        </w:rPr>
                        <w:t xml:space="preserve">, nikoli např. jen </w:t>
                      </w:r>
                      <w:r w:rsidR="007B79F6">
                        <w:rPr>
                          <w:rFonts w:ascii="Calibri" w:hAnsi="Calibri" w:cs="Calibri"/>
                          <w:color w:val="FFFFFF" w:themeColor="background1"/>
                        </w:rPr>
                        <w:t>nové ujednání v rámci refi</w:t>
                      </w:r>
                      <w:r w:rsidR="000F02C1">
                        <w:rPr>
                          <w:rFonts w:ascii="Calibri" w:hAnsi="Calibri" w:cs="Calibri"/>
                          <w:color w:val="FFFFFF" w:themeColor="background1"/>
                        </w:rPr>
                        <w:t xml:space="preserve">xace </w:t>
                      </w:r>
                      <w:r w:rsidR="00132EE9">
                        <w:rPr>
                          <w:rFonts w:ascii="Calibri" w:hAnsi="Calibri" w:cs="Calibri"/>
                          <w:color w:val="FFFFFF" w:themeColor="background1"/>
                        </w:rPr>
                        <w:t xml:space="preserve">stávající smlouvy. Proto je objem takových úvěru ve statistice ČBA nižší oproti „ostatním novým ujednáním“ ve statistice České </w:t>
                      </w:r>
                      <w:r w:rsidR="002D3F94">
                        <w:rPr>
                          <w:rFonts w:ascii="Calibri" w:hAnsi="Calibri" w:cs="Calibri"/>
                          <w:color w:val="FFFFFF" w:themeColor="background1"/>
                        </w:rPr>
                        <w:t>n</w:t>
                      </w:r>
                      <w:r w:rsidR="00132EE9">
                        <w:rPr>
                          <w:rFonts w:ascii="Calibri" w:hAnsi="Calibri" w:cs="Calibri"/>
                          <w:color w:val="FFFFFF" w:themeColor="background1"/>
                        </w:rPr>
                        <w:t xml:space="preserve">árodní </w:t>
                      </w:r>
                      <w:r w:rsidR="002D3F94">
                        <w:rPr>
                          <w:rFonts w:ascii="Calibri" w:hAnsi="Calibri" w:cs="Calibri"/>
                          <w:color w:val="FFFFFF" w:themeColor="background1"/>
                        </w:rPr>
                        <w:t>b</w:t>
                      </w:r>
                      <w:r w:rsidR="00132EE9">
                        <w:rPr>
                          <w:rFonts w:ascii="Calibri" w:hAnsi="Calibri" w:cs="Calibri"/>
                          <w:color w:val="FFFFFF" w:themeColor="background1"/>
                        </w:rPr>
                        <w:t>anky.</w:t>
                      </w:r>
                    </w:p>
                    <w:p w14:paraId="1FAF8B9B" w14:textId="4C474A58" w:rsidR="006F08E1" w:rsidRDefault="006F08E1" w:rsidP="006F08E1">
                      <w:pPr>
                        <w:overflowPunct/>
                        <w:autoSpaceDE/>
                        <w:autoSpaceDN/>
                        <w:adjustRightInd/>
                        <w:spacing w:line="276" w:lineRule="auto"/>
                        <w:jc w:val="left"/>
                        <w:textAlignment w:val="auto"/>
                        <w:rPr>
                          <w:rFonts w:ascii="Calibri" w:hAnsi="Calibri" w:cs="Calibri"/>
                          <w:color w:val="FFFFFF" w:themeColor="background1"/>
                        </w:rPr>
                      </w:pPr>
                    </w:p>
                    <w:p w14:paraId="65FC0189" w14:textId="761DFD60" w:rsidR="006F08E1" w:rsidRPr="006F08E1" w:rsidRDefault="001F49EA" w:rsidP="006F08E1">
                      <w:pPr>
                        <w:overflowPunct/>
                        <w:autoSpaceDE/>
                        <w:autoSpaceDN/>
                        <w:adjustRightInd/>
                        <w:spacing w:line="276" w:lineRule="auto"/>
                        <w:jc w:val="left"/>
                        <w:textAlignment w:val="auto"/>
                        <w:rPr>
                          <w:rFonts w:ascii="Calibri" w:hAnsi="Calibri" w:cs="Calibri"/>
                          <w:color w:val="FFFFFF" w:themeColor="background1"/>
                        </w:rPr>
                      </w:pPr>
                      <w:r w:rsidRPr="001F49EA">
                        <w:rPr>
                          <w:rFonts w:ascii="Calibri" w:hAnsi="Calibri" w:cs="Calibri"/>
                          <w:color w:val="FFFFFF" w:themeColor="background1"/>
                        </w:rPr>
                        <w:t xml:space="preserve">Data pro ČBA </w:t>
                      </w:r>
                      <w:proofErr w:type="spellStart"/>
                      <w:r w:rsidRPr="001F49EA">
                        <w:rPr>
                          <w:rFonts w:ascii="Calibri" w:hAnsi="Calibri" w:cs="Calibri"/>
                          <w:color w:val="FFFFFF" w:themeColor="background1"/>
                        </w:rPr>
                        <w:t>Hypomonitor</w:t>
                      </w:r>
                      <w:proofErr w:type="spellEnd"/>
                      <w:r w:rsidRPr="001F49EA">
                        <w:rPr>
                          <w:rFonts w:ascii="Calibri" w:hAnsi="Calibri" w:cs="Calibri"/>
                          <w:color w:val="FFFFFF" w:themeColor="background1"/>
                        </w:rPr>
                        <w:t xml:space="preserve"> poskytují následující banky a stavební spořitelny: Air Bank, Banka </w:t>
                      </w:r>
                      <w:proofErr w:type="spellStart"/>
                      <w:r w:rsidRPr="001F49EA">
                        <w:rPr>
                          <w:rFonts w:ascii="Calibri" w:hAnsi="Calibri" w:cs="Calibri"/>
                          <w:color w:val="FFFFFF" w:themeColor="background1"/>
                        </w:rPr>
                        <w:t>Creditas</w:t>
                      </w:r>
                      <w:proofErr w:type="spellEnd"/>
                      <w:r w:rsidRPr="001F49EA">
                        <w:rPr>
                          <w:rFonts w:ascii="Calibri" w:hAnsi="Calibri" w:cs="Calibri"/>
                          <w:color w:val="FFFFFF" w:themeColor="background1"/>
                        </w:rPr>
                        <w:t xml:space="preserve">, Česká spořitelna, ČSOB, ČSOB Stavební spořitelna, Fio banka, Hypoteční banka, Komerční banka, mBank, Modrá pyramida, MONETA Money Bank, MONETA Stavební spořitelna, </w:t>
                      </w:r>
                      <w:proofErr w:type="spellStart"/>
                      <w:r w:rsidRPr="001F49EA">
                        <w:rPr>
                          <w:rFonts w:ascii="Calibri" w:hAnsi="Calibri" w:cs="Calibri"/>
                          <w:color w:val="FFFFFF" w:themeColor="background1"/>
                        </w:rPr>
                        <w:t>Oberbank</w:t>
                      </w:r>
                      <w:proofErr w:type="spellEnd"/>
                      <w:r w:rsidRPr="001F49EA">
                        <w:rPr>
                          <w:rFonts w:ascii="Calibri" w:hAnsi="Calibri" w:cs="Calibri"/>
                          <w:color w:val="FFFFFF" w:themeColor="background1"/>
                        </w:rPr>
                        <w:t xml:space="preserve">, </w:t>
                      </w:r>
                      <w:proofErr w:type="spellStart"/>
                      <w:r w:rsidRPr="001F49EA">
                        <w:rPr>
                          <w:rFonts w:ascii="Calibri" w:hAnsi="Calibri" w:cs="Calibri"/>
                          <w:color w:val="FFFFFF" w:themeColor="background1"/>
                        </w:rPr>
                        <w:t>Raiffeisen</w:t>
                      </w:r>
                      <w:proofErr w:type="spellEnd"/>
                      <w:r w:rsidRPr="001F49EA">
                        <w:rPr>
                          <w:rFonts w:ascii="Calibri" w:hAnsi="Calibri" w:cs="Calibri"/>
                          <w:color w:val="FFFFFF" w:themeColor="background1"/>
                        </w:rPr>
                        <w:t xml:space="preserve"> stavební spořitelna, Raiffeisenbank, Sberbank, Stavební spořitelna České spořitelny, UniCredit Bank</w:t>
                      </w:r>
                      <w:r>
                        <w:rPr>
                          <w:rFonts w:ascii="Calibri" w:hAnsi="Calibri" w:cs="Calibri"/>
                          <w:color w:val="FFFFFF" w:themeColor="background1"/>
                        </w:rPr>
                        <w:t>.</w:t>
                      </w:r>
                    </w:p>
                  </w:txbxContent>
                </v:textbox>
                <w10:wrap type="square"/>
              </v:shape>
            </w:pict>
          </mc:Fallback>
        </mc:AlternateContent>
      </w:r>
      <w:r w:rsidR="00E818C3">
        <w:rPr>
          <w:rFonts w:ascii="Calibri" w:hAnsi="Calibri" w:cs="Calibri"/>
          <w:i/>
          <w:iCs/>
          <w:sz w:val="20"/>
        </w:rPr>
        <w:t xml:space="preserve"> </w:t>
      </w:r>
    </w:p>
    <w:p w14:paraId="03609C5E" w14:textId="1B8DE88E" w:rsidR="00EF607A" w:rsidRPr="0001227F" w:rsidRDefault="00C948E7">
      <w:pPr>
        <w:overflowPunct/>
        <w:autoSpaceDE/>
        <w:autoSpaceDN/>
        <w:adjustRightInd/>
        <w:spacing w:after="160" w:line="259" w:lineRule="auto"/>
        <w:jc w:val="left"/>
        <w:textAlignment w:val="auto"/>
        <w:rPr>
          <w:rFonts w:ascii="Calibri" w:hAnsi="Calibri" w:cs="Calibri"/>
          <w:sz w:val="20"/>
        </w:rPr>
      </w:pPr>
      <w:r w:rsidRPr="0001227F">
        <w:rPr>
          <w:rFonts w:ascii="Calibri" w:eastAsiaTheme="minorEastAsia" w:hAnsi="Calibri" w:cs="Calibri"/>
          <w:i/>
          <w:iCs/>
          <w:noProof/>
          <w:sz w:val="16"/>
          <w:szCs w:val="18"/>
          <w:lang w:val="en-GB" w:eastAsia="en-GB"/>
        </w:rPr>
        <mc:AlternateContent>
          <mc:Choice Requires="wps">
            <w:drawing>
              <wp:anchor distT="0" distB="0" distL="114300" distR="114300" simplePos="0" relativeHeight="251678720" behindDoc="0" locked="0" layoutInCell="1" allowOverlap="1" wp14:anchorId="6D0BA4F4" wp14:editId="2E1F4E3A">
                <wp:simplePos x="0" y="0"/>
                <wp:positionH relativeFrom="margin">
                  <wp:posOffset>-34925</wp:posOffset>
                </wp:positionH>
                <wp:positionV relativeFrom="paragraph">
                  <wp:posOffset>78740</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9" w:history="1">
                              <w:r w:rsidR="002D4720" w:rsidRPr="002D4720">
                                <w:rPr>
                                  <w:rStyle w:val="Hypertextovodkaz"/>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27" style="position:absolute;margin-left:-2.75pt;margin-top:6.2pt;width:340.35pt;height:1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" fillcolor="#bfbfbf [2412]" stroked="f" strokeweight="1pt">
                <v:textbox inset="3mm,3mm,3mm,3mm">
                  <w:txbxContent>
                    <w:p w14:paraId="7E6E2C6A" w14:textId="77777777" w:rsidR="0065124E" w:rsidRPr="002D4720" w:rsidRDefault="0065124E" w:rsidP="00060D7F">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63AAED65" w14:textId="6225681F" w:rsidR="0065124E" w:rsidRPr="002D4720" w:rsidRDefault="0065124E" w:rsidP="00060D7F">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sidR="009C40F8">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sidR="002D4720">
                        <w:rPr>
                          <w:rFonts w:ascii="Calibri" w:hAnsi="Calibri" w:cs="Calibri"/>
                          <w:szCs w:val="18"/>
                        </w:rPr>
                        <w:t xml:space="preserve"> Více informací na </w:t>
                      </w:r>
                      <w:hyperlink r:id="rId10" w:history="1">
                        <w:r w:rsidR="002D4720" w:rsidRPr="002D4720">
                          <w:rPr>
                            <w:rStyle w:val="Hyperlink"/>
                            <w:rFonts w:ascii="Calibri" w:hAnsi="Calibri" w:cs="Calibri"/>
                            <w:color w:val="FFFFFF" w:themeColor="background1"/>
                            <w:szCs w:val="18"/>
                          </w:rPr>
                          <w:t>www.cbaonline.cz</w:t>
                        </w:r>
                      </w:hyperlink>
                      <w:r w:rsidR="002D4720" w:rsidRPr="002D4720">
                        <w:rPr>
                          <w:rFonts w:ascii="Calibri" w:hAnsi="Calibri" w:cs="Calibri"/>
                          <w:color w:val="FFFFFF" w:themeColor="background1"/>
                          <w:szCs w:val="18"/>
                        </w:rPr>
                        <w:t xml:space="preserve"> </w:t>
                      </w:r>
                    </w:p>
                  </w:txbxContent>
                </v:textbox>
                <w10:wrap anchorx="margin"/>
              </v:rect>
            </w:pict>
          </mc:Fallback>
        </mc:AlternateContent>
      </w:r>
      <w:r w:rsidRPr="0001227F">
        <w:rPr>
          <w:rFonts w:ascii="Calibri" w:eastAsiaTheme="minorEastAsia" w:hAnsi="Calibri" w:cs="Calibri"/>
          <w:i/>
          <w:iCs/>
          <w:noProof/>
          <w:sz w:val="16"/>
          <w:szCs w:val="18"/>
          <w:lang w:val="en-GB" w:eastAsia="en-GB"/>
        </w:rPr>
        <mc:AlternateContent>
          <mc:Choice Requires="wps">
            <w:drawing>
              <wp:anchor distT="0" distB="0" distL="114300" distR="114300" simplePos="0" relativeHeight="251680768" behindDoc="0" locked="0" layoutInCell="1" allowOverlap="1" wp14:anchorId="70D3B697" wp14:editId="461EA5C8">
                <wp:simplePos x="0" y="0"/>
                <wp:positionH relativeFrom="margin">
                  <wp:posOffset>4345940</wp:posOffset>
                </wp:positionH>
                <wp:positionV relativeFrom="paragraph">
                  <wp:posOffset>81915</wp:posOffset>
                </wp:positionV>
                <wp:extent cx="219329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1546860"/>
                        </a:xfrm>
                        <a:prstGeom prst="rect">
                          <a:avLst/>
                        </a:prstGeom>
                        <a:solidFill>
                          <a:srgbClr val="13576B">
                            <a:alpha val="86000"/>
                          </a:srgbClr>
                        </a:solidFill>
                        <a:ln>
                          <a:noFill/>
                        </a:ln>
                      </wps:spPr>
                      <wps:txbx>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23BE0F27" w:rsidR="0065124E" w:rsidRPr="002D4720" w:rsidRDefault="007B4508" w:rsidP="007B4508">
                            <w:pPr>
                              <w:spacing w:line="276" w:lineRule="auto"/>
                              <w:jc w:val="left"/>
                              <w:outlineLvl w:val="0"/>
                              <w:rPr>
                                <w:rFonts w:ascii="Calibri" w:hAnsi="Calibri" w:cs="Calibri"/>
                                <w:b/>
                                <w:color w:val="FFFFFF" w:themeColor="background1"/>
                                <w:sz w:val="20"/>
                                <w:szCs w:val="18"/>
                              </w:rPr>
                            </w:pPr>
                            <w:r>
                              <w:rPr>
                                <w:rFonts w:ascii="Calibri" w:hAnsi="Calibri" w:cs="Calibri"/>
                                <w:b/>
                                <w:color w:val="FFFFFF" w:themeColor="background1"/>
                                <w:sz w:val="20"/>
                                <w:szCs w:val="18"/>
                              </w:rPr>
                              <w:t>rádi poskytneme: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2352EA51" w:rsidR="0065124E" w:rsidRPr="002D4720" w:rsidRDefault="00B9205C"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Radek Šalša</w:t>
                            </w:r>
                          </w:p>
                          <w:p w14:paraId="599CC908" w14:textId="7EBF7721"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752C9003" w:rsidR="0065124E" w:rsidRPr="002D4720" w:rsidRDefault="00B9205C"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radek</w:t>
                            </w:r>
                            <w:r w:rsidR="004555E6" w:rsidRPr="002D4720">
                              <w:rPr>
                                <w:rFonts w:ascii="Calibri" w:hAnsi="Calibri" w:cs="Calibri"/>
                                <w:color w:val="FFFFFF" w:themeColor="background1"/>
                                <w:szCs w:val="18"/>
                              </w:rPr>
                              <w:t>.</w:t>
                            </w:r>
                            <w:r>
                              <w:rPr>
                                <w:rFonts w:ascii="Calibri" w:hAnsi="Calibri" w:cs="Calibri"/>
                                <w:color w:val="FFFFFF" w:themeColor="background1"/>
                                <w:szCs w:val="18"/>
                              </w:rPr>
                              <w:t>salsa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6FA5926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 xml:space="preserve">tel: + </w:t>
                            </w:r>
                            <w:r w:rsidRPr="00795F3C">
                              <w:rPr>
                                <w:rFonts w:ascii="Calibri" w:hAnsi="Calibri" w:cs="Calibri"/>
                                <w:color w:val="FFFFFF" w:themeColor="background1"/>
                                <w:szCs w:val="18"/>
                              </w:rPr>
                              <w:t>420</w:t>
                            </w:r>
                            <w:r w:rsidR="008C5D4D" w:rsidRPr="00795F3C">
                              <w:rPr>
                                <w:rFonts w:ascii="Calibri" w:hAnsi="Calibri" w:cs="Calibri"/>
                                <w:color w:val="FFFFFF" w:themeColor="background1"/>
                                <w:szCs w:val="18"/>
                              </w:rPr>
                              <w:t> 73</w:t>
                            </w:r>
                            <w:r w:rsidR="00795F3C">
                              <w:rPr>
                                <w:rFonts w:ascii="Calibri" w:hAnsi="Calibri" w:cs="Calibri"/>
                                <w:color w:val="FFFFFF" w:themeColor="background1"/>
                                <w:szCs w:val="18"/>
                              </w:rPr>
                              <w:t>1</w:t>
                            </w:r>
                            <w:r w:rsidR="008C5D4D" w:rsidRPr="00795F3C">
                              <w:rPr>
                                <w:rFonts w:ascii="Calibri" w:hAnsi="Calibri" w:cs="Calibri"/>
                                <w:color w:val="FFFFFF" w:themeColor="background1"/>
                                <w:szCs w:val="18"/>
                              </w:rPr>
                              <w:t> </w:t>
                            </w:r>
                            <w:r w:rsidR="00795F3C">
                              <w:rPr>
                                <w:rFonts w:ascii="Calibri" w:hAnsi="Calibri" w:cs="Calibri"/>
                                <w:color w:val="FFFFFF" w:themeColor="background1"/>
                                <w:szCs w:val="18"/>
                              </w:rPr>
                              <w:t>494</w:t>
                            </w:r>
                            <w:r w:rsidR="008C5D4D" w:rsidRPr="00795F3C">
                              <w:rPr>
                                <w:rFonts w:ascii="Calibri" w:hAnsi="Calibri" w:cs="Calibri"/>
                                <w:color w:val="FFFFFF" w:themeColor="background1"/>
                                <w:szCs w:val="18"/>
                              </w:rPr>
                              <w:t xml:space="preserve"> 1</w:t>
                            </w:r>
                            <w:r w:rsidR="00795F3C">
                              <w:rPr>
                                <w:rFonts w:ascii="Calibri" w:hAnsi="Calibri" w:cs="Calibri"/>
                                <w:color w:val="FFFFFF" w:themeColor="background1"/>
                                <w:szCs w:val="18"/>
                              </w:rPr>
                              <w:t>28</w:t>
                            </w:r>
                          </w:p>
                          <w:p w14:paraId="68E9F459" w14:textId="77777777" w:rsidR="0065124E" w:rsidRPr="002D4720" w:rsidRDefault="0065124E" w:rsidP="00044002">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Obdélník 200" o:spid="_x0000_s1028" style="position:absolute;margin-left:342.2pt;margin-top:6.45pt;width:172.7pt;height:12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" fillcolor="#13576b" stroked="f">
                <v:fill opacity="56283f"/>
                <v:textbox inset="3mm,3mm,3mm,3mm">
                  <w:txbxContent>
                    <w:p w14:paraId="54D0A7AB" w14:textId="77777777" w:rsidR="0065124E" w:rsidRPr="002D4720" w:rsidRDefault="0065124E" w:rsidP="00044002">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3BD2C87" w14:textId="23BE0F27" w:rsidR="0065124E" w:rsidRPr="002D4720" w:rsidRDefault="007B4508" w:rsidP="007B4508">
                      <w:pPr>
                        <w:spacing w:line="276" w:lineRule="auto"/>
                        <w:jc w:val="left"/>
                        <w:outlineLvl w:val="0"/>
                        <w:rPr>
                          <w:rFonts w:ascii="Calibri" w:hAnsi="Calibri" w:cs="Calibri"/>
                          <w:b/>
                          <w:color w:val="FFFFFF" w:themeColor="background1"/>
                          <w:sz w:val="20"/>
                          <w:szCs w:val="18"/>
                        </w:rPr>
                      </w:pPr>
                      <w:r>
                        <w:rPr>
                          <w:rFonts w:ascii="Calibri" w:hAnsi="Calibri" w:cs="Calibri"/>
                          <w:b/>
                          <w:color w:val="FFFFFF" w:themeColor="background1"/>
                          <w:sz w:val="20"/>
                          <w:szCs w:val="18"/>
                        </w:rPr>
                        <w:t>rádi poskytneme:</w:t>
                      </w:r>
                    </w:p>
                    <w:p w14:paraId="6B6215FA" w14:textId="77777777" w:rsidR="0065124E" w:rsidRPr="002D4720" w:rsidRDefault="0065124E" w:rsidP="00044002">
                      <w:pPr>
                        <w:spacing w:line="276" w:lineRule="auto"/>
                        <w:jc w:val="left"/>
                        <w:rPr>
                          <w:rFonts w:ascii="Calibri" w:hAnsi="Calibri" w:cs="Calibri"/>
                          <w:b/>
                          <w:color w:val="FFFFFF" w:themeColor="background1"/>
                          <w:szCs w:val="18"/>
                        </w:rPr>
                      </w:pPr>
                    </w:p>
                    <w:p w14:paraId="2CF1F6FB" w14:textId="2352EA51" w:rsidR="0065124E" w:rsidRPr="002D4720" w:rsidRDefault="00B9205C" w:rsidP="00044002">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Radek Šalša</w:t>
                      </w:r>
                    </w:p>
                    <w:p w14:paraId="599CC908" w14:textId="7EBF7721"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6ED92D8B" w14:textId="752C9003" w:rsidR="0065124E" w:rsidRPr="002D4720" w:rsidRDefault="00B9205C" w:rsidP="00044002">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radek</w:t>
                      </w:r>
                      <w:r w:rsidR="004555E6" w:rsidRPr="002D4720">
                        <w:rPr>
                          <w:rFonts w:ascii="Calibri" w:hAnsi="Calibri" w:cs="Calibri"/>
                          <w:color w:val="FFFFFF" w:themeColor="background1"/>
                          <w:szCs w:val="18"/>
                        </w:rPr>
                        <w:t>.</w:t>
                      </w:r>
                      <w:r>
                        <w:rPr>
                          <w:rFonts w:ascii="Calibri" w:hAnsi="Calibri" w:cs="Calibri"/>
                          <w:color w:val="FFFFFF" w:themeColor="background1"/>
                          <w:szCs w:val="18"/>
                        </w:rPr>
                        <w:t>salsa</w:t>
                      </w:r>
                      <w:r w:rsidR="0065124E" w:rsidRPr="002D4720">
                        <w:rPr>
                          <w:rFonts w:ascii="Calibri" w:hAnsi="Calibri" w:cs="Calibri"/>
                          <w:color w:val="FFFFFF" w:themeColor="background1"/>
                          <w:szCs w:val="18"/>
                        </w:rPr>
                        <w:t>@</w:t>
                      </w:r>
                      <w:r w:rsidR="004555E6" w:rsidRPr="002D4720">
                        <w:rPr>
                          <w:rFonts w:ascii="Calibri" w:hAnsi="Calibri" w:cs="Calibri"/>
                          <w:color w:val="FFFFFF" w:themeColor="background1"/>
                          <w:szCs w:val="18"/>
                        </w:rPr>
                        <w:t>cbaonline</w:t>
                      </w:r>
                      <w:r w:rsidR="0065124E" w:rsidRPr="002D4720">
                        <w:rPr>
                          <w:rFonts w:ascii="Calibri" w:hAnsi="Calibri" w:cs="Calibri"/>
                          <w:color w:val="FFFFFF" w:themeColor="background1"/>
                          <w:szCs w:val="18"/>
                        </w:rPr>
                        <w:t>.cz</w:t>
                      </w:r>
                    </w:p>
                    <w:p w14:paraId="1CB50E15" w14:textId="6FA59267" w:rsidR="0065124E" w:rsidRPr="002D4720" w:rsidRDefault="0065124E" w:rsidP="00044002">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 xml:space="preserve">tel: + </w:t>
                      </w:r>
                      <w:r w:rsidRPr="00795F3C">
                        <w:rPr>
                          <w:rFonts w:ascii="Calibri" w:hAnsi="Calibri" w:cs="Calibri"/>
                          <w:color w:val="FFFFFF" w:themeColor="background1"/>
                          <w:szCs w:val="18"/>
                        </w:rPr>
                        <w:t>420</w:t>
                      </w:r>
                      <w:r w:rsidR="008C5D4D" w:rsidRPr="00795F3C">
                        <w:rPr>
                          <w:rFonts w:ascii="Calibri" w:hAnsi="Calibri" w:cs="Calibri"/>
                          <w:color w:val="FFFFFF" w:themeColor="background1"/>
                          <w:szCs w:val="18"/>
                        </w:rPr>
                        <w:t> 73</w:t>
                      </w:r>
                      <w:r w:rsidR="00795F3C">
                        <w:rPr>
                          <w:rFonts w:ascii="Calibri" w:hAnsi="Calibri" w:cs="Calibri"/>
                          <w:color w:val="FFFFFF" w:themeColor="background1"/>
                          <w:szCs w:val="18"/>
                        </w:rPr>
                        <w:t>1</w:t>
                      </w:r>
                      <w:r w:rsidR="008C5D4D" w:rsidRPr="00795F3C">
                        <w:rPr>
                          <w:rFonts w:ascii="Calibri" w:hAnsi="Calibri" w:cs="Calibri"/>
                          <w:color w:val="FFFFFF" w:themeColor="background1"/>
                          <w:szCs w:val="18"/>
                        </w:rPr>
                        <w:t> </w:t>
                      </w:r>
                      <w:r w:rsidR="00795F3C">
                        <w:rPr>
                          <w:rFonts w:ascii="Calibri" w:hAnsi="Calibri" w:cs="Calibri"/>
                          <w:color w:val="FFFFFF" w:themeColor="background1"/>
                          <w:szCs w:val="18"/>
                        </w:rPr>
                        <w:t>494</w:t>
                      </w:r>
                      <w:r w:rsidR="008C5D4D" w:rsidRPr="00795F3C">
                        <w:rPr>
                          <w:rFonts w:ascii="Calibri" w:hAnsi="Calibri" w:cs="Calibri"/>
                          <w:color w:val="FFFFFF" w:themeColor="background1"/>
                          <w:szCs w:val="18"/>
                        </w:rPr>
                        <w:t xml:space="preserve"> 1</w:t>
                      </w:r>
                      <w:r w:rsidR="00795F3C">
                        <w:rPr>
                          <w:rFonts w:ascii="Calibri" w:hAnsi="Calibri" w:cs="Calibri"/>
                          <w:color w:val="FFFFFF" w:themeColor="background1"/>
                          <w:szCs w:val="18"/>
                        </w:rPr>
                        <w:t>28</w:t>
                      </w:r>
                    </w:p>
                    <w:p w14:paraId="68E9F459" w14:textId="77777777" w:rsidR="0065124E" w:rsidRPr="002D4720" w:rsidRDefault="0065124E" w:rsidP="00044002">
                      <w:pPr>
                        <w:jc w:val="left"/>
                        <w:rPr>
                          <w:rFonts w:ascii="Calibri" w:hAnsi="Calibri" w:cs="Calibri"/>
                        </w:rPr>
                      </w:pPr>
                    </w:p>
                  </w:txbxContent>
                </v:textbox>
                <w10:wrap anchorx="margin"/>
              </v:rect>
            </w:pict>
          </mc:Fallback>
        </mc:AlternateContent>
      </w:r>
    </w:p>
    <w:p w14:paraId="786B9B74" w14:textId="4ED22AB4"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1B84242B" w14:textId="4C17CB69"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4F7DD2BE" w14:textId="4F73BA44"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1852EEE6" w14:textId="5AC84C41"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61319865" w14:textId="2CC22C1B"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72EFDF26" w14:textId="4084CDD3" w:rsidR="0069373F" w:rsidRPr="0001227F" w:rsidRDefault="0069373F">
      <w:pPr>
        <w:overflowPunct/>
        <w:autoSpaceDE/>
        <w:autoSpaceDN/>
        <w:adjustRightInd/>
        <w:spacing w:after="160" w:line="259" w:lineRule="auto"/>
        <w:jc w:val="left"/>
        <w:textAlignment w:val="auto"/>
        <w:rPr>
          <w:rFonts w:ascii="Calibri" w:hAnsi="Calibri" w:cs="Calibri"/>
          <w:sz w:val="20"/>
        </w:rPr>
      </w:pPr>
    </w:p>
    <w:p w14:paraId="79952D08" w14:textId="12BEC237" w:rsidR="00C42F00" w:rsidRPr="0001227F" w:rsidRDefault="00C42F00" w:rsidP="008B1C16">
      <w:pPr>
        <w:spacing w:line="276" w:lineRule="auto"/>
        <w:contextualSpacing/>
        <w:rPr>
          <w:rFonts w:ascii="Calibri" w:hAnsi="Calibri" w:cs="Calibri"/>
          <w:sz w:val="20"/>
        </w:rPr>
      </w:pPr>
    </w:p>
    <w:sectPr w:rsidR="00C42F00" w:rsidRPr="0001227F" w:rsidSect="0001227F">
      <w:headerReference w:type="default" r:id="rId11"/>
      <w:footerReference w:type="default" r:id="rId12"/>
      <w:pgSz w:w="11906" w:h="16838"/>
      <w:pgMar w:top="2552" w:right="849"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76E7" w14:textId="77777777" w:rsidR="00C8163D" w:rsidRDefault="00C8163D" w:rsidP="00F573F1">
      <w:r>
        <w:separator/>
      </w:r>
    </w:p>
  </w:endnote>
  <w:endnote w:type="continuationSeparator" w:id="0">
    <w:p w14:paraId="670A004A" w14:textId="77777777" w:rsidR="00C8163D" w:rsidRDefault="00C8163D"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90799"/>
      <w:docPartObj>
        <w:docPartGallery w:val="Page Numbers (Bottom of Page)"/>
        <w:docPartUnique/>
      </w:docPartObj>
    </w:sdtPr>
    <w:sdtEndPr/>
    <w:sdtContent>
      <w:sdt>
        <w:sdtPr>
          <w:id w:val="-1769616900"/>
          <w:docPartObj>
            <w:docPartGallery w:val="Page Numbers (Top of Page)"/>
            <w:docPartUnique/>
          </w:docPartObj>
        </w:sdtPr>
        <w:sdtEndPr/>
        <w:sdtContent>
          <w:p w14:paraId="5E2EB97C" w14:textId="016AD999" w:rsidR="001E31AB" w:rsidRDefault="001E31AB">
            <w:pPr>
              <w:pStyle w:val="Zpat"/>
              <w:jc w:val="right"/>
            </w:pPr>
            <w:r w:rsidRPr="001E31AB">
              <w:rPr>
                <w:rFonts w:ascii="Calibri" w:hAnsi="Calibri"/>
                <w:noProof/>
                <w:szCs w:val="18"/>
                <w:lang w:val="en-GB" w:eastAsia="en-GB"/>
              </w:rPr>
              <w:drawing>
                <wp:anchor distT="0" distB="0" distL="114300" distR="114300" simplePos="0" relativeHeight="251666432" behindDoc="0" locked="0" layoutInCell="1" allowOverlap="1" wp14:anchorId="7B2A8544" wp14:editId="09B386F6">
                  <wp:simplePos x="0" y="0"/>
                  <wp:positionH relativeFrom="column">
                    <wp:posOffset>-540385</wp:posOffset>
                  </wp:positionH>
                  <wp:positionV relativeFrom="paragraph">
                    <wp:posOffset>-365760</wp:posOffset>
                  </wp:positionV>
                  <wp:extent cx="3042285" cy="701040"/>
                  <wp:effectExtent l="0" t="0" r="571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31AB">
              <w:rPr>
                <w:rFonts w:ascii="Calibri" w:hAnsi="Calibri"/>
                <w:szCs w:val="18"/>
              </w:rPr>
              <w:t xml:space="preserve">Stránka </w:t>
            </w:r>
            <w:r w:rsidRPr="001E31AB">
              <w:rPr>
                <w:rFonts w:ascii="Calibri" w:hAnsi="Calibri"/>
                <w:b/>
                <w:bCs/>
                <w:szCs w:val="18"/>
              </w:rPr>
              <w:fldChar w:fldCharType="begin"/>
            </w:r>
            <w:r w:rsidRPr="001E31AB">
              <w:rPr>
                <w:rFonts w:ascii="Calibri" w:hAnsi="Calibri"/>
                <w:b/>
                <w:bCs/>
                <w:szCs w:val="18"/>
              </w:rPr>
              <w:instrText>PAGE</w:instrText>
            </w:r>
            <w:r w:rsidRPr="001E31AB">
              <w:rPr>
                <w:rFonts w:ascii="Calibri" w:hAnsi="Calibri"/>
                <w:b/>
                <w:bCs/>
                <w:szCs w:val="18"/>
              </w:rPr>
              <w:fldChar w:fldCharType="separate"/>
            </w:r>
            <w:r w:rsidR="005F4B41">
              <w:rPr>
                <w:rFonts w:ascii="Calibri" w:hAnsi="Calibri"/>
                <w:b/>
                <w:bCs/>
                <w:noProof/>
                <w:szCs w:val="18"/>
              </w:rPr>
              <w:t>1</w:t>
            </w:r>
            <w:r w:rsidRPr="001E31AB">
              <w:rPr>
                <w:rFonts w:ascii="Calibri" w:hAnsi="Calibri"/>
                <w:b/>
                <w:bCs/>
                <w:szCs w:val="18"/>
              </w:rPr>
              <w:fldChar w:fldCharType="end"/>
            </w:r>
            <w:r w:rsidRPr="001E31AB">
              <w:rPr>
                <w:rFonts w:ascii="Calibri" w:hAnsi="Calibri"/>
                <w:szCs w:val="18"/>
              </w:rPr>
              <w:t xml:space="preserve"> z </w:t>
            </w:r>
            <w:r w:rsidRPr="001E31AB">
              <w:rPr>
                <w:rFonts w:ascii="Calibri" w:hAnsi="Calibri"/>
                <w:b/>
                <w:bCs/>
                <w:szCs w:val="18"/>
              </w:rPr>
              <w:fldChar w:fldCharType="begin"/>
            </w:r>
            <w:r w:rsidRPr="001E31AB">
              <w:rPr>
                <w:rFonts w:ascii="Calibri" w:hAnsi="Calibri"/>
                <w:b/>
                <w:bCs/>
                <w:szCs w:val="18"/>
              </w:rPr>
              <w:instrText>NUMPAGES</w:instrText>
            </w:r>
            <w:r w:rsidRPr="001E31AB">
              <w:rPr>
                <w:rFonts w:ascii="Calibri" w:hAnsi="Calibri"/>
                <w:b/>
                <w:bCs/>
                <w:szCs w:val="18"/>
              </w:rPr>
              <w:fldChar w:fldCharType="separate"/>
            </w:r>
            <w:r w:rsidR="005F4B41">
              <w:rPr>
                <w:rFonts w:ascii="Calibri" w:hAnsi="Calibri"/>
                <w:b/>
                <w:bCs/>
                <w:noProof/>
                <w:szCs w:val="18"/>
              </w:rPr>
              <w:t>2</w:t>
            </w:r>
            <w:r w:rsidRPr="001E31AB">
              <w:rPr>
                <w:rFonts w:ascii="Calibri" w:hAnsi="Calibri"/>
                <w:b/>
                <w:bCs/>
                <w:szCs w:val="18"/>
              </w:rPr>
              <w:fldChar w:fldCharType="end"/>
            </w:r>
          </w:p>
        </w:sdtContent>
      </w:sdt>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317B" w14:textId="77777777" w:rsidR="00C8163D" w:rsidRDefault="00C8163D" w:rsidP="00F573F1">
      <w:r>
        <w:separator/>
      </w:r>
    </w:p>
  </w:footnote>
  <w:footnote w:type="continuationSeparator" w:id="0">
    <w:p w14:paraId="0E7B3488" w14:textId="77777777" w:rsidR="00C8163D" w:rsidRDefault="00C8163D" w:rsidP="00F573F1">
      <w:r>
        <w:continuationSeparator/>
      </w:r>
    </w:p>
  </w:footnote>
  <w:footnote w:id="1">
    <w:p w14:paraId="012372BD" w14:textId="1BA8E9CE" w:rsidR="00597DD9" w:rsidRPr="007C6225" w:rsidRDefault="00597DD9" w:rsidP="00597DD9">
      <w:pPr>
        <w:pStyle w:val="Textpoznpodarou"/>
        <w:rPr>
          <w:rFonts w:ascii="Calibri" w:hAnsi="Calibri" w:cs="Calibri"/>
          <w:sz w:val="17"/>
          <w:szCs w:val="17"/>
        </w:rPr>
      </w:pPr>
      <w:r w:rsidRPr="007C6225">
        <w:rPr>
          <w:rStyle w:val="Znakapoznpodarou"/>
          <w:rFonts w:ascii="Calibri" w:hAnsi="Calibri" w:cs="Calibri"/>
          <w:sz w:val="17"/>
          <w:szCs w:val="17"/>
        </w:rPr>
        <w:footnoteRef/>
      </w:r>
      <w:r w:rsidRPr="007C6225">
        <w:rPr>
          <w:rFonts w:ascii="Calibri" w:hAnsi="Calibri" w:cs="Calibri"/>
          <w:sz w:val="17"/>
          <w:szCs w:val="17"/>
        </w:rPr>
        <w:t xml:space="preserve"> Jedná se především o dlouholeté úrokové swapy (</w:t>
      </w:r>
      <w:proofErr w:type="spellStart"/>
      <w:r w:rsidRPr="007C6225">
        <w:rPr>
          <w:rFonts w:ascii="Calibri" w:hAnsi="Calibri" w:cs="Calibri"/>
          <w:sz w:val="17"/>
          <w:szCs w:val="17"/>
        </w:rPr>
        <w:t>interest</w:t>
      </w:r>
      <w:proofErr w:type="spellEnd"/>
      <w:r w:rsidRPr="007C6225">
        <w:rPr>
          <w:rFonts w:ascii="Calibri" w:hAnsi="Calibri" w:cs="Calibri"/>
          <w:sz w:val="17"/>
          <w:szCs w:val="17"/>
        </w:rPr>
        <w:t xml:space="preserve"> </w:t>
      </w:r>
      <w:proofErr w:type="spellStart"/>
      <w:r w:rsidRPr="007C6225">
        <w:rPr>
          <w:rFonts w:ascii="Calibri" w:hAnsi="Calibri" w:cs="Calibri"/>
          <w:sz w:val="17"/>
          <w:szCs w:val="17"/>
        </w:rPr>
        <w:t>rate</w:t>
      </w:r>
      <w:proofErr w:type="spellEnd"/>
      <w:r w:rsidRPr="007C6225">
        <w:rPr>
          <w:rFonts w:ascii="Calibri" w:hAnsi="Calibri" w:cs="Calibri"/>
          <w:sz w:val="17"/>
          <w:szCs w:val="17"/>
        </w:rPr>
        <w:t xml:space="preserve"> swap, IRS), které odráží cenu peněz v delších splatnostech, například 5 až 10 let.</w:t>
      </w:r>
    </w:p>
  </w:footnote>
  <w:footnote w:id="2">
    <w:p w14:paraId="2560422B" w14:textId="4C1FA5F3" w:rsidR="009D3067" w:rsidRDefault="009D3067" w:rsidP="009D3067">
      <w:pPr>
        <w:pStyle w:val="Textpoznpodarou"/>
      </w:pPr>
      <w:r>
        <w:rPr>
          <w:rStyle w:val="Znakapoznpodarou"/>
        </w:rPr>
        <w:footnoteRef/>
      </w:r>
      <w:r>
        <w:t xml:space="preserve"> </w:t>
      </w:r>
      <w:r w:rsidRPr="00F815BB">
        <w:rPr>
          <w:rFonts w:asciiTheme="majorHAnsi" w:hAnsiTheme="majorHAnsi" w:cstheme="majorHAnsi"/>
          <w:sz w:val="17"/>
          <w:szCs w:val="17"/>
        </w:rPr>
        <w:t xml:space="preserve">Tabulka je k dispozici v souboru </w:t>
      </w:r>
      <w:proofErr w:type="spellStart"/>
      <w:r w:rsidRPr="00F815BB">
        <w:rPr>
          <w:rFonts w:asciiTheme="majorHAnsi" w:hAnsiTheme="majorHAnsi" w:cstheme="majorHAnsi"/>
          <w:sz w:val="17"/>
          <w:szCs w:val="17"/>
        </w:rPr>
        <w:t>xls</w:t>
      </w:r>
      <w:proofErr w:type="spellEnd"/>
      <w:r w:rsidRPr="00F815BB">
        <w:rPr>
          <w:rFonts w:asciiTheme="majorHAnsi" w:hAnsiTheme="majorHAnsi" w:cstheme="majorHAnsi"/>
          <w:sz w:val="17"/>
          <w:szCs w:val="17"/>
        </w:rPr>
        <w:t xml:space="preserve"> přiloženém na webových stránkách </w:t>
      </w:r>
      <w:r w:rsidR="00B23328">
        <w:rPr>
          <w:rFonts w:asciiTheme="majorHAnsi" w:hAnsiTheme="majorHAnsi" w:cstheme="majorHAnsi"/>
          <w:sz w:val="17"/>
          <w:szCs w:val="17"/>
        </w:rPr>
        <w:t>lednového</w:t>
      </w:r>
      <w:r w:rsidRPr="00F815BB">
        <w:rPr>
          <w:rFonts w:asciiTheme="majorHAnsi" w:hAnsiTheme="majorHAnsi" w:cstheme="majorHAnsi"/>
          <w:sz w:val="17"/>
          <w:szCs w:val="17"/>
        </w:rPr>
        <w:t xml:space="preserve"> </w:t>
      </w:r>
      <w:r w:rsidRPr="00A811D6">
        <w:rPr>
          <w:rFonts w:asciiTheme="majorHAnsi" w:hAnsiTheme="majorHAnsi" w:cstheme="majorHAnsi"/>
          <w:sz w:val="17"/>
          <w:szCs w:val="17"/>
        </w:rPr>
        <w:t>ČBA</w:t>
      </w:r>
      <w:r w:rsidRPr="00F815BB">
        <w:rPr>
          <w:rFonts w:asciiTheme="majorHAnsi" w:hAnsiTheme="majorHAnsi" w:cstheme="majorHAnsi"/>
          <w:sz w:val="17"/>
          <w:szCs w:val="17"/>
        </w:rPr>
        <w:t xml:space="preserve"> </w:t>
      </w:r>
      <w:proofErr w:type="spellStart"/>
      <w:r w:rsidRPr="00F815BB">
        <w:rPr>
          <w:rFonts w:asciiTheme="majorHAnsi" w:hAnsiTheme="majorHAnsi" w:cstheme="majorHAnsi"/>
          <w:sz w:val="17"/>
          <w:szCs w:val="17"/>
        </w:rPr>
        <w:t>Hypomonitoru</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4485" w14:textId="4E50365F" w:rsidR="0065124E" w:rsidRDefault="00744C66">
    <w:pPr>
      <w:pStyle w:val="Zhlav"/>
    </w:pPr>
    <w:r>
      <w:rPr>
        <w:noProof/>
        <w:lang w:val="en-GB" w:eastAsia="en-GB"/>
      </w:rPr>
      <w:drawing>
        <wp:anchor distT="0" distB="0" distL="114300" distR="114300" simplePos="0" relativeHeight="251660288" behindDoc="0" locked="0" layoutInCell="1" allowOverlap="1" wp14:anchorId="197D896D" wp14:editId="7642B8FE">
          <wp:simplePos x="0" y="0"/>
          <wp:positionH relativeFrom="column">
            <wp:posOffset>-52705</wp:posOffset>
          </wp:positionH>
          <wp:positionV relativeFrom="paragraph">
            <wp:posOffset>29845</wp:posOffset>
          </wp:positionV>
          <wp:extent cx="2209800" cy="7785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lang w:val="en-GB" w:eastAsia="en-GB"/>
      </w:rPr>
      <w:drawing>
        <wp:anchor distT="0" distB="0" distL="114300" distR="114300" simplePos="0" relativeHeight="251664384" behindDoc="1" locked="0" layoutInCell="1" allowOverlap="1" wp14:anchorId="2A1D7AA9" wp14:editId="7A7B0A01">
          <wp:simplePos x="0" y="0"/>
          <wp:positionH relativeFrom="column">
            <wp:posOffset>3985895</wp:posOffset>
          </wp:positionH>
          <wp:positionV relativeFrom="paragraph">
            <wp:posOffset>-8255</wp:posOffset>
          </wp:positionV>
          <wp:extent cx="2943225" cy="243840"/>
          <wp:effectExtent l="0" t="0" r="9525" b="381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720" w:rsidRPr="007C30FC">
      <w:rPr>
        <w:rFonts w:cs="Arial"/>
        <w:noProof/>
        <w:lang w:val="en-GB" w:eastAsia="en-GB"/>
      </w:rPr>
      <mc:AlternateContent>
        <mc:Choice Requires="wps">
          <w:drawing>
            <wp:anchor distT="45720" distB="45720" distL="114300" distR="114300" simplePos="0" relativeHeight="251662336" behindDoc="0" locked="0" layoutInCell="1" allowOverlap="1" wp14:anchorId="126DE097" wp14:editId="755E40ED">
              <wp:simplePos x="0" y="0"/>
              <wp:positionH relativeFrom="margin">
                <wp:posOffset>5238115</wp:posOffset>
              </wp:positionH>
              <wp:positionV relativeFrom="paragraph">
                <wp:posOffset>153035</wp:posOffset>
              </wp:positionV>
              <wp:extent cx="123952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15DE40D2" w14:textId="77777777" w:rsidR="002D4720" w:rsidRPr="008C5D4D" w:rsidRDefault="002D4720" w:rsidP="002D4720">
                          <w:pPr>
                            <w:spacing w:line="276" w:lineRule="auto"/>
                            <w:jc w:val="right"/>
                            <w:rPr>
                              <w:rFonts w:ascii="Calibri" w:hAnsi="Calibri" w:cs="Calibri"/>
                              <w:b/>
                              <w:color w:val="13576B"/>
                              <w:sz w:val="20"/>
                              <w:szCs w:val="22"/>
                            </w:rPr>
                          </w:pPr>
                          <w:r w:rsidRPr="008C5D4D">
                            <w:rPr>
                              <w:rFonts w:ascii="Calibri" w:hAnsi="Calibri" w:cs="Calibri"/>
                              <w:b/>
                              <w:color w:val="13576B"/>
                              <w:sz w:val="20"/>
                              <w:szCs w:val="22"/>
                            </w:rPr>
                            <w:t>KOMENTÁŘ</w:t>
                          </w:r>
                        </w:p>
                        <w:p w14:paraId="0A69756F" w14:textId="541E545B" w:rsidR="002D4720" w:rsidRPr="008C5D4D" w:rsidRDefault="008C5D4D" w:rsidP="002D4720">
                          <w:pPr>
                            <w:spacing w:line="276" w:lineRule="auto"/>
                            <w:jc w:val="center"/>
                            <w:rPr>
                              <w:rFonts w:ascii="Calibri" w:hAnsi="Calibri" w:cs="Calibri"/>
                              <w:b/>
                              <w:color w:val="13576B"/>
                              <w:sz w:val="20"/>
                              <w:szCs w:val="22"/>
                            </w:rPr>
                          </w:pPr>
                          <w:r>
                            <w:rPr>
                              <w:rFonts w:ascii="Calibri" w:hAnsi="Calibri" w:cs="Calibri"/>
                              <w:color w:val="13576B"/>
                              <w:sz w:val="20"/>
                              <w:szCs w:val="22"/>
                            </w:rPr>
                            <w:t xml:space="preserve">           </w:t>
                          </w:r>
                          <w:r w:rsidRPr="008C5D4D">
                            <w:rPr>
                              <w:rFonts w:ascii="Calibri" w:hAnsi="Calibri" w:cs="Calibri"/>
                              <w:color w:val="13576B"/>
                              <w:sz w:val="20"/>
                              <w:szCs w:val="22"/>
                            </w:rPr>
                            <w:t xml:space="preserve">   </w:t>
                          </w:r>
                          <w:r w:rsidR="002D4720" w:rsidRPr="008C5D4D">
                            <w:rPr>
                              <w:rFonts w:ascii="Calibri" w:hAnsi="Calibri" w:cs="Calibri"/>
                              <w:color w:val="13576B"/>
                              <w:sz w:val="20"/>
                              <w:szCs w:val="22"/>
                            </w:rPr>
                            <w:t xml:space="preserve">  </w:t>
                          </w:r>
                          <w:r w:rsidR="0001227F">
                            <w:rPr>
                              <w:rFonts w:ascii="Calibri" w:hAnsi="Calibri" w:cs="Calibri"/>
                              <w:color w:val="13576B"/>
                              <w:sz w:val="20"/>
                              <w:szCs w:val="22"/>
                            </w:rPr>
                            <w:t>1</w:t>
                          </w:r>
                          <w:r w:rsidR="00F531DC">
                            <w:rPr>
                              <w:rFonts w:ascii="Calibri" w:hAnsi="Calibri" w:cs="Calibri"/>
                              <w:color w:val="13576B"/>
                              <w:sz w:val="20"/>
                              <w:szCs w:val="22"/>
                            </w:rPr>
                            <w:t>1</w:t>
                          </w:r>
                          <w:r w:rsidR="002D4720" w:rsidRPr="008C5D4D">
                            <w:rPr>
                              <w:rFonts w:ascii="Calibri" w:hAnsi="Calibri" w:cs="Calibri"/>
                              <w:color w:val="13576B"/>
                              <w:sz w:val="20"/>
                              <w:szCs w:val="22"/>
                            </w:rPr>
                            <w:t>.</w:t>
                          </w:r>
                          <w:r w:rsidR="00F531DC">
                            <w:rPr>
                              <w:rFonts w:ascii="Calibri" w:hAnsi="Calibri" w:cs="Calibri"/>
                              <w:color w:val="13576B"/>
                              <w:sz w:val="20"/>
                              <w:szCs w:val="22"/>
                            </w:rPr>
                            <w:t>2</w:t>
                          </w:r>
                          <w:r w:rsidR="002D4720" w:rsidRPr="008C5D4D">
                            <w:rPr>
                              <w:rFonts w:ascii="Calibri" w:hAnsi="Calibri" w:cs="Calibri"/>
                              <w:color w:val="13576B"/>
                              <w:sz w:val="20"/>
                              <w:szCs w:val="22"/>
                            </w:rPr>
                            <w:t>.202</w:t>
                          </w:r>
                          <w:r w:rsidR="00BC5A14">
                            <w:rPr>
                              <w:rFonts w:ascii="Calibri" w:hAnsi="Calibri" w:cs="Calibri"/>
                              <w:color w:val="13576B"/>
                              <w:sz w:val="20"/>
                              <w:szCs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DE097" id="_x0000_s1030" type="#_x0000_t202" style="position:absolute;left:0;text-align:left;margin-left:412.45pt;margin-top:12.05pt;width:97.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" filled="f" stroked="f">
              <v:textbox style="mso-fit-shape-to-text:t">
                <w:txbxContent>
                  <w:p w14:paraId="15DE40D2" w14:textId="77777777" w:rsidR="002D4720" w:rsidRPr="008C5D4D" w:rsidRDefault="002D4720" w:rsidP="002D4720">
                    <w:pPr>
                      <w:spacing w:line="276" w:lineRule="auto"/>
                      <w:jc w:val="right"/>
                      <w:rPr>
                        <w:rFonts w:ascii="Calibri" w:hAnsi="Calibri" w:cs="Calibri"/>
                        <w:b/>
                        <w:color w:val="13576B"/>
                        <w:sz w:val="20"/>
                        <w:szCs w:val="22"/>
                      </w:rPr>
                    </w:pPr>
                    <w:r w:rsidRPr="008C5D4D">
                      <w:rPr>
                        <w:rFonts w:ascii="Calibri" w:hAnsi="Calibri" w:cs="Calibri"/>
                        <w:b/>
                        <w:color w:val="13576B"/>
                        <w:sz w:val="20"/>
                        <w:szCs w:val="22"/>
                      </w:rPr>
                      <w:t>KOMENTÁŘ</w:t>
                    </w:r>
                  </w:p>
                  <w:p w14:paraId="0A69756F" w14:textId="541E545B" w:rsidR="002D4720" w:rsidRPr="008C5D4D" w:rsidRDefault="008C5D4D" w:rsidP="002D4720">
                    <w:pPr>
                      <w:spacing w:line="276" w:lineRule="auto"/>
                      <w:jc w:val="center"/>
                      <w:rPr>
                        <w:rFonts w:ascii="Calibri" w:hAnsi="Calibri" w:cs="Calibri"/>
                        <w:b/>
                        <w:color w:val="13576B"/>
                        <w:sz w:val="20"/>
                        <w:szCs w:val="22"/>
                      </w:rPr>
                    </w:pPr>
                    <w:r>
                      <w:rPr>
                        <w:rFonts w:ascii="Calibri" w:hAnsi="Calibri" w:cs="Calibri"/>
                        <w:color w:val="13576B"/>
                        <w:sz w:val="20"/>
                        <w:szCs w:val="22"/>
                      </w:rPr>
                      <w:t xml:space="preserve">           </w:t>
                    </w:r>
                    <w:r w:rsidRPr="008C5D4D">
                      <w:rPr>
                        <w:rFonts w:ascii="Calibri" w:hAnsi="Calibri" w:cs="Calibri"/>
                        <w:color w:val="13576B"/>
                        <w:sz w:val="20"/>
                        <w:szCs w:val="22"/>
                      </w:rPr>
                      <w:t xml:space="preserve">   </w:t>
                    </w:r>
                    <w:r w:rsidR="002D4720" w:rsidRPr="008C5D4D">
                      <w:rPr>
                        <w:rFonts w:ascii="Calibri" w:hAnsi="Calibri" w:cs="Calibri"/>
                        <w:color w:val="13576B"/>
                        <w:sz w:val="20"/>
                        <w:szCs w:val="22"/>
                      </w:rPr>
                      <w:t xml:space="preserve">  </w:t>
                    </w:r>
                    <w:r w:rsidR="0001227F">
                      <w:rPr>
                        <w:rFonts w:ascii="Calibri" w:hAnsi="Calibri" w:cs="Calibri"/>
                        <w:color w:val="13576B"/>
                        <w:sz w:val="20"/>
                        <w:szCs w:val="22"/>
                      </w:rPr>
                      <w:t>1</w:t>
                    </w:r>
                    <w:r w:rsidR="00F531DC">
                      <w:rPr>
                        <w:rFonts w:ascii="Calibri" w:hAnsi="Calibri" w:cs="Calibri"/>
                        <w:color w:val="13576B"/>
                        <w:sz w:val="20"/>
                        <w:szCs w:val="22"/>
                      </w:rPr>
                      <w:t>1</w:t>
                    </w:r>
                    <w:r w:rsidR="002D4720" w:rsidRPr="008C5D4D">
                      <w:rPr>
                        <w:rFonts w:ascii="Calibri" w:hAnsi="Calibri" w:cs="Calibri"/>
                        <w:color w:val="13576B"/>
                        <w:sz w:val="20"/>
                        <w:szCs w:val="22"/>
                      </w:rPr>
                      <w:t>.</w:t>
                    </w:r>
                    <w:r w:rsidR="00F531DC">
                      <w:rPr>
                        <w:rFonts w:ascii="Calibri" w:hAnsi="Calibri" w:cs="Calibri"/>
                        <w:color w:val="13576B"/>
                        <w:sz w:val="20"/>
                        <w:szCs w:val="22"/>
                      </w:rPr>
                      <w:t>2</w:t>
                    </w:r>
                    <w:r w:rsidR="002D4720" w:rsidRPr="008C5D4D">
                      <w:rPr>
                        <w:rFonts w:ascii="Calibri" w:hAnsi="Calibri" w:cs="Calibri"/>
                        <w:color w:val="13576B"/>
                        <w:sz w:val="20"/>
                        <w:szCs w:val="22"/>
                      </w:rPr>
                      <w:t>.202</w:t>
                    </w:r>
                    <w:r w:rsidR="00BC5A14">
                      <w:rPr>
                        <w:rFonts w:ascii="Calibri" w:hAnsi="Calibri" w:cs="Calibri"/>
                        <w:color w:val="13576B"/>
                        <w:sz w:val="20"/>
                        <w:szCs w:val="22"/>
                      </w:rPr>
                      <w:t>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B1D76"/>
    <w:multiLevelType w:val="hybridMultilevel"/>
    <w:tmpl w:val="6D5277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0A4083"/>
    <w:multiLevelType w:val="hybridMultilevel"/>
    <w:tmpl w:val="3C584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9" w15:restartNumberingAfterBreak="0">
    <w:nsid w:val="606843DC"/>
    <w:multiLevelType w:val="hybridMultilevel"/>
    <w:tmpl w:val="3E42D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22"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0DE4F03"/>
    <w:multiLevelType w:val="hybridMultilevel"/>
    <w:tmpl w:val="D458DCC2"/>
    <w:lvl w:ilvl="0" w:tplc="ABAA372A">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8"/>
  </w:num>
  <w:num w:numId="3">
    <w:abstractNumId w:val="25"/>
  </w:num>
  <w:num w:numId="4">
    <w:abstractNumId w:val="14"/>
  </w:num>
  <w:num w:numId="5">
    <w:abstractNumId w:val="4"/>
  </w:num>
  <w:num w:numId="6">
    <w:abstractNumId w:val="23"/>
  </w:num>
  <w:num w:numId="7">
    <w:abstractNumId w:val="6"/>
  </w:num>
  <w:num w:numId="8">
    <w:abstractNumId w:val="28"/>
  </w:num>
  <w:num w:numId="9">
    <w:abstractNumId w:val="5"/>
  </w:num>
  <w:num w:numId="10">
    <w:abstractNumId w:val="24"/>
  </w:num>
  <w:num w:numId="11">
    <w:abstractNumId w:val="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9"/>
  </w:num>
  <w:num w:numId="17">
    <w:abstractNumId w:val="11"/>
  </w:num>
  <w:num w:numId="18">
    <w:abstractNumId w:val="17"/>
  </w:num>
  <w:num w:numId="19">
    <w:abstractNumId w:val="20"/>
  </w:num>
  <w:num w:numId="20">
    <w:abstractNumId w:val="10"/>
  </w:num>
  <w:num w:numId="21">
    <w:abstractNumId w:val="0"/>
  </w:num>
  <w:num w:numId="22">
    <w:abstractNumId w:val="22"/>
  </w:num>
  <w:num w:numId="23">
    <w:abstractNumId w:val="27"/>
  </w:num>
  <w:num w:numId="24">
    <w:abstractNumId w:val="21"/>
  </w:num>
  <w:num w:numId="25">
    <w:abstractNumId w:val="16"/>
  </w:num>
  <w:num w:numId="26">
    <w:abstractNumId w:val="13"/>
  </w:num>
  <w:num w:numId="27">
    <w:abstractNumId w:val="26"/>
  </w:num>
  <w:num w:numId="28">
    <w:abstractNumId w:val="7"/>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1E72"/>
    <w:rsid w:val="0000363D"/>
    <w:rsid w:val="000054D2"/>
    <w:rsid w:val="00006C79"/>
    <w:rsid w:val="00010564"/>
    <w:rsid w:val="000118C2"/>
    <w:rsid w:val="0001227F"/>
    <w:rsid w:val="00015933"/>
    <w:rsid w:val="000159E5"/>
    <w:rsid w:val="000176E6"/>
    <w:rsid w:val="00020581"/>
    <w:rsid w:val="00020ED0"/>
    <w:rsid w:val="00020FE5"/>
    <w:rsid w:val="000213CC"/>
    <w:rsid w:val="00023E9F"/>
    <w:rsid w:val="0002473E"/>
    <w:rsid w:val="000264B4"/>
    <w:rsid w:val="00027B22"/>
    <w:rsid w:val="00027BAD"/>
    <w:rsid w:val="00031478"/>
    <w:rsid w:val="00037707"/>
    <w:rsid w:val="00043889"/>
    <w:rsid w:val="00044002"/>
    <w:rsid w:val="000444EA"/>
    <w:rsid w:val="0004612A"/>
    <w:rsid w:val="00047DF1"/>
    <w:rsid w:val="000509DD"/>
    <w:rsid w:val="00050AF7"/>
    <w:rsid w:val="00051A5B"/>
    <w:rsid w:val="00052C6A"/>
    <w:rsid w:val="00053780"/>
    <w:rsid w:val="00053EE4"/>
    <w:rsid w:val="000559DE"/>
    <w:rsid w:val="00055CBC"/>
    <w:rsid w:val="000563EB"/>
    <w:rsid w:val="00056A4F"/>
    <w:rsid w:val="00057396"/>
    <w:rsid w:val="000606C6"/>
    <w:rsid w:val="00060D7F"/>
    <w:rsid w:val="00072447"/>
    <w:rsid w:val="000733AD"/>
    <w:rsid w:val="0007445A"/>
    <w:rsid w:val="000752D6"/>
    <w:rsid w:val="0007638A"/>
    <w:rsid w:val="00081E35"/>
    <w:rsid w:val="000842AE"/>
    <w:rsid w:val="00084CF9"/>
    <w:rsid w:val="00086094"/>
    <w:rsid w:val="00091B3B"/>
    <w:rsid w:val="0009491E"/>
    <w:rsid w:val="00097293"/>
    <w:rsid w:val="000A16EA"/>
    <w:rsid w:val="000A2C3B"/>
    <w:rsid w:val="000A3ECF"/>
    <w:rsid w:val="000A4D59"/>
    <w:rsid w:val="000A664C"/>
    <w:rsid w:val="000B2005"/>
    <w:rsid w:val="000B4C8F"/>
    <w:rsid w:val="000B51A4"/>
    <w:rsid w:val="000B70C8"/>
    <w:rsid w:val="000B79A4"/>
    <w:rsid w:val="000C045B"/>
    <w:rsid w:val="000C12F1"/>
    <w:rsid w:val="000C1E4E"/>
    <w:rsid w:val="000C234E"/>
    <w:rsid w:val="000C4910"/>
    <w:rsid w:val="000C502F"/>
    <w:rsid w:val="000C5651"/>
    <w:rsid w:val="000D1749"/>
    <w:rsid w:val="000D1D61"/>
    <w:rsid w:val="000D32BB"/>
    <w:rsid w:val="000D4F26"/>
    <w:rsid w:val="000D56F1"/>
    <w:rsid w:val="000D5D2B"/>
    <w:rsid w:val="000D684D"/>
    <w:rsid w:val="000E0B50"/>
    <w:rsid w:val="000E0C43"/>
    <w:rsid w:val="000E2B4E"/>
    <w:rsid w:val="000E4ABC"/>
    <w:rsid w:val="000E563F"/>
    <w:rsid w:val="000E59CE"/>
    <w:rsid w:val="000F02C1"/>
    <w:rsid w:val="000F02FD"/>
    <w:rsid w:val="000F4318"/>
    <w:rsid w:val="000F61F5"/>
    <w:rsid w:val="000F70CA"/>
    <w:rsid w:val="0010268F"/>
    <w:rsid w:val="0010277A"/>
    <w:rsid w:val="00103662"/>
    <w:rsid w:val="00105ACC"/>
    <w:rsid w:val="00107915"/>
    <w:rsid w:val="00110C31"/>
    <w:rsid w:val="001126B2"/>
    <w:rsid w:val="00112AA1"/>
    <w:rsid w:val="0011443F"/>
    <w:rsid w:val="00115D53"/>
    <w:rsid w:val="00116F4B"/>
    <w:rsid w:val="00117860"/>
    <w:rsid w:val="00122810"/>
    <w:rsid w:val="00122CC4"/>
    <w:rsid w:val="0012351B"/>
    <w:rsid w:val="00123FF9"/>
    <w:rsid w:val="001253CC"/>
    <w:rsid w:val="00126A7F"/>
    <w:rsid w:val="00131E94"/>
    <w:rsid w:val="00132EE9"/>
    <w:rsid w:val="0013407D"/>
    <w:rsid w:val="001348D9"/>
    <w:rsid w:val="001361CA"/>
    <w:rsid w:val="00136D3A"/>
    <w:rsid w:val="00136FC5"/>
    <w:rsid w:val="00137050"/>
    <w:rsid w:val="0013716D"/>
    <w:rsid w:val="00140E10"/>
    <w:rsid w:val="001438F4"/>
    <w:rsid w:val="00143DCC"/>
    <w:rsid w:val="00144D53"/>
    <w:rsid w:val="001457AA"/>
    <w:rsid w:val="00145E7A"/>
    <w:rsid w:val="00146F46"/>
    <w:rsid w:val="0015125A"/>
    <w:rsid w:val="0015295E"/>
    <w:rsid w:val="00152A73"/>
    <w:rsid w:val="001534F6"/>
    <w:rsid w:val="00157080"/>
    <w:rsid w:val="001622C2"/>
    <w:rsid w:val="001633ED"/>
    <w:rsid w:val="00163F5F"/>
    <w:rsid w:val="00165DDC"/>
    <w:rsid w:val="0017388B"/>
    <w:rsid w:val="0017441E"/>
    <w:rsid w:val="00175A85"/>
    <w:rsid w:val="00175E6C"/>
    <w:rsid w:val="00176C20"/>
    <w:rsid w:val="0018097B"/>
    <w:rsid w:val="00180A13"/>
    <w:rsid w:val="00182C97"/>
    <w:rsid w:val="00183066"/>
    <w:rsid w:val="00183FB4"/>
    <w:rsid w:val="00184412"/>
    <w:rsid w:val="001906F3"/>
    <w:rsid w:val="00195C6D"/>
    <w:rsid w:val="001961C5"/>
    <w:rsid w:val="00196F95"/>
    <w:rsid w:val="0019772B"/>
    <w:rsid w:val="001A05A9"/>
    <w:rsid w:val="001A2623"/>
    <w:rsid w:val="001A46CC"/>
    <w:rsid w:val="001A6304"/>
    <w:rsid w:val="001B1060"/>
    <w:rsid w:val="001B1C5E"/>
    <w:rsid w:val="001B59D9"/>
    <w:rsid w:val="001B5F14"/>
    <w:rsid w:val="001B6935"/>
    <w:rsid w:val="001B7154"/>
    <w:rsid w:val="001C091C"/>
    <w:rsid w:val="001C1FAA"/>
    <w:rsid w:val="001C2261"/>
    <w:rsid w:val="001C266E"/>
    <w:rsid w:val="001C49DC"/>
    <w:rsid w:val="001C6945"/>
    <w:rsid w:val="001C7200"/>
    <w:rsid w:val="001C7F88"/>
    <w:rsid w:val="001D169B"/>
    <w:rsid w:val="001D2ECE"/>
    <w:rsid w:val="001D39E5"/>
    <w:rsid w:val="001D3C90"/>
    <w:rsid w:val="001D5BB9"/>
    <w:rsid w:val="001D6B1A"/>
    <w:rsid w:val="001D7365"/>
    <w:rsid w:val="001E15FD"/>
    <w:rsid w:val="001E1AED"/>
    <w:rsid w:val="001E27B8"/>
    <w:rsid w:val="001E31AB"/>
    <w:rsid w:val="001E3706"/>
    <w:rsid w:val="001E4032"/>
    <w:rsid w:val="001E432A"/>
    <w:rsid w:val="001E4D27"/>
    <w:rsid w:val="001E5169"/>
    <w:rsid w:val="001E5571"/>
    <w:rsid w:val="001E6F5D"/>
    <w:rsid w:val="001F3DF4"/>
    <w:rsid w:val="001F49EA"/>
    <w:rsid w:val="001F5CF7"/>
    <w:rsid w:val="001F6A78"/>
    <w:rsid w:val="001F7B28"/>
    <w:rsid w:val="00201DDA"/>
    <w:rsid w:val="00203021"/>
    <w:rsid w:val="00203A7B"/>
    <w:rsid w:val="002045A5"/>
    <w:rsid w:val="00204F09"/>
    <w:rsid w:val="0020667A"/>
    <w:rsid w:val="00206F7E"/>
    <w:rsid w:val="00207AE7"/>
    <w:rsid w:val="002105A2"/>
    <w:rsid w:val="002137B0"/>
    <w:rsid w:val="00216187"/>
    <w:rsid w:val="00217881"/>
    <w:rsid w:val="0022075B"/>
    <w:rsid w:val="00221F77"/>
    <w:rsid w:val="00221FF5"/>
    <w:rsid w:val="00222917"/>
    <w:rsid w:val="002244BA"/>
    <w:rsid w:val="00224E2B"/>
    <w:rsid w:val="00225F51"/>
    <w:rsid w:val="0022648E"/>
    <w:rsid w:val="00226AB8"/>
    <w:rsid w:val="00226F32"/>
    <w:rsid w:val="00227ACD"/>
    <w:rsid w:val="00227C82"/>
    <w:rsid w:val="0023703D"/>
    <w:rsid w:val="002375B2"/>
    <w:rsid w:val="00237A71"/>
    <w:rsid w:val="00242D73"/>
    <w:rsid w:val="002443DF"/>
    <w:rsid w:val="00244923"/>
    <w:rsid w:val="002472A6"/>
    <w:rsid w:val="00247512"/>
    <w:rsid w:val="00247A4D"/>
    <w:rsid w:val="00250212"/>
    <w:rsid w:val="0025305E"/>
    <w:rsid w:val="00253D09"/>
    <w:rsid w:val="00254CA2"/>
    <w:rsid w:val="00256268"/>
    <w:rsid w:val="002567A3"/>
    <w:rsid w:val="00260B2C"/>
    <w:rsid w:val="0026106F"/>
    <w:rsid w:val="00262B7F"/>
    <w:rsid w:val="00264C92"/>
    <w:rsid w:val="00266980"/>
    <w:rsid w:val="00267ACA"/>
    <w:rsid w:val="00270A4E"/>
    <w:rsid w:val="00270F52"/>
    <w:rsid w:val="00272177"/>
    <w:rsid w:val="00275209"/>
    <w:rsid w:val="00280D31"/>
    <w:rsid w:val="00283681"/>
    <w:rsid w:val="00290498"/>
    <w:rsid w:val="00291656"/>
    <w:rsid w:val="00291BE8"/>
    <w:rsid w:val="00296021"/>
    <w:rsid w:val="0029774E"/>
    <w:rsid w:val="00297B85"/>
    <w:rsid w:val="002A02A1"/>
    <w:rsid w:val="002A04EB"/>
    <w:rsid w:val="002A07F7"/>
    <w:rsid w:val="002A1748"/>
    <w:rsid w:val="002A23FA"/>
    <w:rsid w:val="002A266C"/>
    <w:rsid w:val="002A2CE3"/>
    <w:rsid w:val="002A31A1"/>
    <w:rsid w:val="002A3CF3"/>
    <w:rsid w:val="002A3F7E"/>
    <w:rsid w:val="002A4191"/>
    <w:rsid w:val="002A6290"/>
    <w:rsid w:val="002B3AB2"/>
    <w:rsid w:val="002B4617"/>
    <w:rsid w:val="002B4641"/>
    <w:rsid w:val="002B5069"/>
    <w:rsid w:val="002B724C"/>
    <w:rsid w:val="002C0719"/>
    <w:rsid w:val="002C2C2B"/>
    <w:rsid w:val="002C30D4"/>
    <w:rsid w:val="002C513E"/>
    <w:rsid w:val="002D1376"/>
    <w:rsid w:val="002D2A30"/>
    <w:rsid w:val="002D3F94"/>
    <w:rsid w:val="002D4720"/>
    <w:rsid w:val="002D49FB"/>
    <w:rsid w:val="002D4A25"/>
    <w:rsid w:val="002D4DF8"/>
    <w:rsid w:val="002E0041"/>
    <w:rsid w:val="002E1390"/>
    <w:rsid w:val="002E1AEB"/>
    <w:rsid w:val="002E2498"/>
    <w:rsid w:val="002E4CA1"/>
    <w:rsid w:val="002E5E57"/>
    <w:rsid w:val="002E6312"/>
    <w:rsid w:val="002E6C7C"/>
    <w:rsid w:val="002F1752"/>
    <w:rsid w:val="002F2FAA"/>
    <w:rsid w:val="002F477C"/>
    <w:rsid w:val="002F4CDA"/>
    <w:rsid w:val="002F557F"/>
    <w:rsid w:val="003028DC"/>
    <w:rsid w:val="0030348A"/>
    <w:rsid w:val="00306844"/>
    <w:rsid w:val="003077DD"/>
    <w:rsid w:val="003111F3"/>
    <w:rsid w:val="003142AD"/>
    <w:rsid w:val="00314AB6"/>
    <w:rsid w:val="00314CF6"/>
    <w:rsid w:val="00315F32"/>
    <w:rsid w:val="00316BAA"/>
    <w:rsid w:val="00317242"/>
    <w:rsid w:val="00320811"/>
    <w:rsid w:val="00324743"/>
    <w:rsid w:val="00324769"/>
    <w:rsid w:val="003253AF"/>
    <w:rsid w:val="00327407"/>
    <w:rsid w:val="00327CB6"/>
    <w:rsid w:val="0033298A"/>
    <w:rsid w:val="00335341"/>
    <w:rsid w:val="00336412"/>
    <w:rsid w:val="00337157"/>
    <w:rsid w:val="003411DB"/>
    <w:rsid w:val="00341D86"/>
    <w:rsid w:val="0034310E"/>
    <w:rsid w:val="003444F4"/>
    <w:rsid w:val="00345842"/>
    <w:rsid w:val="00346684"/>
    <w:rsid w:val="003472AF"/>
    <w:rsid w:val="003508FE"/>
    <w:rsid w:val="00351369"/>
    <w:rsid w:val="00356FF7"/>
    <w:rsid w:val="0035718C"/>
    <w:rsid w:val="003608A1"/>
    <w:rsid w:val="003608FD"/>
    <w:rsid w:val="0036420C"/>
    <w:rsid w:val="00366057"/>
    <w:rsid w:val="003677E2"/>
    <w:rsid w:val="0037051F"/>
    <w:rsid w:val="003707E0"/>
    <w:rsid w:val="00370F35"/>
    <w:rsid w:val="003725F0"/>
    <w:rsid w:val="003732C7"/>
    <w:rsid w:val="003739F0"/>
    <w:rsid w:val="003742A8"/>
    <w:rsid w:val="003749A5"/>
    <w:rsid w:val="00376918"/>
    <w:rsid w:val="00376F07"/>
    <w:rsid w:val="00380502"/>
    <w:rsid w:val="00380788"/>
    <w:rsid w:val="00381524"/>
    <w:rsid w:val="00383D10"/>
    <w:rsid w:val="00384170"/>
    <w:rsid w:val="003847A3"/>
    <w:rsid w:val="00386E7F"/>
    <w:rsid w:val="00391C4B"/>
    <w:rsid w:val="00391FA6"/>
    <w:rsid w:val="003952ED"/>
    <w:rsid w:val="00395549"/>
    <w:rsid w:val="00396DEC"/>
    <w:rsid w:val="00396F9D"/>
    <w:rsid w:val="00397430"/>
    <w:rsid w:val="003A0443"/>
    <w:rsid w:val="003A0F5E"/>
    <w:rsid w:val="003A424B"/>
    <w:rsid w:val="003A542D"/>
    <w:rsid w:val="003A5636"/>
    <w:rsid w:val="003A623D"/>
    <w:rsid w:val="003A631B"/>
    <w:rsid w:val="003A76ED"/>
    <w:rsid w:val="003B0433"/>
    <w:rsid w:val="003B04C1"/>
    <w:rsid w:val="003B2C84"/>
    <w:rsid w:val="003B4F01"/>
    <w:rsid w:val="003B519E"/>
    <w:rsid w:val="003B5E6F"/>
    <w:rsid w:val="003C0B1B"/>
    <w:rsid w:val="003C1195"/>
    <w:rsid w:val="003C12B6"/>
    <w:rsid w:val="003C373E"/>
    <w:rsid w:val="003C3D7F"/>
    <w:rsid w:val="003C6326"/>
    <w:rsid w:val="003C6D87"/>
    <w:rsid w:val="003D079C"/>
    <w:rsid w:val="003D224C"/>
    <w:rsid w:val="003D45D4"/>
    <w:rsid w:val="003E14DF"/>
    <w:rsid w:val="003E382B"/>
    <w:rsid w:val="003E3ACA"/>
    <w:rsid w:val="003E3DCB"/>
    <w:rsid w:val="003E4312"/>
    <w:rsid w:val="003E4ADE"/>
    <w:rsid w:val="003E5891"/>
    <w:rsid w:val="003F021E"/>
    <w:rsid w:val="003F03DF"/>
    <w:rsid w:val="003F12D5"/>
    <w:rsid w:val="003F1CB9"/>
    <w:rsid w:val="003F2050"/>
    <w:rsid w:val="003F37CA"/>
    <w:rsid w:val="003F7F31"/>
    <w:rsid w:val="004009B6"/>
    <w:rsid w:val="00401CD3"/>
    <w:rsid w:val="00401F79"/>
    <w:rsid w:val="00402778"/>
    <w:rsid w:val="00402D75"/>
    <w:rsid w:val="00402FA1"/>
    <w:rsid w:val="00403744"/>
    <w:rsid w:val="0040474A"/>
    <w:rsid w:val="00407FB6"/>
    <w:rsid w:val="00412186"/>
    <w:rsid w:val="00412763"/>
    <w:rsid w:val="00413258"/>
    <w:rsid w:val="0041355F"/>
    <w:rsid w:val="00414181"/>
    <w:rsid w:val="0041427D"/>
    <w:rsid w:val="00414AD4"/>
    <w:rsid w:val="0041521E"/>
    <w:rsid w:val="00416763"/>
    <w:rsid w:val="0041745A"/>
    <w:rsid w:val="00422B81"/>
    <w:rsid w:val="00423E0D"/>
    <w:rsid w:val="004257BB"/>
    <w:rsid w:val="00425B3B"/>
    <w:rsid w:val="004279BD"/>
    <w:rsid w:val="004325D3"/>
    <w:rsid w:val="00435176"/>
    <w:rsid w:val="004371EE"/>
    <w:rsid w:val="00437589"/>
    <w:rsid w:val="00440A53"/>
    <w:rsid w:val="00442170"/>
    <w:rsid w:val="004444EE"/>
    <w:rsid w:val="00444BDA"/>
    <w:rsid w:val="00445609"/>
    <w:rsid w:val="004464CF"/>
    <w:rsid w:val="004476C2"/>
    <w:rsid w:val="00451368"/>
    <w:rsid w:val="004555E6"/>
    <w:rsid w:val="00460772"/>
    <w:rsid w:val="00461E79"/>
    <w:rsid w:val="00462717"/>
    <w:rsid w:val="004641CC"/>
    <w:rsid w:val="0046651A"/>
    <w:rsid w:val="004714FB"/>
    <w:rsid w:val="004718BD"/>
    <w:rsid w:val="00471B86"/>
    <w:rsid w:val="00471D6F"/>
    <w:rsid w:val="00472210"/>
    <w:rsid w:val="00475D5E"/>
    <w:rsid w:val="00475F13"/>
    <w:rsid w:val="00476A2A"/>
    <w:rsid w:val="00477094"/>
    <w:rsid w:val="0047757F"/>
    <w:rsid w:val="00477AF5"/>
    <w:rsid w:val="00477CEB"/>
    <w:rsid w:val="0048354D"/>
    <w:rsid w:val="0048489E"/>
    <w:rsid w:val="00486858"/>
    <w:rsid w:val="00490E1A"/>
    <w:rsid w:val="00492636"/>
    <w:rsid w:val="00493A20"/>
    <w:rsid w:val="00495C6A"/>
    <w:rsid w:val="004979BF"/>
    <w:rsid w:val="004A1724"/>
    <w:rsid w:val="004A2349"/>
    <w:rsid w:val="004A435C"/>
    <w:rsid w:val="004A53BB"/>
    <w:rsid w:val="004A5D84"/>
    <w:rsid w:val="004A6CE0"/>
    <w:rsid w:val="004A74F4"/>
    <w:rsid w:val="004B1175"/>
    <w:rsid w:val="004B1442"/>
    <w:rsid w:val="004B1766"/>
    <w:rsid w:val="004B19DD"/>
    <w:rsid w:val="004B3889"/>
    <w:rsid w:val="004B564F"/>
    <w:rsid w:val="004B6A7C"/>
    <w:rsid w:val="004B7ECE"/>
    <w:rsid w:val="004C0A56"/>
    <w:rsid w:val="004C4C1F"/>
    <w:rsid w:val="004C50BF"/>
    <w:rsid w:val="004C629B"/>
    <w:rsid w:val="004C693B"/>
    <w:rsid w:val="004C751A"/>
    <w:rsid w:val="004C7E8B"/>
    <w:rsid w:val="004D0B15"/>
    <w:rsid w:val="004D0EBA"/>
    <w:rsid w:val="004D114D"/>
    <w:rsid w:val="004D3E58"/>
    <w:rsid w:val="004D4156"/>
    <w:rsid w:val="004D4333"/>
    <w:rsid w:val="004D6531"/>
    <w:rsid w:val="004E011D"/>
    <w:rsid w:val="004E1AC6"/>
    <w:rsid w:val="004E26E2"/>
    <w:rsid w:val="004E3070"/>
    <w:rsid w:val="004E4B5B"/>
    <w:rsid w:val="004E5E51"/>
    <w:rsid w:val="004E668A"/>
    <w:rsid w:val="004F4632"/>
    <w:rsid w:val="004F5C1C"/>
    <w:rsid w:val="004F62FF"/>
    <w:rsid w:val="004F6CFB"/>
    <w:rsid w:val="004F6EA8"/>
    <w:rsid w:val="004F70A7"/>
    <w:rsid w:val="005019FE"/>
    <w:rsid w:val="005069C2"/>
    <w:rsid w:val="00510EB1"/>
    <w:rsid w:val="0051164C"/>
    <w:rsid w:val="00512176"/>
    <w:rsid w:val="005122E9"/>
    <w:rsid w:val="005137DB"/>
    <w:rsid w:val="0051437A"/>
    <w:rsid w:val="0051449F"/>
    <w:rsid w:val="0051508B"/>
    <w:rsid w:val="0051570C"/>
    <w:rsid w:val="00517111"/>
    <w:rsid w:val="005208BD"/>
    <w:rsid w:val="00521FF6"/>
    <w:rsid w:val="00527681"/>
    <w:rsid w:val="00530967"/>
    <w:rsid w:val="00530DE6"/>
    <w:rsid w:val="00531FAE"/>
    <w:rsid w:val="0053589B"/>
    <w:rsid w:val="0053659F"/>
    <w:rsid w:val="00537D95"/>
    <w:rsid w:val="00543780"/>
    <w:rsid w:val="0054574A"/>
    <w:rsid w:val="00546646"/>
    <w:rsid w:val="0054665C"/>
    <w:rsid w:val="00552694"/>
    <w:rsid w:val="0055377C"/>
    <w:rsid w:val="00554717"/>
    <w:rsid w:val="00555261"/>
    <w:rsid w:val="00556DE6"/>
    <w:rsid w:val="00557A53"/>
    <w:rsid w:val="00561ED7"/>
    <w:rsid w:val="00563855"/>
    <w:rsid w:val="005642DD"/>
    <w:rsid w:val="00564453"/>
    <w:rsid w:val="0056611F"/>
    <w:rsid w:val="005666D7"/>
    <w:rsid w:val="00571BEE"/>
    <w:rsid w:val="00571C08"/>
    <w:rsid w:val="00571C69"/>
    <w:rsid w:val="005720A7"/>
    <w:rsid w:val="00573F62"/>
    <w:rsid w:val="00575D36"/>
    <w:rsid w:val="005761EE"/>
    <w:rsid w:val="00576C13"/>
    <w:rsid w:val="00576CF4"/>
    <w:rsid w:val="00577164"/>
    <w:rsid w:val="00577D9F"/>
    <w:rsid w:val="00580391"/>
    <w:rsid w:val="005818DE"/>
    <w:rsid w:val="00581CC1"/>
    <w:rsid w:val="00584718"/>
    <w:rsid w:val="00584D4C"/>
    <w:rsid w:val="00587350"/>
    <w:rsid w:val="00587BA9"/>
    <w:rsid w:val="0059007C"/>
    <w:rsid w:val="00591A31"/>
    <w:rsid w:val="0059556C"/>
    <w:rsid w:val="00597DD9"/>
    <w:rsid w:val="005A0ACF"/>
    <w:rsid w:val="005A0C34"/>
    <w:rsid w:val="005A2501"/>
    <w:rsid w:val="005A34B6"/>
    <w:rsid w:val="005A3E34"/>
    <w:rsid w:val="005A44FF"/>
    <w:rsid w:val="005A51C6"/>
    <w:rsid w:val="005A576D"/>
    <w:rsid w:val="005A5BAB"/>
    <w:rsid w:val="005A7E09"/>
    <w:rsid w:val="005B08A6"/>
    <w:rsid w:val="005B0F22"/>
    <w:rsid w:val="005B0F27"/>
    <w:rsid w:val="005B2CB5"/>
    <w:rsid w:val="005B3439"/>
    <w:rsid w:val="005B5E17"/>
    <w:rsid w:val="005C1943"/>
    <w:rsid w:val="005C22C2"/>
    <w:rsid w:val="005C501A"/>
    <w:rsid w:val="005C6D52"/>
    <w:rsid w:val="005C7858"/>
    <w:rsid w:val="005C7A9A"/>
    <w:rsid w:val="005C7FCE"/>
    <w:rsid w:val="005D11A5"/>
    <w:rsid w:val="005D4BC8"/>
    <w:rsid w:val="005D55D6"/>
    <w:rsid w:val="005D593D"/>
    <w:rsid w:val="005D6E43"/>
    <w:rsid w:val="005D769A"/>
    <w:rsid w:val="005E092E"/>
    <w:rsid w:val="005E1DD8"/>
    <w:rsid w:val="005E1EA0"/>
    <w:rsid w:val="005E1F6F"/>
    <w:rsid w:val="005E4132"/>
    <w:rsid w:val="005E58E1"/>
    <w:rsid w:val="005E5F8B"/>
    <w:rsid w:val="005F0EC7"/>
    <w:rsid w:val="005F4B41"/>
    <w:rsid w:val="005F4F2A"/>
    <w:rsid w:val="005F5099"/>
    <w:rsid w:val="005F73A6"/>
    <w:rsid w:val="00600D9B"/>
    <w:rsid w:val="0060128D"/>
    <w:rsid w:val="006015EB"/>
    <w:rsid w:val="006021B4"/>
    <w:rsid w:val="00602BDA"/>
    <w:rsid w:val="0060305B"/>
    <w:rsid w:val="0060308F"/>
    <w:rsid w:val="0060552B"/>
    <w:rsid w:val="00606E04"/>
    <w:rsid w:val="00611C5C"/>
    <w:rsid w:val="006131E9"/>
    <w:rsid w:val="0061392C"/>
    <w:rsid w:val="00617E42"/>
    <w:rsid w:val="006203EC"/>
    <w:rsid w:val="00622191"/>
    <w:rsid w:val="00622D62"/>
    <w:rsid w:val="0062336F"/>
    <w:rsid w:val="00623D41"/>
    <w:rsid w:val="00624A28"/>
    <w:rsid w:val="006264F1"/>
    <w:rsid w:val="00626AF4"/>
    <w:rsid w:val="00626CB1"/>
    <w:rsid w:val="00627894"/>
    <w:rsid w:val="00627FF6"/>
    <w:rsid w:val="0063314F"/>
    <w:rsid w:val="00636E18"/>
    <w:rsid w:val="00637228"/>
    <w:rsid w:val="0064225E"/>
    <w:rsid w:val="0064298D"/>
    <w:rsid w:val="0064364F"/>
    <w:rsid w:val="006445A3"/>
    <w:rsid w:val="00647A7A"/>
    <w:rsid w:val="00650724"/>
    <w:rsid w:val="0065124E"/>
    <w:rsid w:val="006513A0"/>
    <w:rsid w:val="00652C4F"/>
    <w:rsid w:val="00654F37"/>
    <w:rsid w:val="00656ABE"/>
    <w:rsid w:val="0066000B"/>
    <w:rsid w:val="0066030A"/>
    <w:rsid w:val="00661C43"/>
    <w:rsid w:val="00662C23"/>
    <w:rsid w:val="0066473E"/>
    <w:rsid w:val="00665069"/>
    <w:rsid w:val="0066537B"/>
    <w:rsid w:val="00665718"/>
    <w:rsid w:val="00676079"/>
    <w:rsid w:val="00676326"/>
    <w:rsid w:val="006777C7"/>
    <w:rsid w:val="006839E8"/>
    <w:rsid w:val="00683D65"/>
    <w:rsid w:val="00684AB4"/>
    <w:rsid w:val="00685F12"/>
    <w:rsid w:val="0069373F"/>
    <w:rsid w:val="00693FDC"/>
    <w:rsid w:val="006963D2"/>
    <w:rsid w:val="006A02C9"/>
    <w:rsid w:val="006A0B4A"/>
    <w:rsid w:val="006A0F4A"/>
    <w:rsid w:val="006A1D16"/>
    <w:rsid w:val="006A4300"/>
    <w:rsid w:val="006A4428"/>
    <w:rsid w:val="006A7BEA"/>
    <w:rsid w:val="006B120F"/>
    <w:rsid w:val="006B2EBD"/>
    <w:rsid w:val="006B2F86"/>
    <w:rsid w:val="006B37A6"/>
    <w:rsid w:val="006B3C0D"/>
    <w:rsid w:val="006C0355"/>
    <w:rsid w:val="006C090C"/>
    <w:rsid w:val="006C13D5"/>
    <w:rsid w:val="006C3A40"/>
    <w:rsid w:val="006C3F79"/>
    <w:rsid w:val="006C74D6"/>
    <w:rsid w:val="006D0EE8"/>
    <w:rsid w:val="006D12C7"/>
    <w:rsid w:val="006D175B"/>
    <w:rsid w:val="006D1BF7"/>
    <w:rsid w:val="006D23EF"/>
    <w:rsid w:val="006D59F8"/>
    <w:rsid w:val="006D61DA"/>
    <w:rsid w:val="006D6AF7"/>
    <w:rsid w:val="006D6EBB"/>
    <w:rsid w:val="006D7F80"/>
    <w:rsid w:val="006D7FC7"/>
    <w:rsid w:val="006E0941"/>
    <w:rsid w:val="006E1DC5"/>
    <w:rsid w:val="006E3420"/>
    <w:rsid w:val="006E3BD0"/>
    <w:rsid w:val="006E3FA9"/>
    <w:rsid w:val="006E4444"/>
    <w:rsid w:val="006E4D14"/>
    <w:rsid w:val="006E702B"/>
    <w:rsid w:val="006E7DC6"/>
    <w:rsid w:val="006F01FC"/>
    <w:rsid w:val="006F08E1"/>
    <w:rsid w:val="006F1A53"/>
    <w:rsid w:val="006F2196"/>
    <w:rsid w:val="006F2B29"/>
    <w:rsid w:val="006F3D73"/>
    <w:rsid w:val="006F5A87"/>
    <w:rsid w:val="006F7BDA"/>
    <w:rsid w:val="00701FC8"/>
    <w:rsid w:val="00702D07"/>
    <w:rsid w:val="00703676"/>
    <w:rsid w:val="007078D6"/>
    <w:rsid w:val="00710F87"/>
    <w:rsid w:val="007133E9"/>
    <w:rsid w:val="00714837"/>
    <w:rsid w:val="00715087"/>
    <w:rsid w:val="00716F27"/>
    <w:rsid w:val="00717B00"/>
    <w:rsid w:val="00720DE3"/>
    <w:rsid w:val="00721C6A"/>
    <w:rsid w:val="00722F2C"/>
    <w:rsid w:val="00723293"/>
    <w:rsid w:val="00724D46"/>
    <w:rsid w:val="00727012"/>
    <w:rsid w:val="0072723A"/>
    <w:rsid w:val="00730E2D"/>
    <w:rsid w:val="007330A4"/>
    <w:rsid w:val="00733C05"/>
    <w:rsid w:val="0073460E"/>
    <w:rsid w:val="007402C2"/>
    <w:rsid w:val="00742174"/>
    <w:rsid w:val="00743577"/>
    <w:rsid w:val="00744C66"/>
    <w:rsid w:val="007464CC"/>
    <w:rsid w:val="00747B4B"/>
    <w:rsid w:val="00750679"/>
    <w:rsid w:val="00754851"/>
    <w:rsid w:val="007575D0"/>
    <w:rsid w:val="00757649"/>
    <w:rsid w:val="007609D5"/>
    <w:rsid w:val="00762FBA"/>
    <w:rsid w:val="00764748"/>
    <w:rsid w:val="00765515"/>
    <w:rsid w:val="00771967"/>
    <w:rsid w:val="00771AA1"/>
    <w:rsid w:val="00774999"/>
    <w:rsid w:val="007813D1"/>
    <w:rsid w:val="00782158"/>
    <w:rsid w:val="007821BC"/>
    <w:rsid w:val="007826E0"/>
    <w:rsid w:val="00783455"/>
    <w:rsid w:val="0078383A"/>
    <w:rsid w:val="007853F8"/>
    <w:rsid w:val="0078687A"/>
    <w:rsid w:val="00786BB9"/>
    <w:rsid w:val="00786FE5"/>
    <w:rsid w:val="007870B3"/>
    <w:rsid w:val="0079039B"/>
    <w:rsid w:val="00793842"/>
    <w:rsid w:val="007953B5"/>
    <w:rsid w:val="00795F3C"/>
    <w:rsid w:val="007964DC"/>
    <w:rsid w:val="00797EC1"/>
    <w:rsid w:val="007A03B9"/>
    <w:rsid w:val="007A06C5"/>
    <w:rsid w:val="007A2635"/>
    <w:rsid w:val="007A3BFB"/>
    <w:rsid w:val="007A6B52"/>
    <w:rsid w:val="007A6C81"/>
    <w:rsid w:val="007A7B10"/>
    <w:rsid w:val="007B02A8"/>
    <w:rsid w:val="007B0B30"/>
    <w:rsid w:val="007B129D"/>
    <w:rsid w:val="007B219A"/>
    <w:rsid w:val="007B31A6"/>
    <w:rsid w:val="007B4508"/>
    <w:rsid w:val="007B5E3D"/>
    <w:rsid w:val="007B6B28"/>
    <w:rsid w:val="007B79F6"/>
    <w:rsid w:val="007B7B44"/>
    <w:rsid w:val="007C4C83"/>
    <w:rsid w:val="007C525A"/>
    <w:rsid w:val="007C6225"/>
    <w:rsid w:val="007C64E2"/>
    <w:rsid w:val="007D1E88"/>
    <w:rsid w:val="007D275E"/>
    <w:rsid w:val="007D3F75"/>
    <w:rsid w:val="007D4025"/>
    <w:rsid w:val="007D66F0"/>
    <w:rsid w:val="007D73E5"/>
    <w:rsid w:val="007E1035"/>
    <w:rsid w:val="007E18D1"/>
    <w:rsid w:val="007E4D07"/>
    <w:rsid w:val="007E770A"/>
    <w:rsid w:val="007E7968"/>
    <w:rsid w:val="007F1600"/>
    <w:rsid w:val="007F166D"/>
    <w:rsid w:val="007F1EDF"/>
    <w:rsid w:val="007F299B"/>
    <w:rsid w:val="007F365B"/>
    <w:rsid w:val="007F40D6"/>
    <w:rsid w:val="007F742B"/>
    <w:rsid w:val="007F7CBC"/>
    <w:rsid w:val="0080130F"/>
    <w:rsid w:val="008026FE"/>
    <w:rsid w:val="00802F9F"/>
    <w:rsid w:val="00803E55"/>
    <w:rsid w:val="00804358"/>
    <w:rsid w:val="00804F92"/>
    <w:rsid w:val="00807F85"/>
    <w:rsid w:val="0081060D"/>
    <w:rsid w:val="00810A52"/>
    <w:rsid w:val="00810DCF"/>
    <w:rsid w:val="008110C4"/>
    <w:rsid w:val="00811527"/>
    <w:rsid w:val="00811F2C"/>
    <w:rsid w:val="00811FE2"/>
    <w:rsid w:val="00820A66"/>
    <w:rsid w:val="00820F38"/>
    <w:rsid w:val="00822D27"/>
    <w:rsid w:val="008242DA"/>
    <w:rsid w:val="00824A84"/>
    <w:rsid w:val="00826371"/>
    <w:rsid w:val="0082668B"/>
    <w:rsid w:val="008272AC"/>
    <w:rsid w:val="00830214"/>
    <w:rsid w:val="00830902"/>
    <w:rsid w:val="00832118"/>
    <w:rsid w:val="00833EC7"/>
    <w:rsid w:val="00834366"/>
    <w:rsid w:val="008363D1"/>
    <w:rsid w:val="00840749"/>
    <w:rsid w:val="008412E1"/>
    <w:rsid w:val="008413A8"/>
    <w:rsid w:val="00842443"/>
    <w:rsid w:val="00843285"/>
    <w:rsid w:val="00843386"/>
    <w:rsid w:val="00844479"/>
    <w:rsid w:val="00844C79"/>
    <w:rsid w:val="00846122"/>
    <w:rsid w:val="008466C4"/>
    <w:rsid w:val="00850FDB"/>
    <w:rsid w:val="008522B5"/>
    <w:rsid w:val="00853C4A"/>
    <w:rsid w:val="00854190"/>
    <w:rsid w:val="00854682"/>
    <w:rsid w:val="00857078"/>
    <w:rsid w:val="00857A3C"/>
    <w:rsid w:val="00860613"/>
    <w:rsid w:val="00861279"/>
    <w:rsid w:val="008612B4"/>
    <w:rsid w:val="00862A90"/>
    <w:rsid w:val="0086454A"/>
    <w:rsid w:val="00870102"/>
    <w:rsid w:val="00872847"/>
    <w:rsid w:val="00872C9B"/>
    <w:rsid w:val="00873451"/>
    <w:rsid w:val="0087619E"/>
    <w:rsid w:val="00877706"/>
    <w:rsid w:val="00881D54"/>
    <w:rsid w:val="008825CE"/>
    <w:rsid w:val="0088460D"/>
    <w:rsid w:val="008857AA"/>
    <w:rsid w:val="00885FA2"/>
    <w:rsid w:val="00887608"/>
    <w:rsid w:val="00887ABB"/>
    <w:rsid w:val="008900AF"/>
    <w:rsid w:val="00890B66"/>
    <w:rsid w:val="00893E72"/>
    <w:rsid w:val="00896BC2"/>
    <w:rsid w:val="008A072D"/>
    <w:rsid w:val="008A1C42"/>
    <w:rsid w:val="008A3889"/>
    <w:rsid w:val="008A6398"/>
    <w:rsid w:val="008B08D3"/>
    <w:rsid w:val="008B19B7"/>
    <w:rsid w:val="008B1C16"/>
    <w:rsid w:val="008B2E9A"/>
    <w:rsid w:val="008B2EB5"/>
    <w:rsid w:val="008B44C3"/>
    <w:rsid w:val="008B7050"/>
    <w:rsid w:val="008C1507"/>
    <w:rsid w:val="008C2501"/>
    <w:rsid w:val="008C383B"/>
    <w:rsid w:val="008C3A5F"/>
    <w:rsid w:val="008C5671"/>
    <w:rsid w:val="008C5D4D"/>
    <w:rsid w:val="008C7707"/>
    <w:rsid w:val="008D3273"/>
    <w:rsid w:val="008D6CA8"/>
    <w:rsid w:val="008E2336"/>
    <w:rsid w:val="008E34AE"/>
    <w:rsid w:val="008E78B4"/>
    <w:rsid w:val="008F047E"/>
    <w:rsid w:val="008F2841"/>
    <w:rsid w:val="008F2959"/>
    <w:rsid w:val="008F399F"/>
    <w:rsid w:val="008F39F1"/>
    <w:rsid w:val="008F432C"/>
    <w:rsid w:val="009001B0"/>
    <w:rsid w:val="0090288E"/>
    <w:rsid w:val="009038F9"/>
    <w:rsid w:val="00905AAB"/>
    <w:rsid w:val="009068C3"/>
    <w:rsid w:val="009139AF"/>
    <w:rsid w:val="00921BFB"/>
    <w:rsid w:val="00922AFA"/>
    <w:rsid w:val="009234FD"/>
    <w:rsid w:val="00923665"/>
    <w:rsid w:val="00924258"/>
    <w:rsid w:val="00924973"/>
    <w:rsid w:val="0092631A"/>
    <w:rsid w:val="0093152E"/>
    <w:rsid w:val="009315A3"/>
    <w:rsid w:val="00931779"/>
    <w:rsid w:val="00931E42"/>
    <w:rsid w:val="0093252C"/>
    <w:rsid w:val="0093283A"/>
    <w:rsid w:val="00935EAC"/>
    <w:rsid w:val="00937529"/>
    <w:rsid w:val="00942405"/>
    <w:rsid w:val="00944371"/>
    <w:rsid w:val="00944529"/>
    <w:rsid w:val="00944D10"/>
    <w:rsid w:val="009454B6"/>
    <w:rsid w:val="00946929"/>
    <w:rsid w:val="009474F2"/>
    <w:rsid w:val="00950E7E"/>
    <w:rsid w:val="00956446"/>
    <w:rsid w:val="0096172B"/>
    <w:rsid w:val="00962CB7"/>
    <w:rsid w:val="00963AA3"/>
    <w:rsid w:val="00963B80"/>
    <w:rsid w:val="00966080"/>
    <w:rsid w:val="009664DD"/>
    <w:rsid w:val="00966F48"/>
    <w:rsid w:val="0096744E"/>
    <w:rsid w:val="009704A0"/>
    <w:rsid w:val="00971E1A"/>
    <w:rsid w:val="00973197"/>
    <w:rsid w:val="00973E14"/>
    <w:rsid w:val="009753FB"/>
    <w:rsid w:val="00975439"/>
    <w:rsid w:val="009756E8"/>
    <w:rsid w:val="00977317"/>
    <w:rsid w:val="009804C2"/>
    <w:rsid w:val="00980C11"/>
    <w:rsid w:val="00981086"/>
    <w:rsid w:val="0098257D"/>
    <w:rsid w:val="0098302F"/>
    <w:rsid w:val="009831C8"/>
    <w:rsid w:val="0098474E"/>
    <w:rsid w:val="00986110"/>
    <w:rsid w:val="00987232"/>
    <w:rsid w:val="00990EC7"/>
    <w:rsid w:val="00991B95"/>
    <w:rsid w:val="00992840"/>
    <w:rsid w:val="00994CC4"/>
    <w:rsid w:val="00995379"/>
    <w:rsid w:val="009968AC"/>
    <w:rsid w:val="009976E7"/>
    <w:rsid w:val="009A11ED"/>
    <w:rsid w:val="009A1795"/>
    <w:rsid w:val="009A1CB0"/>
    <w:rsid w:val="009A65F0"/>
    <w:rsid w:val="009A67A1"/>
    <w:rsid w:val="009A7026"/>
    <w:rsid w:val="009B393A"/>
    <w:rsid w:val="009B7972"/>
    <w:rsid w:val="009C0DD6"/>
    <w:rsid w:val="009C1B29"/>
    <w:rsid w:val="009C40F8"/>
    <w:rsid w:val="009D05F1"/>
    <w:rsid w:val="009D089E"/>
    <w:rsid w:val="009D0BF3"/>
    <w:rsid w:val="009D0E88"/>
    <w:rsid w:val="009D24D7"/>
    <w:rsid w:val="009D256E"/>
    <w:rsid w:val="009D2DB6"/>
    <w:rsid w:val="009D2F47"/>
    <w:rsid w:val="009D3067"/>
    <w:rsid w:val="009D39EE"/>
    <w:rsid w:val="009D7835"/>
    <w:rsid w:val="009E05AC"/>
    <w:rsid w:val="009E172B"/>
    <w:rsid w:val="009E204D"/>
    <w:rsid w:val="009E253A"/>
    <w:rsid w:val="009E39C0"/>
    <w:rsid w:val="009E4CE0"/>
    <w:rsid w:val="009E5367"/>
    <w:rsid w:val="009E7B93"/>
    <w:rsid w:val="009F0349"/>
    <w:rsid w:val="009F1E76"/>
    <w:rsid w:val="009F3268"/>
    <w:rsid w:val="009F4860"/>
    <w:rsid w:val="009F5F2C"/>
    <w:rsid w:val="009F6749"/>
    <w:rsid w:val="009F6C56"/>
    <w:rsid w:val="00A031CC"/>
    <w:rsid w:val="00A0323B"/>
    <w:rsid w:val="00A04192"/>
    <w:rsid w:val="00A04474"/>
    <w:rsid w:val="00A0762A"/>
    <w:rsid w:val="00A0776D"/>
    <w:rsid w:val="00A1004D"/>
    <w:rsid w:val="00A1182A"/>
    <w:rsid w:val="00A13DB8"/>
    <w:rsid w:val="00A13F1D"/>
    <w:rsid w:val="00A155ED"/>
    <w:rsid w:val="00A15F37"/>
    <w:rsid w:val="00A16191"/>
    <w:rsid w:val="00A163E3"/>
    <w:rsid w:val="00A22A52"/>
    <w:rsid w:val="00A24A2E"/>
    <w:rsid w:val="00A25889"/>
    <w:rsid w:val="00A3034C"/>
    <w:rsid w:val="00A325EE"/>
    <w:rsid w:val="00A338A1"/>
    <w:rsid w:val="00A349CB"/>
    <w:rsid w:val="00A34E5A"/>
    <w:rsid w:val="00A378ED"/>
    <w:rsid w:val="00A425BA"/>
    <w:rsid w:val="00A430E2"/>
    <w:rsid w:val="00A4316F"/>
    <w:rsid w:val="00A454B6"/>
    <w:rsid w:val="00A45FC0"/>
    <w:rsid w:val="00A472F8"/>
    <w:rsid w:val="00A50571"/>
    <w:rsid w:val="00A5314F"/>
    <w:rsid w:val="00A54B25"/>
    <w:rsid w:val="00A569E0"/>
    <w:rsid w:val="00A60311"/>
    <w:rsid w:val="00A60546"/>
    <w:rsid w:val="00A66F1E"/>
    <w:rsid w:val="00A6760A"/>
    <w:rsid w:val="00A676D3"/>
    <w:rsid w:val="00A711B7"/>
    <w:rsid w:val="00A7149F"/>
    <w:rsid w:val="00A72C93"/>
    <w:rsid w:val="00A72FF3"/>
    <w:rsid w:val="00A7410C"/>
    <w:rsid w:val="00A7784F"/>
    <w:rsid w:val="00A811D6"/>
    <w:rsid w:val="00A82860"/>
    <w:rsid w:val="00A832BA"/>
    <w:rsid w:val="00A85048"/>
    <w:rsid w:val="00A86552"/>
    <w:rsid w:val="00A86CD7"/>
    <w:rsid w:val="00A8750A"/>
    <w:rsid w:val="00A90878"/>
    <w:rsid w:val="00A91266"/>
    <w:rsid w:val="00A950F4"/>
    <w:rsid w:val="00A96783"/>
    <w:rsid w:val="00A97B08"/>
    <w:rsid w:val="00A97F5A"/>
    <w:rsid w:val="00AA2D58"/>
    <w:rsid w:val="00AB0ED1"/>
    <w:rsid w:val="00AB23B0"/>
    <w:rsid w:val="00AB365A"/>
    <w:rsid w:val="00AB3A63"/>
    <w:rsid w:val="00AB4201"/>
    <w:rsid w:val="00AB4CFC"/>
    <w:rsid w:val="00AB58F2"/>
    <w:rsid w:val="00AB689B"/>
    <w:rsid w:val="00AB7CDE"/>
    <w:rsid w:val="00AC0AAA"/>
    <w:rsid w:val="00AC1934"/>
    <w:rsid w:val="00AC41F9"/>
    <w:rsid w:val="00AC4EEC"/>
    <w:rsid w:val="00AC6C46"/>
    <w:rsid w:val="00AC6D5D"/>
    <w:rsid w:val="00AC7B00"/>
    <w:rsid w:val="00AD03D9"/>
    <w:rsid w:val="00AD20AF"/>
    <w:rsid w:val="00AD3A59"/>
    <w:rsid w:val="00AD3BBF"/>
    <w:rsid w:val="00AE079E"/>
    <w:rsid w:val="00AE2387"/>
    <w:rsid w:val="00AE6E19"/>
    <w:rsid w:val="00AF09A0"/>
    <w:rsid w:val="00AF18A6"/>
    <w:rsid w:val="00AF18CA"/>
    <w:rsid w:val="00AF2AE5"/>
    <w:rsid w:val="00AF3AD9"/>
    <w:rsid w:val="00AF4640"/>
    <w:rsid w:val="00AF5145"/>
    <w:rsid w:val="00AF58F3"/>
    <w:rsid w:val="00B05126"/>
    <w:rsid w:val="00B05777"/>
    <w:rsid w:val="00B11271"/>
    <w:rsid w:val="00B112A5"/>
    <w:rsid w:val="00B118CF"/>
    <w:rsid w:val="00B12833"/>
    <w:rsid w:val="00B15438"/>
    <w:rsid w:val="00B2131B"/>
    <w:rsid w:val="00B21BF3"/>
    <w:rsid w:val="00B222E2"/>
    <w:rsid w:val="00B2310C"/>
    <w:rsid w:val="00B23328"/>
    <w:rsid w:val="00B242B1"/>
    <w:rsid w:val="00B24E54"/>
    <w:rsid w:val="00B27646"/>
    <w:rsid w:val="00B33037"/>
    <w:rsid w:val="00B33732"/>
    <w:rsid w:val="00B377F6"/>
    <w:rsid w:val="00B426A2"/>
    <w:rsid w:val="00B44CCC"/>
    <w:rsid w:val="00B44EAC"/>
    <w:rsid w:val="00B465C8"/>
    <w:rsid w:val="00B472C9"/>
    <w:rsid w:val="00B506AC"/>
    <w:rsid w:val="00B50E2C"/>
    <w:rsid w:val="00B51364"/>
    <w:rsid w:val="00B53170"/>
    <w:rsid w:val="00B536A8"/>
    <w:rsid w:val="00B54AE6"/>
    <w:rsid w:val="00B54F8C"/>
    <w:rsid w:val="00B56D06"/>
    <w:rsid w:val="00B5765A"/>
    <w:rsid w:val="00B60C22"/>
    <w:rsid w:val="00B620CA"/>
    <w:rsid w:val="00B6232A"/>
    <w:rsid w:val="00B649F7"/>
    <w:rsid w:val="00B66DB7"/>
    <w:rsid w:val="00B67ADB"/>
    <w:rsid w:val="00B7214B"/>
    <w:rsid w:val="00B73636"/>
    <w:rsid w:val="00B7657E"/>
    <w:rsid w:val="00B76793"/>
    <w:rsid w:val="00B76C42"/>
    <w:rsid w:val="00B8390E"/>
    <w:rsid w:val="00B84219"/>
    <w:rsid w:val="00B85068"/>
    <w:rsid w:val="00B85154"/>
    <w:rsid w:val="00B85546"/>
    <w:rsid w:val="00B87377"/>
    <w:rsid w:val="00B87EA2"/>
    <w:rsid w:val="00B913AA"/>
    <w:rsid w:val="00B91481"/>
    <w:rsid w:val="00B9205C"/>
    <w:rsid w:val="00B925BA"/>
    <w:rsid w:val="00B95673"/>
    <w:rsid w:val="00B961C8"/>
    <w:rsid w:val="00BA04E1"/>
    <w:rsid w:val="00BA18D1"/>
    <w:rsid w:val="00BA19E0"/>
    <w:rsid w:val="00BA1F8A"/>
    <w:rsid w:val="00BA258C"/>
    <w:rsid w:val="00BA4441"/>
    <w:rsid w:val="00BA46B0"/>
    <w:rsid w:val="00BA47DA"/>
    <w:rsid w:val="00BA4E91"/>
    <w:rsid w:val="00BB1A4D"/>
    <w:rsid w:val="00BB36ED"/>
    <w:rsid w:val="00BB50DE"/>
    <w:rsid w:val="00BB7A89"/>
    <w:rsid w:val="00BB7CBB"/>
    <w:rsid w:val="00BC08D4"/>
    <w:rsid w:val="00BC0CB8"/>
    <w:rsid w:val="00BC0EE4"/>
    <w:rsid w:val="00BC1B82"/>
    <w:rsid w:val="00BC21D7"/>
    <w:rsid w:val="00BC4A61"/>
    <w:rsid w:val="00BC5978"/>
    <w:rsid w:val="00BC5A14"/>
    <w:rsid w:val="00BD0100"/>
    <w:rsid w:val="00BD297C"/>
    <w:rsid w:val="00BD483C"/>
    <w:rsid w:val="00BD499A"/>
    <w:rsid w:val="00BD532D"/>
    <w:rsid w:val="00BD6F03"/>
    <w:rsid w:val="00BD6FDA"/>
    <w:rsid w:val="00BD77B5"/>
    <w:rsid w:val="00BD7A55"/>
    <w:rsid w:val="00BE00E4"/>
    <w:rsid w:val="00BE0270"/>
    <w:rsid w:val="00BE0965"/>
    <w:rsid w:val="00BE0DD9"/>
    <w:rsid w:val="00BE180E"/>
    <w:rsid w:val="00BE21A8"/>
    <w:rsid w:val="00BE2827"/>
    <w:rsid w:val="00BE2CB6"/>
    <w:rsid w:val="00BE331A"/>
    <w:rsid w:val="00BE48B7"/>
    <w:rsid w:val="00BE53BC"/>
    <w:rsid w:val="00BE5574"/>
    <w:rsid w:val="00BE5CDB"/>
    <w:rsid w:val="00BE74B4"/>
    <w:rsid w:val="00BF01E3"/>
    <w:rsid w:val="00BF0B84"/>
    <w:rsid w:val="00BF19A0"/>
    <w:rsid w:val="00BF4843"/>
    <w:rsid w:val="00BF4B69"/>
    <w:rsid w:val="00BF5F81"/>
    <w:rsid w:val="00BF6F8D"/>
    <w:rsid w:val="00BF7738"/>
    <w:rsid w:val="00C00471"/>
    <w:rsid w:val="00C014C6"/>
    <w:rsid w:val="00C04F50"/>
    <w:rsid w:val="00C05E06"/>
    <w:rsid w:val="00C06FED"/>
    <w:rsid w:val="00C1041E"/>
    <w:rsid w:val="00C1233D"/>
    <w:rsid w:val="00C12AFA"/>
    <w:rsid w:val="00C15648"/>
    <w:rsid w:val="00C17244"/>
    <w:rsid w:val="00C2020E"/>
    <w:rsid w:val="00C20265"/>
    <w:rsid w:val="00C21CA1"/>
    <w:rsid w:val="00C24142"/>
    <w:rsid w:val="00C25B6F"/>
    <w:rsid w:val="00C2648E"/>
    <w:rsid w:val="00C30194"/>
    <w:rsid w:val="00C30F85"/>
    <w:rsid w:val="00C31129"/>
    <w:rsid w:val="00C313E7"/>
    <w:rsid w:val="00C34EEE"/>
    <w:rsid w:val="00C3561D"/>
    <w:rsid w:val="00C3654D"/>
    <w:rsid w:val="00C41E47"/>
    <w:rsid w:val="00C42F00"/>
    <w:rsid w:val="00C44924"/>
    <w:rsid w:val="00C461EB"/>
    <w:rsid w:val="00C50077"/>
    <w:rsid w:val="00C520D7"/>
    <w:rsid w:val="00C5372C"/>
    <w:rsid w:val="00C53769"/>
    <w:rsid w:val="00C57869"/>
    <w:rsid w:val="00C627A3"/>
    <w:rsid w:val="00C64C2F"/>
    <w:rsid w:val="00C6528A"/>
    <w:rsid w:val="00C665F2"/>
    <w:rsid w:val="00C6749F"/>
    <w:rsid w:val="00C72AE9"/>
    <w:rsid w:val="00C7375A"/>
    <w:rsid w:val="00C74048"/>
    <w:rsid w:val="00C74654"/>
    <w:rsid w:val="00C74775"/>
    <w:rsid w:val="00C74F0F"/>
    <w:rsid w:val="00C75F55"/>
    <w:rsid w:val="00C8163D"/>
    <w:rsid w:val="00C81867"/>
    <w:rsid w:val="00C84C3A"/>
    <w:rsid w:val="00C86300"/>
    <w:rsid w:val="00C8685C"/>
    <w:rsid w:val="00C87795"/>
    <w:rsid w:val="00C93936"/>
    <w:rsid w:val="00C948E7"/>
    <w:rsid w:val="00C963E5"/>
    <w:rsid w:val="00C967BE"/>
    <w:rsid w:val="00C96E4A"/>
    <w:rsid w:val="00C97546"/>
    <w:rsid w:val="00C975A8"/>
    <w:rsid w:val="00C97688"/>
    <w:rsid w:val="00C9786B"/>
    <w:rsid w:val="00CA1482"/>
    <w:rsid w:val="00CA1957"/>
    <w:rsid w:val="00CA21E3"/>
    <w:rsid w:val="00CA2ACE"/>
    <w:rsid w:val="00CA3BA7"/>
    <w:rsid w:val="00CA7866"/>
    <w:rsid w:val="00CA7F24"/>
    <w:rsid w:val="00CB1580"/>
    <w:rsid w:val="00CB21B3"/>
    <w:rsid w:val="00CB4072"/>
    <w:rsid w:val="00CB517A"/>
    <w:rsid w:val="00CC22B1"/>
    <w:rsid w:val="00CC2DC4"/>
    <w:rsid w:val="00CC3988"/>
    <w:rsid w:val="00CC5AF3"/>
    <w:rsid w:val="00CC68BF"/>
    <w:rsid w:val="00CC7C45"/>
    <w:rsid w:val="00CD13B1"/>
    <w:rsid w:val="00CD28EC"/>
    <w:rsid w:val="00CD2DC8"/>
    <w:rsid w:val="00CD561D"/>
    <w:rsid w:val="00CE20E9"/>
    <w:rsid w:val="00CE4053"/>
    <w:rsid w:val="00CE596E"/>
    <w:rsid w:val="00CF3482"/>
    <w:rsid w:val="00CF4940"/>
    <w:rsid w:val="00CF4CD4"/>
    <w:rsid w:val="00CF72AC"/>
    <w:rsid w:val="00D004E5"/>
    <w:rsid w:val="00D0136A"/>
    <w:rsid w:val="00D0142A"/>
    <w:rsid w:val="00D0150B"/>
    <w:rsid w:val="00D038D7"/>
    <w:rsid w:val="00D052E6"/>
    <w:rsid w:val="00D073F9"/>
    <w:rsid w:val="00D07DD7"/>
    <w:rsid w:val="00D10717"/>
    <w:rsid w:val="00D13DF1"/>
    <w:rsid w:val="00D13EDA"/>
    <w:rsid w:val="00D2261D"/>
    <w:rsid w:val="00D228B8"/>
    <w:rsid w:val="00D24515"/>
    <w:rsid w:val="00D2526B"/>
    <w:rsid w:val="00D266A9"/>
    <w:rsid w:val="00D27660"/>
    <w:rsid w:val="00D30E94"/>
    <w:rsid w:val="00D31401"/>
    <w:rsid w:val="00D324DA"/>
    <w:rsid w:val="00D32A14"/>
    <w:rsid w:val="00D32B43"/>
    <w:rsid w:val="00D344F3"/>
    <w:rsid w:val="00D357A4"/>
    <w:rsid w:val="00D36238"/>
    <w:rsid w:val="00D4029D"/>
    <w:rsid w:val="00D451A5"/>
    <w:rsid w:val="00D45283"/>
    <w:rsid w:val="00D477C3"/>
    <w:rsid w:val="00D47DE7"/>
    <w:rsid w:val="00D51271"/>
    <w:rsid w:val="00D53DC5"/>
    <w:rsid w:val="00D55406"/>
    <w:rsid w:val="00D60759"/>
    <w:rsid w:val="00D6293F"/>
    <w:rsid w:val="00D662E4"/>
    <w:rsid w:val="00D670D3"/>
    <w:rsid w:val="00D67470"/>
    <w:rsid w:val="00D67FC9"/>
    <w:rsid w:val="00D709B5"/>
    <w:rsid w:val="00D73B35"/>
    <w:rsid w:val="00D75B0B"/>
    <w:rsid w:val="00D775D2"/>
    <w:rsid w:val="00D8118D"/>
    <w:rsid w:val="00D82637"/>
    <w:rsid w:val="00D83D34"/>
    <w:rsid w:val="00D85155"/>
    <w:rsid w:val="00D86169"/>
    <w:rsid w:val="00D8652F"/>
    <w:rsid w:val="00D91CBD"/>
    <w:rsid w:val="00D926E9"/>
    <w:rsid w:val="00D92B66"/>
    <w:rsid w:val="00D93CC1"/>
    <w:rsid w:val="00D93EB9"/>
    <w:rsid w:val="00D942A3"/>
    <w:rsid w:val="00D9583F"/>
    <w:rsid w:val="00D97E49"/>
    <w:rsid w:val="00DA1419"/>
    <w:rsid w:val="00DA2603"/>
    <w:rsid w:val="00DA2818"/>
    <w:rsid w:val="00DA2876"/>
    <w:rsid w:val="00DA4875"/>
    <w:rsid w:val="00DA4917"/>
    <w:rsid w:val="00DA61B6"/>
    <w:rsid w:val="00DB35F8"/>
    <w:rsid w:val="00DB57B7"/>
    <w:rsid w:val="00DB67E5"/>
    <w:rsid w:val="00DB68CD"/>
    <w:rsid w:val="00DC13F9"/>
    <w:rsid w:val="00DC1D72"/>
    <w:rsid w:val="00DC545A"/>
    <w:rsid w:val="00DC585F"/>
    <w:rsid w:val="00DC77F2"/>
    <w:rsid w:val="00DC78DB"/>
    <w:rsid w:val="00DD08C1"/>
    <w:rsid w:val="00DD2278"/>
    <w:rsid w:val="00DD4F3E"/>
    <w:rsid w:val="00DD67A9"/>
    <w:rsid w:val="00DE2574"/>
    <w:rsid w:val="00DE58C9"/>
    <w:rsid w:val="00DE62BC"/>
    <w:rsid w:val="00DF19F6"/>
    <w:rsid w:val="00DF431A"/>
    <w:rsid w:val="00DF6D21"/>
    <w:rsid w:val="00E01F2F"/>
    <w:rsid w:val="00E02136"/>
    <w:rsid w:val="00E02392"/>
    <w:rsid w:val="00E03E17"/>
    <w:rsid w:val="00E042FF"/>
    <w:rsid w:val="00E05C1A"/>
    <w:rsid w:val="00E064CA"/>
    <w:rsid w:val="00E06813"/>
    <w:rsid w:val="00E10053"/>
    <w:rsid w:val="00E15B99"/>
    <w:rsid w:val="00E20664"/>
    <w:rsid w:val="00E21C56"/>
    <w:rsid w:val="00E2580D"/>
    <w:rsid w:val="00E2789E"/>
    <w:rsid w:val="00E27F2F"/>
    <w:rsid w:val="00E315D6"/>
    <w:rsid w:val="00E330AB"/>
    <w:rsid w:val="00E3317B"/>
    <w:rsid w:val="00E3386F"/>
    <w:rsid w:val="00E341F0"/>
    <w:rsid w:val="00E350BD"/>
    <w:rsid w:val="00E3540A"/>
    <w:rsid w:val="00E36335"/>
    <w:rsid w:val="00E373B4"/>
    <w:rsid w:val="00E37B5C"/>
    <w:rsid w:val="00E37CF8"/>
    <w:rsid w:val="00E43380"/>
    <w:rsid w:val="00E44F24"/>
    <w:rsid w:val="00E455B4"/>
    <w:rsid w:val="00E46FA7"/>
    <w:rsid w:val="00E47328"/>
    <w:rsid w:val="00E479DF"/>
    <w:rsid w:val="00E505D8"/>
    <w:rsid w:val="00E50B83"/>
    <w:rsid w:val="00E528C6"/>
    <w:rsid w:val="00E535BD"/>
    <w:rsid w:val="00E54596"/>
    <w:rsid w:val="00E56000"/>
    <w:rsid w:val="00E56378"/>
    <w:rsid w:val="00E60175"/>
    <w:rsid w:val="00E6160E"/>
    <w:rsid w:val="00E63F00"/>
    <w:rsid w:val="00E642DC"/>
    <w:rsid w:val="00E64F71"/>
    <w:rsid w:val="00E67590"/>
    <w:rsid w:val="00E67A1A"/>
    <w:rsid w:val="00E703B1"/>
    <w:rsid w:val="00E7045C"/>
    <w:rsid w:val="00E718EA"/>
    <w:rsid w:val="00E71A6E"/>
    <w:rsid w:val="00E72E55"/>
    <w:rsid w:val="00E74228"/>
    <w:rsid w:val="00E74A24"/>
    <w:rsid w:val="00E76BBE"/>
    <w:rsid w:val="00E77101"/>
    <w:rsid w:val="00E808C9"/>
    <w:rsid w:val="00E80943"/>
    <w:rsid w:val="00E8148D"/>
    <w:rsid w:val="00E818C3"/>
    <w:rsid w:val="00E82DCF"/>
    <w:rsid w:val="00E8561A"/>
    <w:rsid w:val="00E85DE8"/>
    <w:rsid w:val="00E900CF"/>
    <w:rsid w:val="00E9372A"/>
    <w:rsid w:val="00E95441"/>
    <w:rsid w:val="00E979A5"/>
    <w:rsid w:val="00EA03D8"/>
    <w:rsid w:val="00EA0DB1"/>
    <w:rsid w:val="00EA5747"/>
    <w:rsid w:val="00EA7745"/>
    <w:rsid w:val="00EB0F28"/>
    <w:rsid w:val="00EB3F96"/>
    <w:rsid w:val="00EB3FA2"/>
    <w:rsid w:val="00EB4281"/>
    <w:rsid w:val="00EB4A81"/>
    <w:rsid w:val="00EB60D0"/>
    <w:rsid w:val="00EC03D2"/>
    <w:rsid w:val="00EC0719"/>
    <w:rsid w:val="00EC09D5"/>
    <w:rsid w:val="00EC202F"/>
    <w:rsid w:val="00EC3DF9"/>
    <w:rsid w:val="00EC4F93"/>
    <w:rsid w:val="00EC5679"/>
    <w:rsid w:val="00EC5DE6"/>
    <w:rsid w:val="00ED2264"/>
    <w:rsid w:val="00ED412E"/>
    <w:rsid w:val="00ED41A8"/>
    <w:rsid w:val="00ED452D"/>
    <w:rsid w:val="00ED5035"/>
    <w:rsid w:val="00ED5703"/>
    <w:rsid w:val="00ED5DD6"/>
    <w:rsid w:val="00ED6AF2"/>
    <w:rsid w:val="00EE29BE"/>
    <w:rsid w:val="00EE3C34"/>
    <w:rsid w:val="00EE3CDA"/>
    <w:rsid w:val="00EF038F"/>
    <w:rsid w:val="00EF07C3"/>
    <w:rsid w:val="00EF493E"/>
    <w:rsid w:val="00EF607A"/>
    <w:rsid w:val="00EF6331"/>
    <w:rsid w:val="00F00241"/>
    <w:rsid w:val="00F01AED"/>
    <w:rsid w:val="00F02876"/>
    <w:rsid w:val="00F064C3"/>
    <w:rsid w:val="00F109A7"/>
    <w:rsid w:val="00F10BFD"/>
    <w:rsid w:val="00F10D7E"/>
    <w:rsid w:val="00F11D60"/>
    <w:rsid w:val="00F12451"/>
    <w:rsid w:val="00F1303C"/>
    <w:rsid w:val="00F132E8"/>
    <w:rsid w:val="00F15550"/>
    <w:rsid w:val="00F15E8D"/>
    <w:rsid w:val="00F175AF"/>
    <w:rsid w:val="00F20DD7"/>
    <w:rsid w:val="00F21CF8"/>
    <w:rsid w:val="00F22A61"/>
    <w:rsid w:val="00F236DC"/>
    <w:rsid w:val="00F2464A"/>
    <w:rsid w:val="00F247BC"/>
    <w:rsid w:val="00F25233"/>
    <w:rsid w:val="00F2719D"/>
    <w:rsid w:val="00F27A13"/>
    <w:rsid w:val="00F3032E"/>
    <w:rsid w:val="00F3124A"/>
    <w:rsid w:val="00F313E8"/>
    <w:rsid w:val="00F31EFE"/>
    <w:rsid w:val="00F3277D"/>
    <w:rsid w:val="00F33D35"/>
    <w:rsid w:val="00F340F0"/>
    <w:rsid w:val="00F34F38"/>
    <w:rsid w:val="00F35253"/>
    <w:rsid w:val="00F36405"/>
    <w:rsid w:val="00F37625"/>
    <w:rsid w:val="00F41E87"/>
    <w:rsid w:val="00F42120"/>
    <w:rsid w:val="00F428F8"/>
    <w:rsid w:val="00F517F3"/>
    <w:rsid w:val="00F53132"/>
    <w:rsid w:val="00F531DC"/>
    <w:rsid w:val="00F53F88"/>
    <w:rsid w:val="00F5456A"/>
    <w:rsid w:val="00F545FC"/>
    <w:rsid w:val="00F547FE"/>
    <w:rsid w:val="00F56446"/>
    <w:rsid w:val="00F573F1"/>
    <w:rsid w:val="00F57CAC"/>
    <w:rsid w:val="00F62A93"/>
    <w:rsid w:val="00F62F06"/>
    <w:rsid w:val="00F644AD"/>
    <w:rsid w:val="00F66320"/>
    <w:rsid w:val="00F663A8"/>
    <w:rsid w:val="00F66A76"/>
    <w:rsid w:val="00F674BA"/>
    <w:rsid w:val="00F6767A"/>
    <w:rsid w:val="00F67E6A"/>
    <w:rsid w:val="00F70A48"/>
    <w:rsid w:val="00F70BAD"/>
    <w:rsid w:val="00F71668"/>
    <w:rsid w:val="00F73140"/>
    <w:rsid w:val="00F74364"/>
    <w:rsid w:val="00F74666"/>
    <w:rsid w:val="00F7568A"/>
    <w:rsid w:val="00F77C1A"/>
    <w:rsid w:val="00F81073"/>
    <w:rsid w:val="00F812E4"/>
    <w:rsid w:val="00F815BB"/>
    <w:rsid w:val="00F825C9"/>
    <w:rsid w:val="00F83EEA"/>
    <w:rsid w:val="00F8461A"/>
    <w:rsid w:val="00F84BEC"/>
    <w:rsid w:val="00F87FA4"/>
    <w:rsid w:val="00F90063"/>
    <w:rsid w:val="00F90A3D"/>
    <w:rsid w:val="00F91222"/>
    <w:rsid w:val="00F92352"/>
    <w:rsid w:val="00F9267B"/>
    <w:rsid w:val="00F94AE5"/>
    <w:rsid w:val="00F96AF2"/>
    <w:rsid w:val="00F96F50"/>
    <w:rsid w:val="00F970A7"/>
    <w:rsid w:val="00F9738D"/>
    <w:rsid w:val="00FA2228"/>
    <w:rsid w:val="00FA2A03"/>
    <w:rsid w:val="00FA59C4"/>
    <w:rsid w:val="00FA59C6"/>
    <w:rsid w:val="00FA5A3F"/>
    <w:rsid w:val="00FA5B04"/>
    <w:rsid w:val="00FB0EBB"/>
    <w:rsid w:val="00FB13A2"/>
    <w:rsid w:val="00FB15EB"/>
    <w:rsid w:val="00FB47DE"/>
    <w:rsid w:val="00FB4A1C"/>
    <w:rsid w:val="00FB60CC"/>
    <w:rsid w:val="00FB60FB"/>
    <w:rsid w:val="00FB6635"/>
    <w:rsid w:val="00FC111B"/>
    <w:rsid w:val="00FC206B"/>
    <w:rsid w:val="00FC23C7"/>
    <w:rsid w:val="00FC2710"/>
    <w:rsid w:val="00FC4378"/>
    <w:rsid w:val="00FC52C1"/>
    <w:rsid w:val="00FC5A6D"/>
    <w:rsid w:val="00FC5B2A"/>
    <w:rsid w:val="00FD12DB"/>
    <w:rsid w:val="00FD1306"/>
    <w:rsid w:val="00FD3713"/>
    <w:rsid w:val="00FD4587"/>
    <w:rsid w:val="00FD57E2"/>
    <w:rsid w:val="00FD6921"/>
    <w:rsid w:val="00FD77C2"/>
    <w:rsid w:val="00FE2ED7"/>
    <w:rsid w:val="00FE34B0"/>
    <w:rsid w:val="00FE3E6F"/>
    <w:rsid w:val="00FE58C5"/>
    <w:rsid w:val="00FE5ADE"/>
    <w:rsid w:val="00FE5C0B"/>
    <w:rsid w:val="00FE797F"/>
    <w:rsid w:val="00FF052C"/>
    <w:rsid w:val="00FF05CB"/>
    <w:rsid w:val="00FF1B26"/>
    <w:rsid w:val="00FF211E"/>
    <w:rsid w:val="00FF27FB"/>
    <w:rsid w:val="00FF4658"/>
    <w:rsid w:val="00FF609F"/>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unhideWhenUsed/>
    <w:rsid w:val="00EA5747"/>
    <w:rPr>
      <w:sz w:val="20"/>
    </w:rPr>
  </w:style>
  <w:style w:type="character" w:customStyle="1" w:styleId="TextkomenteChar">
    <w:name w:val="Text komentáře Char"/>
    <w:basedOn w:val="Standardnpsmoodstavce"/>
    <w:link w:val="Textkomente"/>
    <w:uiPriority w:val="99"/>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customStyle="1" w:styleId="Nevyeenzmnka1">
    <w:name w:val="Nevyřešená zmínka1"/>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 w:type="character" w:customStyle="1" w:styleId="Nevyeenzmnka2">
    <w:name w:val="Nevyřešená zmínka2"/>
    <w:basedOn w:val="Standardnpsmoodstavce"/>
    <w:uiPriority w:val="99"/>
    <w:semiHidden/>
    <w:unhideWhenUsed/>
    <w:rsid w:val="005A0ACF"/>
    <w:rPr>
      <w:color w:val="605E5C"/>
      <w:shd w:val="clear" w:color="auto" w:fill="E1DFDD"/>
    </w:rPr>
  </w:style>
  <w:style w:type="character" w:styleId="Nevyeenzmnka">
    <w:name w:val="Unresolved Mention"/>
    <w:basedOn w:val="Standardnpsmoodstavce"/>
    <w:uiPriority w:val="99"/>
    <w:semiHidden/>
    <w:unhideWhenUsed/>
    <w:rsid w:val="00BA19E0"/>
    <w:rPr>
      <w:color w:val="605E5C"/>
      <w:shd w:val="clear" w:color="auto" w:fill="E1DFDD"/>
    </w:rPr>
  </w:style>
  <w:style w:type="table" w:styleId="Mkatabulky">
    <w:name w:val="Table Grid"/>
    <w:basedOn w:val="Normlntabulka"/>
    <w:uiPriority w:val="39"/>
    <w:rsid w:val="0001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6F7BDA"/>
    <w:rPr>
      <w:sz w:val="20"/>
    </w:rPr>
  </w:style>
  <w:style w:type="character" w:customStyle="1" w:styleId="TextpoznpodarouChar">
    <w:name w:val="Text pozn. pod čarou Char"/>
    <w:basedOn w:val="Standardnpsmoodstavce"/>
    <w:link w:val="Textpoznpodarou"/>
    <w:uiPriority w:val="99"/>
    <w:semiHidden/>
    <w:rsid w:val="006F7BDA"/>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6F7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0764336">
      <w:bodyDiv w:val="1"/>
      <w:marLeft w:val="0"/>
      <w:marRight w:val="0"/>
      <w:marTop w:val="0"/>
      <w:marBottom w:val="0"/>
      <w:divBdr>
        <w:top w:val="none" w:sz="0" w:space="0" w:color="auto"/>
        <w:left w:val="none" w:sz="0" w:space="0" w:color="auto"/>
        <w:bottom w:val="none" w:sz="0" w:space="0" w:color="auto"/>
        <w:right w:val="none" w:sz="0" w:space="0" w:color="auto"/>
      </w:divBdr>
    </w:div>
    <w:div w:id="65881925">
      <w:bodyDiv w:val="1"/>
      <w:marLeft w:val="0"/>
      <w:marRight w:val="0"/>
      <w:marTop w:val="0"/>
      <w:marBottom w:val="0"/>
      <w:divBdr>
        <w:top w:val="none" w:sz="0" w:space="0" w:color="auto"/>
        <w:left w:val="none" w:sz="0" w:space="0" w:color="auto"/>
        <w:bottom w:val="none" w:sz="0" w:space="0" w:color="auto"/>
        <w:right w:val="none" w:sz="0" w:space="0" w:color="auto"/>
      </w:divBdr>
    </w:div>
    <w:div w:id="66729864">
      <w:bodyDiv w:val="1"/>
      <w:marLeft w:val="0"/>
      <w:marRight w:val="0"/>
      <w:marTop w:val="0"/>
      <w:marBottom w:val="0"/>
      <w:divBdr>
        <w:top w:val="none" w:sz="0" w:space="0" w:color="auto"/>
        <w:left w:val="none" w:sz="0" w:space="0" w:color="auto"/>
        <w:bottom w:val="none" w:sz="0" w:space="0" w:color="auto"/>
        <w:right w:val="none" w:sz="0" w:space="0" w:color="auto"/>
      </w:divBdr>
    </w:div>
    <w:div w:id="75367933">
      <w:bodyDiv w:val="1"/>
      <w:marLeft w:val="0"/>
      <w:marRight w:val="0"/>
      <w:marTop w:val="0"/>
      <w:marBottom w:val="0"/>
      <w:divBdr>
        <w:top w:val="none" w:sz="0" w:space="0" w:color="auto"/>
        <w:left w:val="none" w:sz="0" w:space="0" w:color="auto"/>
        <w:bottom w:val="none" w:sz="0" w:space="0" w:color="auto"/>
        <w:right w:val="none" w:sz="0" w:space="0" w:color="auto"/>
      </w:divBdr>
    </w:div>
    <w:div w:id="97651239">
      <w:bodyDiv w:val="1"/>
      <w:marLeft w:val="0"/>
      <w:marRight w:val="0"/>
      <w:marTop w:val="0"/>
      <w:marBottom w:val="0"/>
      <w:divBdr>
        <w:top w:val="none" w:sz="0" w:space="0" w:color="auto"/>
        <w:left w:val="none" w:sz="0" w:space="0" w:color="auto"/>
        <w:bottom w:val="none" w:sz="0" w:space="0" w:color="auto"/>
        <w:right w:val="none" w:sz="0" w:space="0" w:color="auto"/>
      </w:divBdr>
    </w:div>
    <w:div w:id="104077534">
      <w:bodyDiv w:val="1"/>
      <w:marLeft w:val="0"/>
      <w:marRight w:val="0"/>
      <w:marTop w:val="0"/>
      <w:marBottom w:val="0"/>
      <w:divBdr>
        <w:top w:val="none" w:sz="0" w:space="0" w:color="auto"/>
        <w:left w:val="none" w:sz="0" w:space="0" w:color="auto"/>
        <w:bottom w:val="none" w:sz="0" w:space="0" w:color="auto"/>
        <w:right w:val="none" w:sz="0" w:space="0" w:color="auto"/>
      </w:divBdr>
    </w:div>
    <w:div w:id="132212633">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180977078">
      <w:bodyDiv w:val="1"/>
      <w:marLeft w:val="0"/>
      <w:marRight w:val="0"/>
      <w:marTop w:val="0"/>
      <w:marBottom w:val="0"/>
      <w:divBdr>
        <w:top w:val="none" w:sz="0" w:space="0" w:color="auto"/>
        <w:left w:val="none" w:sz="0" w:space="0" w:color="auto"/>
        <w:bottom w:val="none" w:sz="0" w:space="0" w:color="auto"/>
        <w:right w:val="none" w:sz="0" w:space="0" w:color="auto"/>
      </w:divBdr>
    </w:div>
    <w:div w:id="212281255">
      <w:bodyDiv w:val="1"/>
      <w:marLeft w:val="0"/>
      <w:marRight w:val="0"/>
      <w:marTop w:val="0"/>
      <w:marBottom w:val="0"/>
      <w:divBdr>
        <w:top w:val="none" w:sz="0" w:space="0" w:color="auto"/>
        <w:left w:val="none" w:sz="0" w:space="0" w:color="auto"/>
        <w:bottom w:val="none" w:sz="0" w:space="0" w:color="auto"/>
        <w:right w:val="none" w:sz="0" w:space="0" w:color="auto"/>
      </w:divBdr>
    </w:div>
    <w:div w:id="212424732">
      <w:bodyDiv w:val="1"/>
      <w:marLeft w:val="0"/>
      <w:marRight w:val="0"/>
      <w:marTop w:val="0"/>
      <w:marBottom w:val="0"/>
      <w:divBdr>
        <w:top w:val="none" w:sz="0" w:space="0" w:color="auto"/>
        <w:left w:val="none" w:sz="0" w:space="0" w:color="auto"/>
        <w:bottom w:val="none" w:sz="0" w:space="0" w:color="auto"/>
        <w:right w:val="none" w:sz="0" w:space="0" w:color="auto"/>
      </w:divBdr>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14389258">
      <w:bodyDiv w:val="1"/>
      <w:marLeft w:val="0"/>
      <w:marRight w:val="0"/>
      <w:marTop w:val="0"/>
      <w:marBottom w:val="0"/>
      <w:divBdr>
        <w:top w:val="none" w:sz="0" w:space="0" w:color="auto"/>
        <w:left w:val="none" w:sz="0" w:space="0" w:color="auto"/>
        <w:bottom w:val="none" w:sz="0" w:space="0" w:color="auto"/>
        <w:right w:val="none" w:sz="0" w:space="0" w:color="auto"/>
      </w:divBdr>
    </w:div>
    <w:div w:id="215168246">
      <w:bodyDiv w:val="1"/>
      <w:marLeft w:val="0"/>
      <w:marRight w:val="0"/>
      <w:marTop w:val="0"/>
      <w:marBottom w:val="0"/>
      <w:divBdr>
        <w:top w:val="none" w:sz="0" w:space="0" w:color="auto"/>
        <w:left w:val="none" w:sz="0" w:space="0" w:color="auto"/>
        <w:bottom w:val="none" w:sz="0" w:space="0" w:color="auto"/>
        <w:right w:val="none" w:sz="0" w:space="0" w:color="auto"/>
      </w:divBdr>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1698303">
      <w:bodyDiv w:val="1"/>
      <w:marLeft w:val="0"/>
      <w:marRight w:val="0"/>
      <w:marTop w:val="0"/>
      <w:marBottom w:val="0"/>
      <w:divBdr>
        <w:top w:val="none" w:sz="0" w:space="0" w:color="auto"/>
        <w:left w:val="none" w:sz="0" w:space="0" w:color="auto"/>
        <w:bottom w:val="none" w:sz="0" w:space="0" w:color="auto"/>
        <w:right w:val="none" w:sz="0" w:space="0" w:color="auto"/>
      </w:divBdr>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31490063">
      <w:bodyDiv w:val="1"/>
      <w:marLeft w:val="0"/>
      <w:marRight w:val="0"/>
      <w:marTop w:val="0"/>
      <w:marBottom w:val="0"/>
      <w:divBdr>
        <w:top w:val="none" w:sz="0" w:space="0" w:color="auto"/>
        <w:left w:val="none" w:sz="0" w:space="0" w:color="auto"/>
        <w:bottom w:val="none" w:sz="0" w:space="0" w:color="auto"/>
        <w:right w:val="none" w:sz="0" w:space="0" w:color="auto"/>
      </w:divBdr>
    </w:div>
    <w:div w:id="343899673">
      <w:bodyDiv w:val="1"/>
      <w:marLeft w:val="0"/>
      <w:marRight w:val="0"/>
      <w:marTop w:val="0"/>
      <w:marBottom w:val="0"/>
      <w:divBdr>
        <w:top w:val="none" w:sz="0" w:space="0" w:color="auto"/>
        <w:left w:val="none" w:sz="0" w:space="0" w:color="auto"/>
        <w:bottom w:val="none" w:sz="0" w:space="0" w:color="auto"/>
        <w:right w:val="none" w:sz="0" w:space="0" w:color="auto"/>
      </w:divBdr>
    </w:div>
    <w:div w:id="358311346">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08618435">
      <w:bodyDiv w:val="1"/>
      <w:marLeft w:val="0"/>
      <w:marRight w:val="0"/>
      <w:marTop w:val="0"/>
      <w:marBottom w:val="0"/>
      <w:divBdr>
        <w:top w:val="none" w:sz="0" w:space="0" w:color="auto"/>
        <w:left w:val="none" w:sz="0" w:space="0" w:color="auto"/>
        <w:bottom w:val="none" w:sz="0" w:space="0" w:color="auto"/>
        <w:right w:val="none" w:sz="0" w:space="0" w:color="auto"/>
      </w:divBdr>
    </w:div>
    <w:div w:id="411201801">
      <w:bodyDiv w:val="1"/>
      <w:marLeft w:val="0"/>
      <w:marRight w:val="0"/>
      <w:marTop w:val="0"/>
      <w:marBottom w:val="0"/>
      <w:divBdr>
        <w:top w:val="none" w:sz="0" w:space="0" w:color="auto"/>
        <w:left w:val="none" w:sz="0" w:space="0" w:color="auto"/>
        <w:bottom w:val="none" w:sz="0" w:space="0" w:color="auto"/>
        <w:right w:val="none" w:sz="0" w:space="0" w:color="auto"/>
      </w:divBdr>
    </w:div>
    <w:div w:id="420875207">
      <w:bodyDiv w:val="1"/>
      <w:marLeft w:val="0"/>
      <w:marRight w:val="0"/>
      <w:marTop w:val="0"/>
      <w:marBottom w:val="0"/>
      <w:divBdr>
        <w:top w:val="none" w:sz="0" w:space="0" w:color="auto"/>
        <w:left w:val="none" w:sz="0" w:space="0" w:color="auto"/>
        <w:bottom w:val="none" w:sz="0" w:space="0" w:color="auto"/>
        <w:right w:val="none" w:sz="0" w:space="0" w:color="auto"/>
      </w:divBdr>
    </w:div>
    <w:div w:id="421756657">
      <w:bodyDiv w:val="1"/>
      <w:marLeft w:val="0"/>
      <w:marRight w:val="0"/>
      <w:marTop w:val="0"/>
      <w:marBottom w:val="0"/>
      <w:divBdr>
        <w:top w:val="none" w:sz="0" w:space="0" w:color="auto"/>
        <w:left w:val="none" w:sz="0" w:space="0" w:color="auto"/>
        <w:bottom w:val="none" w:sz="0" w:space="0" w:color="auto"/>
        <w:right w:val="none" w:sz="0" w:space="0" w:color="auto"/>
      </w:divBdr>
    </w:div>
    <w:div w:id="430663453">
      <w:bodyDiv w:val="1"/>
      <w:marLeft w:val="0"/>
      <w:marRight w:val="0"/>
      <w:marTop w:val="0"/>
      <w:marBottom w:val="0"/>
      <w:divBdr>
        <w:top w:val="none" w:sz="0" w:space="0" w:color="auto"/>
        <w:left w:val="none" w:sz="0" w:space="0" w:color="auto"/>
        <w:bottom w:val="none" w:sz="0" w:space="0" w:color="auto"/>
        <w:right w:val="none" w:sz="0" w:space="0" w:color="auto"/>
      </w:divBdr>
    </w:div>
    <w:div w:id="443963842">
      <w:bodyDiv w:val="1"/>
      <w:marLeft w:val="0"/>
      <w:marRight w:val="0"/>
      <w:marTop w:val="0"/>
      <w:marBottom w:val="0"/>
      <w:divBdr>
        <w:top w:val="none" w:sz="0" w:space="0" w:color="auto"/>
        <w:left w:val="none" w:sz="0" w:space="0" w:color="auto"/>
        <w:bottom w:val="none" w:sz="0" w:space="0" w:color="auto"/>
        <w:right w:val="none" w:sz="0" w:space="0" w:color="auto"/>
      </w:divBdr>
    </w:div>
    <w:div w:id="507059065">
      <w:bodyDiv w:val="1"/>
      <w:marLeft w:val="0"/>
      <w:marRight w:val="0"/>
      <w:marTop w:val="0"/>
      <w:marBottom w:val="0"/>
      <w:divBdr>
        <w:top w:val="none" w:sz="0" w:space="0" w:color="auto"/>
        <w:left w:val="none" w:sz="0" w:space="0" w:color="auto"/>
        <w:bottom w:val="none" w:sz="0" w:space="0" w:color="auto"/>
        <w:right w:val="none" w:sz="0" w:space="0" w:color="auto"/>
      </w:divBdr>
    </w:div>
    <w:div w:id="512230630">
      <w:bodyDiv w:val="1"/>
      <w:marLeft w:val="0"/>
      <w:marRight w:val="0"/>
      <w:marTop w:val="0"/>
      <w:marBottom w:val="0"/>
      <w:divBdr>
        <w:top w:val="none" w:sz="0" w:space="0" w:color="auto"/>
        <w:left w:val="none" w:sz="0" w:space="0" w:color="auto"/>
        <w:bottom w:val="none" w:sz="0" w:space="0" w:color="auto"/>
        <w:right w:val="none" w:sz="0" w:space="0" w:color="auto"/>
      </w:divBdr>
    </w:div>
    <w:div w:id="530805065">
      <w:bodyDiv w:val="1"/>
      <w:marLeft w:val="0"/>
      <w:marRight w:val="0"/>
      <w:marTop w:val="0"/>
      <w:marBottom w:val="0"/>
      <w:divBdr>
        <w:top w:val="none" w:sz="0" w:space="0" w:color="auto"/>
        <w:left w:val="none" w:sz="0" w:space="0" w:color="auto"/>
        <w:bottom w:val="none" w:sz="0" w:space="0" w:color="auto"/>
        <w:right w:val="none" w:sz="0" w:space="0" w:color="auto"/>
      </w:divBdr>
    </w:div>
    <w:div w:id="541747342">
      <w:bodyDiv w:val="1"/>
      <w:marLeft w:val="0"/>
      <w:marRight w:val="0"/>
      <w:marTop w:val="0"/>
      <w:marBottom w:val="0"/>
      <w:divBdr>
        <w:top w:val="none" w:sz="0" w:space="0" w:color="auto"/>
        <w:left w:val="none" w:sz="0" w:space="0" w:color="auto"/>
        <w:bottom w:val="none" w:sz="0" w:space="0" w:color="auto"/>
        <w:right w:val="none" w:sz="0" w:space="0" w:color="auto"/>
      </w:divBdr>
    </w:div>
    <w:div w:id="547766773">
      <w:bodyDiv w:val="1"/>
      <w:marLeft w:val="0"/>
      <w:marRight w:val="0"/>
      <w:marTop w:val="0"/>
      <w:marBottom w:val="0"/>
      <w:divBdr>
        <w:top w:val="none" w:sz="0" w:space="0" w:color="auto"/>
        <w:left w:val="none" w:sz="0" w:space="0" w:color="auto"/>
        <w:bottom w:val="none" w:sz="0" w:space="0" w:color="auto"/>
        <w:right w:val="none" w:sz="0" w:space="0" w:color="auto"/>
      </w:divBdr>
    </w:div>
    <w:div w:id="566258281">
      <w:bodyDiv w:val="1"/>
      <w:marLeft w:val="0"/>
      <w:marRight w:val="0"/>
      <w:marTop w:val="0"/>
      <w:marBottom w:val="0"/>
      <w:divBdr>
        <w:top w:val="none" w:sz="0" w:space="0" w:color="auto"/>
        <w:left w:val="none" w:sz="0" w:space="0" w:color="auto"/>
        <w:bottom w:val="none" w:sz="0" w:space="0" w:color="auto"/>
        <w:right w:val="none" w:sz="0" w:space="0" w:color="auto"/>
      </w:divBdr>
    </w:div>
    <w:div w:id="624774902">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759524415">
      <w:bodyDiv w:val="1"/>
      <w:marLeft w:val="0"/>
      <w:marRight w:val="0"/>
      <w:marTop w:val="0"/>
      <w:marBottom w:val="0"/>
      <w:divBdr>
        <w:top w:val="none" w:sz="0" w:space="0" w:color="auto"/>
        <w:left w:val="none" w:sz="0" w:space="0" w:color="auto"/>
        <w:bottom w:val="none" w:sz="0" w:space="0" w:color="auto"/>
        <w:right w:val="none" w:sz="0" w:space="0" w:color="auto"/>
      </w:divBdr>
    </w:div>
    <w:div w:id="817648807">
      <w:bodyDiv w:val="1"/>
      <w:marLeft w:val="0"/>
      <w:marRight w:val="0"/>
      <w:marTop w:val="0"/>
      <w:marBottom w:val="0"/>
      <w:divBdr>
        <w:top w:val="none" w:sz="0" w:space="0" w:color="auto"/>
        <w:left w:val="none" w:sz="0" w:space="0" w:color="auto"/>
        <w:bottom w:val="none" w:sz="0" w:space="0" w:color="auto"/>
        <w:right w:val="none" w:sz="0" w:space="0" w:color="auto"/>
      </w:divBdr>
    </w:div>
    <w:div w:id="822359253">
      <w:bodyDiv w:val="1"/>
      <w:marLeft w:val="0"/>
      <w:marRight w:val="0"/>
      <w:marTop w:val="0"/>
      <w:marBottom w:val="0"/>
      <w:divBdr>
        <w:top w:val="none" w:sz="0" w:space="0" w:color="auto"/>
        <w:left w:val="none" w:sz="0" w:space="0" w:color="auto"/>
        <w:bottom w:val="none" w:sz="0" w:space="0" w:color="auto"/>
        <w:right w:val="none" w:sz="0" w:space="0" w:color="auto"/>
      </w:divBdr>
    </w:div>
    <w:div w:id="832257858">
      <w:bodyDiv w:val="1"/>
      <w:marLeft w:val="0"/>
      <w:marRight w:val="0"/>
      <w:marTop w:val="0"/>
      <w:marBottom w:val="0"/>
      <w:divBdr>
        <w:top w:val="none" w:sz="0" w:space="0" w:color="auto"/>
        <w:left w:val="none" w:sz="0" w:space="0" w:color="auto"/>
        <w:bottom w:val="none" w:sz="0" w:space="0" w:color="auto"/>
        <w:right w:val="none" w:sz="0" w:space="0" w:color="auto"/>
      </w:divBdr>
    </w:div>
    <w:div w:id="832260493">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81332576">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52442645">
      <w:bodyDiv w:val="1"/>
      <w:marLeft w:val="0"/>
      <w:marRight w:val="0"/>
      <w:marTop w:val="0"/>
      <w:marBottom w:val="0"/>
      <w:divBdr>
        <w:top w:val="none" w:sz="0" w:space="0" w:color="auto"/>
        <w:left w:val="none" w:sz="0" w:space="0" w:color="auto"/>
        <w:bottom w:val="none" w:sz="0" w:space="0" w:color="auto"/>
        <w:right w:val="none" w:sz="0" w:space="0" w:color="auto"/>
      </w:divBdr>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98969751">
      <w:bodyDiv w:val="1"/>
      <w:marLeft w:val="0"/>
      <w:marRight w:val="0"/>
      <w:marTop w:val="0"/>
      <w:marBottom w:val="0"/>
      <w:divBdr>
        <w:top w:val="none" w:sz="0" w:space="0" w:color="auto"/>
        <w:left w:val="none" w:sz="0" w:space="0" w:color="auto"/>
        <w:bottom w:val="none" w:sz="0" w:space="0" w:color="auto"/>
        <w:right w:val="none" w:sz="0" w:space="0" w:color="auto"/>
      </w:divBdr>
    </w:div>
    <w:div w:id="1007630827">
      <w:bodyDiv w:val="1"/>
      <w:marLeft w:val="0"/>
      <w:marRight w:val="0"/>
      <w:marTop w:val="0"/>
      <w:marBottom w:val="0"/>
      <w:divBdr>
        <w:top w:val="none" w:sz="0" w:space="0" w:color="auto"/>
        <w:left w:val="none" w:sz="0" w:space="0" w:color="auto"/>
        <w:bottom w:val="none" w:sz="0" w:space="0" w:color="auto"/>
        <w:right w:val="none" w:sz="0" w:space="0" w:color="auto"/>
      </w:divBdr>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65756110">
      <w:bodyDiv w:val="1"/>
      <w:marLeft w:val="0"/>
      <w:marRight w:val="0"/>
      <w:marTop w:val="0"/>
      <w:marBottom w:val="0"/>
      <w:divBdr>
        <w:top w:val="none" w:sz="0" w:space="0" w:color="auto"/>
        <w:left w:val="none" w:sz="0" w:space="0" w:color="auto"/>
        <w:bottom w:val="none" w:sz="0" w:space="0" w:color="auto"/>
        <w:right w:val="none" w:sz="0" w:space="0" w:color="auto"/>
      </w:divBdr>
    </w:div>
    <w:div w:id="1074622778">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184320010">
      <w:bodyDiv w:val="1"/>
      <w:marLeft w:val="0"/>
      <w:marRight w:val="0"/>
      <w:marTop w:val="0"/>
      <w:marBottom w:val="0"/>
      <w:divBdr>
        <w:top w:val="none" w:sz="0" w:space="0" w:color="auto"/>
        <w:left w:val="none" w:sz="0" w:space="0" w:color="auto"/>
        <w:bottom w:val="none" w:sz="0" w:space="0" w:color="auto"/>
        <w:right w:val="none" w:sz="0" w:space="0" w:color="auto"/>
      </w:divBdr>
    </w:div>
    <w:div w:id="1200707317">
      <w:bodyDiv w:val="1"/>
      <w:marLeft w:val="0"/>
      <w:marRight w:val="0"/>
      <w:marTop w:val="0"/>
      <w:marBottom w:val="0"/>
      <w:divBdr>
        <w:top w:val="none" w:sz="0" w:space="0" w:color="auto"/>
        <w:left w:val="none" w:sz="0" w:space="0" w:color="auto"/>
        <w:bottom w:val="none" w:sz="0" w:space="0" w:color="auto"/>
        <w:right w:val="none" w:sz="0" w:space="0" w:color="auto"/>
      </w:divBdr>
    </w:div>
    <w:div w:id="1209335892">
      <w:bodyDiv w:val="1"/>
      <w:marLeft w:val="0"/>
      <w:marRight w:val="0"/>
      <w:marTop w:val="0"/>
      <w:marBottom w:val="0"/>
      <w:divBdr>
        <w:top w:val="none" w:sz="0" w:space="0" w:color="auto"/>
        <w:left w:val="none" w:sz="0" w:space="0" w:color="auto"/>
        <w:bottom w:val="none" w:sz="0" w:space="0" w:color="auto"/>
        <w:right w:val="none" w:sz="0" w:space="0" w:color="auto"/>
      </w:divBdr>
    </w:div>
    <w:div w:id="1233589226">
      <w:bodyDiv w:val="1"/>
      <w:marLeft w:val="0"/>
      <w:marRight w:val="0"/>
      <w:marTop w:val="0"/>
      <w:marBottom w:val="0"/>
      <w:divBdr>
        <w:top w:val="none" w:sz="0" w:space="0" w:color="auto"/>
        <w:left w:val="none" w:sz="0" w:space="0" w:color="auto"/>
        <w:bottom w:val="none" w:sz="0" w:space="0" w:color="auto"/>
        <w:right w:val="none" w:sz="0" w:space="0" w:color="auto"/>
      </w:divBdr>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268585387">
      <w:bodyDiv w:val="1"/>
      <w:marLeft w:val="0"/>
      <w:marRight w:val="0"/>
      <w:marTop w:val="0"/>
      <w:marBottom w:val="0"/>
      <w:divBdr>
        <w:top w:val="none" w:sz="0" w:space="0" w:color="auto"/>
        <w:left w:val="none" w:sz="0" w:space="0" w:color="auto"/>
        <w:bottom w:val="none" w:sz="0" w:space="0" w:color="auto"/>
        <w:right w:val="none" w:sz="0" w:space="0" w:color="auto"/>
      </w:divBdr>
    </w:div>
    <w:div w:id="1283875638">
      <w:bodyDiv w:val="1"/>
      <w:marLeft w:val="0"/>
      <w:marRight w:val="0"/>
      <w:marTop w:val="0"/>
      <w:marBottom w:val="0"/>
      <w:divBdr>
        <w:top w:val="none" w:sz="0" w:space="0" w:color="auto"/>
        <w:left w:val="none" w:sz="0" w:space="0" w:color="auto"/>
        <w:bottom w:val="none" w:sz="0" w:space="0" w:color="auto"/>
        <w:right w:val="none" w:sz="0" w:space="0" w:color="auto"/>
      </w:divBdr>
    </w:div>
    <w:div w:id="1285237181">
      <w:bodyDiv w:val="1"/>
      <w:marLeft w:val="0"/>
      <w:marRight w:val="0"/>
      <w:marTop w:val="0"/>
      <w:marBottom w:val="0"/>
      <w:divBdr>
        <w:top w:val="none" w:sz="0" w:space="0" w:color="auto"/>
        <w:left w:val="none" w:sz="0" w:space="0" w:color="auto"/>
        <w:bottom w:val="none" w:sz="0" w:space="0" w:color="auto"/>
        <w:right w:val="none" w:sz="0" w:space="0" w:color="auto"/>
      </w:divBdr>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368138656">
      <w:bodyDiv w:val="1"/>
      <w:marLeft w:val="0"/>
      <w:marRight w:val="0"/>
      <w:marTop w:val="0"/>
      <w:marBottom w:val="0"/>
      <w:divBdr>
        <w:top w:val="none" w:sz="0" w:space="0" w:color="auto"/>
        <w:left w:val="none" w:sz="0" w:space="0" w:color="auto"/>
        <w:bottom w:val="none" w:sz="0" w:space="0" w:color="auto"/>
        <w:right w:val="none" w:sz="0" w:space="0" w:color="auto"/>
      </w:divBdr>
    </w:div>
    <w:div w:id="1373380894">
      <w:bodyDiv w:val="1"/>
      <w:marLeft w:val="0"/>
      <w:marRight w:val="0"/>
      <w:marTop w:val="0"/>
      <w:marBottom w:val="0"/>
      <w:divBdr>
        <w:top w:val="none" w:sz="0" w:space="0" w:color="auto"/>
        <w:left w:val="none" w:sz="0" w:space="0" w:color="auto"/>
        <w:bottom w:val="none" w:sz="0" w:space="0" w:color="auto"/>
        <w:right w:val="none" w:sz="0" w:space="0" w:color="auto"/>
      </w:divBdr>
    </w:div>
    <w:div w:id="1411075325">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36707664">
      <w:bodyDiv w:val="1"/>
      <w:marLeft w:val="0"/>
      <w:marRight w:val="0"/>
      <w:marTop w:val="0"/>
      <w:marBottom w:val="0"/>
      <w:divBdr>
        <w:top w:val="none" w:sz="0" w:space="0" w:color="auto"/>
        <w:left w:val="none" w:sz="0" w:space="0" w:color="auto"/>
        <w:bottom w:val="none" w:sz="0" w:space="0" w:color="auto"/>
        <w:right w:val="none" w:sz="0" w:space="0" w:color="auto"/>
      </w:divBdr>
    </w:div>
    <w:div w:id="1483740881">
      <w:bodyDiv w:val="1"/>
      <w:marLeft w:val="0"/>
      <w:marRight w:val="0"/>
      <w:marTop w:val="0"/>
      <w:marBottom w:val="0"/>
      <w:divBdr>
        <w:top w:val="none" w:sz="0" w:space="0" w:color="auto"/>
        <w:left w:val="none" w:sz="0" w:space="0" w:color="auto"/>
        <w:bottom w:val="none" w:sz="0" w:space="0" w:color="auto"/>
        <w:right w:val="none" w:sz="0" w:space="0" w:color="auto"/>
      </w:divBdr>
    </w:div>
    <w:div w:id="1530332780">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36308343">
      <w:bodyDiv w:val="1"/>
      <w:marLeft w:val="0"/>
      <w:marRight w:val="0"/>
      <w:marTop w:val="0"/>
      <w:marBottom w:val="0"/>
      <w:divBdr>
        <w:top w:val="none" w:sz="0" w:space="0" w:color="auto"/>
        <w:left w:val="none" w:sz="0" w:space="0" w:color="auto"/>
        <w:bottom w:val="none" w:sz="0" w:space="0" w:color="auto"/>
        <w:right w:val="none" w:sz="0" w:space="0" w:color="auto"/>
      </w:divBdr>
    </w:div>
    <w:div w:id="1568108159">
      <w:bodyDiv w:val="1"/>
      <w:marLeft w:val="0"/>
      <w:marRight w:val="0"/>
      <w:marTop w:val="0"/>
      <w:marBottom w:val="0"/>
      <w:divBdr>
        <w:top w:val="none" w:sz="0" w:space="0" w:color="auto"/>
        <w:left w:val="none" w:sz="0" w:space="0" w:color="auto"/>
        <w:bottom w:val="none" w:sz="0" w:space="0" w:color="auto"/>
        <w:right w:val="none" w:sz="0" w:space="0" w:color="auto"/>
      </w:divBdr>
    </w:div>
    <w:div w:id="1591236043">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10316242">
      <w:bodyDiv w:val="1"/>
      <w:marLeft w:val="0"/>
      <w:marRight w:val="0"/>
      <w:marTop w:val="0"/>
      <w:marBottom w:val="0"/>
      <w:divBdr>
        <w:top w:val="none" w:sz="0" w:space="0" w:color="auto"/>
        <w:left w:val="none" w:sz="0" w:space="0" w:color="auto"/>
        <w:bottom w:val="none" w:sz="0" w:space="0" w:color="auto"/>
        <w:right w:val="none" w:sz="0" w:space="0" w:color="auto"/>
      </w:divBdr>
    </w:div>
    <w:div w:id="1625690487">
      <w:bodyDiv w:val="1"/>
      <w:marLeft w:val="0"/>
      <w:marRight w:val="0"/>
      <w:marTop w:val="0"/>
      <w:marBottom w:val="0"/>
      <w:divBdr>
        <w:top w:val="none" w:sz="0" w:space="0" w:color="auto"/>
        <w:left w:val="none" w:sz="0" w:space="0" w:color="auto"/>
        <w:bottom w:val="none" w:sz="0" w:space="0" w:color="auto"/>
        <w:right w:val="none" w:sz="0" w:space="0" w:color="auto"/>
      </w:divBdr>
    </w:div>
    <w:div w:id="1652515071">
      <w:bodyDiv w:val="1"/>
      <w:marLeft w:val="0"/>
      <w:marRight w:val="0"/>
      <w:marTop w:val="0"/>
      <w:marBottom w:val="0"/>
      <w:divBdr>
        <w:top w:val="none" w:sz="0" w:space="0" w:color="auto"/>
        <w:left w:val="none" w:sz="0" w:space="0" w:color="auto"/>
        <w:bottom w:val="none" w:sz="0" w:space="0" w:color="auto"/>
        <w:right w:val="none" w:sz="0" w:space="0" w:color="auto"/>
      </w:divBdr>
    </w:div>
    <w:div w:id="1672639719">
      <w:bodyDiv w:val="1"/>
      <w:marLeft w:val="0"/>
      <w:marRight w:val="0"/>
      <w:marTop w:val="0"/>
      <w:marBottom w:val="0"/>
      <w:divBdr>
        <w:top w:val="none" w:sz="0" w:space="0" w:color="auto"/>
        <w:left w:val="none" w:sz="0" w:space="0" w:color="auto"/>
        <w:bottom w:val="none" w:sz="0" w:space="0" w:color="auto"/>
        <w:right w:val="none" w:sz="0" w:space="0" w:color="auto"/>
      </w:divBdr>
    </w:div>
    <w:div w:id="1685783644">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37510226">
      <w:bodyDiv w:val="1"/>
      <w:marLeft w:val="0"/>
      <w:marRight w:val="0"/>
      <w:marTop w:val="0"/>
      <w:marBottom w:val="0"/>
      <w:divBdr>
        <w:top w:val="none" w:sz="0" w:space="0" w:color="auto"/>
        <w:left w:val="none" w:sz="0" w:space="0" w:color="auto"/>
        <w:bottom w:val="none" w:sz="0" w:space="0" w:color="auto"/>
        <w:right w:val="none" w:sz="0" w:space="0" w:color="auto"/>
      </w:divBdr>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79589351">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1938127327">
      <w:bodyDiv w:val="1"/>
      <w:marLeft w:val="0"/>
      <w:marRight w:val="0"/>
      <w:marTop w:val="0"/>
      <w:marBottom w:val="0"/>
      <w:divBdr>
        <w:top w:val="none" w:sz="0" w:space="0" w:color="auto"/>
        <w:left w:val="none" w:sz="0" w:space="0" w:color="auto"/>
        <w:bottom w:val="none" w:sz="0" w:space="0" w:color="auto"/>
        <w:right w:val="none" w:sz="0" w:space="0" w:color="auto"/>
      </w:divBdr>
    </w:div>
    <w:div w:id="1964920720">
      <w:bodyDiv w:val="1"/>
      <w:marLeft w:val="0"/>
      <w:marRight w:val="0"/>
      <w:marTop w:val="0"/>
      <w:marBottom w:val="0"/>
      <w:divBdr>
        <w:top w:val="none" w:sz="0" w:space="0" w:color="auto"/>
        <w:left w:val="none" w:sz="0" w:space="0" w:color="auto"/>
        <w:bottom w:val="none" w:sz="0" w:space="0" w:color="auto"/>
        <w:right w:val="none" w:sz="0" w:space="0" w:color="auto"/>
      </w:divBdr>
    </w:div>
    <w:div w:id="1988048669">
      <w:bodyDiv w:val="1"/>
      <w:marLeft w:val="0"/>
      <w:marRight w:val="0"/>
      <w:marTop w:val="0"/>
      <w:marBottom w:val="0"/>
      <w:divBdr>
        <w:top w:val="none" w:sz="0" w:space="0" w:color="auto"/>
        <w:left w:val="none" w:sz="0" w:space="0" w:color="auto"/>
        <w:bottom w:val="none" w:sz="0" w:space="0" w:color="auto"/>
        <w:right w:val="none" w:sz="0" w:space="0" w:color="auto"/>
      </w:divBdr>
    </w:div>
    <w:div w:id="2002464024">
      <w:bodyDiv w:val="1"/>
      <w:marLeft w:val="0"/>
      <w:marRight w:val="0"/>
      <w:marTop w:val="0"/>
      <w:marBottom w:val="0"/>
      <w:divBdr>
        <w:top w:val="none" w:sz="0" w:space="0" w:color="auto"/>
        <w:left w:val="none" w:sz="0" w:space="0" w:color="auto"/>
        <w:bottom w:val="none" w:sz="0" w:space="0" w:color="auto"/>
        <w:right w:val="none" w:sz="0" w:space="0" w:color="auto"/>
      </w:divBdr>
    </w:div>
    <w:div w:id="2006467231">
      <w:bodyDiv w:val="1"/>
      <w:marLeft w:val="0"/>
      <w:marRight w:val="0"/>
      <w:marTop w:val="0"/>
      <w:marBottom w:val="0"/>
      <w:divBdr>
        <w:top w:val="none" w:sz="0" w:space="0" w:color="auto"/>
        <w:left w:val="none" w:sz="0" w:space="0" w:color="auto"/>
        <w:bottom w:val="none" w:sz="0" w:space="0" w:color="auto"/>
        <w:right w:val="none" w:sz="0" w:space="0" w:color="auto"/>
      </w:divBdr>
    </w:div>
    <w:div w:id="2016418330">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71464247">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21292041">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baonline.cz" TargetMode="External"/><Relationship Id="rId4" Type="http://schemas.openxmlformats.org/officeDocument/2006/relationships/settings" Target="settings.xml"/><Relationship Id="rId9" Type="http://schemas.openxmlformats.org/officeDocument/2006/relationships/hyperlink" Target="http://www.cbaonline.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F6F5-D843-4129-900A-FD170C2A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6987</Characters>
  <Application>Microsoft Office Word</Application>
  <DocSecurity>0</DocSecurity>
  <Lines>58</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Radana Možná</cp:lastModifiedBy>
  <cp:revision>2</cp:revision>
  <cp:lastPrinted>2020-09-16T06:48:00Z</cp:lastPrinted>
  <dcterms:created xsi:type="dcterms:W3CDTF">2022-02-11T07:03:00Z</dcterms:created>
  <dcterms:modified xsi:type="dcterms:W3CDTF">2022-02-11T07:03:00Z</dcterms:modified>
</cp:coreProperties>
</file>