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45D2" w14:textId="6DC90918" w:rsidR="00266E32" w:rsidRPr="00DD4A8E" w:rsidRDefault="00266E32" w:rsidP="002B1A4A">
      <w:pPr>
        <w:spacing w:after="120"/>
        <w:rPr>
          <w:rFonts w:ascii="Calibri" w:hAnsi="Calibri" w:cs="Arial"/>
          <w:b/>
          <w:color w:val="13576B"/>
          <w:sz w:val="36"/>
          <w:szCs w:val="36"/>
        </w:rPr>
      </w:pPr>
      <w:r w:rsidRPr="00DD4A8E">
        <w:rPr>
          <w:rFonts w:ascii="Calibri" w:hAnsi="Calibri" w:cs="Arial"/>
          <w:b/>
          <w:color w:val="13576B"/>
          <w:sz w:val="36"/>
          <w:szCs w:val="36"/>
        </w:rPr>
        <w:t xml:space="preserve">MAKROEKONOMICKÁ PROGNÓZA </w:t>
      </w:r>
      <w:r>
        <w:rPr>
          <w:rFonts w:ascii="Calibri" w:hAnsi="Calibri" w:cs="Arial"/>
          <w:b/>
          <w:color w:val="13576B"/>
          <w:sz w:val="36"/>
          <w:szCs w:val="36"/>
        </w:rPr>
        <w:t>ČBA</w:t>
      </w:r>
    </w:p>
    <w:p w14:paraId="240C088F" w14:textId="7FAB5E2D" w:rsidR="00266E32" w:rsidRPr="00DD4A8E" w:rsidRDefault="00335332" w:rsidP="00266E32">
      <w:pPr>
        <w:jc w:val="left"/>
        <w:rPr>
          <w:rFonts w:ascii="Calibri" w:hAnsi="Calibri" w:cs="Arial"/>
          <w:b/>
          <w:color w:val="13576B"/>
          <w:sz w:val="32"/>
          <w:szCs w:val="32"/>
        </w:rPr>
      </w:pPr>
      <w:r>
        <w:rPr>
          <w:rFonts w:ascii="Calibri" w:hAnsi="Calibri" w:cs="Arial"/>
          <w:b/>
          <w:color w:val="13576B"/>
          <w:sz w:val="32"/>
          <w:szCs w:val="32"/>
        </w:rPr>
        <w:t xml:space="preserve">Únor </w:t>
      </w:r>
      <w:r w:rsidR="000366C2">
        <w:rPr>
          <w:rFonts w:ascii="Calibri" w:hAnsi="Calibri" w:cs="Arial"/>
          <w:b/>
          <w:color w:val="13576B"/>
          <w:sz w:val="32"/>
          <w:szCs w:val="32"/>
        </w:rPr>
        <w:t>20</w:t>
      </w:r>
      <w:r>
        <w:rPr>
          <w:rFonts w:ascii="Calibri" w:hAnsi="Calibri" w:cs="Arial"/>
          <w:b/>
          <w:color w:val="13576B"/>
          <w:sz w:val="32"/>
          <w:szCs w:val="32"/>
        </w:rPr>
        <w:t>22</w:t>
      </w:r>
      <w:r w:rsidR="000366C2">
        <w:rPr>
          <w:rFonts w:ascii="Calibri" w:hAnsi="Calibri" w:cs="Arial"/>
          <w:b/>
          <w:color w:val="13576B"/>
          <w:sz w:val="32"/>
          <w:szCs w:val="32"/>
        </w:rPr>
        <w:t xml:space="preserve">: </w:t>
      </w:r>
      <w:r w:rsidR="00484DC6" w:rsidRPr="00484DC6">
        <w:rPr>
          <w:rFonts w:ascii="Calibri" w:hAnsi="Calibri" w:cs="Arial"/>
          <w:b/>
          <w:color w:val="13576B"/>
          <w:sz w:val="32"/>
          <w:szCs w:val="32"/>
        </w:rPr>
        <w:t xml:space="preserve">Česká ekonomika letos </w:t>
      </w:r>
      <w:r w:rsidR="00DA347B">
        <w:rPr>
          <w:rFonts w:ascii="Calibri" w:hAnsi="Calibri" w:cs="Arial"/>
          <w:b/>
          <w:color w:val="13576B"/>
          <w:sz w:val="32"/>
          <w:szCs w:val="32"/>
        </w:rPr>
        <w:t>poroste o 3,7 %, v příštím roce by si měl</w:t>
      </w:r>
      <w:r w:rsidR="00264F1B">
        <w:rPr>
          <w:rFonts w:ascii="Calibri" w:hAnsi="Calibri" w:cs="Arial"/>
          <w:b/>
          <w:color w:val="13576B"/>
          <w:sz w:val="32"/>
          <w:szCs w:val="32"/>
        </w:rPr>
        <w:t>a</w:t>
      </w:r>
      <w:r w:rsidR="00DA347B">
        <w:rPr>
          <w:rFonts w:ascii="Calibri" w:hAnsi="Calibri" w:cs="Arial"/>
          <w:b/>
          <w:color w:val="13576B"/>
          <w:sz w:val="32"/>
          <w:szCs w:val="32"/>
        </w:rPr>
        <w:t xml:space="preserve"> udržet obdobné tempo růstu. Inflace </w:t>
      </w:r>
      <w:r w:rsidR="00017F00">
        <w:rPr>
          <w:rFonts w:ascii="Calibri" w:hAnsi="Calibri" w:cs="Arial"/>
          <w:b/>
          <w:color w:val="13576B"/>
          <w:sz w:val="32"/>
          <w:szCs w:val="32"/>
        </w:rPr>
        <w:t xml:space="preserve">bude nejvyšší od roku </w:t>
      </w:r>
      <w:r w:rsidR="00DA347B">
        <w:rPr>
          <w:rFonts w:ascii="Calibri" w:hAnsi="Calibri" w:cs="Arial"/>
          <w:b/>
          <w:color w:val="13576B"/>
          <w:sz w:val="32"/>
          <w:szCs w:val="32"/>
        </w:rPr>
        <w:t>1998</w:t>
      </w:r>
      <w:r w:rsidR="00266E32">
        <w:rPr>
          <w:rFonts w:ascii="Calibri" w:hAnsi="Calibri" w:cs="Arial"/>
          <w:b/>
          <w:color w:val="13576B"/>
          <w:sz w:val="32"/>
          <w:szCs w:val="32"/>
        </w:rPr>
        <w:t xml:space="preserve">. </w:t>
      </w:r>
      <w:r w:rsidR="00266E32" w:rsidRPr="00DD4A8E">
        <w:rPr>
          <w:rFonts w:ascii="Calibri" w:hAnsi="Calibri" w:cs="Arial"/>
          <w:b/>
          <w:color w:val="13576B"/>
          <w:sz w:val="32"/>
          <w:szCs w:val="32"/>
        </w:rPr>
        <w:t xml:space="preserve"> </w:t>
      </w:r>
    </w:p>
    <w:p w14:paraId="47BA50B7" w14:textId="5A280F8F" w:rsidR="008B1328" w:rsidRPr="00DD4A8E" w:rsidRDefault="00266E32" w:rsidP="00983579">
      <w:pPr>
        <w:pStyle w:val="Normlnweb"/>
        <w:jc w:val="both"/>
        <w:rPr>
          <w:rFonts w:ascii="Calibri" w:hAnsi="Calibri" w:cs="Calibri"/>
          <w:color w:val="13576B"/>
          <w:sz w:val="20"/>
        </w:rPr>
      </w:pPr>
      <w:r w:rsidRPr="00DD4A8E">
        <w:rPr>
          <w:rFonts w:ascii="Calibri" w:hAnsi="Calibri" w:cs="Calibri"/>
          <w:b/>
          <w:color w:val="13576B"/>
          <w:sz w:val="20"/>
        </w:rPr>
        <w:t>Praha, 1</w:t>
      </w:r>
      <w:r w:rsidR="00335332">
        <w:rPr>
          <w:rFonts w:ascii="Calibri" w:hAnsi="Calibri" w:cs="Calibri"/>
          <w:b/>
          <w:color w:val="13576B"/>
          <w:sz w:val="20"/>
        </w:rPr>
        <w:t>0</w:t>
      </w:r>
      <w:r w:rsidRPr="00DD4A8E">
        <w:rPr>
          <w:rFonts w:ascii="Calibri" w:hAnsi="Calibri" w:cs="Calibri"/>
          <w:b/>
          <w:color w:val="13576B"/>
          <w:sz w:val="20"/>
        </w:rPr>
        <w:t xml:space="preserve">. </w:t>
      </w:r>
      <w:r w:rsidR="00335332">
        <w:rPr>
          <w:rFonts w:ascii="Calibri" w:hAnsi="Calibri" w:cs="Calibri"/>
          <w:b/>
          <w:color w:val="13576B"/>
          <w:sz w:val="20"/>
        </w:rPr>
        <w:t xml:space="preserve">února </w:t>
      </w:r>
      <w:r w:rsidRPr="00DD4A8E">
        <w:rPr>
          <w:rFonts w:ascii="Calibri" w:hAnsi="Calibri" w:cs="Calibri"/>
          <w:b/>
          <w:color w:val="13576B"/>
          <w:sz w:val="20"/>
        </w:rPr>
        <w:t>202</w:t>
      </w:r>
      <w:r w:rsidR="00335332">
        <w:rPr>
          <w:rFonts w:ascii="Calibri" w:hAnsi="Calibri" w:cs="Calibri"/>
          <w:b/>
          <w:color w:val="13576B"/>
          <w:sz w:val="20"/>
        </w:rPr>
        <w:t>2</w:t>
      </w:r>
      <w:r w:rsidRPr="00DD4A8E">
        <w:rPr>
          <w:rFonts w:ascii="Calibri" w:hAnsi="Calibri" w:cs="Calibri"/>
          <w:b/>
          <w:color w:val="13576B"/>
          <w:sz w:val="20"/>
        </w:rPr>
        <w:t xml:space="preserve"> – Hlavní ekonomové bank zastoupení v </w:t>
      </w:r>
      <w:r w:rsidR="005E1864">
        <w:rPr>
          <w:rFonts w:ascii="Calibri" w:hAnsi="Calibri" w:cs="Calibri"/>
          <w:b/>
          <w:color w:val="13576B"/>
          <w:sz w:val="20"/>
        </w:rPr>
        <w:t>p</w:t>
      </w:r>
      <w:r w:rsidRPr="00DD4A8E">
        <w:rPr>
          <w:rFonts w:ascii="Calibri" w:hAnsi="Calibri" w:cs="Calibri"/>
          <w:b/>
          <w:color w:val="13576B"/>
          <w:sz w:val="20"/>
        </w:rPr>
        <w:t xml:space="preserve">rognostickém panelu České bankovní asociace (ČBA) </w:t>
      </w:r>
      <w:r>
        <w:rPr>
          <w:rFonts w:ascii="Calibri" w:hAnsi="Calibri" w:cs="Calibri"/>
          <w:b/>
          <w:color w:val="13576B"/>
          <w:sz w:val="20"/>
        </w:rPr>
        <w:t>snížili odhad růstu tuzemské ekonomiky pro letošní</w:t>
      </w:r>
      <w:r w:rsidR="00A87E96">
        <w:rPr>
          <w:rFonts w:ascii="Calibri" w:hAnsi="Calibri" w:cs="Calibri"/>
          <w:b/>
          <w:color w:val="13576B"/>
          <w:sz w:val="20"/>
        </w:rPr>
        <w:t xml:space="preserve"> rok jen mírně, a to z 3,9 na 3,7 %. </w:t>
      </w:r>
      <w:r w:rsidR="00FD4088">
        <w:rPr>
          <w:rFonts w:ascii="Calibri" w:hAnsi="Calibri" w:cs="Calibri"/>
          <w:b/>
          <w:color w:val="13576B"/>
          <w:sz w:val="20"/>
        </w:rPr>
        <w:t>Růst ekonomiky v letošním roce</w:t>
      </w:r>
      <w:r w:rsidR="008454CD">
        <w:rPr>
          <w:rFonts w:ascii="Calibri" w:hAnsi="Calibri" w:cs="Calibri"/>
          <w:b/>
          <w:color w:val="13576B"/>
          <w:sz w:val="20"/>
        </w:rPr>
        <w:t xml:space="preserve"> </w:t>
      </w:r>
      <w:proofErr w:type="gramStart"/>
      <w:r w:rsidR="00FD4088">
        <w:rPr>
          <w:rFonts w:ascii="Calibri" w:hAnsi="Calibri" w:cs="Calibri"/>
          <w:b/>
          <w:color w:val="13576B"/>
          <w:sz w:val="20"/>
        </w:rPr>
        <w:t>podpoří</w:t>
      </w:r>
      <w:proofErr w:type="gramEnd"/>
      <w:r w:rsidR="00FD4088">
        <w:rPr>
          <w:rFonts w:ascii="Calibri" w:hAnsi="Calibri" w:cs="Calibri"/>
          <w:b/>
          <w:color w:val="13576B"/>
          <w:sz w:val="20"/>
        </w:rPr>
        <w:t xml:space="preserve"> obnovená investiční aktivita, export, a také spotřeba domácností</w:t>
      </w:r>
      <w:r w:rsidR="00127A07">
        <w:rPr>
          <w:rFonts w:ascii="Calibri" w:hAnsi="Calibri" w:cs="Calibri"/>
          <w:b/>
          <w:color w:val="13576B"/>
          <w:sz w:val="20"/>
        </w:rPr>
        <w:t>. Ta</w:t>
      </w:r>
      <w:r w:rsidR="00FD4088">
        <w:rPr>
          <w:rFonts w:ascii="Calibri" w:hAnsi="Calibri" w:cs="Calibri"/>
          <w:b/>
          <w:color w:val="13576B"/>
          <w:sz w:val="20"/>
        </w:rPr>
        <w:t xml:space="preserve"> však bude následkem vyšší inflace slabší, než čekala přechozí listopadová prognóza. Inflace bude zvýšená zejména v prvním pololetí letošního roku a bude se pohybovat poblíž 10% hran</w:t>
      </w:r>
      <w:r w:rsidR="00D462C7">
        <w:rPr>
          <w:rFonts w:ascii="Calibri" w:hAnsi="Calibri" w:cs="Calibri"/>
          <w:b/>
          <w:color w:val="13576B"/>
          <w:sz w:val="20"/>
        </w:rPr>
        <w:t>i</w:t>
      </w:r>
      <w:r w:rsidR="00FD4088">
        <w:rPr>
          <w:rFonts w:ascii="Calibri" w:hAnsi="Calibri" w:cs="Calibri"/>
          <w:b/>
          <w:color w:val="13576B"/>
          <w:sz w:val="20"/>
        </w:rPr>
        <w:t>ce</w:t>
      </w:r>
      <w:r w:rsidR="00127A07">
        <w:rPr>
          <w:rFonts w:ascii="Calibri" w:hAnsi="Calibri" w:cs="Calibri"/>
          <w:b/>
          <w:color w:val="13576B"/>
          <w:sz w:val="20"/>
        </w:rPr>
        <w:t>. K</w:t>
      </w:r>
      <w:r w:rsidR="00FD4088">
        <w:rPr>
          <w:rFonts w:ascii="Calibri" w:hAnsi="Calibri" w:cs="Calibri"/>
          <w:b/>
          <w:color w:val="13576B"/>
          <w:sz w:val="20"/>
        </w:rPr>
        <w:t xml:space="preserve">oncem roku zpomalí na 5 % a v příštím roce </w:t>
      </w:r>
      <w:r w:rsidR="005E7020">
        <w:rPr>
          <w:rFonts w:ascii="Calibri" w:hAnsi="Calibri" w:cs="Calibri"/>
          <w:b/>
          <w:color w:val="13576B"/>
          <w:sz w:val="20"/>
        </w:rPr>
        <w:t xml:space="preserve">by </w:t>
      </w:r>
      <w:r w:rsidR="00FD4088">
        <w:rPr>
          <w:rFonts w:ascii="Calibri" w:hAnsi="Calibri" w:cs="Calibri"/>
          <w:b/>
          <w:color w:val="13576B"/>
          <w:sz w:val="20"/>
        </w:rPr>
        <w:t xml:space="preserve">se </w:t>
      </w:r>
      <w:r w:rsidR="005E7020">
        <w:rPr>
          <w:rFonts w:ascii="Calibri" w:hAnsi="Calibri" w:cs="Calibri"/>
          <w:b/>
          <w:color w:val="13576B"/>
          <w:sz w:val="20"/>
        </w:rPr>
        <w:t xml:space="preserve">měla </w:t>
      </w:r>
      <w:r w:rsidR="00FD4088">
        <w:rPr>
          <w:rFonts w:ascii="Calibri" w:hAnsi="Calibri" w:cs="Calibri"/>
          <w:b/>
          <w:color w:val="13576B"/>
          <w:sz w:val="20"/>
        </w:rPr>
        <w:t>pohybovat opět pod 3 %. Zpomalování inflace patrně umožní ČNB začít v druhé polovině letošního roku snižovat sazby</w:t>
      </w:r>
      <w:r w:rsidR="00127A07">
        <w:rPr>
          <w:rFonts w:ascii="Calibri" w:hAnsi="Calibri" w:cs="Calibri"/>
          <w:b/>
          <w:color w:val="13576B"/>
          <w:sz w:val="20"/>
        </w:rPr>
        <w:t>. Z</w:t>
      </w:r>
      <w:r w:rsidR="00FD4088">
        <w:rPr>
          <w:rFonts w:ascii="Calibri" w:hAnsi="Calibri" w:cs="Calibri"/>
          <w:b/>
          <w:color w:val="13576B"/>
          <w:sz w:val="20"/>
        </w:rPr>
        <w:t xml:space="preserve">ákladní úroková sazba </w:t>
      </w:r>
      <w:r w:rsidR="005E7020">
        <w:rPr>
          <w:rFonts w:ascii="Calibri" w:hAnsi="Calibri" w:cs="Calibri"/>
          <w:b/>
          <w:color w:val="13576B"/>
          <w:sz w:val="20"/>
        </w:rPr>
        <w:t>centrální banky</w:t>
      </w:r>
      <w:r w:rsidR="00FD4088">
        <w:rPr>
          <w:rFonts w:ascii="Calibri" w:hAnsi="Calibri" w:cs="Calibri"/>
          <w:b/>
          <w:color w:val="13576B"/>
          <w:sz w:val="20"/>
        </w:rPr>
        <w:t xml:space="preserve"> by koncem příštího roku </w:t>
      </w:r>
      <w:r w:rsidR="005E7020">
        <w:rPr>
          <w:rFonts w:ascii="Calibri" w:hAnsi="Calibri" w:cs="Calibri"/>
          <w:b/>
          <w:color w:val="13576B"/>
          <w:sz w:val="20"/>
        </w:rPr>
        <w:t xml:space="preserve">měla </w:t>
      </w:r>
      <w:r w:rsidR="00FD4088">
        <w:rPr>
          <w:rFonts w:ascii="Calibri" w:hAnsi="Calibri" w:cs="Calibri"/>
          <w:b/>
          <w:color w:val="13576B"/>
          <w:sz w:val="20"/>
        </w:rPr>
        <w:t>být již jen mírně nad 3 procenty.</w:t>
      </w:r>
      <w:r w:rsidR="006B3B72">
        <w:rPr>
          <w:rFonts w:ascii="Calibri" w:hAnsi="Calibri" w:cs="Calibri"/>
          <w:b/>
          <w:color w:val="13576B"/>
          <w:sz w:val="20"/>
        </w:rPr>
        <w:t xml:space="preserve"> </w:t>
      </w:r>
    </w:p>
    <w:p w14:paraId="3D5DA6B2" w14:textId="4B3D55A8" w:rsidR="00F32F3A" w:rsidRPr="00DD4A8E" w:rsidRDefault="00DA2C5D" w:rsidP="00FD4088">
      <w:pPr>
        <w:rPr>
          <w:rFonts w:ascii="Calibri" w:hAnsi="Calibri" w:cs="Calibri"/>
          <w:b/>
          <w:color w:val="13576B"/>
          <w:sz w:val="22"/>
          <w:szCs w:val="22"/>
        </w:rPr>
      </w:pPr>
      <w:r>
        <w:rPr>
          <w:rFonts w:ascii="Calibri" w:hAnsi="Calibri" w:cs="Calibri"/>
          <w:b/>
          <w:color w:val="13576B"/>
          <w:sz w:val="22"/>
          <w:szCs w:val="22"/>
        </w:rPr>
        <w:t xml:space="preserve">Pandemická situace </w:t>
      </w:r>
      <w:r w:rsidR="00335332">
        <w:rPr>
          <w:rFonts w:ascii="Calibri" w:hAnsi="Calibri" w:cs="Calibri"/>
          <w:b/>
          <w:color w:val="13576B"/>
          <w:sz w:val="22"/>
          <w:szCs w:val="22"/>
        </w:rPr>
        <w:t xml:space="preserve">zpomaluje </w:t>
      </w:r>
      <w:r>
        <w:rPr>
          <w:rFonts w:ascii="Calibri" w:hAnsi="Calibri" w:cs="Calibri"/>
          <w:b/>
          <w:color w:val="13576B"/>
          <w:sz w:val="22"/>
          <w:szCs w:val="22"/>
        </w:rPr>
        <w:t>zotavování globální ekonomiky</w:t>
      </w:r>
    </w:p>
    <w:p w14:paraId="7481E7CE" w14:textId="0B332185" w:rsidR="007836B5" w:rsidRDefault="00082CD7" w:rsidP="00786866">
      <w:pPr>
        <w:rPr>
          <w:rFonts w:ascii="Calibri" w:hAnsi="Calibri" w:cs="Calibri"/>
          <w:sz w:val="20"/>
        </w:rPr>
      </w:pPr>
      <w:r w:rsidRPr="00C15C1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7E5370" wp14:editId="613DB4CF">
                <wp:simplePos x="0" y="0"/>
                <wp:positionH relativeFrom="margin">
                  <wp:posOffset>-14605</wp:posOffset>
                </wp:positionH>
                <wp:positionV relativeFrom="paragraph">
                  <wp:posOffset>1615440</wp:posOffset>
                </wp:positionV>
                <wp:extent cx="6461760" cy="706755"/>
                <wp:effectExtent l="0" t="0" r="15240" b="1714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02031" w14:textId="61D59744" w:rsidR="00BF5C5A" w:rsidRPr="00FA325B" w:rsidRDefault="00BF5C5A" w:rsidP="00BF5C5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Jakub Seidler</w:t>
                            </w:r>
                            <w:r w:rsidRPr="00FA325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, hlavní ekonom České bankovní asociace:</w:t>
                            </w:r>
                          </w:p>
                          <w:p w14:paraId="06CFC5A8" w14:textId="0EBFC928" w:rsidR="00BF5C5A" w:rsidRPr="00F37DC9" w:rsidRDefault="00BF5C5A" w:rsidP="00BF5C5A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„</w:t>
                            </w:r>
                            <w:r w:rsidR="00F123D1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Světová ekonomika vstoupila do nového roku opět s řadou rizik, </w:t>
                            </w:r>
                            <w:r w:rsidR="00127A07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která </w:t>
                            </w:r>
                            <w:r w:rsidR="00F123D1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budou </w:t>
                            </w:r>
                            <w:r w:rsidR="00174667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letošní </w:t>
                            </w:r>
                            <w:r w:rsidR="00264F1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ekonomické zotavování brzdit</w:t>
                            </w:r>
                            <w:r w:rsidR="00127A07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. A </w:t>
                            </w:r>
                            <w:proofErr w:type="gramStart"/>
                            <w:r w:rsidR="00127A07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to </w:t>
                            </w:r>
                            <w:r w:rsidR="00174667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 ať</w:t>
                            </w:r>
                            <w:proofErr w:type="gramEnd"/>
                            <w:r w:rsidR="00174667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 jde o pokračující energetickou krizi, jen pomalu odeznívající problémy v dodavatelských řetězcích či skokový růst inflace dopadající na příjmy a spotřebu domácností. Rizikem zůstává i vývoj epidemiologické situace a nové </w:t>
                            </w:r>
                            <w:r w:rsidR="00DC6426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varianty</w:t>
                            </w:r>
                            <w:r w:rsidR="00174667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74667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koronaviru</w:t>
                            </w:r>
                            <w:proofErr w:type="spellEnd"/>
                            <w:r w:rsidR="00174667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.</w:t>
                            </w:r>
                            <w:r w:rsidR="000366C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“</w:t>
                            </w:r>
                            <w:r w:rsidR="006B3B7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E537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.15pt;margin-top:127.2pt;width:508.8pt;height:55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">
                <v:textbox>
                  <w:txbxContent>
                    <w:p w14:paraId="33B02031" w14:textId="61D59744" w:rsidR="00BF5C5A" w:rsidRPr="00FA325B" w:rsidRDefault="00BF5C5A" w:rsidP="00BF5C5A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Jakub Seidler</w:t>
                      </w:r>
                      <w:r w:rsidRPr="00FA325B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, hlavní ekonom České bankovní asociace:</w:t>
                      </w:r>
                    </w:p>
                    <w:p w14:paraId="06CFC5A8" w14:textId="0EBFC928" w:rsidR="00BF5C5A" w:rsidRPr="00F37DC9" w:rsidRDefault="00BF5C5A" w:rsidP="00BF5C5A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„</w:t>
                      </w:r>
                      <w:r w:rsidR="00F123D1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 xml:space="preserve">Světová ekonomika vstoupila do nového roku opět s řadou rizik, </w:t>
                      </w:r>
                      <w:r w:rsidR="00127A07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 xml:space="preserve">která </w:t>
                      </w:r>
                      <w:r w:rsidR="00F123D1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 xml:space="preserve">budou </w:t>
                      </w:r>
                      <w:r w:rsidR="00174667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 xml:space="preserve">letošní </w:t>
                      </w:r>
                      <w:r w:rsidR="00264F1B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ekonomické zotavování brzdit</w:t>
                      </w:r>
                      <w:r w:rsidR="00127A07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 xml:space="preserve">. A to </w:t>
                      </w:r>
                      <w:r w:rsidR="00174667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 xml:space="preserve"> ať jde o pokračující energetickou krizi, jen pomalu odeznívající problémy v dodavatelských řetězcích či skokový růst inflace dopadající na příjmy a spotřebu domácností. Rizikem zůstává i vývoj epidemiologické situace a nové </w:t>
                      </w:r>
                      <w:r w:rsidR="00DC6426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varianty</w:t>
                      </w:r>
                      <w:r w:rsidR="00174667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 xml:space="preserve"> </w:t>
                      </w:r>
                      <w:proofErr w:type="spellStart"/>
                      <w:r w:rsidR="00174667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koronaviru</w:t>
                      </w:r>
                      <w:proofErr w:type="spellEnd"/>
                      <w:r w:rsidR="00174667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.</w:t>
                      </w:r>
                      <w:r w:rsidR="000366C2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“</w:t>
                      </w:r>
                      <w:r w:rsidR="006B3B72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3BAB">
        <w:rPr>
          <w:rFonts w:ascii="Calibri" w:hAnsi="Calibri" w:cs="Calibri"/>
          <w:sz w:val="20"/>
        </w:rPr>
        <w:t xml:space="preserve">Ačkoli řada indikátorů ekonomické aktivity naznačuje, že oživování globální ekonomiky </w:t>
      </w:r>
      <w:r w:rsidR="00F123D1">
        <w:rPr>
          <w:rFonts w:ascii="Calibri" w:hAnsi="Calibri" w:cs="Calibri"/>
          <w:sz w:val="20"/>
        </w:rPr>
        <w:t xml:space="preserve">na přelomu roku navzdory další vlně pandemie </w:t>
      </w:r>
      <w:r w:rsidR="00E23BAB">
        <w:rPr>
          <w:rFonts w:ascii="Calibri" w:hAnsi="Calibri" w:cs="Calibri"/>
          <w:sz w:val="20"/>
        </w:rPr>
        <w:t>pokračovalo solidním tempem</w:t>
      </w:r>
      <w:r w:rsidR="00C320FB">
        <w:rPr>
          <w:rFonts w:ascii="Calibri" w:hAnsi="Calibri" w:cs="Calibri"/>
          <w:sz w:val="20"/>
        </w:rPr>
        <w:t xml:space="preserve">, </w:t>
      </w:r>
      <w:r w:rsidR="00F123D1">
        <w:rPr>
          <w:rFonts w:ascii="Calibri" w:hAnsi="Calibri" w:cs="Calibri"/>
          <w:sz w:val="20"/>
        </w:rPr>
        <w:t>ekonomické oživování bude i letos brzděno řadou přetrvávajících problém</w:t>
      </w:r>
      <w:r w:rsidR="00C867C8">
        <w:rPr>
          <w:rFonts w:ascii="Calibri" w:hAnsi="Calibri" w:cs="Calibri"/>
          <w:sz w:val="20"/>
        </w:rPr>
        <w:t>ů</w:t>
      </w:r>
      <w:r w:rsidR="00F123D1">
        <w:rPr>
          <w:rFonts w:ascii="Calibri" w:hAnsi="Calibri" w:cs="Calibri"/>
          <w:sz w:val="20"/>
        </w:rPr>
        <w:t xml:space="preserve">, </w:t>
      </w:r>
      <w:proofErr w:type="gramStart"/>
      <w:r w:rsidR="00F123D1">
        <w:rPr>
          <w:rFonts w:ascii="Calibri" w:hAnsi="Calibri" w:cs="Calibri"/>
          <w:sz w:val="20"/>
        </w:rPr>
        <w:t>které  naplno</w:t>
      </w:r>
      <w:proofErr w:type="gramEnd"/>
      <w:r w:rsidR="00F123D1">
        <w:rPr>
          <w:rFonts w:ascii="Calibri" w:hAnsi="Calibri" w:cs="Calibri"/>
          <w:sz w:val="20"/>
        </w:rPr>
        <w:t xml:space="preserve"> </w:t>
      </w:r>
      <w:r w:rsidR="005E7020">
        <w:rPr>
          <w:rFonts w:ascii="Calibri" w:hAnsi="Calibri" w:cs="Calibri"/>
          <w:sz w:val="20"/>
        </w:rPr>
        <w:t xml:space="preserve">vykrystalizovaly </w:t>
      </w:r>
      <w:r w:rsidR="00F123D1">
        <w:rPr>
          <w:rFonts w:ascii="Calibri" w:hAnsi="Calibri" w:cs="Calibri"/>
          <w:sz w:val="20"/>
        </w:rPr>
        <w:t>v loňském roce. E</w:t>
      </w:r>
      <w:r w:rsidR="00C320FB">
        <w:rPr>
          <w:rFonts w:ascii="Calibri" w:hAnsi="Calibri" w:cs="Calibri"/>
          <w:sz w:val="20"/>
        </w:rPr>
        <w:t xml:space="preserve">nergetická situace v Evropě se nezlepšuje </w:t>
      </w:r>
      <w:r w:rsidR="00146670">
        <w:rPr>
          <w:rFonts w:ascii="Calibri" w:hAnsi="Calibri" w:cs="Calibri"/>
          <w:sz w:val="20"/>
        </w:rPr>
        <w:t>tak</w:t>
      </w:r>
      <w:r w:rsidR="00C320FB">
        <w:rPr>
          <w:rFonts w:ascii="Calibri" w:hAnsi="Calibri" w:cs="Calibri"/>
          <w:sz w:val="20"/>
        </w:rPr>
        <w:t xml:space="preserve"> rychle</w:t>
      </w:r>
      <w:r w:rsidR="00146670">
        <w:rPr>
          <w:rFonts w:ascii="Calibri" w:hAnsi="Calibri" w:cs="Calibri"/>
          <w:sz w:val="20"/>
        </w:rPr>
        <w:t>, jak se doufalo v loňském roce,</w:t>
      </w:r>
      <w:r w:rsidR="00C320FB">
        <w:rPr>
          <w:rFonts w:ascii="Calibri" w:hAnsi="Calibri" w:cs="Calibri"/>
          <w:sz w:val="20"/>
        </w:rPr>
        <w:t xml:space="preserve"> a ceny energií zůstávají na zvýšených hodnotách </w:t>
      </w:r>
      <w:r w:rsidR="005E7020">
        <w:rPr>
          <w:rFonts w:ascii="Calibri" w:hAnsi="Calibri" w:cs="Calibri"/>
          <w:sz w:val="20"/>
        </w:rPr>
        <w:t>i</w:t>
      </w:r>
      <w:r w:rsidR="00C320FB">
        <w:rPr>
          <w:rFonts w:ascii="Calibri" w:hAnsi="Calibri" w:cs="Calibri"/>
          <w:sz w:val="20"/>
        </w:rPr>
        <w:t xml:space="preserve"> pro dlouhodobější kontrakty. Normalizaci cen energií brzdí i pokračující geopolitické napětí, což obecně bude vytvářet vyšší proinflační rizika pro letošní rok z titulu vývoje</w:t>
      </w:r>
      <w:r w:rsidR="005E7020">
        <w:rPr>
          <w:rFonts w:ascii="Calibri" w:hAnsi="Calibri" w:cs="Calibri"/>
          <w:sz w:val="20"/>
        </w:rPr>
        <w:t xml:space="preserve"> cen</w:t>
      </w:r>
      <w:r w:rsidR="00C320FB">
        <w:rPr>
          <w:rFonts w:ascii="Calibri" w:hAnsi="Calibri" w:cs="Calibri"/>
          <w:sz w:val="20"/>
        </w:rPr>
        <w:t xml:space="preserve"> energií. Narušení dodavatelských vztahů se mírně zlepšilo, problémy ale</w:t>
      </w:r>
      <w:r w:rsidR="00F123D1">
        <w:rPr>
          <w:rFonts w:ascii="Calibri" w:hAnsi="Calibri" w:cs="Calibri"/>
          <w:sz w:val="20"/>
        </w:rPr>
        <w:t xml:space="preserve"> budou </w:t>
      </w:r>
      <w:r w:rsidR="005E7020">
        <w:rPr>
          <w:rFonts w:ascii="Calibri" w:hAnsi="Calibri" w:cs="Calibri"/>
          <w:sz w:val="20"/>
        </w:rPr>
        <w:t xml:space="preserve">patrně </w:t>
      </w:r>
      <w:r w:rsidR="00F123D1">
        <w:rPr>
          <w:rFonts w:ascii="Calibri" w:hAnsi="Calibri" w:cs="Calibri"/>
          <w:sz w:val="20"/>
        </w:rPr>
        <w:t xml:space="preserve">přetrvávat v průběhu celého roku, zejména však v jeho první polovině. </w:t>
      </w:r>
      <w:r w:rsidR="00C320FB">
        <w:rPr>
          <w:rFonts w:ascii="Calibri" w:hAnsi="Calibri" w:cs="Calibri"/>
          <w:sz w:val="20"/>
        </w:rPr>
        <w:t xml:space="preserve">To bude </w:t>
      </w:r>
      <w:r w:rsidR="005E7020">
        <w:rPr>
          <w:rFonts w:ascii="Calibri" w:hAnsi="Calibri" w:cs="Calibri"/>
          <w:sz w:val="20"/>
        </w:rPr>
        <w:t xml:space="preserve">negativně dopadat </w:t>
      </w:r>
      <w:r w:rsidR="00C320FB">
        <w:rPr>
          <w:rFonts w:ascii="Calibri" w:hAnsi="Calibri" w:cs="Calibri"/>
          <w:sz w:val="20"/>
        </w:rPr>
        <w:t>více na průmyslově orientované ekonomiky</w:t>
      </w:r>
      <w:r w:rsidR="005E7020">
        <w:rPr>
          <w:rFonts w:ascii="Calibri" w:hAnsi="Calibri" w:cs="Calibri"/>
          <w:sz w:val="20"/>
        </w:rPr>
        <w:t>, včetně ČR.</w:t>
      </w:r>
      <w:r w:rsidR="00174667">
        <w:rPr>
          <w:rFonts w:ascii="Calibri" w:hAnsi="Calibri" w:cs="Calibri"/>
          <w:sz w:val="20"/>
        </w:rPr>
        <w:t xml:space="preserve"> </w:t>
      </w:r>
      <w:r w:rsidR="00F123D1">
        <w:rPr>
          <w:rFonts w:ascii="Calibri" w:hAnsi="Calibri" w:cs="Calibri"/>
          <w:sz w:val="20"/>
        </w:rPr>
        <w:t xml:space="preserve">Vstup do nového roku je tak </w:t>
      </w:r>
      <w:r w:rsidR="00174667">
        <w:rPr>
          <w:rFonts w:ascii="Calibri" w:hAnsi="Calibri" w:cs="Calibri"/>
          <w:sz w:val="20"/>
        </w:rPr>
        <w:t xml:space="preserve">stále </w:t>
      </w:r>
      <w:r w:rsidR="00F123D1">
        <w:rPr>
          <w:rFonts w:ascii="Calibri" w:hAnsi="Calibri" w:cs="Calibri"/>
          <w:sz w:val="20"/>
        </w:rPr>
        <w:t xml:space="preserve">zatížen velkou řadou nejistot, </w:t>
      </w:r>
      <w:r w:rsidR="00174667">
        <w:rPr>
          <w:rFonts w:ascii="Calibri" w:hAnsi="Calibri" w:cs="Calibri"/>
          <w:sz w:val="20"/>
        </w:rPr>
        <w:t xml:space="preserve">které budou </w:t>
      </w:r>
      <w:r w:rsidR="005E7020">
        <w:rPr>
          <w:rFonts w:ascii="Calibri" w:hAnsi="Calibri" w:cs="Calibri"/>
          <w:sz w:val="20"/>
        </w:rPr>
        <w:t xml:space="preserve">letošní </w:t>
      </w:r>
      <w:r w:rsidR="00174667">
        <w:rPr>
          <w:rFonts w:ascii="Calibri" w:hAnsi="Calibri" w:cs="Calibri"/>
          <w:sz w:val="20"/>
        </w:rPr>
        <w:t xml:space="preserve">růst </w:t>
      </w:r>
      <w:r w:rsidR="005E7020">
        <w:rPr>
          <w:rFonts w:ascii="Calibri" w:hAnsi="Calibri" w:cs="Calibri"/>
          <w:sz w:val="20"/>
        </w:rPr>
        <w:t xml:space="preserve">řady </w:t>
      </w:r>
      <w:r w:rsidR="00174667">
        <w:rPr>
          <w:rFonts w:ascii="Calibri" w:hAnsi="Calibri" w:cs="Calibri"/>
          <w:sz w:val="20"/>
        </w:rPr>
        <w:t>ekonomik</w:t>
      </w:r>
      <w:r w:rsidR="005E7020">
        <w:rPr>
          <w:rFonts w:ascii="Calibri" w:hAnsi="Calibri" w:cs="Calibri"/>
          <w:sz w:val="20"/>
        </w:rPr>
        <w:t xml:space="preserve"> brzdit</w:t>
      </w:r>
      <w:r w:rsidR="00174667">
        <w:rPr>
          <w:rFonts w:ascii="Calibri" w:hAnsi="Calibri" w:cs="Calibri"/>
          <w:sz w:val="20"/>
        </w:rPr>
        <w:t xml:space="preserve">. Stále také nelze pominout epidemiologická rizika, </w:t>
      </w:r>
      <w:r w:rsidR="00264F1B">
        <w:rPr>
          <w:rFonts w:ascii="Calibri" w:hAnsi="Calibri" w:cs="Calibri"/>
          <w:sz w:val="20"/>
        </w:rPr>
        <w:t>kter</w:t>
      </w:r>
      <w:r w:rsidR="00C867C8">
        <w:rPr>
          <w:rFonts w:ascii="Calibri" w:hAnsi="Calibri" w:cs="Calibri"/>
          <w:sz w:val="20"/>
        </w:rPr>
        <w:t>á</w:t>
      </w:r>
      <w:r w:rsidR="00264F1B">
        <w:rPr>
          <w:rFonts w:ascii="Calibri" w:hAnsi="Calibri" w:cs="Calibri"/>
          <w:sz w:val="20"/>
        </w:rPr>
        <w:t xml:space="preserve"> mohou nečekaně opět akcelerovat se všemi negativními důsledky, kterým ekonomiky v minulých dvou letech čelily.</w:t>
      </w:r>
    </w:p>
    <w:p w14:paraId="7306EF6D" w14:textId="38A19DB8" w:rsidR="00F32F3A" w:rsidRDefault="00AB39A4" w:rsidP="00FD4088">
      <w:pPr>
        <w:rPr>
          <w:rFonts w:ascii="Calibri" w:hAnsi="Calibri" w:cs="Calibri"/>
          <w:b/>
          <w:color w:val="13576B"/>
          <w:sz w:val="22"/>
          <w:szCs w:val="22"/>
        </w:rPr>
      </w:pPr>
      <w:bookmarkStart w:id="0" w:name="_Hlk87441833"/>
      <w:r>
        <w:rPr>
          <w:rFonts w:ascii="Calibri" w:hAnsi="Calibri" w:cs="Calibri"/>
          <w:b/>
          <w:color w:val="13576B"/>
          <w:sz w:val="22"/>
          <w:szCs w:val="22"/>
        </w:rPr>
        <w:t xml:space="preserve">Růst tuzemské ekonomiky </w:t>
      </w:r>
      <w:r w:rsidR="00335332">
        <w:rPr>
          <w:rFonts w:ascii="Calibri" w:hAnsi="Calibri" w:cs="Calibri"/>
          <w:b/>
          <w:color w:val="13576B"/>
          <w:sz w:val="22"/>
          <w:szCs w:val="22"/>
        </w:rPr>
        <w:t>by se měl letos udržet nad 3,5 %</w:t>
      </w:r>
    </w:p>
    <w:bookmarkEnd w:id="0"/>
    <w:p w14:paraId="53647E43" w14:textId="1BC36B40" w:rsidR="00675EBD" w:rsidRDefault="00495A30" w:rsidP="00AB39A4">
      <w:pPr>
        <w:rPr>
          <w:rFonts w:ascii="Calibri" w:hAnsi="Calibri" w:cs="Calibri"/>
          <w:sz w:val="20"/>
        </w:rPr>
      </w:pPr>
      <w:r w:rsidRPr="00495A30">
        <w:rPr>
          <w:rFonts w:ascii="Calibri" w:hAnsi="Calibri" w:cs="Calibri"/>
          <w:b/>
          <w:bCs/>
          <w:sz w:val="20"/>
        </w:rPr>
        <w:t xml:space="preserve">Růst tuzemské ekonomiky </w:t>
      </w:r>
      <w:r w:rsidR="00B3068D">
        <w:rPr>
          <w:rFonts w:ascii="Calibri" w:hAnsi="Calibri" w:cs="Calibri"/>
          <w:b/>
          <w:bCs/>
          <w:sz w:val="20"/>
        </w:rPr>
        <w:t xml:space="preserve">dle nové prognózy ČBA </w:t>
      </w:r>
      <w:r w:rsidRPr="00495A30">
        <w:rPr>
          <w:rFonts w:ascii="Calibri" w:hAnsi="Calibri" w:cs="Calibri"/>
          <w:b/>
          <w:bCs/>
          <w:sz w:val="20"/>
        </w:rPr>
        <w:t>v letošním roce</w:t>
      </w:r>
      <w:r w:rsidR="00397D2D">
        <w:rPr>
          <w:rFonts w:ascii="Calibri" w:hAnsi="Calibri" w:cs="Calibri"/>
          <w:b/>
          <w:bCs/>
          <w:sz w:val="20"/>
        </w:rPr>
        <w:t xml:space="preserve"> zrychlí a</w:t>
      </w:r>
      <w:r w:rsidRPr="00495A30">
        <w:rPr>
          <w:rFonts w:ascii="Calibri" w:hAnsi="Calibri" w:cs="Calibri"/>
          <w:b/>
          <w:bCs/>
          <w:sz w:val="20"/>
        </w:rPr>
        <w:t xml:space="preserve"> </w:t>
      </w:r>
      <w:r w:rsidR="00B3068D">
        <w:rPr>
          <w:rFonts w:ascii="Calibri" w:hAnsi="Calibri" w:cs="Calibri"/>
          <w:b/>
          <w:bCs/>
          <w:sz w:val="20"/>
        </w:rPr>
        <w:t xml:space="preserve">dosáhne </w:t>
      </w:r>
      <w:r w:rsidR="00335332">
        <w:rPr>
          <w:rFonts w:ascii="Calibri" w:hAnsi="Calibri" w:cs="Calibri"/>
          <w:b/>
          <w:bCs/>
          <w:sz w:val="20"/>
        </w:rPr>
        <w:t>3</w:t>
      </w:r>
      <w:r w:rsidRPr="00495A30">
        <w:rPr>
          <w:rFonts w:ascii="Calibri" w:hAnsi="Calibri" w:cs="Calibri"/>
          <w:b/>
          <w:bCs/>
          <w:sz w:val="20"/>
        </w:rPr>
        <w:t>,</w:t>
      </w:r>
      <w:r w:rsidR="00335332">
        <w:rPr>
          <w:rFonts w:ascii="Calibri" w:hAnsi="Calibri" w:cs="Calibri"/>
          <w:b/>
          <w:bCs/>
          <w:sz w:val="20"/>
        </w:rPr>
        <w:t>7</w:t>
      </w:r>
      <w:r w:rsidRPr="00495A30">
        <w:rPr>
          <w:rFonts w:ascii="Calibri" w:hAnsi="Calibri" w:cs="Calibri"/>
          <w:b/>
          <w:bCs/>
          <w:sz w:val="20"/>
        </w:rPr>
        <w:t xml:space="preserve"> %, </w:t>
      </w:r>
      <w:r w:rsidRPr="00454547">
        <w:rPr>
          <w:rFonts w:ascii="Calibri" w:hAnsi="Calibri" w:cs="Calibri"/>
          <w:b/>
          <w:bCs/>
          <w:sz w:val="20"/>
        </w:rPr>
        <w:t xml:space="preserve">zatímco </w:t>
      </w:r>
      <w:r w:rsidR="00335332">
        <w:rPr>
          <w:rFonts w:ascii="Calibri" w:hAnsi="Calibri" w:cs="Calibri"/>
          <w:b/>
          <w:bCs/>
          <w:sz w:val="20"/>
        </w:rPr>
        <w:t>listopadová</w:t>
      </w:r>
      <w:r w:rsidRPr="00454547">
        <w:rPr>
          <w:rFonts w:ascii="Calibri" w:hAnsi="Calibri" w:cs="Calibri"/>
          <w:b/>
          <w:bCs/>
          <w:sz w:val="20"/>
        </w:rPr>
        <w:t xml:space="preserve"> prognóza čekala růst o 3,</w:t>
      </w:r>
      <w:r w:rsidR="00335332">
        <w:rPr>
          <w:rFonts w:ascii="Calibri" w:hAnsi="Calibri" w:cs="Calibri"/>
          <w:b/>
          <w:bCs/>
          <w:sz w:val="20"/>
        </w:rPr>
        <w:t>9</w:t>
      </w:r>
      <w:r w:rsidRPr="00454547">
        <w:rPr>
          <w:rFonts w:ascii="Calibri" w:hAnsi="Calibri" w:cs="Calibri"/>
          <w:b/>
          <w:bCs/>
          <w:sz w:val="20"/>
        </w:rPr>
        <w:t xml:space="preserve"> %. </w:t>
      </w:r>
      <w:r w:rsidR="00266E32" w:rsidRPr="00454547">
        <w:rPr>
          <w:rFonts w:ascii="Calibri" w:hAnsi="Calibri" w:cs="Calibri"/>
          <w:sz w:val="20"/>
        </w:rPr>
        <w:t>Tempo oživení</w:t>
      </w:r>
      <w:r w:rsidRPr="00454547">
        <w:rPr>
          <w:rFonts w:ascii="Calibri" w:hAnsi="Calibri" w:cs="Calibri"/>
          <w:sz w:val="20"/>
        </w:rPr>
        <w:t xml:space="preserve"> </w:t>
      </w:r>
      <w:r w:rsidR="00335332">
        <w:rPr>
          <w:rFonts w:ascii="Calibri" w:hAnsi="Calibri" w:cs="Calibri"/>
          <w:sz w:val="20"/>
        </w:rPr>
        <w:t>tak bude jen nepatrně slabší, než se čekalo před několika měsíci,</w:t>
      </w:r>
      <w:r w:rsidR="00DA347B">
        <w:rPr>
          <w:rFonts w:ascii="Calibri" w:hAnsi="Calibri" w:cs="Calibri"/>
          <w:sz w:val="20"/>
        </w:rPr>
        <w:t xml:space="preserve"> a to navzdory tomu, že vstup do roku 2022 je doprovázen celou řadou komplikací spojených s pandemickou situací, energetickou krizí, vysokou inflací a pokračujícími problémy v dodavatelských řetězcích. </w:t>
      </w:r>
      <w:r w:rsidR="0008323B">
        <w:rPr>
          <w:rFonts w:ascii="Calibri" w:hAnsi="Calibri" w:cs="Calibri"/>
          <w:sz w:val="20"/>
        </w:rPr>
        <w:t>Vzhledem ke zmíněným problém</w:t>
      </w:r>
      <w:r w:rsidR="00DC6426">
        <w:rPr>
          <w:rFonts w:ascii="Calibri" w:hAnsi="Calibri" w:cs="Calibri"/>
          <w:sz w:val="20"/>
        </w:rPr>
        <w:t>ům</w:t>
      </w:r>
      <w:r w:rsidR="0008323B">
        <w:rPr>
          <w:rFonts w:ascii="Calibri" w:hAnsi="Calibri" w:cs="Calibri"/>
          <w:sz w:val="20"/>
        </w:rPr>
        <w:t xml:space="preserve"> je relativně vysoký odhad růstu způsoben i nízkou srovnávací základnou minulého roku. Pokud by tuzemská ekonomika v celém letošním roce z mezičtvrtletního pohledu jen stagnovala, i tak </w:t>
      </w:r>
      <w:r w:rsidR="00893782">
        <w:rPr>
          <w:rFonts w:ascii="Calibri" w:hAnsi="Calibri" w:cs="Calibri"/>
          <w:sz w:val="20"/>
        </w:rPr>
        <w:t xml:space="preserve">by </w:t>
      </w:r>
      <w:r w:rsidR="0008323B">
        <w:rPr>
          <w:rFonts w:ascii="Calibri" w:hAnsi="Calibri" w:cs="Calibri"/>
          <w:sz w:val="20"/>
        </w:rPr>
        <w:t>zaznamen</w:t>
      </w:r>
      <w:r w:rsidR="00893782">
        <w:rPr>
          <w:rFonts w:ascii="Calibri" w:hAnsi="Calibri" w:cs="Calibri"/>
          <w:sz w:val="20"/>
        </w:rPr>
        <w:t>ala</w:t>
      </w:r>
      <w:r w:rsidR="0008323B">
        <w:rPr>
          <w:rFonts w:ascii="Calibri" w:hAnsi="Calibri" w:cs="Calibri"/>
          <w:sz w:val="20"/>
        </w:rPr>
        <w:t xml:space="preserve"> meziroční růst téměř </w:t>
      </w:r>
      <w:r w:rsidR="00893782">
        <w:rPr>
          <w:rFonts w:ascii="Calibri" w:hAnsi="Calibri" w:cs="Calibri"/>
          <w:sz w:val="20"/>
        </w:rPr>
        <w:t xml:space="preserve">o </w:t>
      </w:r>
      <w:r w:rsidR="0008323B">
        <w:rPr>
          <w:rFonts w:ascii="Calibri" w:hAnsi="Calibri" w:cs="Calibri"/>
          <w:sz w:val="20"/>
        </w:rPr>
        <w:t>2 %. K</w:t>
      </w:r>
      <w:r w:rsidR="000F39C3">
        <w:rPr>
          <w:rFonts w:ascii="Calibri" w:hAnsi="Calibri" w:cs="Calibri"/>
          <w:sz w:val="20"/>
        </w:rPr>
        <w:t xml:space="preserve"> relativně příznivému odhadu přispěl i příznivější vývoj ekonomiky v závěru roku 2021 a nad očekávání vyšší růst v posledním čtvrtletí </w:t>
      </w:r>
      <w:r w:rsidR="00397D2D">
        <w:rPr>
          <w:rFonts w:ascii="Calibri" w:hAnsi="Calibri" w:cs="Calibri"/>
          <w:sz w:val="20"/>
        </w:rPr>
        <w:t>2021</w:t>
      </w:r>
      <w:r w:rsidR="000F39C3">
        <w:rPr>
          <w:rFonts w:ascii="Calibri" w:hAnsi="Calibri" w:cs="Calibri"/>
          <w:sz w:val="20"/>
        </w:rPr>
        <w:t>.</w:t>
      </w:r>
    </w:p>
    <w:p w14:paraId="720E7AF8" w14:textId="77777777" w:rsidR="002B1A4A" w:rsidRDefault="002B1A4A" w:rsidP="00AB39A4">
      <w:pPr>
        <w:rPr>
          <w:rFonts w:ascii="Calibri" w:hAnsi="Calibri" w:cs="Calibri"/>
          <w:b/>
          <w:bCs/>
          <w:sz w:val="20"/>
        </w:rPr>
      </w:pPr>
    </w:p>
    <w:p w14:paraId="16F1DEC6" w14:textId="55F9FA91" w:rsidR="00AB39A4" w:rsidRDefault="000F39C3" w:rsidP="00AB39A4">
      <w:pPr>
        <w:rPr>
          <w:rFonts w:ascii="Calibri" w:hAnsi="Calibri" w:cs="Calibri"/>
          <w:sz w:val="20"/>
        </w:rPr>
      </w:pPr>
      <w:r w:rsidRPr="00A757DD">
        <w:rPr>
          <w:rFonts w:ascii="Calibri" w:hAnsi="Calibri" w:cs="Calibri"/>
          <w:b/>
          <w:bCs/>
          <w:sz w:val="20"/>
        </w:rPr>
        <w:t>K růstu v letošním roce bude dle nové prognózy přispívat jak spotřeba domácností, tak obnovená investiční aktivita, a oproti minulému roku i čist</w:t>
      </w:r>
      <w:r w:rsidR="00A757DD" w:rsidRPr="00A757DD">
        <w:rPr>
          <w:rFonts w:ascii="Calibri" w:hAnsi="Calibri" w:cs="Calibri"/>
          <w:b/>
          <w:bCs/>
          <w:sz w:val="20"/>
        </w:rPr>
        <w:t>ý</w:t>
      </w:r>
      <w:r w:rsidRPr="00A757DD">
        <w:rPr>
          <w:rFonts w:ascii="Calibri" w:hAnsi="Calibri" w:cs="Calibri"/>
          <w:b/>
          <w:bCs/>
          <w:sz w:val="20"/>
        </w:rPr>
        <w:t xml:space="preserve"> export</w:t>
      </w:r>
      <w:r>
        <w:rPr>
          <w:rFonts w:ascii="Calibri" w:hAnsi="Calibri" w:cs="Calibri"/>
          <w:sz w:val="20"/>
        </w:rPr>
        <w:t>. Spotřeba domácností by</w:t>
      </w:r>
      <w:r w:rsidR="00CB1D9D">
        <w:rPr>
          <w:rFonts w:ascii="Calibri" w:hAnsi="Calibri" w:cs="Calibri"/>
          <w:sz w:val="20"/>
        </w:rPr>
        <w:t xml:space="preserve"> ale</w:t>
      </w:r>
      <w:r>
        <w:rPr>
          <w:rFonts w:ascii="Calibri" w:hAnsi="Calibri" w:cs="Calibri"/>
          <w:sz w:val="20"/>
        </w:rPr>
        <w:t xml:space="preserve"> měla oproti poslední prognóze růst </w:t>
      </w:r>
      <w:r w:rsidR="00A757DD">
        <w:rPr>
          <w:rFonts w:ascii="Calibri" w:hAnsi="Calibri" w:cs="Calibri"/>
          <w:sz w:val="20"/>
        </w:rPr>
        <w:t>pomaleji,</w:t>
      </w:r>
      <w:r>
        <w:rPr>
          <w:rFonts w:ascii="Calibri" w:hAnsi="Calibri" w:cs="Calibri"/>
          <w:sz w:val="20"/>
        </w:rPr>
        <w:t xml:space="preserve"> a to </w:t>
      </w:r>
      <w:r w:rsidR="00CB1D9D">
        <w:rPr>
          <w:rFonts w:ascii="Calibri" w:hAnsi="Calibri" w:cs="Calibri"/>
          <w:sz w:val="20"/>
        </w:rPr>
        <w:t>kvůli</w:t>
      </w:r>
      <w:r>
        <w:rPr>
          <w:rFonts w:ascii="Calibri" w:hAnsi="Calibri" w:cs="Calibri"/>
          <w:sz w:val="20"/>
        </w:rPr>
        <w:t xml:space="preserve"> růstu infl</w:t>
      </w:r>
      <w:r w:rsidR="00A757DD"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ce, kter</w:t>
      </w:r>
      <w:r w:rsidR="00146670">
        <w:rPr>
          <w:rFonts w:ascii="Calibri" w:hAnsi="Calibri" w:cs="Calibri"/>
          <w:sz w:val="20"/>
        </w:rPr>
        <w:t>á</w:t>
      </w:r>
      <w:r>
        <w:rPr>
          <w:rFonts w:ascii="Calibri" w:hAnsi="Calibri" w:cs="Calibri"/>
          <w:sz w:val="20"/>
        </w:rPr>
        <w:t xml:space="preserve"> bude snižovat r</w:t>
      </w:r>
      <w:r w:rsidR="00A757DD">
        <w:rPr>
          <w:rFonts w:ascii="Calibri" w:hAnsi="Calibri" w:cs="Calibri"/>
          <w:sz w:val="20"/>
        </w:rPr>
        <w:t>eá</w:t>
      </w:r>
      <w:r>
        <w:rPr>
          <w:rFonts w:ascii="Calibri" w:hAnsi="Calibri" w:cs="Calibri"/>
          <w:sz w:val="20"/>
        </w:rPr>
        <w:t>lné</w:t>
      </w:r>
      <w:r w:rsidR="00A757DD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příjmy domácností. Nejistotou zůstává, jak </w:t>
      </w:r>
      <w:r w:rsidR="00A757DD">
        <w:rPr>
          <w:rFonts w:ascii="Calibri" w:hAnsi="Calibri" w:cs="Calibri"/>
          <w:sz w:val="20"/>
        </w:rPr>
        <w:t>silně</w:t>
      </w:r>
      <w:r>
        <w:rPr>
          <w:rFonts w:ascii="Calibri" w:hAnsi="Calibri" w:cs="Calibri"/>
          <w:sz w:val="20"/>
        </w:rPr>
        <w:t xml:space="preserve"> se nepříznivá energetická situace </w:t>
      </w:r>
      <w:r w:rsidR="00A757DD">
        <w:rPr>
          <w:rFonts w:ascii="Calibri" w:hAnsi="Calibri" w:cs="Calibri"/>
          <w:sz w:val="20"/>
        </w:rPr>
        <w:t>doprovázená</w:t>
      </w:r>
      <w:r>
        <w:rPr>
          <w:rFonts w:ascii="Calibri" w:hAnsi="Calibri" w:cs="Calibri"/>
          <w:sz w:val="20"/>
        </w:rPr>
        <w:t xml:space="preserve"> plošným růstem</w:t>
      </w:r>
      <w:r w:rsidR="008456CB">
        <w:rPr>
          <w:rFonts w:ascii="Calibri" w:hAnsi="Calibri" w:cs="Calibri"/>
          <w:sz w:val="20"/>
        </w:rPr>
        <w:t xml:space="preserve"> cen</w:t>
      </w:r>
      <w:r>
        <w:rPr>
          <w:rFonts w:ascii="Calibri" w:hAnsi="Calibri" w:cs="Calibri"/>
          <w:sz w:val="20"/>
        </w:rPr>
        <w:t xml:space="preserve"> </w:t>
      </w:r>
      <w:r w:rsidR="008456CB">
        <w:rPr>
          <w:rFonts w:ascii="Calibri" w:hAnsi="Calibri" w:cs="Calibri"/>
          <w:sz w:val="20"/>
        </w:rPr>
        <w:t>projeví</w:t>
      </w:r>
      <w:r w:rsidR="00127A07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ve spotřebě </w:t>
      </w:r>
      <w:r w:rsidR="00A757DD">
        <w:rPr>
          <w:rFonts w:ascii="Calibri" w:hAnsi="Calibri" w:cs="Calibri"/>
          <w:sz w:val="20"/>
        </w:rPr>
        <w:t>domácností</w:t>
      </w:r>
      <w:r w:rsidR="00F00B3C">
        <w:rPr>
          <w:rFonts w:ascii="Calibri" w:hAnsi="Calibri" w:cs="Calibri"/>
          <w:sz w:val="20"/>
        </w:rPr>
        <w:t>.</w:t>
      </w:r>
      <w:r w:rsidR="00A757DD">
        <w:rPr>
          <w:rFonts w:ascii="Calibri" w:hAnsi="Calibri" w:cs="Calibri"/>
          <w:sz w:val="20"/>
        </w:rPr>
        <w:t xml:space="preserve"> </w:t>
      </w:r>
      <w:r w:rsidR="00F00B3C">
        <w:rPr>
          <w:rFonts w:ascii="Calibri" w:hAnsi="Calibri" w:cs="Calibri"/>
          <w:sz w:val="20"/>
        </w:rPr>
        <w:t>Č</w:t>
      </w:r>
      <w:r w:rsidR="00A757DD">
        <w:rPr>
          <w:rFonts w:ascii="Calibri" w:hAnsi="Calibri" w:cs="Calibri"/>
          <w:sz w:val="20"/>
        </w:rPr>
        <w:t>ást spotřeby totiž může být kompenzován</w:t>
      </w:r>
      <w:r w:rsidR="00F00B3C">
        <w:rPr>
          <w:rFonts w:ascii="Calibri" w:hAnsi="Calibri" w:cs="Calibri"/>
          <w:sz w:val="20"/>
        </w:rPr>
        <w:t>a</w:t>
      </w:r>
      <w:r w:rsidR="00A757DD">
        <w:rPr>
          <w:rFonts w:ascii="Calibri" w:hAnsi="Calibri" w:cs="Calibri"/>
          <w:sz w:val="20"/>
        </w:rPr>
        <w:t xml:space="preserve"> rozpouštěním </w:t>
      </w:r>
      <w:r w:rsidR="008456CB">
        <w:rPr>
          <w:rFonts w:ascii="Calibri" w:hAnsi="Calibri" w:cs="Calibri"/>
          <w:sz w:val="20"/>
        </w:rPr>
        <w:t xml:space="preserve">nahromaděných </w:t>
      </w:r>
      <w:r w:rsidR="00A757DD">
        <w:rPr>
          <w:rFonts w:ascii="Calibri" w:hAnsi="Calibri" w:cs="Calibri"/>
          <w:sz w:val="20"/>
        </w:rPr>
        <w:t>úspor. Fixní investice by měly po stagnaci roku 2021 růst o 5 %</w:t>
      </w:r>
      <w:r w:rsidR="00F55212">
        <w:rPr>
          <w:rFonts w:ascii="Calibri" w:hAnsi="Calibri" w:cs="Calibri"/>
          <w:sz w:val="20"/>
        </w:rPr>
        <w:t>. To</w:t>
      </w:r>
      <w:r w:rsidR="00A757DD">
        <w:rPr>
          <w:rFonts w:ascii="Calibri" w:hAnsi="Calibri" w:cs="Calibri"/>
          <w:sz w:val="20"/>
        </w:rPr>
        <w:t xml:space="preserve"> bude dáno</w:t>
      </w:r>
      <w:r w:rsidR="00F55212">
        <w:rPr>
          <w:rFonts w:ascii="Calibri" w:hAnsi="Calibri" w:cs="Calibri"/>
          <w:sz w:val="20"/>
        </w:rPr>
        <w:t xml:space="preserve"> snahou</w:t>
      </w:r>
      <w:r w:rsidR="00A757DD">
        <w:rPr>
          <w:rFonts w:ascii="Calibri" w:hAnsi="Calibri" w:cs="Calibri"/>
          <w:sz w:val="20"/>
        </w:rPr>
        <w:t xml:space="preserve"> </w:t>
      </w:r>
      <w:r w:rsidR="00F55212">
        <w:rPr>
          <w:rFonts w:ascii="Calibri" w:hAnsi="Calibri" w:cs="Calibri"/>
          <w:sz w:val="20"/>
        </w:rPr>
        <w:t xml:space="preserve">zrychlit investiční aktivitu po slabším roce 2021 </w:t>
      </w:r>
      <w:r w:rsidR="008456CB">
        <w:rPr>
          <w:rFonts w:ascii="Calibri" w:hAnsi="Calibri" w:cs="Calibri"/>
          <w:sz w:val="20"/>
        </w:rPr>
        <w:t>po</w:t>
      </w:r>
      <w:r w:rsidR="00F55212">
        <w:rPr>
          <w:rFonts w:ascii="Calibri" w:hAnsi="Calibri" w:cs="Calibri"/>
          <w:sz w:val="20"/>
        </w:rPr>
        <w:t xml:space="preserve"> odeznění problému v dodavatelských vztazích a také cyklem čerpání EU fondů. </w:t>
      </w:r>
      <w:r w:rsidR="00CE165F">
        <w:rPr>
          <w:rFonts w:ascii="Calibri" w:hAnsi="Calibri" w:cs="Calibri"/>
          <w:b/>
          <w:bCs/>
          <w:sz w:val="20"/>
        </w:rPr>
        <w:t xml:space="preserve">V příštím roce </w:t>
      </w:r>
      <w:r w:rsidR="00D4786E">
        <w:rPr>
          <w:rFonts w:ascii="Calibri" w:hAnsi="Calibri" w:cs="Calibri"/>
          <w:b/>
          <w:bCs/>
          <w:sz w:val="20"/>
        </w:rPr>
        <w:t xml:space="preserve">pak </w:t>
      </w:r>
      <w:r w:rsidR="00FF5794">
        <w:rPr>
          <w:rFonts w:ascii="Calibri" w:hAnsi="Calibri" w:cs="Calibri"/>
          <w:b/>
          <w:bCs/>
          <w:sz w:val="20"/>
        </w:rPr>
        <w:t>prognostický</w:t>
      </w:r>
      <w:r w:rsidR="00D4786E">
        <w:rPr>
          <w:rFonts w:ascii="Calibri" w:hAnsi="Calibri" w:cs="Calibri"/>
          <w:b/>
          <w:bCs/>
          <w:sz w:val="20"/>
        </w:rPr>
        <w:t xml:space="preserve"> panel ČBA </w:t>
      </w:r>
      <w:r w:rsidR="00AF36FE">
        <w:rPr>
          <w:rFonts w:ascii="Calibri" w:hAnsi="Calibri" w:cs="Calibri"/>
          <w:b/>
          <w:bCs/>
          <w:sz w:val="20"/>
        </w:rPr>
        <w:t>předpokládá růst ekonomiky o 3,</w:t>
      </w:r>
      <w:r>
        <w:rPr>
          <w:rFonts w:ascii="Calibri" w:hAnsi="Calibri" w:cs="Calibri"/>
          <w:b/>
          <w:bCs/>
          <w:sz w:val="20"/>
        </w:rPr>
        <w:t>6</w:t>
      </w:r>
      <w:r w:rsidR="00AF36FE">
        <w:rPr>
          <w:rFonts w:ascii="Calibri" w:hAnsi="Calibri" w:cs="Calibri"/>
          <w:b/>
          <w:bCs/>
          <w:sz w:val="20"/>
        </w:rPr>
        <w:t xml:space="preserve"> %.</w:t>
      </w:r>
      <w:r w:rsidR="00AF36FE" w:rsidRPr="00675EBD">
        <w:rPr>
          <w:rFonts w:ascii="Calibri" w:hAnsi="Calibri" w:cs="Calibri"/>
          <w:sz w:val="20"/>
        </w:rPr>
        <w:t xml:space="preserve"> </w:t>
      </w:r>
      <w:r w:rsidR="008456CB">
        <w:rPr>
          <w:rFonts w:ascii="Calibri" w:hAnsi="Calibri" w:cs="Calibri"/>
          <w:sz w:val="20"/>
        </w:rPr>
        <w:t xml:space="preserve">Struktura růstu by měla zůstat obdobná jako v roce 2022. </w:t>
      </w:r>
    </w:p>
    <w:p w14:paraId="395BA904" w14:textId="77777777" w:rsidR="00146F24" w:rsidRDefault="00146F24" w:rsidP="00AB39A4">
      <w:pPr>
        <w:rPr>
          <w:rFonts w:ascii="Calibri" w:hAnsi="Calibri" w:cs="Calibri"/>
          <w:sz w:val="20"/>
        </w:rPr>
      </w:pPr>
    </w:p>
    <w:p w14:paraId="65A54C45" w14:textId="77777777" w:rsidR="002B1A4A" w:rsidRDefault="00F110B1" w:rsidP="002B1A4A">
      <w:pPr>
        <w:keepNext/>
        <w:rPr>
          <w:rFonts w:ascii="Calibri" w:hAnsi="Calibri" w:cs="Calibri"/>
          <w:b/>
          <w:color w:val="13576B"/>
          <w:sz w:val="22"/>
          <w:szCs w:val="22"/>
        </w:rPr>
      </w:pPr>
      <w:r>
        <w:rPr>
          <w:rFonts w:ascii="Calibri" w:hAnsi="Calibri" w:cs="Calibri"/>
          <w:b/>
          <w:color w:val="13576B"/>
          <w:sz w:val="22"/>
          <w:szCs w:val="22"/>
        </w:rPr>
        <w:lastRenderedPageBreak/>
        <w:t>L</w:t>
      </w:r>
      <w:r w:rsidR="002C5839">
        <w:rPr>
          <w:rFonts w:ascii="Calibri" w:hAnsi="Calibri" w:cs="Calibri"/>
          <w:b/>
          <w:color w:val="13576B"/>
          <w:sz w:val="22"/>
          <w:szCs w:val="22"/>
        </w:rPr>
        <w:t>etos reálné mzdy poklesnou, v příštím roce již čekáme jejich růst</w:t>
      </w:r>
    </w:p>
    <w:p w14:paraId="1091B578" w14:textId="60DEFD39" w:rsidR="00D30A6F" w:rsidRPr="002B1A4A" w:rsidRDefault="00E63F7F" w:rsidP="00B4285D">
      <w:pPr>
        <w:rPr>
          <w:rFonts w:ascii="Calibri" w:hAnsi="Calibri" w:cs="Calibri"/>
          <w:b/>
          <w:color w:val="13576B"/>
          <w:sz w:val="22"/>
          <w:szCs w:val="22"/>
        </w:rPr>
      </w:pPr>
      <w:r w:rsidRPr="00C15C1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58E977" wp14:editId="2440689C">
                <wp:simplePos x="0" y="0"/>
                <wp:positionH relativeFrom="margin">
                  <wp:align>right</wp:align>
                </wp:positionH>
                <wp:positionV relativeFrom="paragraph">
                  <wp:posOffset>1345349</wp:posOffset>
                </wp:positionV>
                <wp:extent cx="6461760" cy="871855"/>
                <wp:effectExtent l="0" t="0" r="15240" b="2349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2A7AB" w14:textId="77777777" w:rsidR="00BA4F26" w:rsidRPr="00895ED5" w:rsidRDefault="00BA4F26" w:rsidP="00BA4F2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Pavel Sobíšek</w:t>
                            </w:r>
                            <w:r w:rsidRPr="00895ED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 xml:space="preserve">, hlavní ekonom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Unicredit Bank</w:t>
                            </w:r>
                            <w:r w:rsidRPr="00895ED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:</w:t>
                            </w:r>
                          </w:p>
                          <w:p w14:paraId="07573E24" w14:textId="77777777" w:rsidR="00BA4F26" w:rsidRPr="00F37DC9" w:rsidRDefault="00BA4F26" w:rsidP="00BA4F26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C93EFF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"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Růst cen je jednoznačně vnímán jako největší makroekonomické riziko letošního roku, a to ze strany poptávky i nabídky. Poptávku může negativně ovlivnit případná změna spotřebního chování domácností v situaci, kdy jejich nominální příjmy porostou pomaleji než inflace</w:t>
                            </w:r>
                            <w:r w:rsidRPr="00C93EFF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 Za strany nabídky je otázkou, zda dokážou podniky dostatečně rychle přenášet zvýšené náklady na vstupy na své odběratele, nebo je nákladový tlak přiměje k omezování produkce.</w:t>
                            </w:r>
                            <w:r w:rsidRPr="00C93EFF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“</w:t>
                            </w:r>
                          </w:p>
                          <w:p w14:paraId="3D18E4A1" w14:textId="6019CF4D" w:rsidR="00F01F41" w:rsidRPr="00F37DC9" w:rsidRDefault="00F01F41" w:rsidP="00C93EF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977" id="Textové pole 1" o:spid="_x0000_s1027" type="#_x0000_t202" style="position:absolute;left:0;text-align:left;margin-left:457.6pt;margin-top:105.95pt;width:508.8pt;height:68.6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">
                <v:textbox>
                  <w:txbxContent>
                    <w:p w14:paraId="5932A7AB" w14:textId="77777777" w:rsidR="00BA4F26" w:rsidRPr="00895ED5" w:rsidRDefault="00BA4F26" w:rsidP="00BA4F26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Pavel Sobíšek</w:t>
                      </w:r>
                      <w:r w:rsidRPr="00895ED5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 xml:space="preserve">, hlavní ekonom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Unicredit Bank</w:t>
                      </w:r>
                      <w:r w:rsidRPr="00895ED5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:</w:t>
                      </w:r>
                    </w:p>
                    <w:p w14:paraId="07573E24" w14:textId="77777777" w:rsidR="00BA4F26" w:rsidRPr="00F37DC9" w:rsidRDefault="00BA4F26" w:rsidP="00BA4F26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C93EFF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"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Růst cen je jednoznačně vnímán jako největší makroekonomické riziko letošního roku, a to ze strany poptávky i nabídky. Poptávku může negativně ovlivnit případná změna spotřebního chování domácností v situaci, kdy jejich nominální příjmy porostou pomaleji než inflace</w:t>
                      </w:r>
                      <w:r w:rsidRPr="00C93EFF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 xml:space="preserve"> Za strany nabídky je otázkou, zda dokážou podniky dostatečně rychle přenášet zvýšené náklady na vstupy na své odběratele, nebo je nákladový tlak přiměje k omezování produkce.</w:t>
                      </w:r>
                      <w:r w:rsidRPr="00C93EFF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“</w:t>
                      </w:r>
                    </w:p>
                    <w:p w14:paraId="3D18E4A1" w14:textId="6019CF4D" w:rsidR="00F01F41" w:rsidRPr="00F37DC9" w:rsidRDefault="00F01F41" w:rsidP="00C93EF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74FD">
        <w:rPr>
          <w:rFonts w:ascii="Calibri" w:hAnsi="Calibri" w:cs="Calibri"/>
          <w:sz w:val="20"/>
        </w:rPr>
        <w:t>T</w:t>
      </w:r>
      <w:r w:rsidR="000831A0">
        <w:rPr>
          <w:rFonts w:ascii="Calibri" w:hAnsi="Calibri" w:cs="Calibri"/>
          <w:sz w:val="20"/>
        </w:rPr>
        <w:t xml:space="preserve">rh práce </w:t>
      </w:r>
      <w:r w:rsidR="00CA74FD">
        <w:rPr>
          <w:rFonts w:ascii="Calibri" w:hAnsi="Calibri" w:cs="Calibri"/>
          <w:sz w:val="20"/>
        </w:rPr>
        <w:t>se</w:t>
      </w:r>
      <w:r w:rsidR="009E36B5">
        <w:rPr>
          <w:rFonts w:ascii="Calibri" w:hAnsi="Calibri" w:cs="Calibri"/>
          <w:sz w:val="20"/>
        </w:rPr>
        <w:t xml:space="preserve"> opět vrací mezi hlavní bariéry růstu firem</w:t>
      </w:r>
      <w:r w:rsidR="00F110B1">
        <w:rPr>
          <w:rFonts w:ascii="Calibri" w:hAnsi="Calibri" w:cs="Calibri"/>
          <w:sz w:val="20"/>
        </w:rPr>
        <w:t>.</w:t>
      </w:r>
      <w:r w:rsidR="009E36B5">
        <w:rPr>
          <w:rFonts w:ascii="Calibri" w:hAnsi="Calibri" w:cs="Calibri"/>
          <w:sz w:val="20"/>
        </w:rPr>
        <w:t xml:space="preserve"> </w:t>
      </w:r>
      <w:r w:rsidR="00F110B1">
        <w:rPr>
          <w:rFonts w:ascii="Calibri" w:hAnsi="Calibri" w:cs="Calibri"/>
          <w:sz w:val="20"/>
        </w:rPr>
        <w:t>N</w:t>
      </w:r>
      <w:r w:rsidR="009E36B5">
        <w:rPr>
          <w:rFonts w:ascii="Calibri" w:hAnsi="Calibri" w:cs="Calibri"/>
          <w:sz w:val="20"/>
        </w:rPr>
        <w:t xml:space="preserve">edostatek pracovníků označuje jako problém stále </w:t>
      </w:r>
      <w:r w:rsidR="00F00B3C">
        <w:rPr>
          <w:rFonts w:ascii="Calibri" w:hAnsi="Calibri" w:cs="Calibri"/>
          <w:sz w:val="20"/>
        </w:rPr>
        <w:t>víc</w:t>
      </w:r>
      <w:r w:rsidR="009E36B5">
        <w:rPr>
          <w:rFonts w:ascii="Calibri" w:hAnsi="Calibri" w:cs="Calibri"/>
          <w:sz w:val="20"/>
        </w:rPr>
        <w:t xml:space="preserve"> </w:t>
      </w:r>
      <w:r w:rsidR="00F00B3C">
        <w:rPr>
          <w:rFonts w:ascii="Calibri" w:hAnsi="Calibri" w:cs="Calibri"/>
          <w:sz w:val="20"/>
        </w:rPr>
        <w:t>společností</w:t>
      </w:r>
      <w:r w:rsidR="009E36B5">
        <w:rPr>
          <w:rFonts w:ascii="Calibri" w:hAnsi="Calibri" w:cs="Calibri"/>
          <w:sz w:val="20"/>
        </w:rPr>
        <w:t xml:space="preserve">, ačkoli do popředí problémů se v loni dostal nedostatek materiálů. </w:t>
      </w:r>
      <w:r w:rsidR="000831A0" w:rsidRPr="00F24239">
        <w:rPr>
          <w:rFonts w:ascii="Calibri" w:hAnsi="Calibri" w:cs="Calibri"/>
          <w:b/>
          <w:bCs/>
          <w:sz w:val="20"/>
        </w:rPr>
        <w:t xml:space="preserve">Trh práce v tuzemské ekonomice tak stále zůstává </w:t>
      </w:r>
      <w:r>
        <w:rPr>
          <w:rFonts w:ascii="Calibri" w:hAnsi="Calibri" w:cs="Calibri"/>
          <w:b/>
          <w:bCs/>
          <w:sz w:val="20"/>
        </w:rPr>
        <w:t xml:space="preserve">citelně </w:t>
      </w:r>
      <w:r w:rsidR="00156D1E" w:rsidRPr="00F24239">
        <w:rPr>
          <w:rFonts w:ascii="Calibri" w:hAnsi="Calibri" w:cs="Calibri"/>
          <w:b/>
          <w:bCs/>
          <w:sz w:val="20"/>
        </w:rPr>
        <w:t>přehřátý</w:t>
      </w:r>
      <w:r w:rsidR="000831A0" w:rsidRPr="00F24239">
        <w:rPr>
          <w:rFonts w:ascii="Calibri" w:hAnsi="Calibri" w:cs="Calibri"/>
          <w:b/>
          <w:bCs/>
          <w:sz w:val="20"/>
        </w:rPr>
        <w:t xml:space="preserve"> a komplikuje řadě firem další r</w:t>
      </w:r>
      <w:r w:rsidR="00266E32">
        <w:rPr>
          <w:rFonts w:ascii="Calibri" w:hAnsi="Calibri" w:cs="Calibri"/>
          <w:b/>
          <w:bCs/>
          <w:sz w:val="20"/>
        </w:rPr>
        <w:t>ozvoj</w:t>
      </w:r>
      <w:r w:rsidR="000831A0" w:rsidRPr="00F24239">
        <w:rPr>
          <w:rFonts w:ascii="Calibri" w:hAnsi="Calibri" w:cs="Calibri"/>
          <w:b/>
          <w:bCs/>
          <w:sz w:val="20"/>
        </w:rPr>
        <w:t>.</w:t>
      </w:r>
      <w:r w:rsidR="000831A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V</w:t>
      </w:r>
      <w:r w:rsidR="009E36B5">
        <w:rPr>
          <w:rFonts w:ascii="Calibri" w:hAnsi="Calibri" w:cs="Calibri"/>
          <w:sz w:val="20"/>
        </w:rPr>
        <w:t xml:space="preserve">ývoj nezaměstnanosti byl i v loni </w:t>
      </w:r>
      <w:r>
        <w:rPr>
          <w:rFonts w:ascii="Calibri" w:hAnsi="Calibri" w:cs="Calibri"/>
          <w:sz w:val="20"/>
        </w:rPr>
        <w:t xml:space="preserve">nakonec </w:t>
      </w:r>
      <w:r w:rsidR="009E36B5">
        <w:rPr>
          <w:rFonts w:ascii="Calibri" w:hAnsi="Calibri" w:cs="Calibri"/>
          <w:sz w:val="20"/>
        </w:rPr>
        <w:t>spíše přízniv</w:t>
      </w:r>
      <w:r w:rsidR="00F00B3C">
        <w:rPr>
          <w:rFonts w:ascii="Calibri" w:hAnsi="Calibri" w:cs="Calibri"/>
          <w:sz w:val="20"/>
        </w:rPr>
        <w:t>ý</w:t>
      </w:r>
      <w:r w:rsidR="009E36B5">
        <w:rPr>
          <w:rFonts w:ascii="Calibri" w:hAnsi="Calibri" w:cs="Calibri"/>
          <w:sz w:val="20"/>
        </w:rPr>
        <w:t xml:space="preserve">, což posunulo odhady nezaměstnanosti pro letošní rok směrem dolů. </w:t>
      </w:r>
      <w:r w:rsidR="009E36B5" w:rsidRPr="00E63F7F">
        <w:rPr>
          <w:rFonts w:ascii="Calibri" w:hAnsi="Calibri" w:cs="Calibri"/>
          <w:b/>
          <w:bCs/>
          <w:sz w:val="20"/>
        </w:rPr>
        <w:t>Letos se tak předpokládá pokles podílu nezaměstnaných osob v průměru na 3,3 % po loňských 3,8 %.</w:t>
      </w:r>
      <w:r w:rsidR="009E36B5">
        <w:rPr>
          <w:rFonts w:ascii="Calibri" w:hAnsi="Calibri" w:cs="Calibri"/>
          <w:sz w:val="20"/>
        </w:rPr>
        <w:t xml:space="preserve"> </w:t>
      </w:r>
      <w:r w:rsidR="000831A0">
        <w:rPr>
          <w:rFonts w:ascii="Calibri" w:hAnsi="Calibri" w:cs="Calibri"/>
          <w:sz w:val="20"/>
        </w:rPr>
        <w:t xml:space="preserve"> </w:t>
      </w:r>
      <w:r w:rsidR="00F110B1">
        <w:rPr>
          <w:rFonts w:ascii="Calibri" w:hAnsi="Calibri" w:cs="Calibri"/>
          <w:sz w:val="20"/>
        </w:rPr>
        <w:t xml:space="preserve">Další mírný pokles je pak předpokládán i v roce 2023, a to na 3,1 %. </w:t>
      </w:r>
      <w:r w:rsidR="00D30A6F">
        <w:rPr>
          <w:rFonts w:ascii="Calibri" w:hAnsi="Calibri" w:cs="Calibri"/>
          <w:sz w:val="20"/>
        </w:rPr>
        <w:t>To je jen nepatrně vyšší hodnota, než byla v</w:t>
      </w:r>
      <w:r w:rsidR="00F110B1">
        <w:rPr>
          <w:rFonts w:ascii="Calibri" w:hAnsi="Calibri" w:cs="Calibri"/>
          <w:sz w:val="20"/>
        </w:rPr>
        <w:t> </w:t>
      </w:r>
      <w:proofErr w:type="spellStart"/>
      <w:r w:rsidR="00F110B1">
        <w:rPr>
          <w:rFonts w:ascii="Calibri" w:hAnsi="Calibri" w:cs="Calibri"/>
          <w:sz w:val="20"/>
        </w:rPr>
        <w:t>předpandemickém</w:t>
      </w:r>
      <w:proofErr w:type="spellEnd"/>
      <w:r w:rsidR="00F110B1">
        <w:rPr>
          <w:rFonts w:ascii="Calibri" w:hAnsi="Calibri" w:cs="Calibri"/>
          <w:sz w:val="20"/>
        </w:rPr>
        <w:t xml:space="preserve"> </w:t>
      </w:r>
      <w:r w:rsidR="00D30A6F">
        <w:rPr>
          <w:rFonts w:ascii="Calibri" w:hAnsi="Calibri" w:cs="Calibri"/>
          <w:sz w:val="20"/>
        </w:rPr>
        <w:t>roce 201</w:t>
      </w:r>
      <w:r w:rsidR="00F110B1">
        <w:rPr>
          <w:rFonts w:ascii="Calibri" w:hAnsi="Calibri" w:cs="Calibri"/>
          <w:sz w:val="20"/>
        </w:rPr>
        <w:t>9</w:t>
      </w:r>
      <w:r w:rsidR="00D30A6F">
        <w:rPr>
          <w:rFonts w:ascii="Calibri" w:hAnsi="Calibri" w:cs="Calibri"/>
          <w:sz w:val="20"/>
        </w:rPr>
        <w:t xml:space="preserve"> (</w:t>
      </w:r>
      <w:r w:rsidR="00F110B1">
        <w:rPr>
          <w:rFonts w:ascii="Calibri" w:hAnsi="Calibri" w:cs="Calibri"/>
          <w:sz w:val="20"/>
        </w:rPr>
        <w:t>2</w:t>
      </w:r>
      <w:r w:rsidR="00D30A6F">
        <w:rPr>
          <w:rFonts w:ascii="Calibri" w:hAnsi="Calibri" w:cs="Calibri"/>
          <w:sz w:val="20"/>
        </w:rPr>
        <w:t>,</w:t>
      </w:r>
      <w:r w:rsidR="00F110B1">
        <w:rPr>
          <w:rFonts w:ascii="Calibri" w:hAnsi="Calibri" w:cs="Calibri"/>
          <w:sz w:val="20"/>
        </w:rPr>
        <w:t>8</w:t>
      </w:r>
      <w:r w:rsidR="00D30A6F">
        <w:rPr>
          <w:rFonts w:ascii="Calibri" w:hAnsi="Calibri" w:cs="Calibri"/>
          <w:sz w:val="20"/>
        </w:rPr>
        <w:t xml:space="preserve"> %</w:t>
      </w:r>
      <w:r w:rsidR="00454547">
        <w:rPr>
          <w:rFonts w:ascii="Calibri" w:hAnsi="Calibri" w:cs="Calibri"/>
          <w:sz w:val="20"/>
        </w:rPr>
        <w:t xml:space="preserve"> dle MPSV</w:t>
      </w:r>
      <w:r w:rsidR="00D30A6F">
        <w:rPr>
          <w:rFonts w:ascii="Calibri" w:hAnsi="Calibri" w:cs="Calibri"/>
          <w:sz w:val="20"/>
        </w:rPr>
        <w:t xml:space="preserve">). </w:t>
      </w:r>
      <w:r w:rsidR="004F09E3">
        <w:rPr>
          <w:rFonts w:ascii="Calibri" w:hAnsi="Calibri" w:cs="Calibri"/>
          <w:sz w:val="20"/>
        </w:rPr>
        <w:t>Ačkoli průměrné mzdy by měly v letošním roce růst o 6 %, nebudou kompenzovat</w:t>
      </w:r>
      <w:r>
        <w:rPr>
          <w:rFonts w:ascii="Calibri" w:hAnsi="Calibri" w:cs="Calibri"/>
          <w:sz w:val="20"/>
        </w:rPr>
        <w:t xml:space="preserve"> rychlý</w:t>
      </w:r>
      <w:r w:rsidR="004F09E3">
        <w:rPr>
          <w:rFonts w:ascii="Calibri" w:hAnsi="Calibri" w:cs="Calibri"/>
          <w:sz w:val="20"/>
        </w:rPr>
        <w:t xml:space="preserve"> růst cen a reálné mzdy tak o 1 % poklesnou. V příštím roce však prognostický panel čeká návrat růst</w:t>
      </w:r>
      <w:r w:rsidR="00F00B3C">
        <w:rPr>
          <w:rFonts w:ascii="Calibri" w:hAnsi="Calibri" w:cs="Calibri"/>
          <w:sz w:val="20"/>
        </w:rPr>
        <w:t>u</w:t>
      </w:r>
      <w:r w:rsidR="004F09E3">
        <w:rPr>
          <w:rFonts w:ascii="Calibri" w:hAnsi="Calibri" w:cs="Calibri"/>
          <w:sz w:val="20"/>
        </w:rPr>
        <w:t xml:space="preserve"> reálných mezd, a to o 2,5 %.</w:t>
      </w:r>
    </w:p>
    <w:p w14:paraId="71CF0BE4" w14:textId="174E43CA" w:rsidR="00B941DB" w:rsidRPr="0074441D" w:rsidRDefault="00B941DB" w:rsidP="004F09E3">
      <w:pPr>
        <w:rPr>
          <w:rFonts w:ascii="Calibri" w:hAnsi="Calibri" w:cs="Calibri"/>
          <w:b/>
          <w:color w:val="13576B"/>
          <w:sz w:val="22"/>
          <w:szCs w:val="22"/>
        </w:rPr>
      </w:pPr>
      <w:r w:rsidRPr="0074441D">
        <w:rPr>
          <w:rFonts w:ascii="Calibri" w:hAnsi="Calibri" w:cs="Calibri"/>
          <w:b/>
          <w:color w:val="13576B"/>
          <w:sz w:val="22"/>
          <w:szCs w:val="22"/>
        </w:rPr>
        <w:t xml:space="preserve">Inflace zrychlí a </w:t>
      </w:r>
      <w:r w:rsidR="004F09E3">
        <w:rPr>
          <w:rFonts w:ascii="Calibri" w:hAnsi="Calibri" w:cs="Calibri"/>
          <w:b/>
          <w:color w:val="13576B"/>
          <w:sz w:val="22"/>
          <w:szCs w:val="22"/>
        </w:rPr>
        <w:t>bude nejvyšší od roku 1998</w:t>
      </w:r>
    </w:p>
    <w:p w14:paraId="40A790CA" w14:textId="2E84FC13" w:rsidR="00B941DB" w:rsidRDefault="00156D1E" w:rsidP="00B941DB">
      <w:pPr>
        <w:rPr>
          <w:rFonts w:ascii="Calibri" w:hAnsi="Calibri" w:cs="Calibri"/>
          <w:sz w:val="20"/>
        </w:rPr>
      </w:pPr>
      <w:r w:rsidRPr="005F7A84">
        <w:rPr>
          <w:rFonts w:ascii="Calibri" w:hAnsi="Calibri" w:cs="Calibri"/>
          <w:b/>
          <w:bCs/>
          <w:sz w:val="20"/>
        </w:rPr>
        <w:t>Zrychlení inflace v druhé polovině</w:t>
      </w:r>
      <w:r w:rsidR="004F09E3">
        <w:rPr>
          <w:rFonts w:ascii="Calibri" w:hAnsi="Calibri" w:cs="Calibri"/>
          <w:b/>
          <w:bCs/>
          <w:sz w:val="20"/>
        </w:rPr>
        <w:t xml:space="preserve"> minulého </w:t>
      </w:r>
      <w:r w:rsidRPr="005F7A84">
        <w:rPr>
          <w:rFonts w:ascii="Calibri" w:hAnsi="Calibri" w:cs="Calibri"/>
          <w:b/>
          <w:bCs/>
          <w:sz w:val="20"/>
        </w:rPr>
        <w:t xml:space="preserve">roku bylo nad očekávání a vedlo k výrazným revizím </w:t>
      </w:r>
      <w:r w:rsidR="00BA49C9">
        <w:rPr>
          <w:rFonts w:ascii="Calibri" w:hAnsi="Calibri" w:cs="Calibri"/>
          <w:b/>
          <w:bCs/>
          <w:sz w:val="20"/>
        </w:rPr>
        <w:t xml:space="preserve">odhadů </w:t>
      </w:r>
      <w:r w:rsidRPr="005F7A84">
        <w:rPr>
          <w:rFonts w:ascii="Calibri" w:hAnsi="Calibri" w:cs="Calibri"/>
          <w:b/>
          <w:bCs/>
          <w:sz w:val="20"/>
        </w:rPr>
        <w:t>inflace v</w:t>
      </w:r>
      <w:r w:rsidR="004F09E3">
        <w:rPr>
          <w:rFonts w:ascii="Calibri" w:hAnsi="Calibri" w:cs="Calibri"/>
          <w:b/>
          <w:bCs/>
          <w:sz w:val="20"/>
        </w:rPr>
        <w:t> </w:t>
      </w:r>
      <w:r w:rsidRPr="005F7A84">
        <w:rPr>
          <w:rFonts w:ascii="Calibri" w:hAnsi="Calibri" w:cs="Calibri"/>
          <w:b/>
          <w:bCs/>
          <w:sz w:val="20"/>
        </w:rPr>
        <w:t>letošním</w:t>
      </w:r>
      <w:r w:rsidR="004F09E3">
        <w:rPr>
          <w:rFonts w:ascii="Calibri" w:hAnsi="Calibri" w:cs="Calibri"/>
          <w:b/>
          <w:bCs/>
          <w:sz w:val="20"/>
        </w:rPr>
        <w:t xml:space="preserve"> roce. </w:t>
      </w:r>
      <w:r w:rsidR="004F09E3">
        <w:rPr>
          <w:rFonts w:ascii="Calibri" w:hAnsi="Calibri" w:cs="Calibri"/>
          <w:sz w:val="20"/>
        </w:rPr>
        <w:t>Bez znalosti lednové inflace jsou však odhady v současné situac</w:t>
      </w:r>
      <w:r w:rsidR="006B650F">
        <w:rPr>
          <w:rFonts w:ascii="Calibri" w:hAnsi="Calibri" w:cs="Calibri"/>
          <w:sz w:val="20"/>
        </w:rPr>
        <w:t>i</w:t>
      </w:r>
      <w:r w:rsidR="004F09E3">
        <w:rPr>
          <w:rFonts w:ascii="Calibri" w:hAnsi="Calibri" w:cs="Calibri"/>
          <w:sz w:val="20"/>
        </w:rPr>
        <w:t xml:space="preserve"> mimořádně nejisté, obecně však prognostický panel předpokládá inflaci poblíž 10% hranice v první polovině roku, a </w:t>
      </w:r>
      <w:r w:rsidR="006160C8">
        <w:rPr>
          <w:rFonts w:ascii="Calibri" w:hAnsi="Calibri" w:cs="Calibri"/>
          <w:sz w:val="20"/>
        </w:rPr>
        <w:t xml:space="preserve">její </w:t>
      </w:r>
      <w:r w:rsidR="00E463A1">
        <w:rPr>
          <w:rFonts w:ascii="Calibri" w:hAnsi="Calibri" w:cs="Calibri"/>
          <w:sz w:val="20"/>
        </w:rPr>
        <w:t>zpomalení</w:t>
      </w:r>
      <w:r w:rsidR="006160C8">
        <w:rPr>
          <w:rFonts w:ascii="Calibri" w:hAnsi="Calibri" w:cs="Calibri"/>
          <w:sz w:val="20"/>
        </w:rPr>
        <w:t xml:space="preserve"> k 5 % koncem roku. Průměrná hodnota by měla přesáhnout 7 %, ačkoli mezi odhady se vyskytovaly i hodnoty blízké 9 %. Prognóza </w:t>
      </w:r>
      <w:r w:rsidR="006B650F">
        <w:rPr>
          <w:rFonts w:ascii="Calibri" w:hAnsi="Calibri" w:cs="Calibri"/>
          <w:sz w:val="20"/>
        </w:rPr>
        <w:t>ale</w:t>
      </w:r>
      <w:r w:rsidR="006160C8">
        <w:rPr>
          <w:rFonts w:ascii="Calibri" w:hAnsi="Calibri" w:cs="Calibri"/>
          <w:sz w:val="20"/>
        </w:rPr>
        <w:t xml:space="preserve"> čeká, že inflace v roce 2023 </w:t>
      </w:r>
      <w:r w:rsidR="00E463A1">
        <w:rPr>
          <w:rFonts w:ascii="Calibri" w:hAnsi="Calibri" w:cs="Calibri"/>
          <w:sz w:val="20"/>
        </w:rPr>
        <w:t xml:space="preserve">citelně zpomalí a </w:t>
      </w:r>
      <w:r w:rsidR="006160C8">
        <w:rPr>
          <w:rFonts w:ascii="Calibri" w:hAnsi="Calibri" w:cs="Calibri"/>
          <w:sz w:val="20"/>
        </w:rPr>
        <w:t>v průměru dosáhne 2,5 %</w:t>
      </w:r>
      <w:r w:rsidR="006B650F">
        <w:rPr>
          <w:rFonts w:ascii="Calibri" w:hAnsi="Calibri" w:cs="Calibri"/>
          <w:sz w:val="20"/>
        </w:rPr>
        <w:t>.</w:t>
      </w:r>
      <w:r w:rsidR="00E463A1">
        <w:rPr>
          <w:rFonts w:ascii="Calibri" w:hAnsi="Calibri" w:cs="Calibri"/>
          <w:sz w:val="20"/>
        </w:rPr>
        <w:t xml:space="preserve"> </w:t>
      </w:r>
      <w:r w:rsidR="006B650F">
        <w:rPr>
          <w:rFonts w:ascii="Calibri" w:hAnsi="Calibri" w:cs="Calibri"/>
          <w:sz w:val="20"/>
        </w:rPr>
        <w:t>K</w:t>
      </w:r>
      <w:r w:rsidR="006160C8">
        <w:rPr>
          <w:rFonts w:ascii="Calibri" w:hAnsi="Calibri" w:cs="Calibri"/>
          <w:sz w:val="20"/>
        </w:rPr>
        <w:t>once</w:t>
      </w:r>
      <w:r w:rsidR="00E463A1">
        <w:rPr>
          <w:rFonts w:ascii="Calibri" w:hAnsi="Calibri" w:cs="Calibri"/>
          <w:sz w:val="20"/>
        </w:rPr>
        <w:t>m</w:t>
      </w:r>
      <w:r w:rsidR="006160C8">
        <w:rPr>
          <w:rFonts w:ascii="Calibri" w:hAnsi="Calibri" w:cs="Calibri"/>
          <w:sz w:val="20"/>
        </w:rPr>
        <w:t xml:space="preserve"> </w:t>
      </w:r>
      <w:r w:rsidR="00E463A1">
        <w:rPr>
          <w:rFonts w:ascii="Calibri" w:hAnsi="Calibri" w:cs="Calibri"/>
          <w:sz w:val="20"/>
        </w:rPr>
        <w:t>příštího</w:t>
      </w:r>
      <w:r w:rsidR="006160C8">
        <w:rPr>
          <w:rFonts w:ascii="Calibri" w:hAnsi="Calibri" w:cs="Calibri"/>
          <w:sz w:val="20"/>
        </w:rPr>
        <w:t xml:space="preserve"> roku se </w:t>
      </w:r>
      <w:r w:rsidR="00E463A1">
        <w:rPr>
          <w:rFonts w:ascii="Calibri" w:hAnsi="Calibri" w:cs="Calibri"/>
          <w:sz w:val="20"/>
        </w:rPr>
        <w:t xml:space="preserve">pak </w:t>
      </w:r>
      <w:r w:rsidR="006160C8">
        <w:rPr>
          <w:rFonts w:ascii="Calibri" w:hAnsi="Calibri" w:cs="Calibri"/>
          <w:sz w:val="20"/>
        </w:rPr>
        <w:t xml:space="preserve">bude pohybovat </w:t>
      </w:r>
      <w:r w:rsidR="00E463A1">
        <w:rPr>
          <w:rFonts w:ascii="Calibri" w:hAnsi="Calibri" w:cs="Calibri"/>
          <w:sz w:val="20"/>
        </w:rPr>
        <w:t xml:space="preserve">již </w:t>
      </w:r>
      <w:r w:rsidR="006160C8">
        <w:rPr>
          <w:rFonts w:ascii="Calibri" w:hAnsi="Calibri" w:cs="Calibri"/>
          <w:sz w:val="20"/>
        </w:rPr>
        <w:t xml:space="preserve">kolem 2% hranice. To naznačuje, že prognostický panel nepředpokládá dlouhodobější epizodu vyšší inflace a žádná z jednotlivých prognóz </w:t>
      </w:r>
      <w:r w:rsidR="00E463A1">
        <w:rPr>
          <w:rFonts w:ascii="Calibri" w:hAnsi="Calibri" w:cs="Calibri"/>
          <w:sz w:val="20"/>
        </w:rPr>
        <w:t>zúčastněných</w:t>
      </w:r>
      <w:r w:rsidR="006160C8">
        <w:rPr>
          <w:rFonts w:ascii="Calibri" w:hAnsi="Calibri" w:cs="Calibri"/>
          <w:sz w:val="20"/>
        </w:rPr>
        <w:t xml:space="preserve"> bank nečeká v roce 2023 průměrnou inflaci nad 4 %. Na druhou stranu byla akcentována řad</w:t>
      </w:r>
      <w:r w:rsidR="00E463A1">
        <w:rPr>
          <w:rFonts w:ascii="Calibri" w:hAnsi="Calibri" w:cs="Calibri"/>
          <w:sz w:val="20"/>
        </w:rPr>
        <w:t>a proinflačních</w:t>
      </w:r>
      <w:r w:rsidR="006160C8">
        <w:rPr>
          <w:rFonts w:ascii="Calibri" w:hAnsi="Calibri" w:cs="Calibri"/>
          <w:sz w:val="20"/>
        </w:rPr>
        <w:t xml:space="preserve"> rizik, zejména z vývoje cen energií, které zůstávají poměrně vysoké i pro dlouhodobější kontrakty. </w:t>
      </w:r>
      <w:r w:rsidR="00E463A1">
        <w:rPr>
          <w:rFonts w:ascii="Calibri" w:hAnsi="Calibri" w:cs="Calibri"/>
          <w:sz w:val="20"/>
        </w:rPr>
        <w:t xml:space="preserve">To by znamenalo další růst cen energií i v příštím roce. </w:t>
      </w:r>
    </w:p>
    <w:p w14:paraId="036CDD55" w14:textId="77777777" w:rsidR="00E63F7F" w:rsidRDefault="00E63F7F" w:rsidP="00B941DB">
      <w:pPr>
        <w:rPr>
          <w:rFonts w:ascii="Calibri" w:hAnsi="Calibri" w:cs="Calibri"/>
          <w:sz w:val="20"/>
        </w:rPr>
      </w:pPr>
    </w:p>
    <w:p w14:paraId="79F7C9A9" w14:textId="48A2ED5B" w:rsidR="00B941DB" w:rsidRDefault="00146F24" w:rsidP="00FD4088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color w:val="13576B"/>
          <w:sz w:val="22"/>
          <w:szCs w:val="22"/>
        </w:rPr>
        <w:t xml:space="preserve">Sazby ČNB </w:t>
      </w:r>
      <w:r w:rsidR="00E463A1">
        <w:rPr>
          <w:rFonts w:ascii="Calibri" w:hAnsi="Calibri" w:cs="Calibri"/>
          <w:b/>
          <w:color w:val="13576B"/>
          <w:sz w:val="22"/>
          <w:szCs w:val="22"/>
        </w:rPr>
        <w:t>mohou ještě mírně růst, v druhé polovině</w:t>
      </w:r>
      <w:r w:rsidR="006B650F">
        <w:rPr>
          <w:rFonts w:ascii="Calibri" w:hAnsi="Calibri" w:cs="Calibri"/>
          <w:b/>
          <w:color w:val="13576B"/>
          <w:sz w:val="22"/>
          <w:szCs w:val="22"/>
        </w:rPr>
        <w:t xml:space="preserve"> roku</w:t>
      </w:r>
      <w:r w:rsidR="00E463A1">
        <w:rPr>
          <w:rFonts w:ascii="Calibri" w:hAnsi="Calibri" w:cs="Calibri"/>
          <w:b/>
          <w:color w:val="13576B"/>
          <w:sz w:val="22"/>
          <w:szCs w:val="22"/>
        </w:rPr>
        <w:t xml:space="preserve"> však začnou mírně kle</w:t>
      </w:r>
      <w:r w:rsidR="00A87E96">
        <w:rPr>
          <w:rFonts w:ascii="Calibri" w:hAnsi="Calibri" w:cs="Calibri"/>
          <w:b/>
          <w:color w:val="13576B"/>
          <w:sz w:val="22"/>
          <w:szCs w:val="22"/>
        </w:rPr>
        <w:t>s</w:t>
      </w:r>
      <w:r w:rsidR="00E463A1">
        <w:rPr>
          <w:rFonts w:ascii="Calibri" w:hAnsi="Calibri" w:cs="Calibri"/>
          <w:b/>
          <w:color w:val="13576B"/>
          <w:sz w:val="22"/>
          <w:szCs w:val="22"/>
        </w:rPr>
        <w:t>at</w:t>
      </w:r>
    </w:p>
    <w:p w14:paraId="1F212B88" w14:textId="43AAB27E" w:rsidR="007B17AD" w:rsidRPr="00B7479B" w:rsidRDefault="007B17AD" w:rsidP="00B941D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Nad očekávání</w:t>
      </w:r>
      <w:r w:rsidR="0074441D">
        <w:rPr>
          <w:rFonts w:ascii="Calibri" w:hAnsi="Calibri" w:cs="Calibri"/>
          <w:b/>
          <w:bCs/>
          <w:sz w:val="20"/>
        </w:rPr>
        <w:t xml:space="preserve"> rychlejší růst cen se promítl v podstatně rychlejším růstu </w:t>
      </w:r>
      <w:r>
        <w:rPr>
          <w:rFonts w:ascii="Calibri" w:hAnsi="Calibri" w:cs="Calibri"/>
          <w:b/>
          <w:bCs/>
          <w:sz w:val="20"/>
        </w:rPr>
        <w:t>úrokových</w:t>
      </w:r>
      <w:r w:rsidR="0074441D">
        <w:rPr>
          <w:rFonts w:ascii="Calibri" w:hAnsi="Calibri" w:cs="Calibri"/>
          <w:b/>
          <w:bCs/>
          <w:sz w:val="20"/>
        </w:rPr>
        <w:t xml:space="preserve"> sazeb ze strany České národní banky.</w:t>
      </w:r>
      <w:r w:rsidR="007B5D5A">
        <w:rPr>
          <w:rFonts w:ascii="Calibri" w:hAnsi="Calibri" w:cs="Calibri"/>
          <w:b/>
          <w:bCs/>
          <w:sz w:val="20"/>
        </w:rPr>
        <w:t xml:space="preserve"> Ta v</w:t>
      </w:r>
      <w:r w:rsidR="00151610">
        <w:rPr>
          <w:rFonts w:ascii="Calibri" w:hAnsi="Calibri" w:cs="Calibri"/>
          <w:b/>
          <w:bCs/>
          <w:sz w:val="20"/>
        </w:rPr>
        <w:t xml:space="preserve"> posledních několika čtvrtletích </w:t>
      </w:r>
      <w:r w:rsidR="007B5D5A">
        <w:rPr>
          <w:rFonts w:ascii="Calibri" w:hAnsi="Calibri" w:cs="Calibri"/>
          <w:b/>
          <w:bCs/>
          <w:sz w:val="20"/>
        </w:rPr>
        <w:t>přistoupila k bezprecedentní rychlosti zvyšování sazeb a základní úrokovou sazb</w:t>
      </w:r>
      <w:r w:rsidR="00151610">
        <w:rPr>
          <w:rFonts w:ascii="Calibri" w:hAnsi="Calibri" w:cs="Calibri"/>
          <w:b/>
          <w:bCs/>
          <w:sz w:val="20"/>
        </w:rPr>
        <w:t>a vystoupala z 0,25 %</w:t>
      </w:r>
      <w:r w:rsidR="00E463A1">
        <w:rPr>
          <w:rFonts w:ascii="Calibri" w:hAnsi="Calibri" w:cs="Calibri"/>
          <w:b/>
          <w:bCs/>
          <w:sz w:val="20"/>
        </w:rPr>
        <w:t xml:space="preserve"> na</w:t>
      </w:r>
      <w:r w:rsidR="007B5D5A">
        <w:rPr>
          <w:rFonts w:ascii="Calibri" w:hAnsi="Calibri" w:cs="Calibri"/>
          <w:b/>
          <w:bCs/>
          <w:sz w:val="20"/>
        </w:rPr>
        <w:t xml:space="preserve"> </w:t>
      </w:r>
      <w:r w:rsidR="00E463A1">
        <w:rPr>
          <w:rFonts w:ascii="Calibri" w:hAnsi="Calibri" w:cs="Calibri"/>
          <w:b/>
          <w:bCs/>
          <w:sz w:val="20"/>
        </w:rPr>
        <w:t>4</w:t>
      </w:r>
      <w:r w:rsidR="007B5D5A">
        <w:rPr>
          <w:rFonts w:ascii="Calibri" w:hAnsi="Calibri" w:cs="Calibri"/>
          <w:b/>
          <w:bCs/>
          <w:sz w:val="20"/>
        </w:rPr>
        <w:t>,</w:t>
      </w:r>
      <w:r w:rsidR="00E463A1">
        <w:rPr>
          <w:rFonts w:ascii="Calibri" w:hAnsi="Calibri" w:cs="Calibri"/>
          <w:b/>
          <w:bCs/>
          <w:sz w:val="20"/>
        </w:rPr>
        <w:t>5</w:t>
      </w:r>
      <w:r w:rsidR="007B5D5A">
        <w:rPr>
          <w:rFonts w:ascii="Calibri" w:hAnsi="Calibri" w:cs="Calibri"/>
          <w:b/>
          <w:bCs/>
          <w:sz w:val="20"/>
        </w:rPr>
        <w:t xml:space="preserve"> %</w:t>
      </w:r>
      <w:r w:rsidR="00FF5794">
        <w:rPr>
          <w:rFonts w:ascii="Calibri" w:hAnsi="Calibri" w:cs="Calibri"/>
          <w:b/>
          <w:bCs/>
          <w:sz w:val="20"/>
        </w:rPr>
        <w:t>.</w:t>
      </w:r>
      <w:r w:rsidR="00A071F3">
        <w:rPr>
          <w:rFonts w:ascii="Calibri" w:hAnsi="Calibri" w:cs="Calibri"/>
          <w:b/>
          <w:bCs/>
          <w:sz w:val="20"/>
        </w:rPr>
        <w:t xml:space="preserve"> </w:t>
      </w:r>
      <w:r w:rsidR="007B5D5A">
        <w:rPr>
          <w:rFonts w:ascii="Calibri" w:hAnsi="Calibri" w:cs="Calibri"/>
          <w:b/>
          <w:bCs/>
          <w:sz w:val="20"/>
        </w:rPr>
        <w:t xml:space="preserve"> </w:t>
      </w:r>
      <w:r w:rsidR="00A071F3" w:rsidRPr="00B7479B">
        <w:rPr>
          <w:rFonts w:ascii="Calibri" w:hAnsi="Calibri" w:cs="Calibri"/>
          <w:sz w:val="20"/>
        </w:rPr>
        <w:t>P</w:t>
      </w:r>
      <w:r w:rsidR="007B5D5A" w:rsidRPr="00B7479B">
        <w:rPr>
          <w:rFonts w:ascii="Calibri" w:hAnsi="Calibri" w:cs="Calibri"/>
          <w:sz w:val="20"/>
        </w:rPr>
        <w:t>odle</w:t>
      </w:r>
      <w:r w:rsidR="00A071F3" w:rsidRPr="00B7479B">
        <w:rPr>
          <w:rFonts w:ascii="Calibri" w:hAnsi="Calibri" w:cs="Calibri"/>
          <w:sz w:val="20"/>
        </w:rPr>
        <w:t xml:space="preserve"> prognózy ČBA </w:t>
      </w:r>
      <w:r w:rsidR="00E463A1" w:rsidRPr="00B7479B">
        <w:rPr>
          <w:rFonts w:ascii="Calibri" w:hAnsi="Calibri" w:cs="Calibri"/>
          <w:sz w:val="20"/>
        </w:rPr>
        <w:t>se úrokové sazby patrně již přiblížily svému vrcholu, ač ještě mírn</w:t>
      </w:r>
      <w:r w:rsidR="006B650F">
        <w:rPr>
          <w:rFonts w:ascii="Calibri" w:hAnsi="Calibri" w:cs="Calibri"/>
          <w:sz w:val="20"/>
        </w:rPr>
        <w:t>é</w:t>
      </w:r>
      <w:r w:rsidR="00E463A1" w:rsidRPr="00B7479B">
        <w:rPr>
          <w:rFonts w:ascii="Calibri" w:hAnsi="Calibri" w:cs="Calibri"/>
          <w:sz w:val="20"/>
        </w:rPr>
        <w:t xml:space="preserve"> zvýšení v první polovině letošního roku přijít může. Panel byl však poměrně rozdělen ohledně vývoj</w:t>
      </w:r>
      <w:r w:rsidR="00B7479B">
        <w:rPr>
          <w:rFonts w:ascii="Calibri" w:hAnsi="Calibri" w:cs="Calibri"/>
          <w:sz w:val="20"/>
        </w:rPr>
        <w:t>e sazeb v druhé polovině roku</w:t>
      </w:r>
      <w:r w:rsidR="0033687A">
        <w:rPr>
          <w:rFonts w:ascii="Calibri" w:hAnsi="Calibri" w:cs="Calibri"/>
          <w:sz w:val="20"/>
        </w:rPr>
        <w:t>. Č</w:t>
      </w:r>
      <w:r w:rsidR="00B7479B">
        <w:rPr>
          <w:rFonts w:ascii="Calibri" w:hAnsi="Calibri" w:cs="Calibri"/>
          <w:sz w:val="20"/>
        </w:rPr>
        <w:t xml:space="preserve">ást ekonomů předpokládá již snižování úrokových sazeb, část pak z důvodu možných proinflačních rizik </w:t>
      </w:r>
      <w:r w:rsidR="00E63F7F">
        <w:rPr>
          <w:rFonts w:ascii="Calibri" w:hAnsi="Calibri" w:cs="Calibri"/>
          <w:sz w:val="20"/>
        </w:rPr>
        <w:t>předpokládá</w:t>
      </w:r>
      <w:r w:rsidR="00B7479B">
        <w:rPr>
          <w:rFonts w:ascii="Calibri" w:hAnsi="Calibri" w:cs="Calibri"/>
          <w:sz w:val="20"/>
        </w:rPr>
        <w:t xml:space="preserve"> jejich stabilitu. Pro vývoj sazeb v příštím roce však byl již jasný konsensus, kter</w:t>
      </w:r>
      <w:r w:rsidR="00E63F7F">
        <w:rPr>
          <w:rFonts w:ascii="Calibri" w:hAnsi="Calibri" w:cs="Calibri"/>
          <w:sz w:val="20"/>
        </w:rPr>
        <w:t>ý</w:t>
      </w:r>
      <w:r w:rsidR="00B7479B">
        <w:rPr>
          <w:rFonts w:ascii="Calibri" w:hAnsi="Calibri" w:cs="Calibri"/>
          <w:sz w:val="20"/>
        </w:rPr>
        <w:t xml:space="preserve"> čeká koncem roku 2023 základní sazbu ČNB ve výši 3,25 %.</w:t>
      </w:r>
    </w:p>
    <w:p w14:paraId="64FCD3DA" w14:textId="77777777" w:rsidR="007B17AD" w:rsidRDefault="007B17AD" w:rsidP="00B941DB">
      <w:pPr>
        <w:rPr>
          <w:rFonts w:ascii="Calibri" w:hAnsi="Calibri" w:cs="Calibri"/>
          <w:sz w:val="20"/>
        </w:rPr>
      </w:pPr>
    </w:p>
    <w:p w14:paraId="7983F7BA" w14:textId="67D7B4CC" w:rsidR="0074441D" w:rsidRDefault="007B17AD" w:rsidP="00B941DB">
      <w:pPr>
        <w:rPr>
          <w:rFonts w:ascii="Calibri" w:hAnsi="Calibri" w:cs="Calibri"/>
          <w:sz w:val="20"/>
        </w:rPr>
      </w:pPr>
      <w:r w:rsidRPr="007D1A1C">
        <w:rPr>
          <w:rFonts w:ascii="Calibri" w:hAnsi="Calibri" w:cs="Calibri"/>
          <w:b/>
          <w:bCs/>
          <w:sz w:val="20"/>
        </w:rPr>
        <w:t>Navzdory</w:t>
      </w:r>
      <w:r w:rsidR="00A87E96">
        <w:rPr>
          <w:rFonts w:ascii="Calibri" w:hAnsi="Calibri" w:cs="Calibri"/>
          <w:b/>
          <w:bCs/>
          <w:sz w:val="20"/>
        </w:rPr>
        <w:t xml:space="preserve"> citelnému</w:t>
      </w:r>
      <w:r w:rsidRPr="007D1A1C">
        <w:rPr>
          <w:rFonts w:ascii="Calibri" w:hAnsi="Calibri" w:cs="Calibri"/>
          <w:b/>
          <w:bCs/>
          <w:sz w:val="20"/>
        </w:rPr>
        <w:t xml:space="preserve"> růstu úrokových sazeb</w:t>
      </w:r>
      <w:r w:rsidR="00FF5794">
        <w:rPr>
          <w:rFonts w:ascii="Calibri" w:hAnsi="Calibri" w:cs="Calibri"/>
          <w:b/>
          <w:bCs/>
          <w:sz w:val="20"/>
        </w:rPr>
        <w:t xml:space="preserve"> </w:t>
      </w:r>
      <w:r w:rsidR="00A87E96">
        <w:rPr>
          <w:rFonts w:ascii="Calibri" w:hAnsi="Calibri" w:cs="Calibri"/>
          <w:b/>
          <w:bCs/>
          <w:sz w:val="20"/>
        </w:rPr>
        <w:t xml:space="preserve">a vyšší atraktivitě koruny v očích zahraničních investorů </w:t>
      </w:r>
      <w:r w:rsidR="00FF5794">
        <w:rPr>
          <w:rFonts w:ascii="Calibri" w:hAnsi="Calibri" w:cs="Calibri"/>
          <w:b/>
          <w:bCs/>
          <w:sz w:val="20"/>
        </w:rPr>
        <w:t>prognostický</w:t>
      </w:r>
      <w:r w:rsidRPr="007D1A1C">
        <w:rPr>
          <w:rFonts w:ascii="Calibri" w:hAnsi="Calibri" w:cs="Calibri"/>
          <w:b/>
          <w:bCs/>
          <w:sz w:val="20"/>
        </w:rPr>
        <w:t xml:space="preserve"> panel ČBA nepředpokládá výraznější posílení koruny. </w:t>
      </w:r>
      <w:r w:rsidR="00A87E96">
        <w:rPr>
          <w:rFonts w:ascii="Calibri" w:hAnsi="Calibri" w:cs="Calibri"/>
          <w:sz w:val="20"/>
        </w:rPr>
        <w:t>Koncem let</w:t>
      </w:r>
      <w:r w:rsidR="00FD4088">
        <w:rPr>
          <w:rFonts w:ascii="Calibri" w:hAnsi="Calibri" w:cs="Calibri"/>
          <w:sz w:val="20"/>
        </w:rPr>
        <w:t>o</w:t>
      </w:r>
      <w:r w:rsidR="00A87E96">
        <w:rPr>
          <w:rFonts w:ascii="Calibri" w:hAnsi="Calibri" w:cs="Calibri"/>
          <w:sz w:val="20"/>
        </w:rPr>
        <w:t>šního roku by se měla koruna dle konsen</w:t>
      </w:r>
      <w:r w:rsidR="00BA4F26">
        <w:rPr>
          <w:rFonts w:ascii="Calibri" w:hAnsi="Calibri" w:cs="Calibri"/>
          <w:sz w:val="20"/>
        </w:rPr>
        <w:t>z</w:t>
      </w:r>
      <w:r w:rsidR="00A87E96">
        <w:rPr>
          <w:rFonts w:ascii="Calibri" w:hAnsi="Calibri" w:cs="Calibri"/>
          <w:sz w:val="20"/>
        </w:rPr>
        <w:t>u pohybovat kolem</w:t>
      </w:r>
      <w:r w:rsidR="00FD4088">
        <w:rPr>
          <w:rFonts w:ascii="Calibri" w:hAnsi="Calibri" w:cs="Calibri"/>
          <w:sz w:val="20"/>
        </w:rPr>
        <w:t xml:space="preserve"> úrovně</w:t>
      </w:r>
      <w:r w:rsidR="00A87E96">
        <w:rPr>
          <w:rFonts w:ascii="Calibri" w:hAnsi="Calibri" w:cs="Calibri"/>
          <w:sz w:val="20"/>
        </w:rPr>
        <w:t xml:space="preserve"> 24,3 Kč za euro a v roce </w:t>
      </w:r>
      <w:r w:rsidR="00FD4088">
        <w:rPr>
          <w:rFonts w:ascii="Calibri" w:hAnsi="Calibri" w:cs="Calibri"/>
          <w:sz w:val="20"/>
        </w:rPr>
        <w:t>příštím</w:t>
      </w:r>
      <w:r w:rsidR="00A87E96">
        <w:rPr>
          <w:rFonts w:ascii="Calibri" w:hAnsi="Calibri" w:cs="Calibri"/>
          <w:sz w:val="20"/>
        </w:rPr>
        <w:t xml:space="preserve"> u 24 Kč za euro s tím, že nejoptimističtější odhad čeká korunu v závěru příštího roku u hranice 23,</w:t>
      </w:r>
      <w:r w:rsidR="003161ED">
        <w:rPr>
          <w:rFonts w:ascii="Calibri" w:hAnsi="Calibri" w:cs="Calibri"/>
          <w:sz w:val="20"/>
        </w:rPr>
        <w:t>5</w:t>
      </w:r>
      <w:r w:rsidR="00A87E96">
        <w:rPr>
          <w:rFonts w:ascii="Calibri" w:hAnsi="Calibri" w:cs="Calibri"/>
          <w:sz w:val="20"/>
        </w:rPr>
        <w:t xml:space="preserve"> Kč za euro. </w:t>
      </w:r>
      <w:r w:rsidR="003161ED">
        <w:rPr>
          <w:rFonts w:ascii="Calibri" w:hAnsi="Calibri" w:cs="Calibri"/>
          <w:sz w:val="20"/>
        </w:rPr>
        <w:t xml:space="preserve">Spíše </w:t>
      </w:r>
      <w:r w:rsidR="00A87E96">
        <w:rPr>
          <w:rFonts w:ascii="Calibri" w:hAnsi="Calibri" w:cs="Calibri"/>
          <w:sz w:val="20"/>
        </w:rPr>
        <w:t xml:space="preserve">mírné posílení </w:t>
      </w:r>
      <w:r w:rsidR="003161ED">
        <w:rPr>
          <w:rFonts w:ascii="Calibri" w:hAnsi="Calibri" w:cs="Calibri"/>
          <w:sz w:val="20"/>
        </w:rPr>
        <w:t xml:space="preserve">koruny </w:t>
      </w:r>
      <w:r w:rsidR="00A87E96">
        <w:rPr>
          <w:rFonts w:ascii="Calibri" w:hAnsi="Calibri" w:cs="Calibri"/>
          <w:sz w:val="20"/>
        </w:rPr>
        <w:t>v příštím roce je dáno i skutečností, že očekáváné snižování sazeb ČNB bude atraktivitu koruny vůči zahraničním měnám opět</w:t>
      </w:r>
      <w:r w:rsidR="008D6C27">
        <w:rPr>
          <w:rFonts w:ascii="Calibri" w:hAnsi="Calibri" w:cs="Calibri"/>
          <w:sz w:val="20"/>
        </w:rPr>
        <w:t xml:space="preserve"> tlumit.</w:t>
      </w:r>
      <w:r w:rsidR="00A87E96">
        <w:rPr>
          <w:rFonts w:ascii="Calibri" w:hAnsi="Calibri" w:cs="Calibri"/>
          <w:sz w:val="20"/>
        </w:rPr>
        <w:t xml:space="preserve"> </w:t>
      </w:r>
      <w:r w:rsidR="00E63F7F">
        <w:rPr>
          <w:rFonts w:ascii="Calibri" w:hAnsi="Calibri" w:cs="Calibri"/>
          <w:sz w:val="20"/>
        </w:rPr>
        <w:t>Vzhledem k rychlejšímu posílení koruny začátkem letošního roku se však průměrný kurz očekávaný letos oproti listopadové prognóze posunul na 24,</w:t>
      </w:r>
      <w:r w:rsidR="003161ED">
        <w:rPr>
          <w:rFonts w:ascii="Calibri" w:hAnsi="Calibri" w:cs="Calibri"/>
          <w:sz w:val="20"/>
        </w:rPr>
        <w:t>5</w:t>
      </w:r>
      <w:r w:rsidR="00E63F7F">
        <w:rPr>
          <w:rFonts w:ascii="Calibri" w:hAnsi="Calibri" w:cs="Calibri"/>
          <w:sz w:val="20"/>
        </w:rPr>
        <w:t xml:space="preserve"> Kč za euro (24,</w:t>
      </w:r>
      <w:r w:rsidR="003161ED">
        <w:rPr>
          <w:rFonts w:ascii="Calibri" w:hAnsi="Calibri" w:cs="Calibri"/>
          <w:sz w:val="20"/>
        </w:rPr>
        <w:t>9</w:t>
      </w:r>
      <w:r w:rsidR="00E63F7F">
        <w:rPr>
          <w:rFonts w:ascii="Calibri" w:hAnsi="Calibri" w:cs="Calibri"/>
          <w:sz w:val="20"/>
        </w:rPr>
        <w:t xml:space="preserve"> v listopadové prognóze).</w:t>
      </w:r>
    </w:p>
    <w:p w14:paraId="5FE4C93C" w14:textId="77777777" w:rsidR="00B7479B" w:rsidRPr="00FD4088" w:rsidRDefault="00B7479B" w:rsidP="00B941DB">
      <w:pPr>
        <w:rPr>
          <w:rFonts w:ascii="Calibri" w:hAnsi="Calibri" w:cs="Calibri"/>
          <w:b/>
          <w:color w:val="13576B"/>
          <w:sz w:val="22"/>
          <w:szCs w:val="22"/>
        </w:rPr>
      </w:pPr>
    </w:p>
    <w:p w14:paraId="17B9ABDD" w14:textId="181773DA" w:rsidR="006C6CFF" w:rsidRPr="00DD4A8E" w:rsidRDefault="00146F24" w:rsidP="00FD408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13576B"/>
          <w:sz w:val="22"/>
          <w:szCs w:val="22"/>
        </w:rPr>
        <w:t>V</w:t>
      </w:r>
      <w:r w:rsidR="00FB5BF0">
        <w:rPr>
          <w:rFonts w:ascii="Calibri" w:hAnsi="Calibri" w:cs="Calibri"/>
          <w:b/>
          <w:color w:val="13576B"/>
          <w:sz w:val="22"/>
          <w:szCs w:val="22"/>
        </w:rPr>
        <w:t>yšší inflace</w:t>
      </w:r>
      <w:r w:rsidR="00E63F7F">
        <w:rPr>
          <w:rFonts w:ascii="Calibri" w:hAnsi="Calibri" w:cs="Calibri"/>
          <w:b/>
          <w:color w:val="13576B"/>
          <w:sz w:val="22"/>
          <w:szCs w:val="22"/>
        </w:rPr>
        <w:t xml:space="preserve"> a rychlejší konsolidace veřejných financí</w:t>
      </w:r>
      <w:r w:rsidR="00FB5BF0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proofErr w:type="gramStart"/>
      <w:r w:rsidR="00FB5BF0">
        <w:rPr>
          <w:rFonts w:ascii="Calibri" w:hAnsi="Calibri" w:cs="Calibri"/>
          <w:b/>
          <w:color w:val="13576B"/>
          <w:sz w:val="22"/>
          <w:szCs w:val="22"/>
        </w:rPr>
        <w:t>sníží</w:t>
      </w:r>
      <w:proofErr w:type="gramEnd"/>
      <w:r w:rsidR="00FB5BF0">
        <w:rPr>
          <w:rFonts w:ascii="Calibri" w:hAnsi="Calibri" w:cs="Calibri"/>
          <w:b/>
          <w:color w:val="13576B"/>
          <w:sz w:val="22"/>
          <w:szCs w:val="22"/>
        </w:rPr>
        <w:t xml:space="preserve"> ukazatel dluhu vůči HDP</w:t>
      </w:r>
    </w:p>
    <w:p w14:paraId="3701BD55" w14:textId="56C4272B" w:rsidR="00DB46CC" w:rsidRDefault="00B87C49" w:rsidP="00247943">
      <w:pPr>
        <w:rPr>
          <w:rFonts w:ascii="Calibri" w:hAnsi="Calibri" w:cs="Calibri"/>
          <w:sz w:val="20"/>
        </w:rPr>
      </w:pPr>
      <w:r w:rsidRPr="00C15C1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2C25A2" wp14:editId="642E153B">
                <wp:simplePos x="0" y="0"/>
                <wp:positionH relativeFrom="margin">
                  <wp:align>right</wp:align>
                </wp:positionH>
                <wp:positionV relativeFrom="paragraph">
                  <wp:posOffset>575705</wp:posOffset>
                </wp:positionV>
                <wp:extent cx="6461760" cy="723569"/>
                <wp:effectExtent l="0" t="0" r="15240" b="19685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723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2BB6C" w14:textId="5C6F64F0" w:rsidR="001802DE" w:rsidRPr="00F37DC9" w:rsidRDefault="00F110B1" w:rsidP="001802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Michal Skořepa, ekonomický analytik České spořitelny</w:t>
                            </w:r>
                            <w:r w:rsidR="001802DE" w:rsidRPr="00DA61A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:</w:t>
                            </w:r>
                          </w:p>
                          <w:p w14:paraId="32CCDFE0" w14:textId="78FC66D8" w:rsidR="001802DE" w:rsidRPr="00F37DC9" w:rsidRDefault="002C063C" w:rsidP="002C063C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2C063C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„</w:t>
                            </w:r>
                            <w:r w:rsidR="00B87C49" w:rsidRPr="00B87C49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Bude zajímavé sledovat, do jaké míry se bude vládě dařit snižování deficitu především skrze výdajovou střídmost, k níž se vláda zavázala letos, nebo zda bude přece jen nutno citelně zvýšit zdanění, a pokud, tak který typ daně vláda zvolí jako pro tento účel nejvhodnější.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25A2" id="Textové pole 3" o:spid="_x0000_s1028" type="#_x0000_t202" style="position:absolute;left:0;text-align:left;margin-left:457.6pt;margin-top:45.35pt;width:508.8pt;height:56.9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">
                <v:textbox>
                  <w:txbxContent>
                    <w:p w14:paraId="1BB2BB6C" w14:textId="5C6F64F0" w:rsidR="001802DE" w:rsidRPr="00F37DC9" w:rsidRDefault="00F110B1" w:rsidP="001802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Michal Skořepa, ekonomický analytik České spořitelny</w:t>
                      </w:r>
                      <w:r w:rsidR="001802DE" w:rsidRPr="00DA61AD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:</w:t>
                      </w:r>
                    </w:p>
                    <w:p w14:paraId="32CCDFE0" w14:textId="78FC66D8" w:rsidR="001802DE" w:rsidRPr="00F37DC9" w:rsidRDefault="002C063C" w:rsidP="002C063C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2C063C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„</w:t>
                      </w:r>
                      <w:r w:rsidR="00B87C49" w:rsidRPr="00B87C49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Bude zajímavé sledovat, do jaké míry se bude vládě dařit snižování deficitu především skrze výdajovou střídmost, k níž se vláda zavázala letos, nebo zda bude přece jen nutno citelně zvýšit zdanění, a pokud, tak který typ daně vláda zvolí jako pro tento účel nejvhodnější.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4379">
        <w:rPr>
          <w:rFonts w:ascii="Calibri" w:hAnsi="Calibri" w:cs="Calibri"/>
          <w:sz w:val="20"/>
        </w:rPr>
        <w:t>Deficit hospodaření</w:t>
      </w:r>
      <w:r w:rsidR="00124A05">
        <w:rPr>
          <w:rFonts w:ascii="Calibri" w:hAnsi="Calibri" w:cs="Calibri"/>
          <w:sz w:val="20"/>
        </w:rPr>
        <w:t xml:space="preserve"> státu</w:t>
      </w:r>
      <w:r w:rsidR="008C4379">
        <w:rPr>
          <w:rFonts w:ascii="Calibri" w:hAnsi="Calibri" w:cs="Calibri"/>
          <w:sz w:val="20"/>
        </w:rPr>
        <w:t xml:space="preserve"> pro letošní rok odhaduje prognóza ČBA na </w:t>
      </w:r>
      <w:r w:rsidR="008D6C27">
        <w:rPr>
          <w:rFonts w:ascii="Calibri" w:hAnsi="Calibri" w:cs="Calibri"/>
          <w:sz w:val="20"/>
        </w:rPr>
        <w:t>4,2</w:t>
      </w:r>
      <w:r w:rsidR="008C4379">
        <w:rPr>
          <w:rFonts w:ascii="Calibri" w:hAnsi="Calibri" w:cs="Calibri"/>
          <w:sz w:val="20"/>
        </w:rPr>
        <w:t xml:space="preserve"> % HDP</w:t>
      </w:r>
      <w:r w:rsidR="0033687A">
        <w:rPr>
          <w:rFonts w:ascii="Calibri" w:hAnsi="Calibri" w:cs="Calibri"/>
          <w:sz w:val="20"/>
        </w:rPr>
        <w:t>. O</w:t>
      </w:r>
      <w:r w:rsidR="008D6C27">
        <w:rPr>
          <w:rFonts w:ascii="Calibri" w:hAnsi="Calibri" w:cs="Calibri"/>
          <w:sz w:val="20"/>
        </w:rPr>
        <w:t>dhady tak předpokládají deficit pod 300 mld. Kč, jak avizovala nová vláda. Konsolidace veřejných financí bude pokračovat v příštím roce, kdy by měl deficit dosáhnout 3 % HDP.</w:t>
      </w:r>
      <w:r w:rsidR="00E23BAB">
        <w:rPr>
          <w:rFonts w:ascii="Calibri" w:hAnsi="Calibri" w:cs="Calibri"/>
          <w:sz w:val="20"/>
        </w:rPr>
        <w:t xml:space="preserve"> Rychlejší konsolidace veřejných financí společně s v</w:t>
      </w:r>
      <w:r w:rsidR="008D6C27">
        <w:rPr>
          <w:rFonts w:ascii="Calibri" w:hAnsi="Calibri" w:cs="Calibri"/>
          <w:sz w:val="20"/>
        </w:rPr>
        <w:t>yšší inflac</w:t>
      </w:r>
      <w:r w:rsidR="00E23BAB">
        <w:rPr>
          <w:rFonts w:ascii="Calibri" w:hAnsi="Calibri" w:cs="Calibri"/>
          <w:sz w:val="20"/>
        </w:rPr>
        <w:t>í</w:t>
      </w:r>
      <w:r w:rsidR="008D6C27">
        <w:rPr>
          <w:rFonts w:ascii="Calibri" w:hAnsi="Calibri" w:cs="Calibri"/>
          <w:sz w:val="20"/>
        </w:rPr>
        <w:t xml:space="preserve"> a </w:t>
      </w:r>
      <w:r w:rsidR="00E23BAB">
        <w:rPr>
          <w:rFonts w:ascii="Calibri" w:hAnsi="Calibri" w:cs="Calibri"/>
          <w:sz w:val="20"/>
        </w:rPr>
        <w:t xml:space="preserve">rychlejším </w:t>
      </w:r>
      <w:r w:rsidR="008D6C27">
        <w:rPr>
          <w:rFonts w:ascii="Calibri" w:hAnsi="Calibri" w:cs="Calibri"/>
          <w:sz w:val="20"/>
        </w:rPr>
        <w:t>růst</w:t>
      </w:r>
      <w:r w:rsidR="00E23BAB">
        <w:rPr>
          <w:rFonts w:ascii="Calibri" w:hAnsi="Calibri" w:cs="Calibri"/>
          <w:sz w:val="20"/>
        </w:rPr>
        <w:t>em</w:t>
      </w:r>
      <w:r w:rsidR="008D6C27">
        <w:rPr>
          <w:rFonts w:ascii="Calibri" w:hAnsi="Calibri" w:cs="Calibri"/>
          <w:sz w:val="20"/>
        </w:rPr>
        <w:t xml:space="preserve"> nominálního HDP pak snižuje celkovou </w:t>
      </w:r>
      <w:r w:rsidR="008D6C27">
        <w:rPr>
          <w:rFonts w:ascii="Calibri" w:hAnsi="Calibri" w:cs="Calibri"/>
          <w:sz w:val="20"/>
        </w:rPr>
        <w:lastRenderedPageBreak/>
        <w:t xml:space="preserve">výši zadlužení </w:t>
      </w:r>
      <w:r w:rsidR="00E23BAB">
        <w:rPr>
          <w:rFonts w:ascii="Calibri" w:hAnsi="Calibri" w:cs="Calibri"/>
          <w:sz w:val="20"/>
        </w:rPr>
        <w:t xml:space="preserve">vlády </w:t>
      </w:r>
      <w:r w:rsidR="008D6C27">
        <w:rPr>
          <w:rFonts w:ascii="Calibri" w:hAnsi="Calibri" w:cs="Calibri"/>
          <w:sz w:val="20"/>
        </w:rPr>
        <w:t>vůči HDP</w:t>
      </w:r>
      <w:r w:rsidR="00757607">
        <w:rPr>
          <w:rFonts w:ascii="Calibri" w:hAnsi="Calibri" w:cs="Calibri"/>
          <w:sz w:val="20"/>
        </w:rPr>
        <w:t>.</w:t>
      </w:r>
      <w:r w:rsidR="008D6C27">
        <w:rPr>
          <w:rFonts w:ascii="Calibri" w:hAnsi="Calibri" w:cs="Calibri"/>
          <w:sz w:val="20"/>
        </w:rPr>
        <w:t xml:space="preserve"> </w:t>
      </w:r>
      <w:r w:rsidR="00757607">
        <w:rPr>
          <w:rFonts w:ascii="Calibri" w:hAnsi="Calibri" w:cs="Calibri"/>
          <w:sz w:val="20"/>
        </w:rPr>
        <w:t>T</w:t>
      </w:r>
      <w:r w:rsidR="008D6C27">
        <w:rPr>
          <w:rFonts w:ascii="Calibri" w:hAnsi="Calibri" w:cs="Calibri"/>
          <w:sz w:val="20"/>
        </w:rPr>
        <w:t xml:space="preserve">ento podíl se tak pro letošní rok snižuje oproti předpokladům </w:t>
      </w:r>
      <w:r w:rsidR="00E23BAB">
        <w:rPr>
          <w:rFonts w:ascii="Calibri" w:hAnsi="Calibri" w:cs="Calibri"/>
          <w:sz w:val="20"/>
        </w:rPr>
        <w:t>listopadová prognózy z 43,6 % HDP na 42,4 % HDP a pro rok 2023 je očekáván na 43 % HDP.</w:t>
      </w:r>
    </w:p>
    <w:p w14:paraId="6BCE922E" w14:textId="77777777" w:rsidR="00947BA5" w:rsidRPr="00DD4A8E" w:rsidRDefault="00947BA5" w:rsidP="00247943">
      <w:pPr>
        <w:rPr>
          <w:rFonts w:ascii="Calibri" w:hAnsi="Calibri" w:cs="Calibri"/>
          <w:sz w:val="20"/>
        </w:rPr>
      </w:pPr>
    </w:p>
    <w:p w14:paraId="6A2F513C" w14:textId="67393220" w:rsidR="002D12BD" w:rsidRPr="00DD4A8E" w:rsidRDefault="00082CD7" w:rsidP="00FD4088">
      <w:pPr>
        <w:rPr>
          <w:rFonts w:ascii="Calibri" w:hAnsi="Calibri" w:cs="Calibri"/>
          <w:b/>
          <w:color w:val="13576B"/>
          <w:sz w:val="22"/>
          <w:szCs w:val="22"/>
        </w:rPr>
      </w:pPr>
      <w:r>
        <w:rPr>
          <w:rFonts w:ascii="Calibri" w:hAnsi="Calibri" w:cs="Calibri"/>
          <w:b/>
          <w:color w:val="13576B"/>
          <w:sz w:val="22"/>
          <w:szCs w:val="22"/>
        </w:rPr>
        <w:t>Korporátní úvěry by měly příští rok zrychlit</w:t>
      </w:r>
    </w:p>
    <w:p w14:paraId="7E571DDB" w14:textId="653D0B36" w:rsidR="00F37DC9" w:rsidRPr="00DD4A8E" w:rsidRDefault="00587061" w:rsidP="00B4285D">
      <w:pPr>
        <w:rPr>
          <w:rFonts w:ascii="Calibri" w:hAnsi="Calibri" w:cs="Calibri"/>
          <w:szCs w:val="18"/>
        </w:rPr>
      </w:pPr>
      <w:r>
        <w:rPr>
          <w:rFonts w:ascii="Calibri" w:hAnsi="Calibri" w:cs="Calibri"/>
          <w:sz w:val="20"/>
        </w:rPr>
        <w:t xml:space="preserve">Dynamika růstu hypotečních </w:t>
      </w:r>
      <w:r w:rsidR="00EB1AD7">
        <w:rPr>
          <w:rFonts w:ascii="Calibri" w:hAnsi="Calibri" w:cs="Calibri"/>
          <w:sz w:val="20"/>
        </w:rPr>
        <w:t xml:space="preserve">úvěrů </w:t>
      </w:r>
      <w:r w:rsidR="00EB3E5F">
        <w:rPr>
          <w:rFonts w:ascii="Calibri" w:hAnsi="Calibri" w:cs="Calibri"/>
          <w:sz w:val="20"/>
        </w:rPr>
        <w:t>byl</w:t>
      </w:r>
      <w:r w:rsidR="00947BA5">
        <w:rPr>
          <w:rFonts w:ascii="Calibri" w:hAnsi="Calibri" w:cs="Calibri"/>
          <w:sz w:val="20"/>
        </w:rPr>
        <w:t>a</w:t>
      </w:r>
      <w:r w:rsidR="00EB3E5F">
        <w:rPr>
          <w:rFonts w:ascii="Calibri" w:hAnsi="Calibri" w:cs="Calibri"/>
          <w:sz w:val="20"/>
        </w:rPr>
        <w:t xml:space="preserve"> v loňském roce zcela výjimečná</w:t>
      </w:r>
      <w:r w:rsidR="00947BA5">
        <w:rPr>
          <w:rFonts w:ascii="Calibri" w:hAnsi="Calibri" w:cs="Calibri"/>
          <w:sz w:val="20"/>
        </w:rPr>
        <w:t>.</w:t>
      </w:r>
      <w:r w:rsidR="00EB3E5F">
        <w:rPr>
          <w:rFonts w:ascii="Calibri" w:hAnsi="Calibri" w:cs="Calibri"/>
          <w:sz w:val="20"/>
        </w:rPr>
        <w:t xml:space="preserve"> </w:t>
      </w:r>
      <w:r w:rsidR="00947BA5">
        <w:rPr>
          <w:rFonts w:ascii="Calibri" w:hAnsi="Calibri" w:cs="Calibri"/>
          <w:sz w:val="20"/>
        </w:rPr>
        <w:t>To</w:t>
      </w:r>
      <w:r w:rsidR="00EB3E5F">
        <w:rPr>
          <w:rFonts w:ascii="Calibri" w:hAnsi="Calibri" w:cs="Calibri"/>
          <w:sz w:val="20"/>
        </w:rPr>
        <w:t xml:space="preserve"> se odrazilo v</w:t>
      </w:r>
      <w:r w:rsidR="00EB1AD7">
        <w:rPr>
          <w:rFonts w:ascii="Calibri" w:hAnsi="Calibri" w:cs="Calibri"/>
          <w:sz w:val="20"/>
        </w:rPr>
        <w:t>e</w:t>
      </w:r>
      <w:r w:rsidR="00EB3E5F">
        <w:rPr>
          <w:rFonts w:ascii="Calibri" w:hAnsi="Calibri" w:cs="Calibri"/>
          <w:sz w:val="20"/>
        </w:rPr>
        <w:t xml:space="preserve"> dvouciferném </w:t>
      </w:r>
      <w:r w:rsidR="00BA4F26">
        <w:rPr>
          <w:rFonts w:ascii="Calibri" w:hAnsi="Calibri" w:cs="Calibri"/>
          <w:sz w:val="20"/>
        </w:rPr>
        <w:t xml:space="preserve">meziročním </w:t>
      </w:r>
      <w:r w:rsidR="00EB3E5F">
        <w:rPr>
          <w:rFonts w:ascii="Calibri" w:hAnsi="Calibri" w:cs="Calibri"/>
          <w:sz w:val="20"/>
        </w:rPr>
        <w:t xml:space="preserve">růstu objemu </w:t>
      </w:r>
      <w:r w:rsidR="00EB1AD7">
        <w:rPr>
          <w:rFonts w:ascii="Calibri" w:hAnsi="Calibri" w:cs="Calibri"/>
          <w:sz w:val="20"/>
        </w:rPr>
        <w:t>hypoték</w:t>
      </w:r>
      <w:r w:rsidR="00EB3E5F">
        <w:rPr>
          <w:rFonts w:ascii="Calibri" w:hAnsi="Calibri" w:cs="Calibri"/>
          <w:sz w:val="20"/>
        </w:rPr>
        <w:t>. Ačkoli lze předpokládat citelné zpomalení objemu nov</w:t>
      </w:r>
      <w:r w:rsidR="00947BA5">
        <w:rPr>
          <w:rFonts w:ascii="Calibri" w:hAnsi="Calibri" w:cs="Calibri"/>
          <w:sz w:val="20"/>
        </w:rPr>
        <w:t>ě</w:t>
      </w:r>
      <w:r w:rsidR="00EB3E5F">
        <w:rPr>
          <w:rFonts w:ascii="Calibri" w:hAnsi="Calibri" w:cs="Calibri"/>
          <w:sz w:val="20"/>
        </w:rPr>
        <w:t xml:space="preserve"> poskytnutých úvěrů v letošním roce, stále by to mělo znamenat solidní růst meziročního stavu úvěrů na bydlení, </w:t>
      </w:r>
      <w:r w:rsidR="00947BA5">
        <w:rPr>
          <w:rFonts w:ascii="Calibri" w:hAnsi="Calibri" w:cs="Calibri"/>
          <w:sz w:val="20"/>
        </w:rPr>
        <w:t>i když</w:t>
      </w:r>
      <w:r w:rsidR="00EB3E5F">
        <w:rPr>
          <w:rFonts w:ascii="Calibri" w:hAnsi="Calibri" w:cs="Calibri"/>
          <w:sz w:val="20"/>
        </w:rPr>
        <w:t xml:space="preserve"> meziroční dynamika zvolní. </w:t>
      </w:r>
      <w:r w:rsidR="00564C9B">
        <w:rPr>
          <w:rFonts w:ascii="Calibri" w:hAnsi="Calibri" w:cs="Calibri"/>
          <w:sz w:val="20"/>
        </w:rPr>
        <w:t>Naopak rychlejší růst by měly zaznamenat v</w:t>
      </w:r>
      <w:r w:rsidR="00EB3E5F">
        <w:rPr>
          <w:rFonts w:ascii="Calibri" w:hAnsi="Calibri" w:cs="Calibri"/>
          <w:sz w:val="20"/>
        </w:rPr>
        <w:t xml:space="preserve"> letošním</w:t>
      </w:r>
      <w:r w:rsidR="00564C9B">
        <w:rPr>
          <w:rFonts w:ascii="Calibri" w:hAnsi="Calibri" w:cs="Calibri"/>
          <w:sz w:val="20"/>
        </w:rPr>
        <w:t xml:space="preserve"> roce korporátní úvěry, a to nejen z titulu </w:t>
      </w:r>
      <w:r w:rsidR="00FF3C7C">
        <w:rPr>
          <w:rFonts w:ascii="Calibri" w:hAnsi="Calibri" w:cs="Calibri"/>
          <w:sz w:val="20"/>
        </w:rPr>
        <w:t>obnovené</w:t>
      </w:r>
      <w:r w:rsidR="00564C9B">
        <w:rPr>
          <w:rFonts w:ascii="Calibri" w:hAnsi="Calibri" w:cs="Calibri"/>
          <w:sz w:val="20"/>
        </w:rPr>
        <w:t xml:space="preserve"> investiční aktivity, ale i potřeby provozního financování. Zatímco tak meziroční dynamika korporátních úvěrů </w:t>
      </w:r>
      <w:r w:rsidR="00EB3E5F">
        <w:rPr>
          <w:rFonts w:ascii="Calibri" w:hAnsi="Calibri" w:cs="Calibri"/>
          <w:sz w:val="20"/>
        </w:rPr>
        <w:t xml:space="preserve">v loňském roce stagnovala a začala růst až závěrem roku, letos by měla </w:t>
      </w:r>
      <w:r w:rsidR="00564C9B">
        <w:rPr>
          <w:rFonts w:ascii="Calibri" w:hAnsi="Calibri" w:cs="Calibri"/>
          <w:sz w:val="20"/>
        </w:rPr>
        <w:t xml:space="preserve">v průměru růst o </w:t>
      </w:r>
      <w:r w:rsidR="00EB3E5F">
        <w:rPr>
          <w:rFonts w:ascii="Calibri" w:hAnsi="Calibri" w:cs="Calibri"/>
          <w:sz w:val="20"/>
        </w:rPr>
        <w:t>5</w:t>
      </w:r>
      <w:r w:rsidR="00564C9B">
        <w:rPr>
          <w:rFonts w:ascii="Calibri" w:hAnsi="Calibri" w:cs="Calibri"/>
          <w:sz w:val="20"/>
        </w:rPr>
        <w:t xml:space="preserve"> %. </w:t>
      </w:r>
      <w:r w:rsidR="005E7020">
        <w:rPr>
          <w:rFonts w:ascii="Calibri" w:hAnsi="Calibri" w:cs="Calibri"/>
          <w:sz w:val="20"/>
        </w:rPr>
        <w:t xml:space="preserve">V posledních měsících lze také pozorovat zvýšený zájem o </w:t>
      </w:r>
      <w:proofErr w:type="spellStart"/>
      <w:r w:rsidR="005E7020">
        <w:rPr>
          <w:rFonts w:ascii="Calibri" w:hAnsi="Calibri" w:cs="Calibri"/>
          <w:sz w:val="20"/>
        </w:rPr>
        <w:t>cizoměnové</w:t>
      </w:r>
      <w:proofErr w:type="spellEnd"/>
      <w:r w:rsidR="005E7020">
        <w:rPr>
          <w:rFonts w:ascii="Calibri" w:hAnsi="Calibri" w:cs="Calibri"/>
          <w:sz w:val="20"/>
        </w:rPr>
        <w:t xml:space="preserve"> financování, což lze patrně přičíst vývoji úrokových sazeb. Podíl </w:t>
      </w:r>
      <w:proofErr w:type="spellStart"/>
      <w:r w:rsidR="005E7020">
        <w:rPr>
          <w:rFonts w:ascii="Calibri" w:hAnsi="Calibri" w:cs="Calibri"/>
          <w:sz w:val="20"/>
        </w:rPr>
        <w:t>cizoměnových</w:t>
      </w:r>
      <w:proofErr w:type="spellEnd"/>
      <w:r w:rsidR="005E7020">
        <w:rPr>
          <w:rFonts w:ascii="Calibri" w:hAnsi="Calibri" w:cs="Calibri"/>
          <w:sz w:val="20"/>
        </w:rPr>
        <w:t xml:space="preserve"> úvěrů koncem minulého roku </w:t>
      </w:r>
      <w:r w:rsidR="00AF3F59">
        <w:rPr>
          <w:rFonts w:ascii="Calibri" w:hAnsi="Calibri" w:cs="Calibri"/>
          <w:sz w:val="20"/>
        </w:rPr>
        <w:t xml:space="preserve">dosáhl </w:t>
      </w:r>
      <w:r w:rsidR="005E7020">
        <w:rPr>
          <w:rFonts w:ascii="Calibri" w:hAnsi="Calibri" w:cs="Calibri"/>
          <w:sz w:val="20"/>
        </w:rPr>
        <w:t>35</w:t>
      </w:r>
      <w:r w:rsidR="00AF3F59">
        <w:rPr>
          <w:rFonts w:ascii="Calibri" w:hAnsi="Calibri" w:cs="Calibri"/>
          <w:sz w:val="20"/>
        </w:rPr>
        <w:t xml:space="preserve"> </w:t>
      </w:r>
      <w:r w:rsidR="005E7020">
        <w:rPr>
          <w:rFonts w:ascii="Calibri" w:hAnsi="Calibri" w:cs="Calibri"/>
          <w:sz w:val="20"/>
        </w:rPr>
        <w:t>%</w:t>
      </w:r>
      <w:r w:rsidR="00AF3F59">
        <w:rPr>
          <w:rFonts w:ascii="Calibri" w:hAnsi="Calibri" w:cs="Calibri"/>
          <w:sz w:val="20"/>
        </w:rPr>
        <w:t>.</w:t>
      </w:r>
    </w:p>
    <w:p w14:paraId="76A4FED4" w14:textId="734CDE40" w:rsidR="007D666C" w:rsidRPr="00DD4A8E" w:rsidRDefault="007D666C" w:rsidP="00635F63">
      <w:pPr>
        <w:rPr>
          <w:rFonts w:ascii="Calibri" w:hAnsi="Calibri" w:cs="Calibri"/>
          <w:b/>
          <w:color w:val="007E79"/>
          <w:sz w:val="20"/>
        </w:rPr>
      </w:pPr>
    </w:p>
    <w:p w14:paraId="0FC19613" w14:textId="2C424095" w:rsidR="00C93158" w:rsidRDefault="00C93158" w:rsidP="00B4285D">
      <w:pPr>
        <w:rPr>
          <w:rFonts w:ascii="Calibri" w:hAnsi="Calibri" w:cs="Calibri"/>
          <w:b/>
          <w:color w:val="13576B"/>
          <w:sz w:val="22"/>
          <w:szCs w:val="22"/>
        </w:rPr>
      </w:pPr>
      <w:r w:rsidRPr="00AD0B10">
        <w:rPr>
          <w:rFonts w:ascii="Calibri" w:hAnsi="Calibri" w:cs="Calibri"/>
          <w:b/>
          <w:color w:val="13576B"/>
          <w:sz w:val="22"/>
          <w:szCs w:val="22"/>
        </w:rPr>
        <w:t>Makroekonomická prognóza ČBA v</w:t>
      </w:r>
      <w:r w:rsidR="001642C0">
        <w:rPr>
          <w:rFonts w:ascii="Calibri" w:hAnsi="Calibri" w:cs="Calibri"/>
          <w:b/>
          <w:color w:val="13576B"/>
          <w:sz w:val="22"/>
          <w:szCs w:val="22"/>
        </w:rPr>
        <w:t> </w:t>
      </w:r>
      <w:r w:rsidRPr="00AD0B10">
        <w:rPr>
          <w:rFonts w:ascii="Calibri" w:hAnsi="Calibri" w:cs="Calibri"/>
          <w:b/>
          <w:color w:val="13576B"/>
          <w:sz w:val="22"/>
          <w:szCs w:val="22"/>
        </w:rPr>
        <w:t>číslech</w:t>
      </w:r>
    </w:p>
    <w:p w14:paraId="2BEBBAEE" w14:textId="77777777" w:rsidR="001642C0" w:rsidRPr="00AD0B10" w:rsidRDefault="001642C0" w:rsidP="00B4285D">
      <w:pPr>
        <w:rPr>
          <w:rFonts w:ascii="Calibri" w:hAnsi="Calibri" w:cs="Calibri"/>
          <w:b/>
          <w:color w:val="007E79"/>
          <w:sz w:val="22"/>
          <w:szCs w:val="22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1180"/>
        <w:gridCol w:w="1020"/>
        <w:gridCol w:w="1020"/>
      </w:tblGrid>
      <w:tr w:rsidR="00151610" w:rsidRPr="00151610" w14:paraId="6A5A9731" w14:textId="77777777" w:rsidTr="00151610">
        <w:trPr>
          <w:trHeight w:val="225"/>
        </w:trPr>
        <w:tc>
          <w:tcPr>
            <w:tcW w:w="5160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334A98C2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Ukazatel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4FD317BA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Cs w:val="18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Cs w:val="18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70421ED2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Cs w:val="18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Cs w:val="18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33A55FD7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Cs w:val="18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Cs w:val="18"/>
              </w:rPr>
              <w:t>2023</w:t>
            </w:r>
          </w:p>
        </w:tc>
      </w:tr>
      <w:tr w:rsidR="00151610" w:rsidRPr="00151610" w14:paraId="031727FB" w14:textId="77777777" w:rsidTr="00151610">
        <w:trPr>
          <w:trHeight w:val="435"/>
        </w:trPr>
        <w:tc>
          <w:tcPr>
            <w:tcW w:w="5160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06715B5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7DB89199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Cs w:val="18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Cs w:val="18"/>
              </w:rPr>
              <w:t>(skutečnost)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2CB69A69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Cs w:val="18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Cs w:val="18"/>
              </w:rPr>
              <w:t>(prognóza)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744E837C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Cs w:val="18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Cs w:val="18"/>
              </w:rPr>
              <w:t>(prognóza)</w:t>
            </w:r>
          </w:p>
        </w:tc>
      </w:tr>
      <w:tr w:rsidR="00151610" w:rsidRPr="00151610" w14:paraId="3EBCB1C2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2A658C72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Růst reálného HDP (%)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4C9B71A" w14:textId="5A6E5B06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3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9822814" w14:textId="595DB91B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3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148539E" w14:textId="5885C08A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3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6</w:t>
            </w:r>
          </w:p>
        </w:tc>
      </w:tr>
      <w:tr w:rsidR="00151610" w:rsidRPr="00151610" w14:paraId="373A5815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67FC45C0" w14:textId="77777777" w:rsidR="00151610" w:rsidRPr="00151610" w:rsidRDefault="00151610" w:rsidP="00151610">
            <w:pPr>
              <w:overflowPunct/>
              <w:autoSpaceDE/>
              <w:autoSpaceDN/>
              <w:adjustRightInd/>
              <w:ind w:firstLineChars="100" w:firstLine="201"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Růst spotřeby domácností (%)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40CD4A1" w14:textId="735E4866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4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0B460453" w14:textId="0C652521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3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820A3D8" w14:textId="10482CD7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2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8</w:t>
            </w:r>
          </w:p>
        </w:tc>
      </w:tr>
      <w:tr w:rsidR="00151610" w:rsidRPr="00151610" w14:paraId="73100024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5451E376" w14:textId="77777777" w:rsidR="00151610" w:rsidRPr="00151610" w:rsidRDefault="00151610" w:rsidP="00151610">
            <w:pPr>
              <w:overflowPunct/>
              <w:autoSpaceDE/>
              <w:autoSpaceDN/>
              <w:adjustRightInd/>
              <w:ind w:firstLineChars="100" w:firstLine="201"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Růst vládní spotřeby (%)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4900ACB" w14:textId="0CF1248C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3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04FB014A" w14:textId="032D0DC1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1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C6D2ACF" w14:textId="1AF4091C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1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6</w:t>
            </w:r>
          </w:p>
        </w:tc>
      </w:tr>
      <w:tr w:rsidR="00151610" w:rsidRPr="00151610" w14:paraId="1649778A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47E26714" w14:textId="77777777" w:rsidR="00151610" w:rsidRPr="00151610" w:rsidRDefault="00151610" w:rsidP="00151610">
            <w:pPr>
              <w:overflowPunct/>
              <w:autoSpaceDE/>
              <w:autoSpaceDN/>
              <w:adjustRightInd/>
              <w:ind w:firstLineChars="100" w:firstLine="201"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Růst investic (bez zásob, 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39949CC" w14:textId="7FDCD913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0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AB107A7" w14:textId="1F98EB18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5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47F64C4" w14:textId="68FC1F1D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4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8</w:t>
            </w:r>
          </w:p>
        </w:tc>
      </w:tr>
      <w:tr w:rsidR="00151610" w:rsidRPr="00151610" w14:paraId="00DF79EA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1B7BB5C9" w14:textId="77777777" w:rsidR="00151610" w:rsidRPr="00151610" w:rsidRDefault="00151610" w:rsidP="00151610">
            <w:pPr>
              <w:overflowPunct/>
              <w:autoSpaceDE/>
              <w:autoSpaceDN/>
              <w:adjustRightInd/>
              <w:ind w:firstLineChars="100" w:firstLine="201"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 xml:space="preserve">Růst vývozů (%)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73F9B2E3" w14:textId="31A03E66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5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D50AA9F" w14:textId="26A89AC6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6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AAE6EDA" w14:textId="7ED8C700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5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5</w:t>
            </w:r>
          </w:p>
        </w:tc>
      </w:tr>
      <w:tr w:rsidR="00151610" w:rsidRPr="00151610" w14:paraId="14F40AF6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1854BBE2" w14:textId="77777777" w:rsidR="00151610" w:rsidRPr="00151610" w:rsidRDefault="00151610" w:rsidP="00151610">
            <w:pPr>
              <w:overflowPunct/>
              <w:autoSpaceDE/>
              <w:autoSpaceDN/>
              <w:adjustRightInd/>
              <w:ind w:firstLineChars="100" w:firstLine="201"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Růst dovozů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05B89796" w14:textId="77DEA7CA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10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59C033D" w14:textId="7FBF4A71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4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D34FDA9" w14:textId="24D30A76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4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3</w:t>
            </w:r>
          </w:p>
        </w:tc>
      </w:tr>
      <w:tr w:rsidR="00151610" w:rsidRPr="00151610" w14:paraId="71BEC3D6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715530EE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Míra inflace: CPI (%) průměr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C430D70" w14:textId="282E79D6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13576B"/>
                <w:sz w:val="20"/>
              </w:rPr>
            </w:pP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3</w:t>
            </w:r>
            <w:r w:rsidR="005B1718">
              <w:rPr>
                <w:rFonts w:ascii="Calibri Light" w:hAnsi="Calibri Light" w:cs="Calibri Light"/>
                <w:color w:val="13576B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367645E" w14:textId="478A6CEA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7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0824C88" w14:textId="0923CB5D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2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5</w:t>
            </w:r>
          </w:p>
        </w:tc>
      </w:tr>
      <w:tr w:rsidR="00151610" w:rsidRPr="00151610" w14:paraId="60C41DC3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3E6BDF0E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Míra inflace: CPI (%) konec roku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B58EEBB" w14:textId="751AEB17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13576B"/>
                <w:sz w:val="20"/>
              </w:rPr>
            </w:pP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6</w:t>
            </w:r>
            <w:r w:rsidR="005B1718">
              <w:rPr>
                <w:rFonts w:ascii="Calibri Light" w:hAnsi="Calibri Light" w:cs="Calibri Light"/>
                <w:color w:val="13576B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DCB6330" w14:textId="04C66E03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5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EA8E773" w14:textId="33535B11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2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2</w:t>
            </w:r>
          </w:p>
        </w:tc>
      </w:tr>
      <w:tr w:rsidR="00151610" w:rsidRPr="00151610" w14:paraId="700C39E2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5EB6ACC3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Podíl nezaměstnaných osob (MPSV): průměr (%)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210E9666" w14:textId="70127E2C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13576B"/>
                <w:sz w:val="20"/>
              </w:rPr>
            </w:pP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3</w:t>
            </w:r>
            <w:r w:rsidR="005B1718">
              <w:rPr>
                <w:rFonts w:ascii="Calibri Light" w:hAnsi="Calibri Light" w:cs="Calibri Light"/>
                <w:color w:val="13576B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7AC8D90" w14:textId="7EC6665B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3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1BFA43B" w14:textId="0249E8DA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3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1</w:t>
            </w:r>
          </w:p>
        </w:tc>
      </w:tr>
      <w:tr w:rsidR="00151610" w:rsidRPr="00151610" w14:paraId="0112252E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201573C3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Průměrná nominální mzda (růst v 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7206BF9A" w14:textId="28FF1C04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6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07F166E4" w14:textId="588A62FD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6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304FAB0" w14:textId="5384954D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5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0</w:t>
            </w:r>
          </w:p>
        </w:tc>
      </w:tr>
      <w:tr w:rsidR="00151610" w:rsidRPr="00151610" w14:paraId="229C17B3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30291720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Průměrná reálná mzda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368F00F" w14:textId="306401CA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2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BCE2EBA" w14:textId="711A39B5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-1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0FE36B67" w14:textId="1A7E359F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2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5</w:t>
            </w:r>
          </w:p>
        </w:tc>
      </w:tr>
      <w:tr w:rsidR="00151610" w:rsidRPr="00151610" w14:paraId="3414CFBB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5945FA3A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Vládní deficit/přebytek (% HDP)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C9D78DB" w14:textId="69473633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-6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0325813" w14:textId="05C828A1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-4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669CE1B" w14:textId="1734DD2A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-3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1</w:t>
            </w:r>
          </w:p>
        </w:tc>
      </w:tr>
      <w:tr w:rsidR="00151610" w:rsidRPr="00151610" w14:paraId="4A3DA0AF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1D71FE52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 xml:space="preserve">Vládní dluh (% HDP)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9364AE9" w14:textId="654B4A85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42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72E48C2E" w14:textId="2902BFD7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42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4E2C21D" w14:textId="64BA4B2C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43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1</w:t>
            </w:r>
          </w:p>
        </w:tc>
      </w:tr>
      <w:tr w:rsidR="00151610" w:rsidRPr="00151610" w14:paraId="4DFA4479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394A44B9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 xml:space="preserve">Základní sazba ČNB </w:t>
            </w:r>
            <w:proofErr w:type="gramStart"/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2T</w:t>
            </w:r>
            <w:proofErr w:type="gramEnd"/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 xml:space="preserve"> REPO (%): konec období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713B3D4D" w14:textId="6C15F8C0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13576B"/>
                <w:sz w:val="20"/>
              </w:rPr>
            </w:pP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3</w:t>
            </w:r>
            <w:r w:rsidR="005B1718">
              <w:rPr>
                <w:rFonts w:ascii="Calibri Light" w:hAnsi="Calibri Light" w:cs="Calibri Light"/>
                <w:color w:val="13576B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08ABB9D9" w14:textId="44E065D8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4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F056B83" w14:textId="4900FF9B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3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25</w:t>
            </w:r>
          </w:p>
        </w:tc>
      </w:tr>
      <w:tr w:rsidR="00151610" w:rsidRPr="00151610" w14:paraId="7043E140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1521C587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3M-PRIBOR (%): průměr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BA39147" w14:textId="21FA356D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13576B"/>
                <w:sz w:val="20"/>
              </w:rPr>
            </w:pP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1</w:t>
            </w:r>
            <w:r w:rsidR="005B1718">
              <w:rPr>
                <w:rFonts w:ascii="Calibri Light" w:hAnsi="Calibri Light" w:cs="Calibri Light"/>
                <w:color w:val="13576B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5D092456" w14:textId="38386D89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4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2C3E563" w14:textId="0BA1B6A4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3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78</w:t>
            </w:r>
          </w:p>
        </w:tc>
      </w:tr>
      <w:tr w:rsidR="00151610" w:rsidRPr="00151610" w14:paraId="5FFD36EA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77254FBB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Základní sazba ECB (%): konec období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D709FF5" w14:textId="4D2F3624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13576B"/>
                <w:sz w:val="20"/>
              </w:rPr>
            </w:pP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0</w:t>
            </w:r>
            <w:r w:rsidR="005B1718">
              <w:rPr>
                <w:rFonts w:ascii="Calibri Light" w:hAnsi="Calibri Light" w:cs="Calibri Light"/>
                <w:color w:val="13576B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4B570EB" w14:textId="64643B82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0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0FB9A50A" w14:textId="1BBE7A0E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0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38</w:t>
            </w:r>
          </w:p>
        </w:tc>
      </w:tr>
      <w:tr w:rsidR="00151610" w:rsidRPr="00151610" w14:paraId="44868C71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10309763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Kurz CZK/EUR: průměr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32C656A" w14:textId="33AA7079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13576B"/>
                <w:sz w:val="20"/>
              </w:rPr>
            </w:pP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25</w:t>
            </w:r>
            <w:r w:rsidR="005B1718">
              <w:rPr>
                <w:rFonts w:ascii="Calibri Light" w:hAnsi="Calibri Light" w:cs="Calibri Light"/>
                <w:color w:val="13576B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6</w:t>
            </w:r>
            <w:r w:rsidR="008454CD">
              <w:rPr>
                <w:rFonts w:ascii="Calibri Light" w:hAnsi="Calibri Light" w:cs="Calibri Light"/>
                <w:color w:val="13576B"/>
                <w:sz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93B730B" w14:textId="07409E6B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24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08B9372E" w14:textId="34ED5FF9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24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,20</w:t>
            </w:r>
          </w:p>
        </w:tc>
      </w:tr>
      <w:tr w:rsidR="00151610" w:rsidRPr="00151610" w14:paraId="56FF3C9F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78C6B5BF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Kurz CZK/EUR: konec roku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7A375366" w14:textId="6BBB41C9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13576B"/>
                <w:sz w:val="20"/>
              </w:rPr>
            </w:pP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24</w:t>
            </w:r>
            <w:r w:rsidR="005B1718">
              <w:rPr>
                <w:rFonts w:ascii="Calibri Light" w:hAnsi="Calibri Light" w:cs="Calibri Light"/>
                <w:color w:val="13576B"/>
                <w:sz w:val="20"/>
              </w:rPr>
              <w:t>,</w:t>
            </w:r>
            <w:r w:rsidR="008454CD">
              <w:rPr>
                <w:rFonts w:ascii="Calibri Light" w:hAnsi="Calibri Light" w:cs="Calibri Light"/>
                <w:color w:val="13576B"/>
                <w:sz w:val="20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787695D" w14:textId="68A3C1FB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24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60E1F19F" w14:textId="09895FEC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24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05</w:t>
            </w:r>
          </w:p>
        </w:tc>
      </w:tr>
      <w:tr w:rsidR="00151610" w:rsidRPr="00151610" w14:paraId="68263BEB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18C59421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Růst reálného HDP v eurozóně (%)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ED06CD5" w14:textId="65D93B41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5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CEC2615" w14:textId="2D453A80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4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A7DD377" w14:textId="20423982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2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5</w:t>
            </w:r>
          </w:p>
        </w:tc>
      </w:tr>
      <w:tr w:rsidR="00151610" w:rsidRPr="00151610" w14:paraId="4EE1A552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1DD58F59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Ceny ropy (USD za barel): brent průměr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24E90F2B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13576B"/>
                <w:sz w:val="20"/>
              </w:rPr>
            </w:pP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1BF7A330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063C359E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77</w:t>
            </w:r>
          </w:p>
        </w:tc>
      </w:tr>
      <w:tr w:rsidR="00151610" w:rsidRPr="00151610" w14:paraId="7FBF5713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41901A19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Růst bankovních úvěrů klientských (%)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0460CB8" w14:textId="7FED91F3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13576B"/>
                <w:sz w:val="20"/>
              </w:rPr>
            </w:pP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5</w:t>
            </w:r>
            <w:r w:rsidR="005B1718">
              <w:rPr>
                <w:rFonts w:ascii="Calibri Light" w:hAnsi="Calibri Light" w:cs="Calibri Light"/>
                <w:color w:val="13576B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A62CE4E" w14:textId="568AD99E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6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B91498C" w14:textId="437295BB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5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4</w:t>
            </w:r>
          </w:p>
        </w:tc>
      </w:tr>
      <w:tr w:rsidR="00151610" w:rsidRPr="00151610" w14:paraId="2F5C9E33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6A7C5E39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Růst bankovních úvěrů domácnostem (%)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037A752" w14:textId="442385EF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13576B"/>
                <w:sz w:val="20"/>
              </w:rPr>
            </w:pP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8</w:t>
            </w:r>
            <w:r w:rsidR="005B1718">
              <w:rPr>
                <w:rFonts w:ascii="Calibri Light" w:hAnsi="Calibri Light" w:cs="Calibri Light"/>
                <w:color w:val="13576B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21ABCDF" w14:textId="2B0A4493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7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46CC86CF" w14:textId="3E76E830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5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6</w:t>
            </w:r>
          </w:p>
        </w:tc>
      </w:tr>
      <w:tr w:rsidR="00151610" w:rsidRPr="00151610" w14:paraId="57E698B5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0F2DCCB1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Růst bankovních úvěrů (nefinančním) podnikům (%)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B1264AF" w14:textId="5854F493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13576B"/>
                <w:sz w:val="20"/>
              </w:rPr>
            </w:pP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0</w:t>
            </w:r>
            <w:r w:rsidR="005B1718">
              <w:rPr>
                <w:rFonts w:ascii="Calibri Light" w:hAnsi="Calibri Light" w:cs="Calibri Light"/>
                <w:color w:val="13576B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3BAD8B3B" w14:textId="4583503A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4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0BC32171" w14:textId="5A3B733B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4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8</w:t>
            </w:r>
          </w:p>
        </w:tc>
      </w:tr>
      <w:tr w:rsidR="00151610" w:rsidRPr="00151610" w14:paraId="136D0081" w14:textId="77777777" w:rsidTr="00151610">
        <w:trPr>
          <w:trHeight w:val="270"/>
        </w:trPr>
        <w:tc>
          <w:tcPr>
            <w:tcW w:w="51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3576B"/>
            <w:vAlign w:val="center"/>
            <w:hideMark/>
          </w:tcPr>
          <w:p w14:paraId="447D3B7C" w14:textId="77777777" w:rsidR="00151610" w:rsidRPr="00151610" w:rsidRDefault="00151610" w:rsidP="0015161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</w:pPr>
            <w:r w:rsidRPr="00151610">
              <w:rPr>
                <w:rFonts w:ascii="Calibri Light" w:hAnsi="Calibri Light" w:cs="Calibri Light"/>
                <w:b/>
                <w:bCs/>
                <w:color w:val="FFFFFF"/>
                <w:sz w:val="20"/>
              </w:rPr>
              <w:t>Růst bankovních vkladů klientských celkem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35FD4D3" w14:textId="343A6272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13576B"/>
                <w:sz w:val="20"/>
              </w:rPr>
            </w:pP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8</w:t>
            </w:r>
            <w:r w:rsidR="005B1718">
              <w:rPr>
                <w:rFonts w:ascii="Calibri Light" w:hAnsi="Calibri Light" w:cs="Calibri Light"/>
                <w:color w:val="13576B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13576B"/>
                <w:sz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E744EC9" w14:textId="21538C45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6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14:paraId="2EFF4E56" w14:textId="2CD41E71" w:rsidR="00151610" w:rsidRPr="00151610" w:rsidRDefault="00151610" w:rsidP="00151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FF0000"/>
                <w:sz w:val="20"/>
              </w:rPr>
            </w:pP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5</w:t>
            </w:r>
            <w:r w:rsidR="005B1718">
              <w:rPr>
                <w:rFonts w:ascii="Calibri Light" w:hAnsi="Calibri Light" w:cs="Calibri Light"/>
                <w:color w:val="FF0000"/>
                <w:sz w:val="20"/>
              </w:rPr>
              <w:t>,</w:t>
            </w:r>
            <w:r w:rsidRPr="00151610">
              <w:rPr>
                <w:rFonts w:ascii="Calibri Light" w:hAnsi="Calibri Light" w:cs="Calibri Light"/>
                <w:color w:val="FF0000"/>
                <w:sz w:val="20"/>
              </w:rPr>
              <w:t>6</w:t>
            </w:r>
          </w:p>
        </w:tc>
      </w:tr>
    </w:tbl>
    <w:p w14:paraId="10A71CAA" w14:textId="512CA3A1" w:rsidR="00C93158" w:rsidRPr="00F37DC9" w:rsidRDefault="00C93158" w:rsidP="00B4285D">
      <w:pPr>
        <w:rPr>
          <w:rFonts w:ascii="Calibri" w:hAnsi="Calibri" w:cs="Calibri"/>
          <w:sz w:val="20"/>
          <w:szCs w:val="18"/>
        </w:rPr>
      </w:pPr>
    </w:p>
    <w:p w14:paraId="7561C03E" w14:textId="59DCA31F" w:rsidR="00F37DC9" w:rsidRDefault="003161ED" w:rsidP="00B4285D">
      <w:pPr>
        <w:rPr>
          <w:rFonts w:ascii="Calibri" w:eastAsiaTheme="minorEastAsia" w:hAnsi="Calibri" w:cs="Calibri"/>
        </w:rPr>
      </w:pPr>
      <w:r w:rsidRPr="00C9674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 wp14:anchorId="3801A402" wp14:editId="006ACE4F">
                <wp:simplePos x="0" y="0"/>
                <wp:positionH relativeFrom="margin">
                  <wp:align>right</wp:align>
                </wp:positionH>
                <wp:positionV relativeFrom="paragraph">
                  <wp:posOffset>13005</wp:posOffset>
                </wp:positionV>
                <wp:extent cx="6476365" cy="1089660"/>
                <wp:effectExtent l="0" t="0" r="635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1089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13D1E" w14:textId="77777777" w:rsidR="00F37DC9" w:rsidRPr="00F37DC9" w:rsidRDefault="00F37DC9" w:rsidP="00F37DC9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  <w:t xml:space="preserve">O prognóze ČBA </w:t>
                            </w:r>
                          </w:p>
                          <w:p w14:paraId="04BF716D" w14:textId="77777777" w:rsidR="00EE7B05" w:rsidRPr="00F37DC9" w:rsidRDefault="00EE7B05" w:rsidP="00EE7B05">
                            <w:pPr>
                              <w:spacing w:line="276" w:lineRule="auto"/>
                              <w:ind w:left="28" w:hanging="28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Tato prognóza vznikla na základě 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příspěvků analytiků 8 členských bank ČBA: Petr Dufek (ekonomický analytik ČSOB),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Petr Gapko (hlavní ekonom M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ONETA 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oney 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ank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,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Helena Horská (hlavní ekonomka 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R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aiffeisenbank), Michal Skořepa (makroekonomický analytik Č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eské spořitelny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,</w:t>
                            </w:r>
                            <w:r w:rsidRPr="002B793C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Petr Sklenář (hlavní ekonom J&amp;T Bank)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, Pavel Sobíšek (hlavní ekonom, UniCredit Bank), 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Jaromír Šindel (hlavní </w:t>
                            </w:r>
                            <w:r w:rsidRPr="00201191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ekonom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Citibank),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Jan Vejmělek (hlavní ekonom K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omerční banky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.</w:t>
                            </w:r>
                            <w:r w:rsidRPr="00272A8E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Za ČBA se na tvorbě</w:t>
                            </w: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prognózy podíl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eli</w:t>
                            </w: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Jakub Seidler a </w:t>
                            </w: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Miroslav Zámečník.</w:t>
                            </w:r>
                          </w:p>
                          <w:p w14:paraId="77C1A42D" w14:textId="77777777" w:rsidR="00F37DC9" w:rsidRPr="00A55BDD" w:rsidRDefault="00F37DC9" w:rsidP="00F37DC9">
                            <w:pPr>
                              <w:spacing w:line="276" w:lineRule="auto"/>
                              <w:ind w:left="28" w:hanging="28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1A402" id="Obdélník 4" o:spid="_x0000_s1029" style="position:absolute;left:0;text-align:left;margin-left:458.75pt;margin-top:1pt;width:509.95pt;height:85.8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" fillcolor="#bfbfbf [2412]" stroked="f" strokeweight="1pt">
                <v:textbox inset="3mm,3mm,3mm,3mm">
                  <w:txbxContent>
                    <w:p w14:paraId="7E313D1E" w14:textId="77777777" w:rsidR="00F37DC9" w:rsidRPr="00F37DC9" w:rsidRDefault="00F37DC9" w:rsidP="00F37DC9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  <w:t xml:space="preserve">O prognóze ČBA </w:t>
                      </w:r>
                    </w:p>
                    <w:p w14:paraId="04BF716D" w14:textId="77777777" w:rsidR="00EE7B05" w:rsidRPr="00F37DC9" w:rsidRDefault="00EE7B05" w:rsidP="00EE7B05">
                      <w:pPr>
                        <w:spacing w:line="276" w:lineRule="auto"/>
                        <w:ind w:left="28" w:hanging="28"/>
                        <w:rPr>
                          <w:rFonts w:ascii="Calibri" w:hAnsi="Calibri" w:cs="Calibri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 xml:space="preserve">Tato prognóza vznikla na základě 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>příspěvků analytiků 8 členských bank ČBA: Petr Dufek (ekonomický analytik ČSOB),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 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>Petr Gapko (hlavní ekonom M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ONETA 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oney 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>B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ank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,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 xml:space="preserve"> Helena Horská (hlavní ekonomka 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R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>aiffeisenbank), Michal Skořepa (makroekonomický analytik Č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eské spořitelny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,</w:t>
                      </w:r>
                      <w:r w:rsidRPr="002B793C">
                        <w:rPr>
                          <w:rFonts w:ascii="Calibri" w:hAnsi="Calibri" w:cs="Calibri"/>
                          <w:szCs w:val="18"/>
                        </w:rPr>
                        <w:t xml:space="preserve"> 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>Petr Sklenář (hlavní ekonom J&amp;T Bank)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, Pavel Sobíšek (hlavní ekonom, UniCredit Bank), 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 xml:space="preserve">Jaromír Šindel (hlavní </w:t>
                      </w:r>
                      <w:r w:rsidRPr="00201191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ekonom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 xml:space="preserve"> Citibank),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 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>Jan Vejmělek (hlavní ekonom K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omerční banky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.</w:t>
                      </w:r>
                      <w:r w:rsidRPr="00272A8E">
                        <w:rPr>
                          <w:rFonts w:ascii="Calibri" w:hAnsi="Calibri" w:cs="Calibri"/>
                          <w:szCs w:val="18"/>
                        </w:rPr>
                        <w:t xml:space="preserve"> Za ČBA se na tvorbě</w:t>
                      </w: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 xml:space="preserve"> prognózy podíl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eli</w:t>
                      </w: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Jakub Seidler a </w:t>
                      </w: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>Miroslav Zámečník.</w:t>
                      </w:r>
                    </w:p>
                    <w:p w14:paraId="77C1A42D" w14:textId="77777777" w:rsidR="00F37DC9" w:rsidRPr="00A55BDD" w:rsidRDefault="00F37DC9" w:rsidP="00F37DC9">
                      <w:pPr>
                        <w:spacing w:line="276" w:lineRule="auto"/>
                        <w:ind w:left="28" w:hanging="28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65D62" w:rsidRPr="00F37DC9">
        <w:rPr>
          <w:rFonts w:ascii="Calibri" w:eastAsiaTheme="minorEastAsia" w:hAnsi="Calibri" w:cs="Calibri"/>
        </w:rPr>
        <w:tab/>
      </w:r>
    </w:p>
    <w:p w14:paraId="3A7CD80F" w14:textId="62799781" w:rsidR="001642C0" w:rsidRDefault="001642C0" w:rsidP="00B4285D">
      <w:pPr>
        <w:rPr>
          <w:rFonts w:ascii="Calibri" w:eastAsiaTheme="minorEastAsia" w:hAnsi="Calibri" w:cs="Calibri"/>
        </w:rPr>
      </w:pPr>
    </w:p>
    <w:p w14:paraId="6DB62AD1" w14:textId="5086AED3" w:rsidR="001642C0" w:rsidRDefault="001642C0" w:rsidP="00B4285D">
      <w:pPr>
        <w:rPr>
          <w:rFonts w:ascii="Calibri" w:eastAsiaTheme="minorEastAsia" w:hAnsi="Calibri" w:cs="Calibri"/>
        </w:rPr>
      </w:pPr>
    </w:p>
    <w:p w14:paraId="52E6141C" w14:textId="16E75886" w:rsidR="00F37DC9" w:rsidRDefault="00F37DC9" w:rsidP="00B4285D">
      <w:pPr>
        <w:rPr>
          <w:rFonts w:ascii="Calibri" w:eastAsiaTheme="minorEastAsia" w:hAnsi="Calibri" w:cs="Calibri"/>
        </w:rPr>
      </w:pPr>
    </w:p>
    <w:p w14:paraId="59DD5F85" w14:textId="14AD5D2F" w:rsidR="00F37DC9" w:rsidRDefault="00F37DC9" w:rsidP="00B4285D">
      <w:pPr>
        <w:rPr>
          <w:rFonts w:ascii="Calibri" w:eastAsiaTheme="minorEastAsia" w:hAnsi="Calibri" w:cs="Calibri"/>
        </w:rPr>
      </w:pPr>
    </w:p>
    <w:p w14:paraId="333F07F6" w14:textId="217C26C9" w:rsidR="00F37DC9" w:rsidRDefault="00F37DC9" w:rsidP="00B4285D">
      <w:pPr>
        <w:rPr>
          <w:rFonts w:ascii="Calibri" w:eastAsiaTheme="minorEastAsia" w:hAnsi="Calibri" w:cs="Calibri"/>
        </w:rPr>
      </w:pPr>
    </w:p>
    <w:p w14:paraId="5ACD7EBC" w14:textId="267566DC" w:rsidR="00F37DC9" w:rsidRDefault="00F37DC9" w:rsidP="00272A8E">
      <w:pPr>
        <w:tabs>
          <w:tab w:val="left" w:pos="2532"/>
        </w:tabs>
        <w:rPr>
          <w:rFonts w:ascii="Calibri" w:eastAsiaTheme="minorEastAsia" w:hAnsi="Calibri" w:cs="Calibri"/>
        </w:rPr>
      </w:pPr>
    </w:p>
    <w:p w14:paraId="5A7B51B7" w14:textId="5EE8DE77" w:rsidR="00F37DC9" w:rsidRDefault="00F37DC9" w:rsidP="00B4285D">
      <w:pPr>
        <w:rPr>
          <w:rFonts w:ascii="Calibri" w:eastAsiaTheme="minorEastAsia" w:hAnsi="Calibri" w:cs="Calibri"/>
        </w:rPr>
      </w:pPr>
    </w:p>
    <w:p w14:paraId="77090A9B" w14:textId="77777777" w:rsidR="00F37DC9" w:rsidRDefault="00F37DC9" w:rsidP="00B4285D">
      <w:pPr>
        <w:rPr>
          <w:rFonts w:ascii="Calibri" w:eastAsiaTheme="minorEastAsia" w:hAnsi="Calibri" w:cs="Calibri"/>
        </w:rPr>
      </w:pPr>
    </w:p>
    <w:p w14:paraId="1AE6FC8E" w14:textId="73FD6684" w:rsidR="005C1943" w:rsidRPr="00F37DC9" w:rsidRDefault="00F37DC9" w:rsidP="00B4285D">
      <w:pPr>
        <w:rPr>
          <w:rFonts w:ascii="Calibri" w:eastAsiaTheme="minorEastAsia" w:hAnsi="Calibri" w:cs="Calibri"/>
        </w:rPr>
      </w:pPr>
      <w:r w:rsidRPr="00F37DC9">
        <w:rPr>
          <w:rFonts w:ascii="Calibri" w:eastAsiaTheme="minorEastAsia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A5361" wp14:editId="5BD7F50B">
                <wp:simplePos x="0" y="0"/>
                <wp:positionH relativeFrom="margin">
                  <wp:posOffset>4288790</wp:posOffset>
                </wp:positionH>
                <wp:positionV relativeFrom="paragraph">
                  <wp:posOffset>364490</wp:posOffset>
                </wp:positionV>
                <wp:extent cx="2181225" cy="1637665"/>
                <wp:effectExtent l="0" t="0" r="9525" b="635"/>
                <wp:wrapSquare wrapText="bothSides"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637665"/>
                        </a:xfrm>
                        <a:prstGeom prst="rect">
                          <a:avLst/>
                        </a:prstGeom>
                        <a:solidFill>
                          <a:srgbClr val="1357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9C4B5" w14:textId="77777777" w:rsidR="00EE7B05" w:rsidRPr="00F37DC9" w:rsidRDefault="00EE7B05" w:rsidP="00EE7B05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0C8C1B04" w14:textId="77777777" w:rsidR="00EE7B05" w:rsidRPr="00F37DC9" w:rsidRDefault="00EE7B05" w:rsidP="00EE7B05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75F511F6" w14:textId="77777777" w:rsidR="00EE7B05" w:rsidRPr="00F37DC9" w:rsidRDefault="00EE7B05" w:rsidP="00EE7B0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</w:pPr>
                          </w:p>
                          <w:p w14:paraId="55BEFC55" w14:textId="77777777" w:rsidR="00EE7B05" w:rsidRPr="00F37DC9" w:rsidRDefault="00EE7B05" w:rsidP="00EE7B0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Cs w:val="18"/>
                              </w:rPr>
                              <w:t xml:space="preserve">Radek Šalša </w:t>
                            </w:r>
                          </w:p>
                          <w:p w14:paraId="1AE32D5C" w14:textId="77777777" w:rsidR="00EE7B05" w:rsidRPr="00F37DC9" w:rsidRDefault="00EE7B05" w:rsidP="00EE7B0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PR a komunikace ČBA</w:t>
                            </w:r>
                          </w:p>
                          <w:p w14:paraId="184FEC27" w14:textId="77777777" w:rsidR="00EE7B05" w:rsidRPr="00F37DC9" w:rsidRDefault="00EE7B05" w:rsidP="00EE7B0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radek.salsa</w:t>
                            </w: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@cbaonline.cz</w:t>
                            </w:r>
                          </w:p>
                          <w:p w14:paraId="4D2363D1" w14:textId="77777777" w:rsidR="00EE7B05" w:rsidRDefault="00EE7B05" w:rsidP="00EE7B05">
                            <w:pPr>
                              <w:spacing w:line="276" w:lineRule="auto"/>
                              <w:jc w:val="left"/>
                            </w:pP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tel: + 420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 731 494 128</w:t>
                            </w:r>
                          </w:p>
                          <w:p w14:paraId="0808B31F" w14:textId="77777777" w:rsidR="00536B9B" w:rsidRDefault="00536B9B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5361" id="Obdélník 200" o:spid="_x0000_s1030" style="position:absolute;left:0;text-align:left;margin-left:337.7pt;margin-top:28.7pt;width:171.75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" fillcolor="#13576b" stroked="f" strokeweight="1pt">
                <v:textbox inset="3mm,3mm,3mm,3mm">
                  <w:txbxContent>
                    <w:p w14:paraId="39C9C4B5" w14:textId="77777777" w:rsidR="00EE7B05" w:rsidRPr="00F37DC9" w:rsidRDefault="00EE7B05" w:rsidP="00EE7B05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0C8C1B04" w14:textId="77777777" w:rsidR="00EE7B05" w:rsidRPr="00F37DC9" w:rsidRDefault="00EE7B05" w:rsidP="00EE7B05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  <w:t>obdržíte na adrese:</w:t>
                      </w:r>
                    </w:p>
                    <w:p w14:paraId="75F511F6" w14:textId="77777777" w:rsidR="00EE7B05" w:rsidRPr="00F37DC9" w:rsidRDefault="00EE7B05" w:rsidP="00EE7B0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Cs w:val="18"/>
                        </w:rPr>
                      </w:pPr>
                    </w:p>
                    <w:p w14:paraId="55BEFC55" w14:textId="77777777" w:rsidR="00EE7B05" w:rsidRPr="00F37DC9" w:rsidRDefault="00EE7B05" w:rsidP="00EE7B0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Cs w:val="18"/>
                        </w:rPr>
                        <w:t xml:space="preserve">Radek Šalša </w:t>
                      </w:r>
                    </w:p>
                    <w:p w14:paraId="1AE32D5C" w14:textId="77777777" w:rsidR="00EE7B05" w:rsidRPr="00F37DC9" w:rsidRDefault="00EE7B05" w:rsidP="00EE7B0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>PR a komunikace ČBA</w:t>
                      </w:r>
                    </w:p>
                    <w:p w14:paraId="184FEC27" w14:textId="77777777" w:rsidR="00EE7B05" w:rsidRPr="00F37DC9" w:rsidRDefault="00EE7B05" w:rsidP="00EE7B0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Cs w:val="18"/>
                        </w:rPr>
                        <w:t>radek.salsa</w:t>
                      </w: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>@cbaonline.cz</w:t>
                      </w:r>
                    </w:p>
                    <w:p w14:paraId="4D2363D1" w14:textId="77777777" w:rsidR="00EE7B05" w:rsidRDefault="00EE7B05" w:rsidP="00EE7B05">
                      <w:pPr>
                        <w:spacing w:line="276" w:lineRule="auto"/>
                        <w:jc w:val="left"/>
                      </w:pP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>tel: + 420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 731 494 128</w:t>
                      </w:r>
                    </w:p>
                    <w:p w14:paraId="0808B31F" w14:textId="77777777" w:rsidR="00536B9B" w:rsidRDefault="00536B9B" w:rsidP="00044002">
                      <w:pPr>
                        <w:jc w:val="left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F37DC9">
        <w:rPr>
          <w:rFonts w:ascii="Calibri" w:eastAsiaTheme="minorEastAsia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89396" wp14:editId="036F4AF4">
                <wp:simplePos x="0" y="0"/>
                <wp:positionH relativeFrom="margin">
                  <wp:posOffset>0</wp:posOffset>
                </wp:positionH>
                <wp:positionV relativeFrom="paragraph">
                  <wp:posOffset>364490</wp:posOffset>
                </wp:positionV>
                <wp:extent cx="4229100" cy="1637665"/>
                <wp:effectExtent l="0" t="0" r="0" b="635"/>
                <wp:wrapSquare wrapText="bothSides"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637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E64AF" w14:textId="77777777" w:rsidR="00EE7B05" w:rsidRPr="00F37DC9" w:rsidRDefault="00EE7B05" w:rsidP="00EE7B05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  <w:t>O České bankovní asociaci</w:t>
                            </w:r>
                          </w:p>
                          <w:p w14:paraId="0989858A" w14:textId="77777777" w:rsidR="00EE7B05" w:rsidRPr="00F37DC9" w:rsidRDefault="00EE7B05" w:rsidP="00EE7B05">
                            <w:pPr>
                              <w:pStyle w:val="Standard"/>
                              <w:spacing w:line="276" w:lineRule="auto"/>
                              <w:ind w:left="28" w:hanging="28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37 členů. Rolí asociace je především zastupovat a prosazovat společné zájmy členů, prezentovat roli a zájmy bankovnictví vůči veřejnosti, podílet se na standardizaci postupů v</w:t>
                            </w:r>
                            <w:r w:rsidRPr="00F37DC9">
                              <w:rPr>
                                <w:rFonts w:ascii="Calibri" w:hAnsi="Calibri" w:cs="Calibri"/>
                                <w:i/>
                                <w:sz w:val="20"/>
                              </w:rPr>
                              <w:t> </w:t>
                            </w: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a EMMI</w:t>
                            </w: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.</w:t>
                            </w:r>
                          </w:p>
                          <w:p w14:paraId="51BDEFCD" w14:textId="3BB645BE" w:rsidR="00536B9B" w:rsidRPr="00F37DC9" w:rsidRDefault="00536B9B" w:rsidP="00044002">
                            <w:pPr>
                              <w:pStyle w:val="Standard"/>
                              <w:spacing w:line="276" w:lineRule="auto"/>
                              <w:ind w:left="28" w:hanging="28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9396" id="Obdélník 199" o:spid="_x0000_s1031" style="position:absolute;left:0;text-align:left;margin-left:0;margin-top:28.7pt;width:333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" fillcolor="#bfbfbf [2412]" stroked="f" strokeweight="1pt">
                <v:textbox inset="3mm,3mm,3mm,3mm">
                  <w:txbxContent>
                    <w:p w14:paraId="5A9E64AF" w14:textId="77777777" w:rsidR="00EE7B05" w:rsidRPr="00F37DC9" w:rsidRDefault="00EE7B05" w:rsidP="00EE7B05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  <w:t>O České bankovní asociaci</w:t>
                      </w:r>
                    </w:p>
                    <w:p w14:paraId="0989858A" w14:textId="77777777" w:rsidR="00EE7B05" w:rsidRPr="00F37DC9" w:rsidRDefault="00EE7B05" w:rsidP="00EE7B05">
                      <w:pPr>
                        <w:pStyle w:val="Standard"/>
                        <w:spacing w:line="276" w:lineRule="auto"/>
                        <w:ind w:left="28" w:hanging="28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37 členů. Rolí asociace je především zastupovat a prosazovat společné zájmy členů, prezentovat roli a zájmy bankovnictví vůči veřejnosti, podílet se na standardizaci postupů v</w:t>
                      </w:r>
                      <w:r w:rsidRPr="00F37DC9">
                        <w:rPr>
                          <w:rFonts w:ascii="Calibri" w:hAnsi="Calibri" w:cs="Calibri"/>
                          <w:i/>
                          <w:sz w:val="20"/>
                        </w:rPr>
                        <w:t> </w:t>
                      </w: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 a EMMI</w:t>
                      </w: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>.</w:t>
                      </w:r>
                    </w:p>
                    <w:p w14:paraId="51BDEFCD" w14:textId="3BB645BE" w:rsidR="00536B9B" w:rsidRPr="00F37DC9" w:rsidRDefault="00536B9B" w:rsidP="00044002">
                      <w:pPr>
                        <w:pStyle w:val="Standard"/>
                        <w:spacing w:line="276" w:lineRule="auto"/>
                        <w:ind w:left="28" w:hanging="28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5C1943" w:rsidRPr="00F37DC9" w:rsidSect="00EB6C50">
      <w:headerReference w:type="default" r:id="rId8"/>
      <w:footerReference w:type="default" r:id="rId9"/>
      <w:pgSz w:w="11906" w:h="16838"/>
      <w:pgMar w:top="2552" w:right="851" w:bottom="1418" w:left="85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3ED2" w14:textId="77777777" w:rsidR="00E92715" w:rsidRDefault="00E92715" w:rsidP="00F573F1">
      <w:r>
        <w:separator/>
      </w:r>
    </w:p>
  </w:endnote>
  <w:endnote w:type="continuationSeparator" w:id="0">
    <w:p w14:paraId="216D8424" w14:textId="77777777" w:rsidR="00E92715" w:rsidRDefault="00E92715" w:rsidP="00F573F1">
      <w:r>
        <w:continuationSeparator/>
      </w:r>
    </w:p>
  </w:endnote>
  <w:endnote w:type="continuationNotice" w:id="1">
    <w:p w14:paraId="39392CC8" w14:textId="77777777" w:rsidR="00E92715" w:rsidRDefault="00E92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Cs w:val="18"/>
      </w:rPr>
      <w:id w:val="114994418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54F1F5" w14:textId="19327CD8" w:rsidR="00F37DC9" w:rsidRPr="00F37DC9" w:rsidRDefault="00F37DC9">
            <w:pPr>
              <w:pStyle w:val="Zpat"/>
              <w:jc w:val="right"/>
              <w:rPr>
                <w:rFonts w:ascii="Calibri" w:hAnsi="Calibri" w:cs="Calibri"/>
                <w:szCs w:val="18"/>
              </w:rPr>
            </w:pPr>
            <w:r w:rsidRPr="001E31AB">
              <w:rPr>
                <w:rFonts w:ascii="Calibri" w:hAnsi="Calibri"/>
                <w:noProof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40EC3339" wp14:editId="625B1AC4">
                  <wp:simplePos x="0" y="0"/>
                  <wp:positionH relativeFrom="column">
                    <wp:posOffset>-541020</wp:posOffset>
                  </wp:positionH>
                  <wp:positionV relativeFrom="paragraph">
                    <wp:posOffset>-137160</wp:posOffset>
                  </wp:positionV>
                  <wp:extent cx="3042285" cy="701040"/>
                  <wp:effectExtent l="0" t="0" r="5715" b="0"/>
                  <wp:wrapNone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7DC9">
              <w:rPr>
                <w:rFonts w:ascii="Calibri" w:hAnsi="Calibri" w:cs="Calibri"/>
                <w:szCs w:val="18"/>
              </w:rPr>
              <w:t xml:space="preserve">Stránka </w:t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fldChar w:fldCharType="begin"/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instrText>PAGE</w:instrText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t>2</w:t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  <w:r w:rsidRPr="00F37DC9">
              <w:rPr>
                <w:rFonts w:ascii="Calibri" w:hAnsi="Calibri" w:cs="Calibri"/>
                <w:szCs w:val="18"/>
              </w:rPr>
              <w:t xml:space="preserve"> z </w:t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fldChar w:fldCharType="begin"/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instrText>NUMPAGES</w:instrText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t>2</w:t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6B2FBE8E" w14:textId="77777777" w:rsidR="00536B9B" w:rsidRPr="00FB4A1C" w:rsidRDefault="00536B9B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B96D" w14:textId="77777777" w:rsidR="00E92715" w:rsidRDefault="00E92715" w:rsidP="00F573F1">
      <w:r>
        <w:separator/>
      </w:r>
    </w:p>
  </w:footnote>
  <w:footnote w:type="continuationSeparator" w:id="0">
    <w:p w14:paraId="3A19F0A3" w14:textId="77777777" w:rsidR="00E92715" w:rsidRDefault="00E92715" w:rsidP="00F573F1">
      <w:r>
        <w:continuationSeparator/>
      </w:r>
    </w:p>
  </w:footnote>
  <w:footnote w:type="continuationNotice" w:id="1">
    <w:p w14:paraId="5207E468" w14:textId="77777777" w:rsidR="00E92715" w:rsidRDefault="00E927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6A72" w14:textId="2B5E0211" w:rsidR="00F37DC9" w:rsidRDefault="00F37DC9" w:rsidP="00F37DC9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F98975" wp14:editId="270559D0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BA7D056" wp14:editId="7FF03F24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7EE12" w14:textId="508204F7" w:rsidR="00F37DC9" w:rsidRDefault="002B1A4A">
    <w:pPr>
      <w:pStyle w:val="Zhlav"/>
    </w:pPr>
    <w:r w:rsidRPr="00F615BD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5203F4D" wp14:editId="184E3ACD">
              <wp:simplePos x="0" y="0"/>
              <wp:positionH relativeFrom="margin">
                <wp:posOffset>2427102</wp:posOffset>
              </wp:positionH>
              <wp:positionV relativeFrom="paragraph">
                <wp:posOffset>75110</wp:posOffset>
              </wp:positionV>
              <wp:extent cx="1751162" cy="140462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162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1A903D" w14:textId="714A7EEC" w:rsidR="002B1A4A" w:rsidRPr="002B1A4A" w:rsidRDefault="002B1A4A" w:rsidP="002B1A4A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FF0000"/>
                              <w:sz w:val="22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203F4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191.1pt;margin-top:5.9pt;width:137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" filled="f" stroked="f">
              <v:textbox style="mso-fit-shape-to-text:t">
                <w:txbxContent>
                  <w:p w14:paraId="1F1A903D" w14:textId="714A7EEC" w:rsidR="002B1A4A" w:rsidRPr="002B1A4A" w:rsidRDefault="002B1A4A" w:rsidP="002B1A4A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FF0000"/>
                        <w:sz w:val="22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37DC9" w:rsidRPr="00F615BD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CB3763" wp14:editId="0D54C2D8">
              <wp:simplePos x="0" y="0"/>
              <wp:positionH relativeFrom="margin">
                <wp:posOffset>5289974</wp:posOffset>
              </wp:positionH>
              <wp:positionV relativeFrom="paragraph">
                <wp:posOffset>6985</wp:posOffset>
              </wp:positionV>
              <wp:extent cx="1239520" cy="1404620"/>
              <wp:effectExtent l="0" t="0" r="0" b="0"/>
              <wp:wrapNone/>
              <wp:docPr id="20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D1CFE" w14:textId="77777777" w:rsidR="00F37DC9" w:rsidRPr="00F37DC9" w:rsidRDefault="00F37DC9" w:rsidP="00F37DC9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2"/>
                              <w:szCs w:val="24"/>
                            </w:rPr>
                          </w:pPr>
                          <w:r w:rsidRPr="00F37DC9">
                            <w:rPr>
                              <w:rFonts w:ascii="Calibri" w:hAnsi="Calibri" w:cs="Calibri"/>
                              <w:b/>
                              <w:color w:val="13576B"/>
                              <w:sz w:val="22"/>
                              <w:szCs w:val="24"/>
                            </w:rPr>
                            <w:t xml:space="preserve">TISKOVÁ ZPRÁVA </w:t>
                          </w:r>
                        </w:p>
                        <w:p w14:paraId="5CDE064D" w14:textId="01FA9E34" w:rsidR="00F37DC9" w:rsidRPr="00F37DC9" w:rsidRDefault="00F37DC9" w:rsidP="00F37DC9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2"/>
                              <w:szCs w:val="24"/>
                            </w:rPr>
                          </w:pPr>
                          <w:r w:rsidRPr="00F37DC9">
                            <w:rPr>
                              <w:rFonts w:ascii="Calibri" w:hAnsi="Calibri" w:cs="Calibri"/>
                              <w:color w:val="13576B"/>
                              <w:sz w:val="22"/>
                              <w:szCs w:val="24"/>
                            </w:rPr>
                            <w:t>1</w:t>
                          </w:r>
                          <w:r w:rsidR="00DA347B">
                            <w:rPr>
                              <w:rFonts w:ascii="Calibri" w:hAnsi="Calibri" w:cs="Calibri"/>
                              <w:color w:val="13576B"/>
                              <w:sz w:val="22"/>
                              <w:szCs w:val="24"/>
                            </w:rPr>
                            <w:t>0</w:t>
                          </w:r>
                          <w:r w:rsidRPr="00F37DC9">
                            <w:rPr>
                              <w:rFonts w:ascii="Calibri" w:hAnsi="Calibri" w:cs="Calibri"/>
                              <w:color w:val="13576B"/>
                              <w:sz w:val="22"/>
                              <w:szCs w:val="24"/>
                            </w:rPr>
                            <w:t xml:space="preserve">. </w:t>
                          </w:r>
                          <w:r w:rsidR="00DA347B">
                            <w:rPr>
                              <w:rFonts w:ascii="Calibri" w:hAnsi="Calibri" w:cs="Calibri"/>
                              <w:color w:val="13576B"/>
                              <w:sz w:val="22"/>
                              <w:szCs w:val="24"/>
                            </w:rPr>
                            <w:t>2</w:t>
                          </w:r>
                          <w:r w:rsidRPr="00F37DC9">
                            <w:rPr>
                              <w:rFonts w:ascii="Calibri" w:hAnsi="Calibri" w:cs="Calibri"/>
                              <w:color w:val="13576B"/>
                              <w:sz w:val="22"/>
                              <w:szCs w:val="24"/>
                            </w:rPr>
                            <w:t>. 202</w:t>
                          </w:r>
                          <w:r w:rsidR="00DA347B">
                            <w:rPr>
                              <w:rFonts w:ascii="Calibri" w:hAnsi="Calibri" w:cs="Calibri"/>
                              <w:color w:val="13576B"/>
                              <w:sz w:val="22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5CB3763" id="_x0000_s1033" type="#_x0000_t202" style="position:absolute;left:0;text-align:left;margin-left:416.55pt;margin-top:.55pt;width:9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" filled="f" stroked="f">
              <v:textbox style="mso-fit-shape-to-text:t">
                <w:txbxContent>
                  <w:p w14:paraId="49CD1CFE" w14:textId="77777777" w:rsidR="00F37DC9" w:rsidRPr="00F37DC9" w:rsidRDefault="00F37DC9" w:rsidP="00F37DC9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2"/>
                        <w:szCs w:val="24"/>
                      </w:rPr>
                    </w:pPr>
                    <w:r w:rsidRPr="00F37DC9">
                      <w:rPr>
                        <w:rFonts w:ascii="Calibri" w:hAnsi="Calibri" w:cs="Calibri"/>
                        <w:b/>
                        <w:color w:val="13576B"/>
                        <w:sz w:val="22"/>
                        <w:szCs w:val="24"/>
                      </w:rPr>
                      <w:t xml:space="preserve">TISKOVÁ ZPRÁVA </w:t>
                    </w:r>
                  </w:p>
                  <w:p w14:paraId="5CDE064D" w14:textId="01FA9E34" w:rsidR="00F37DC9" w:rsidRPr="00F37DC9" w:rsidRDefault="00F37DC9" w:rsidP="00F37DC9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2"/>
                        <w:szCs w:val="24"/>
                      </w:rPr>
                    </w:pPr>
                    <w:r w:rsidRPr="00F37DC9">
                      <w:rPr>
                        <w:rFonts w:ascii="Calibri" w:hAnsi="Calibri" w:cs="Calibri"/>
                        <w:color w:val="13576B"/>
                        <w:sz w:val="22"/>
                        <w:szCs w:val="24"/>
                      </w:rPr>
                      <w:t>1</w:t>
                    </w:r>
                    <w:r w:rsidR="00DA347B">
                      <w:rPr>
                        <w:rFonts w:ascii="Calibri" w:hAnsi="Calibri" w:cs="Calibri"/>
                        <w:color w:val="13576B"/>
                        <w:sz w:val="22"/>
                        <w:szCs w:val="24"/>
                      </w:rPr>
                      <w:t>0</w:t>
                    </w:r>
                    <w:r w:rsidRPr="00F37DC9">
                      <w:rPr>
                        <w:rFonts w:ascii="Calibri" w:hAnsi="Calibri" w:cs="Calibri"/>
                        <w:color w:val="13576B"/>
                        <w:sz w:val="22"/>
                        <w:szCs w:val="24"/>
                      </w:rPr>
                      <w:t xml:space="preserve">. </w:t>
                    </w:r>
                    <w:r w:rsidR="00DA347B">
                      <w:rPr>
                        <w:rFonts w:ascii="Calibri" w:hAnsi="Calibri" w:cs="Calibri"/>
                        <w:color w:val="13576B"/>
                        <w:sz w:val="22"/>
                        <w:szCs w:val="24"/>
                      </w:rPr>
                      <w:t>2</w:t>
                    </w:r>
                    <w:r w:rsidRPr="00F37DC9">
                      <w:rPr>
                        <w:rFonts w:ascii="Calibri" w:hAnsi="Calibri" w:cs="Calibri"/>
                        <w:color w:val="13576B"/>
                        <w:sz w:val="22"/>
                        <w:szCs w:val="24"/>
                      </w:rPr>
                      <w:t>. 202</w:t>
                    </w:r>
                    <w:r w:rsidR="00DA347B">
                      <w:rPr>
                        <w:rFonts w:ascii="Calibri" w:hAnsi="Calibri" w:cs="Calibri"/>
                        <w:color w:val="13576B"/>
                        <w:sz w:val="22"/>
                        <w:szCs w:val="2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A7"/>
    <w:multiLevelType w:val="hybridMultilevel"/>
    <w:tmpl w:val="ADD42E08"/>
    <w:lvl w:ilvl="0" w:tplc="9B0CB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C4DCE"/>
    <w:multiLevelType w:val="hybridMultilevel"/>
    <w:tmpl w:val="D4D47A08"/>
    <w:lvl w:ilvl="0" w:tplc="F062A1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86F60"/>
    <w:multiLevelType w:val="hybridMultilevel"/>
    <w:tmpl w:val="3232EEBE"/>
    <w:lvl w:ilvl="0" w:tplc="491E8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B2CEC"/>
    <w:multiLevelType w:val="hybridMultilevel"/>
    <w:tmpl w:val="FDB00238"/>
    <w:lvl w:ilvl="0" w:tplc="BD9EF86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BCF"/>
    <w:multiLevelType w:val="hybridMultilevel"/>
    <w:tmpl w:val="3554269C"/>
    <w:lvl w:ilvl="0" w:tplc="F52C1D16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F41FF"/>
    <w:multiLevelType w:val="hybridMultilevel"/>
    <w:tmpl w:val="06ECF1A8"/>
    <w:lvl w:ilvl="0" w:tplc="72161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9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4DA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E1B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445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EB5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2F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686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A89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F3628E"/>
    <w:multiLevelType w:val="hybridMultilevel"/>
    <w:tmpl w:val="771602E6"/>
    <w:lvl w:ilvl="0" w:tplc="30548F9A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763A7"/>
    <w:multiLevelType w:val="hybridMultilevel"/>
    <w:tmpl w:val="F904BEEC"/>
    <w:lvl w:ilvl="0" w:tplc="E0A2536E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A73130"/>
    <w:multiLevelType w:val="hybridMultilevel"/>
    <w:tmpl w:val="65281904"/>
    <w:lvl w:ilvl="0" w:tplc="DF56ABD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6451B"/>
    <w:multiLevelType w:val="hybridMultilevel"/>
    <w:tmpl w:val="C1DEF65C"/>
    <w:lvl w:ilvl="0" w:tplc="0E7285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0169"/>
    <w:rsid w:val="00001E30"/>
    <w:rsid w:val="00004B58"/>
    <w:rsid w:val="00006087"/>
    <w:rsid w:val="00014977"/>
    <w:rsid w:val="0001513F"/>
    <w:rsid w:val="000162B2"/>
    <w:rsid w:val="00017461"/>
    <w:rsid w:val="00017F00"/>
    <w:rsid w:val="00023000"/>
    <w:rsid w:val="00026596"/>
    <w:rsid w:val="000349D8"/>
    <w:rsid w:val="000366C2"/>
    <w:rsid w:val="00036DD3"/>
    <w:rsid w:val="000419CA"/>
    <w:rsid w:val="00044002"/>
    <w:rsid w:val="00055376"/>
    <w:rsid w:val="00062A8A"/>
    <w:rsid w:val="00066333"/>
    <w:rsid w:val="0007096D"/>
    <w:rsid w:val="00071B9F"/>
    <w:rsid w:val="000766D5"/>
    <w:rsid w:val="0008238B"/>
    <w:rsid w:val="00082CD7"/>
    <w:rsid w:val="00082E1D"/>
    <w:rsid w:val="000831A0"/>
    <w:rsid w:val="0008323B"/>
    <w:rsid w:val="00087849"/>
    <w:rsid w:val="00087A3D"/>
    <w:rsid w:val="00092ACE"/>
    <w:rsid w:val="00097B97"/>
    <w:rsid w:val="000A086B"/>
    <w:rsid w:val="000A1E1A"/>
    <w:rsid w:val="000A1EA1"/>
    <w:rsid w:val="000A2EC0"/>
    <w:rsid w:val="000A337A"/>
    <w:rsid w:val="000A6730"/>
    <w:rsid w:val="000B1B0C"/>
    <w:rsid w:val="000B27C5"/>
    <w:rsid w:val="000B4814"/>
    <w:rsid w:val="000B6BEC"/>
    <w:rsid w:val="000C1155"/>
    <w:rsid w:val="000C1D98"/>
    <w:rsid w:val="000C552C"/>
    <w:rsid w:val="000D12F8"/>
    <w:rsid w:val="000D1977"/>
    <w:rsid w:val="000D2B81"/>
    <w:rsid w:val="000D5D2B"/>
    <w:rsid w:val="000D7C38"/>
    <w:rsid w:val="000E1A02"/>
    <w:rsid w:val="000E1DF8"/>
    <w:rsid w:val="000E3A69"/>
    <w:rsid w:val="000E5E2A"/>
    <w:rsid w:val="000E7086"/>
    <w:rsid w:val="000F34A7"/>
    <w:rsid w:val="000F39C3"/>
    <w:rsid w:val="000F790F"/>
    <w:rsid w:val="00100B73"/>
    <w:rsid w:val="001045A6"/>
    <w:rsid w:val="00105C84"/>
    <w:rsid w:val="0011443F"/>
    <w:rsid w:val="00114D42"/>
    <w:rsid w:val="00115379"/>
    <w:rsid w:val="00115462"/>
    <w:rsid w:val="0012304F"/>
    <w:rsid w:val="00124A05"/>
    <w:rsid w:val="00125474"/>
    <w:rsid w:val="001262D3"/>
    <w:rsid w:val="00127A07"/>
    <w:rsid w:val="001362D6"/>
    <w:rsid w:val="00142834"/>
    <w:rsid w:val="00142FD3"/>
    <w:rsid w:val="00146670"/>
    <w:rsid w:val="00146F24"/>
    <w:rsid w:val="00147E43"/>
    <w:rsid w:val="00151610"/>
    <w:rsid w:val="00153D1F"/>
    <w:rsid w:val="00154824"/>
    <w:rsid w:val="00156D1E"/>
    <w:rsid w:val="00156EF2"/>
    <w:rsid w:val="001607D6"/>
    <w:rsid w:val="001613CA"/>
    <w:rsid w:val="001642C0"/>
    <w:rsid w:val="00164D55"/>
    <w:rsid w:val="00165D62"/>
    <w:rsid w:val="00166404"/>
    <w:rsid w:val="00174667"/>
    <w:rsid w:val="001802DE"/>
    <w:rsid w:val="001828E8"/>
    <w:rsid w:val="00186E9F"/>
    <w:rsid w:val="00190861"/>
    <w:rsid w:val="001914C2"/>
    <w:rsid w:val="00191CB2"/>
    <w:rsid w:val="00195399"/>
    <w:rsid w:val="00195C6D"/>
    <w:rsid w:val="001960B2"/>
    <w:rsid w:val="0019764B"/>
    <w:rsid w:val="001A7E43"/>
    <w:rsid w:val="001B44EF"/>
    <w:rsid w:val="001B4FA1"/>
    <w:rsid w:val="001B5FE5"/>
    <w:rsid w:val="001B69C3"/>
    <w:rsid w:val="001B79B9"/>
    <w:rsid w:val="001C0DF4"/>
    <w:rsid w:val="001C297A"/>
    <w:rsid w:val="001C576C"/>
    <w:rsid w:val="001C7F27"/>
    <w:rsid w:val="001D20AB"/>
    <w:rsid w:val="001D5BB9"/>
    <w:rsid w:val="001E4A94"/>
    <w:rsid w:val="001E4E51"/>
    <w:rsid w:val="001E6405"/>
    <w:rsid w:val="001E6A1E"/>
    <w:rsid w:val="001F783F"/>
    <w:rsid w:val="002050D0"/>
    <w:rsid w:val="002207A6"/>
    <w:rsid w:val="00221E42"/>
    <w:rsid w:val="00224038"/>
    <w:rsid w:val="00224284"/>
    <w:rsid w:val="00224F0E"/>
    <w:rsid w:val="002401B0"/>
    <w:rsid w:val="00242192"/>
    <w:rsid w:val="00244B0F"/>
    <w:rsid w:val="00245099"/>
    <w:rsid w:val="0024553D"/>
    <w:rsid w:val="00247943"/>
    <w:rsid w:val="002511A0"/>
    <w:rsid w:val="00251963"/>
    <w:rsid w:val="00254030"/>
    <w:rsid w:val="00261512"/>
    <w:rsid w:val="002624E9"/>
    <w:rsid w:val="002636B5"/>
    <w:rsid w:val="00263F96"/>
    <w:rsid w:val="00264F1B"/>
    <w:rsid w:val="00266E32"/>
    <w:rsid w:val="00267813"/>
    <w:rsid w:val="00267ACA"/>
    <w:rsid w:val="00272A8E"/>
    <w:rsid w:val="0027402B"/>
    <w:rsid w:val="002878FD"/>
    <w:rsid w:val="002A2B40"/>
    <w:rsid w:val="002A7837"/>
    <w:rsid w:val="002B1A4A"/>
    <w:rsid w:val="002B273C"/>
    <w:rsid w:val="002B3725"/>
    <w:rsid w:val="002B5D56"/>
    <w:rsid w:val="002C063C"/>
    <w:rsid w:val="002C4547"/>
    <w:rsid w:val="002C4F14"/>
    <w:rsid w:val="002C5839"/>
    <w:rsid w:val="002D12BD"/>
    <w:rsid w:val="002D1376"/>
    <w:rsid w:val="002D6B03"/>
    <w:rsid w:val="002E1078"/>
    <w:rsid w:val="002E18D7"/>
    <w:rsid w:val="002E39FF"/>
    <w:rsid w:val="002E3DF7"/>
    <w:rsid w:val="002E5008"/>
    <w:rsid w:val="002E732D"/>
    <w:rsid w:val="002E7CA6"/>
    <w:rsid w:val="002F3D6C"/>
    <w:rsid w:val="002F477C"/>
    <w:rsid w:val="002F6016"/>
    <w:rsid w:val="00302451"/>
    <w:rsid w:val="00302716"/>
    <w:rsid w:val="00303D8D"/>
    <w:rsid w:val="00304E17"/>
    <w:rsid w:val="00310201"/>
    <w:rsid w:val="00310D0B"/>
    <w:rsid w:val="003123D0"/>
    <w:rsid w:val="00315BAC"/>
    <w:rsid w:val="003161ED"/>
    <w:rsid w:val="00316A23"/>
    <w:rsid w:val="00320075"/>
    <w:rsid w:val="00320A31"/>
    <w:rsid w:val="003215CA"/>
    <w:rsid w:val="00325C91"/>
    <w:rsid w:val="00327407"/>
    <w:rsid w:val="00327E59"/>
    <w:rsid w:val="003305B2"/>
    <w:rsid w:val="00335332"/>
    <w:rsid w:val="003366D7"/>
    <w:rsid w:val="0033687A"/>
    <w:rsid w:val="00337931"/>
    <w:rsid w:val="003401BC"/>
    <w:rsid w:val="00343CB8"/>
    <w:rsid w:val="00346FF6"/>
    <w:rsid w:val="00355435"/>
    <w:rsid w:val="0035571B"/>
    <w:rsid w:val="00356262"/>
    <w:rsid w:val="00360F61"/>
    <w:rsid w:val="00362759"/>
    <w:rsid w:val="00364371"/>
    <w:rsid w:val="0036442C"/>
    <w:rsid w:val="003654CD"/>
    <w:rsid w:val="00365B2D"/>
    <w:rsid w:val="003668D4"/>
    <w:rsid w:val="00367D3B"/>
    <w:rsid w:val="00367F9E"/>
    <w:rsid w:val="0037051A"/>
    <w:rsid w:val="00370F35"/>
    <w:rsid w:val="003713E7"/>
    <w:rsid w:val="003724E9"/>
    <w:rsid w:val="003727EB"/>
    <w:rsid w:val="0037353B"/>
    <w:rsid w:val="00373D9D"/>
    <w:rsid w:val="00380C99"/>
    <w:rsid w:val="00383E25"/>
    <w:rsid w:val="00391FA6"/>
    <w:rsid w:val="003947A8"/>
    <w:rsid w:val="003952ED"/>
    <w:rsid w:val="00395434"/>
    <w:rsid w:val="00397D2D"/>
    <w:rsid w:val="00397F9F"/>
    <w:rsid w:val="003A1647"/>
    <w:rsid w:val="003A30BE"/>
    <w:rsid w:val="003A5DED"/>
    <w:rsid w:val="003B61CD"/>
    <w:rsid w:val="003C3D7F"/>
    <w:rsid w:val="003C7394"/>
    <w:rsid w:val="003D104A"/>
    <w:rsid w:val="003D14D7"/>
    <w:rsid w:val="003D5446"/>
    <w:rsid w:val="003E0E58"/>
    <w:rsid w:val="003E31EA"/>
    <w:rsid w:val="003E3DCB"/>
    <w:rsid w:val="003F1CB9"/>
    <w:rsid w:val="003F2B91"/>
    <w:rsid w:val="003F7F31"/>
    <w:rsid w:val="0040072F"/>
    <w:rsid w:val="00401262"/>
    <w:rsid w:val="00401322"/>
    <w:rsid w:val="00402738"/>
    <w:rsid w:val="00405C26"/>
    <w:rsid w:val="00416028"/>
    <w:rsid w:val="00416A62"/>
    <w:rsid w:val="00420888"/>
    <w:rsid w:val="00421049"/>
    <w:rsid w:val="0042113A"/>
    <w:rsid w:val="00422611"/>
    <w:rsid w:val="00425C7D"/>
    <w:rsid w:val="004300C6"/>
    <w:rsid w:val="00435C21"/>
    <w:rsid w:val="00437589"/>
    <w:rsid w:val="004475DD"/>
    <w:rsid w:val="00453E1C"/>
    <w:rsid w:val="00454547"/>
    <w:rsid w:val="004551CA"/>
    <w:rsid w:val="0045664E"/>
    <w:rsid w:val="00457A66"/>
    <w:rsid w:val="00462589"/>
    <w:rsid w:val="00463781"/>
    <w:rsid w:val="00471FFB"/>
    <w:rsid w:val="00474A86"/>
    <w:rsid w:val="00476BD0"/>
    <w:rsid w:val="00484A70"/>
    <w:rsid w:val="00484DC6"/>
    <w:rsid w:val="00490B90"/>
    <w:rsid w:val="0049113D"/>
    <w:rsid w:val="0049132F"/>
    <w:rsid w:val="00495A30"/>
    <w:rsid w:val="0049605B"/>
    <w:rsid w:val="004A1724"/>
    <w:rsid w:val="004A2FAE"/>
    <w:rsid w:val="004A7ABD"/>
    <w:rsid w:val="004A7D28"/>
    <w:rsid w:val="004B4E22"/>
    <w:rsid w:val="004C1B31"/>
    <w:rsid w:val="004C389E"/>
    <w:rsid w:val="004C5DF3"/>
    <w:rsid w:val="004D1CED"/>
    <w:rsid w:val="004D5EDF"/>
    <w:rsid w:val="004D63E3"/>
    <w:rsid w:val="004D7651"/>
    <w:rsid w:val="004E1AC6"/>
    <w:rsid w:val="004E3A25"/>
    <w:rsid w:val="004E6615"/>
    <w:rsid w:val="004F0729"/>
    <w:rsid w:val="004F09E3"/>
    <w:rsid w:val="004F1275"/>
    <w:rsid w:val="004F4A74"/>
    <w:rsid w:val="00503095"/>
    <w:rsid w:val="005044E1"/>
    <w:rsid w:val="00505850"/>
    <w:rsid w:val="00505C9C"/>
    <w:rsid w:val="00506DF1"/>
    <w:rsid w:val="00517111"/>
    <w:rsid w:val="00520AEA"/>
    <w:rsid w:val="00520C82"/>
    <w:rsid w:val="00521B07"/>
    <w:rsid w:val="005228D2"/>
    <w:rsid w:val="0052644D"/>
    <w:rsid w:val="00527304"/>
    <w:rsid w:val="00527C61"/>
    <w:rsid w:val="005354AE"/>
    <w:rsid w:val="00536B9B"/>
    <w:rsid w:val="00537515"/>
    <w:rsid w:val="00537656"/>
    <w:rsid w:val="00537C68"/>
    <w:rsid w:val="00545533"/>
    <w:rsid w:val="0054661B"/>
    <w:rsid w:val="00550C81"/>
    <w:rsid w:val="005531EC"/>
    <w:rsid w:val="00553FBC"/>
    <w:rsid w:val="00555B91"/>
    <w:rsid w:val="00562D02"/>
    <w:rsid w:val="0056315C"/>
    <w:rsid w:val="005642DD"/>
    <w:rsid w:val="00564C9B"/>
    <w:rsid w:val="00571647"/>
    <w:rsid w:val="00576028"/>
    <w:rsid w:val="00577677"/>
    <w:rsid w:val="005864AD"/>
    <w:rsid w:val="00587061"/>
    <w:rsid w:val="00587F82"/>
    <w:rsid w:val="00593090"/>
    <w:rsid w:val="005954B4"/>
    <w:rsid w:val="00595CAD"/>
    <w:rsid w:val="00596CED"/>
    <w:rsid w:val="005A2501"/>
    <w:rsid w:val="005A2AF1"/>
    <w:rsid w:val="005A44FF"/>
    <w:rsid w:val="005A5299"/>
    <w:rsid w:val="005A7A4D"/>
    <w:rsid w:val="005B12FA"/>
    <w:rsid w:val="005B1718"/>
    <w:rsid w:val="005B4768"/>
    <w:rsid w:val="005C01AE"/>
    <w:rsid w:val="005C1943"/>
    <w:rsid w:val="005C3C3C"/>
    <w:rsid w:val="005C41EF"/>
    <w:rsid w:val="005C60BB"/>
    <w:rsid w:val="005C6A0D"/>
    <w:rsid w:val="005C6D52"/>
    <w:rsid w:val="005C6DB6"/>
    <w:rsid w:val="005C7415"/>
    <w:rsid w:val="005D053D"/>
    <w:rsid w:val="005D0910"/>
    <w:rsid w:val="005D42A6"/>
    <w:rsid w:val="005E1864"/>
    <w:rsid w:val="005E58E1"/>
    <w:rsid w:val="005E5B24"/>
    <w:rsid w:val="005E5B52"/>
    <w:rsid w:val="005E7020"/>
    <w:rsid w:val="005F0A8A"/>
    <w:rsid w:val="005F3FF0"/>
    <w:rsid w:val="005F4524"/>
    <w:rsid w:val="005F5EB0"/>
    <w:rsid w:val="005F772B"/>
    <w:rsid w:val="005F7A84"/>
    <w:rsid w:val="006028B1"/>
    <w:rsid w:val="00603141"/>
    <w:rsid w:val="00603B91"/>
    <w:rsid w:val="00604274"/>
    <w:rsid w:val="0060552B"/>
    <w:rsid w:val="00611C5C"/>
    <w:rsid w:val="00611EFE"/>
    <w:rsid w:val="00612725"/>
    <w:rsid w:val="006146A8"/>
    <w:rsid w:val="00614E76"/>
    <w:rsid w:val="006155CF"/>
    <w:rsid w:val="006160C8"/>
    <w:rsid w:val="00626065"/>
    <w:rsid w:val="00626382"/>
    <w:rsid w:val="00634862"/>
    <w:rsid w:val="00635F63"/>
    <w:rsid w:val="00640878"/>
    <w:rsid w:val="00643505"/>
    <w:rsid w:val="0064499D"/>
    <w:rsid w:val="006454CC"/>
    <w:rsid w:val="0064668C"/>
    <w:rsid w:val="006478ED"/>
    <w:rsid w:val="00647974"/>
    <w:rsid w:val="00650A73"/>
    <w:rsid w:val="006529D6"/>
    <w:rsid w:val="00653FBB"/>
    <w:rsid w:val="0065675B"/>
    <w:rsid w:val="00660A8C"/>
    <w:rsid w:val="00663D34"/>
    <w:rsid w:val="006642E5"/>
    <w:rsid w:val="0066436B"/>
    <w:rsid w:val="00664659"/>
    <w:rsid w:val="006648C4"/>
    <w:rsid w:val="006669D1"/>
    <w:rsid w:val="00667BA1"/>
    <w:rsid w:val="0067027E"/>
    <w:rsid w:val="00670BEE"/>
    <w:rsid w:val="0067201E"/>
    <w:rsid w:val="006733E8"/>
    <w:rsid w:val="006756FC"/>
    <w:rsid w:val="00675D0C"/>
    <w:rsid w:val="00675EBD"/>
    <w:rsid w:val="00680B54"/>
    <w:rsid w:val="00682D20"/>
    <w:rsid w:val="0068337D"/>
    <w:rsid w:val="00683E88"/>
    <w:rsid w:val="0068657C"/>
    <w:rsid w:val="006952F0"/>
    <w:rsid w:val="006963D2"/>
    <w:rsid w:val="006A437E"/>
    <w:rsid w:val="006A54C3"/>
    <w:rsid w:val="006A5DB5"/>
    <w:rsid w:val="006B03F0"/>
    <w:rsid w:val="006B19D1"/>
    <w:rsid w:val="006B2ADD"/>
    <w:rsid w:val="006B2F86"/>
    <w:rsid w:val="006B3B72"/>
    <w:rsid w:val="006B60A6"/>
    <w:rsid w:val="006B650F"/>
    <w:rsid w:val="006B68CC"/>
    <w:rsid w:val="006B7DE5"/>
    <w:rsid w:val="006C035F"/>
    <w:rsid w:val="006C3AF8"/>
    <w:rsid w:val="006C4385"/>
    <w:rsid w:val="006C6CFF"/>
    <w:rsid w:val="006C6D8D"/>
    <w:rsid w:val="006C6DCB"/>
    <w:rsid w:val="006D0B7D"/>
    <w:rsid w:val="006D1635"/>
    <w:rsid w:val="006D23EF"/>
    <w:rsid w:val="006D3D9F"/>
    <w:rsid w:val="006D7467"/>
    <w:rsid w:val="006D74B0"/>
    <w:rsid w:val="006E0634"/>
    <w:rsid w:val="006E0DB3"/>
    <w:rsid w:val="006E18EC"/>
    <w:rsid w:val="006E1DBB"/>
    <w:rsid w:val="006E335A"/>
    <w:rsid w:val="006E3A3B"/>
    <w:rsid w:val="006E6C76"/>
    <w:rsid w:val="006F0636"/>
    <w:rsid w:val="006F0FDF"/>
    <w:rsid w:val="006F5022"/>
    <w:rsid w:val="007000AB"/>
    <w:rsid w:val="00700BFA"/>
    <w:rsid w:val="007075B3"/>
    <w:rsid w:val="00710350"/>
    <w:rsid w:val="007204F9"/>
    <w:rsid w:val="00725295"/>
    <w:rsid w:val="00726439"/>
    <w:rsid w:val="00730B38"/>
    <w:rsid w:val="00732A91"/>
    <w:rsid w:val="00734471"/>
    <w:rsid w:val="00742303"/>
    <w:rsid w:val="00742971"/>
    <w:rsid w:val="0074441D"/>
    <w:rsid w:val="00744504"/>
    <w:rsid w:val="00746582"/>
    <w:rsid w:val="00747C2E"/>
    <w:rsid w:val="00752180"/>
    <w:rsid w:val="00754744"/>
    <w:rsid w:val="00755B46"/>
    <w:rsid w:val="00757607"/>
    <w:rsid w:val="00757E86"/>
    <w:rsid w:val="00761A85"/>
    <w:rsid w:val="00761C3F"/>
    <w:rsid w:val="0076384E"/>
    <w:rsid w:val="007642B3"/>
    <w:rsid w:val="007656CF"/>
    <w:rsid w:val="007673D0"/>
    <w:rsid w:val="007725F7"/>
    <w:rsid w:val="00772E8C"/>
    <w:rsid w:val="007836B5"/>
    <w:rsid w:val="00786866"/>
    <w:rsid w:val="007948B6"/>
    <w:rsid w:val="00794DCF"/>
    <w:rsid w:val="00794FB6"/>
    <w:rsid w:val="007A7909"/>
    <w:rsid w:val="007A7D73"/>
    <w:rsid w:val="007B02A8"/>
    <w:rsid w:val="007B17AD"/>
    <w:rsid w:val="007B5D5A"/>
    <w:rsid w:val="007C1FCA"/>
    <w:rsid w:val="007C2872"/>
    <w:rsid w:val="007C2F0D"/>
    <w:rsid w:val="007C4A76"/>
    <w:rsid w:val="007C4C83"/>
    <w:rsid w:val="007C5704"/>
    <w:rsid w:val="007C58D4"/>
    <w:rsid w:val="007C64E9"/>
    <w:rsid w:val="007D02A1"/>
    <w:rsid w:val="007D1A1C"/>
    <w:rsid w:val="007D4025"/>
    <w:rsid w:val="007D52B7"/>
    <w:rsid w:val="007D666C"/>
    <w:rsid w:val="007D6C66"/>
    <w:rsid w:val="007E0BF1"/>
    <w:rsid w:val="007E33A6"/>
    <w:rsid w:val="007E4E82"/>
    <w:rsid w:val="007F07AB"/>
    <w:rsid w:val="007F16CA"/>
    <w:rsid w:val="007F1F07"/>
    <w:rsid w:val="007F40D6"/>
    <w:rsid w:val="007F61C7"/>
    <w:rsid w:val="007F6300"/>
    <w:rsid w:val="00801132"/>
    <w:rsid w:val="008030F5"/>
    <w:rsid w:val="00803E55"/>
    <w:rsid w:val="0080505A"/>
    <w:rsid w:val="00806205"/>
    <w:rsid w:val="00806F9C"/>
    <w:rsid w:val="00807F85"/>
    <w:rsid w:val="00811FE2"/>
    <w:rsid w:val="008270D7"/>
    <w:rsid w:val="008315F2"/>
    <w:rsid w:val="00833844"/>
    <w:rsid w:val="0083413A"/>
    <w:rsid w:val="00835E99"/>
    <w:rsid w:val="008404DA"/>
    <w:rsid w:val="008454CD"/>
    <w:rsid w:val="008456CB"/>
    <w:rsid w:val="00847E22"/>
    <w:rsid w:val="00851A29"/>
    <w:rsid w:val="00854190"/>
    <w:rsid w:val="00856019"/>
    <w:rsid w:val="00862465"/>
    <w:rsid w:val="00864495"/>
    <w:rsid w:val="00864AC0"/>
    <w:rsid w:val="008667B0"/>
    <w:rsid w:val="008676B2"/>
    <w:rsid w:val="00870102"/>
    <w:rsid w:val="00870D1C"/>
    <w:rsid w:val="008722D9"/>
    <w:rsid w:val="00872847"/>
    <w:rsid w:val="0087441A"/>
    <w:rsid w:val="00882583"/>
    <w:rsid w:val="008825F4"/>
    <w:rsid w:val="0088279B"/>
    <w:rsid w:val="00884E72"/>
    <w:rsid w:val="008857AA"/>
    <w:rsid w:val="00890D45"/>
    <w:rsid w:val="008910AF"/>
    <w:rsid w:val="00893782"/>
    <w:rsid w:val="00893FAA"/>
    <w:rsid w:val="00895ED5"/>
    <w:rsid w:val="00895EF3"/>
    <w:rsid w:val="00897332"/>
    <w:rsid w:val="008A0F96"/>
    <w:rsid w:val="008A594F"/>
    <w:rsid w:val="008B1328"/>
    <w:rsid w:val="008B3232"/>
    <w:rsid w:val="008B6D55"/>
    <w:rsid w:val="008C3B72"/>
    <w:rsid w:val="008C3E6D"/>
    <w:rsid w:val="008C4379"/>
    <w:rsid w:val="008C5FB5"/>
    <w:rsid w:val="008C67EB"/>
    <w:rsid w:val="008C7E08"/>
    <w:rsid w:val="008D0F71"/>
    <w:rsid w:val="008D1230"/>
    <w:rsid w:val="008D5313"/>
    <w:rsid w:val="008D576F"/>
    <w:rsid w:val="008D6C27"/>
    <w:rsid w:val="008E1BD7"/>
    <w:rsid w:val="008E265E"/>
    <w:rsid w:val="008F06AA"/>
    <w:rsid w:val="008F11D5"/>
    <w:rsid w:val="008F6F41"/>
    <w:rsid w:val="009047C8"/>
    <w:rsid w:val="0090528F"/>
    <w:rsid w:val="009065D8"/>
    <w:rsid w:val="00907818"/>
    <w:rsid w:val="00910CBA"/>
    <w:rsid w:val="00912FEF"/>
    <w:rsid w:val="009139AF"/>
    <w:rsid w:val="00915CEC"/>
    <w:rsid w:val="0091603D"/>
    <w:rsid w:val="009224FC"/>
    <w:rsid w:val="009263C2"/>
    <w:rsid w:val="009308CD"/>
    <w:rsid w:val="00934899"/>
    <w:rsid w:val="009430BD"/>
    <w:rsid w:val="00943C78"/>
    <w:rsid w:val="00944D10"/>
    <w:rsid w:val="00947AC8"/>
    <w:rsid w:val="00947BA5"/>
    <w:rsid w:val="00950AD8"/>
    <w:rsid w:val="0095568B"/>
    <w:rsid w:val="00957974"/>
    <w:rsid w:val="00957FF9"/>
    <w:rsid w:val="00962A49"/>
    <w:rsid w:val="009638B3"/>
    <w:rsid w:val="00970853"/>
    <w:rsid w:val="00977317"/>
    <w:rsid w:val="00977832"/>
    <w:rsid w:val="0098288C"/>
    <w:rsid w:val="00983579"/>
    <w:rsid w:val="0098366D"/>
    <w:rsid w:val="009A1DCA"/>
    <w:rsid w:val="009A24CC"/>
    <w:rsid w:val="009A3086"/>
    <w:rsid w:val="009A4429"/>
    <w:rsid w:val="009A4D08"/>
    <w:rsid w:val="009A5048"/>
    <w:rsid w:val="009A6092"/>
    <w:rsid w:val="009B4FEE"/>
    <w:rsid w:val="009B7D7F"/>
    <w:rsid w:val="009C181E"/>
    <w:rsid w:val="009C4DDF"/>
    <w:rsid w:val="009C63C2"/>
    <w:rsid w:val="009D150F"/>
    <w:rsid w:val="009D5E6C"/>
    <w:rsid w:val="009D73C5"/>
    <w:rsid w:val="009E36B5"/>
    <w:rsid w:val="009F012D"/>
    <w:rsid w:val="009F1744"/>
    <w:rsid w:val="009F569C"/>
    <w:rsid w:val="009F5C2E"/>
    <w:rsid w:val="00A00BF5"/>
    <w:rsid w:val="00A01EB4"/>
    <w:rsid w:val="00A020B8"/>
    <w:rsid w:val="00A02527"/>
    <w:rsid w:val="00A071F3"/>
    <w:rsid w:val="00A07E80"/>
    <w:rsid w:val="00A10A9C"/>
    <w:rsid w:val="00A144A3"/>
    <w:rsid w:val="00A1688A"/>
    <w:rsid w:val="00A2430B"/>
    <w:rsid w:val="00A257D9"/>
    <w:rsid w:val="00A2750F"/>
    <w:rsid w:val="00A414E1"/>
    <w:rsid w:val="00A41BA7"/>
    <w:rsid w:val="00A42EAA"/>
    <w:rsid w:val="00A43387"/>
    <w:rsid w:val="00A4779D"/>
    <w:rsid w:val="00A51840"/>
    <w:rsid w:val="00A60208"/>
    <w:rsid w:val="00A6286E"/>
    <w:rsid w:val="00A6400E"/>
    <w:rsid w:val="00A64535"/>
    <w:rsid w:val="00A7019E"/>
    <w:rsid w:val="00A7149F"/>
    <w:rsid w:val="00A71A8B"/>
    <w:rsid w:val="00A71F9A"/>
    <w:rsid w:val="00A72EC7"/>
    <w:rsid w:val="00A73218"/>
    <w:rsid w:val="00A732A1"/>
    <w:rsid w:val="00A757DD"/>
    <w:rsid w:val="00A81442"/>
    <w:rsid w:val="00A84275"/>
    <w:rsid w:val="00A8617F"/>
    <w:rsid w:val="00A8750A"/>
    <w:rsid w:val="00A87E96"/>
    <w:rsid w:val="00A90878"/>
    <w:rsid w:val="00AA1435"/>
    <w:rsid w:val="00AA16B8"/>
    <w:rsid w:val="00AA24D9"/>
    <w:rsid w:val="00AA2604"/>
    <w:rsid w:val="00AA2D4E"/>
    <w:rsid w:val="00AA3035"/>
    <w:rsid w:val="00AA6103"/>
    <w:rsid w:val="00AA6453"/>
    <w:rsid w:val="00AA66C1"/>
    <w:rsid w:val="00AB12AC"/>
    <w:rsid w:val="00AB24BA"/>
    <w:rsid w:val="00AB39A4"/>
    <w:rsid w:val="00AB4419"/>
    <w:rsid w:val="00AC08E3"/>
    <w:rsid w:val="00AC1037"/>
    <w:rsid w:val="00AC3C60"/>
    <w:rsid w:val="00AC57E5"/>
    <w:rsid w:val="00AC75B5"/>
    <w:rsid w:val="00AD0B10"/>
    <w:rsid w:val="00AD2C6F"/>
    <w:rsid w:val="00AE125F"/>
    <w:rsid w:val="00AE3164"/>
    <w:rsid w:val="00AE69C7"/>
    <w:rsid w:val="00AF11ED"/>
    <w:rsid w:val="00AF218D"/>
    <w:rsid w:val="00AF36FE"/>
    <w:rsid w:val="00AF3F59"/>
    <w:rsid w:val="00AF4DF3"/>
    <w:rsid w:val="00B03E8F"/>
    <w:rsid w:val="00B04775"/>
    <w:rsid w:val="00B067AB"/>
    <w:rsid w:val="00B06E15"/>
    <w:rsid w:val="00B10C17"/>
    <w:rsid w:val="00B16F18"/>
    <w:rsid w:val="00B235CA"/>
    <w:rsid w:val="00B25E96"/>
    <w:rsid w:val="00B2720B"/>
    <w:rsid w:val="00B27646"/>
    <w:rsid w:val="00B3003D"/>
    <w:rsid w:val="00B3068D"/>
    <w:rsid w:val="00B32114"/>
    <w:rsid w:val="00B3228D"/>
    <w:rsid w:val="00B34EF4"/>
    <w:rsid w:val="00B36071"/>
    <w:rsid w:val="00B403E8"/>
    <w:rsid w:val="00B4285D"/>
    <w:rsid w:val="00B445A6"/>
    <w:rsid w:val="00B447B3"/>
    <w:rsid w:val="00B4671E"/>
    <w:rsid w:val="00B4716E"/>
    <w:rsid w:val="00B506AC"/>
    <w:rsid w:val="00B518BF"/>
    <w:rsid w:val="00B52170"/>
    <w:rsid w:val="00B57E29"/>
    <w:rsid w:val="00B639BE"/>
    <w:rsid w:val="00B64423"/>
    <w:rsid w:val="00B64486"/>
    <w:rsid w:val="00B7479B"/>
    <w:rsid w:val="00B76371"/>
    <w:rsid w:val="00B80CC0"/>
    <w:rsid w:val="00B82C4A"/>
    <w:rsid w:val="00B83E9D"/>
    <w:rsid w:val="00B85767"/>
    <w:rsid w:val="00B87B58"/>
    <w:rsid w:val="00B87C49"/>
    <w:rsid w:val="00B941DB"/>
    <w:rsid w:val="00B95673"/>
    <w:rsid w:val="00B9723F"/>
    <w:rsid w:val="00B97579"/>
    <w:rsid w:val="00B97D6A"/>
    <w:rsid w:val="00BA49C9"/>
    <w:rsid w:val="00BA4F26"/>
    <w:rsid w:val="00BA5EDD"/>
    <w:rsid w:val="00BC0374"/>
    <w:rsid w:val="00BC15D2"/>
    <w:rsid w:val="00BC61FC"/>
    <w:rsid w:val="00BD51B7"/>
    <w:rsid w:val="00BD64FB"/>
    <w:rsid w:val="00BD7B5A"/>
    <w:rsid w:val="00BF0D5A"/>
    <w:rsid w:val="00BF1E98"/>
    <w:rsid w:val="00BF48A4"/>
    <w:rsid w:val="00BF58BD"/>
    <w:rsid w:val="00BF5C5A"/>
    <w:rsid w:val="00BF73F4"/>
    <w:rsid w:val="00C019C0"/>
    <w:rsid w:val="00C01CB1"/>
    <w:rsid w:val="00C04531"/>
    <w:rsid w:val="00C0609E"/>
    <w:rsid w:val="00C10771"/>
    <w:rsid w:val="00C1402D"/>
    <w:rsid w:val="00C15C17"/>
    <w:rsid w:val="00C17244"/>
    <w:rsid w:val="00C23A88"/>
    <w:rsid w:val="00C253FE"/>
    <w:rsid w:val="00C25EA6"/>
    <w:rsid w:val="00C31BC2"/>
    <w:rsid w:val="00C31CD3"/>
    <w:rsid w:val="00C320FB"/>
    <w:rsid w:val="00C33B31"/>
    <w:rsid w:val="00C50104"/>
    <w:rsid w:val="00C552C2"/>
    <w:rsid w:val="00C617BE"/>
    <w:rsid w:val="00C62B5E"/>
    <w:rsid w:val="00C62C4C"/>
    <w:rsid w:val="00C64001"/>
    <w:rsid w:val="00C64546"/>
    <w:rsid w:val="00C66678"/>
    <w:rsid w:val="00C66EF2"/>
    <w:rsid w:val="00C71B8F"/>
    <w:rsid w:val="00C73708"/>
    <w:rsid w:val="00C7383D"/>
    <w:rsid w:val="00C74048"/>
    <w:rsid w:val="00C83793"/>
    <w:rsid w:val="00C84C93"/>
    <w:rsid w:val="00C867C8"/>
    <w:rsid w:val="00C93158"/>
    <w:rsid w:val="00C93EFF"/>
    <w:rsid w:val="00C94438"/>
    <w:rsid w:val="00C94C33"/>
    <w:rsid w:val="00C94DCE"/>
    <w:rsid w:val="00C94E04"/>
    <w:rsid w:val="00C9579A"/>
    <w:rsid w:val="00C975C9"/>
    <w:rsid w:val="00C97815"/>
    <w:rsid w:val="00CA0CF8"/>
    <w:rsid w:val="00CA6B72"/>
    <w:rsid w:val="00CA7415"/>
    <w:rsid w:val="00CA74FD"/>
    <w:rsid w:val="00CA7866"/>
    <w:rsid w:val="00CB1D9D"/>
    <w:rsid w:val="00CB2CC6"/>
    <w:rsid w:val="00CB3A76"/>
    <w:rsid w:val="00CB5392"/>
    <w:rsid w:val="00CB5C47"/>
    <w:rsid w:val="00CB6D21"/>
    <w:rsid w:val="00CB6EC2"/>
    <w:rsid w:val="00CB79A1"/>
    <w:rsid w:val="00CC2DDE"/>
    <w:rsid w:val="00CC7510"/>
    <w:rsid w:val="00CD149B"/>
    <w:rsid w:val="00CD214E"/>
    <w:rsid w:val="00CD5288"/>
    <w:rsid w:val="00CD7450"/>
    <w:rsid w:val="00CE0212"/>
    <w:rsid w:val="00CE1014"/>
    <w:rsid w:val="00CE165F"/>
    <w:rsid w:val="00CE5DCA"/>
    <w:rsid w:val="00CE6DF9"/>
    <w:rsid w:val="00CF04CA"/>
    <w:rsid w:val="00CF6D15"/>
    <w:rsid w:val="00D03EA1"/>
    <w:rsid w:val="00D04098"/>
    <w:rsid w:val="00D04BC7"/>
    <w:rsid w:val="00D10717"/>
    <w:rsid w:val="00D10FC9"/>
    <w:rsid w:val="00D13645"/>
    <w:rsid w:val="00D15085"/>
    <w:rsid w:val="00D157A4"/>
    <w:rsid w:val="00D17D09"/>
    <w:rsid w:val="00D20916"/>
    <w:rsid w:val="00D20E42"/>
    <w:rsid w:val="00D2261D"/>
    <w:rsid w:val="00D236FC"/>
    <w:rsid w:val="00D242FD"/>
    <w:rsid w:val="00D24ACA"/>
    <w:rsid w:val="00D30A6F"/>
    <w:rsid w:val="00D347D2"/>
    <w:rsid w:val="00D36FE1"/>
    <w:rsid w:val="00D45BA3"/>
    <w:rsid w:val="00D462C7"/>
    <w:rsid w:val="00D47140"/>
    <w:rsid w:val="00D4786E"/>
    <w:rsid w:val="00D520B2"/>
    <w:rsid w:val="00D57204"/>
    <w:rsid w:val="00D61603"/>
    <w:rsid w:val="00D67A35"/>
    <w:rsid w:val="00D7105D"/>
    <w:rsid w:val="00D72373"/>
    <w:rsid w:val="00D72C77"/>
    <w:rsid w:val="00D73A84"/>
    <w:rsid w:val="00D73B30"/>
    <w:rsid w:val="00D7566D"/>
    <w:rsid w:val="00D7765B"/>
    <w:rsid w:val="00D77C73"/>
    <w:rsid w:val="00D87B97"/>
    <w:rsid w:val="00D91982"/>
    <w:rsid w:val="00D9338E"/>
    <w:rsid w:val="00D97A26"/>
    <w:rsid w:val="00D97E49"/>
    <w:rsid w:val="00DA2C5D"/>
    <w:rsid w:val="00DA347B"/>
    <w:rsid w:val="00DA4328"/>
    <w:rsid w:val="00DA61AD"/>
    <w:rsid w:val="00DB46CC"/>
    <w:rsid w:val="00DB4EAB"/>
    <w:rsid w:val="00DB5DA9"/>
    <w:rsid w:val="00DB7417"/>
    <w:rsid w:val="00DC328A"/>
    <w:rsid w:val="00DC4924"/>
    <w:rsid w:val="00DC556E"/>
    <w:rsid w:val="00DC6426"/>
    <w:rsid w:val="00DC7164"/>
    <w:rsid w:val="00DD4A8E"/>
    <w:rsid w:val="00DD5178"/>
    <w:rsid w:val="00DE3055"/>
    <w:rsid w:val="00DE3268"/>
    <w:rsid w:val="00DE70AE"/>
    <w:rsid w:val="00DF0C5E"/>
    <w:rsid w:val="00DF2C13"/>
    <w:rsid w:val="00DF7A07"/>
    <w:rsid w:val="00E00755"/>
    <w:rsid w:val="00E00EC4"/>
    <w:rsid w:val="00E03E1A"/>
    <w:rsid w:val="00E0427D"/>
    <w:rsid w:val="00E04FC0"/>
    <w:rsid w:val="00E07861"/>
    <w:rsid w:val="00E10053"/>
    <w:rsid w:val="00E10472"/>
    <w:rsid w:val="00E11110"/>
    <w:rsid w:val="00E14498"/>
    <w:rsid w:val="00E22F3F"/>
    <w:rsid w:val="00E23BAB"/>
    <w:rsid w:val="00E23E0B"/>
    <w:rsid w:val="00E23F00"/>
    <w:rsid w:val="00E3317B"/>
    <w:rsid w:val="00E3386F"/>
    <w:rsid w:val="00E3424D"/>
    <w:rsid w:val="00E463A1"/>
    <w:rsid w:val="00E52EE1"/>
    <w:rsid w:val="00E63F7F"/>
    <w:rsid w:val="00E708D5"/>
    <w:rsid w:val="00E732C9"/>
    <w:rsid w:val="00E74C2F"/>
    <w:rsid w:val="00E76C3A"/>
    <w:rsid w:val="00E77101"/>
    <w:rsid w:val="00E77EE7"/>
    <w:rsid w:val="00E8230A"/>
    <w:rsid w:val="00E82C0C"/>
    <w:rsid w:val="00E858A7"/>
    <w:rsid w:val="00E8716B"/>
    <w:rsid w:val="00E8787F"/>
    <w:rsid w:val="00E900AF"/>
    <w:rsid w:val="00E92715"/>
    <w:rsid w:val="00E92D8C"/>
    <w:rsid w:val="00E966FD"/>
    <w:rsid w:val="00EA05BA"/>
    <w:rsid w:val="00EA2DCF"/>
    <w:rsid w:val="00EA3EEC"/>
    <w:rsid w:val="00EA5E6A"/>
    <w:rsid w:val="00EA6FE9"/>
    <w:rsid w:val="00EB1AD7"/>
    <w:rsid w:val="00EB2C64"/>
    <w:rsid w:val="00EB2F2C"/>
    <w:rsid w:val="00EB36AD"/>
    <w:rsid w:val="00EB3C69"/>
    <w:rsid w:val="00EB3E5F"/>
    <w:rsid w:val="00EB531D"/>
    <w:rsid w:val="00EB62D7"/>
    <w:rsid w:val="00EB66E6"/>
    <w:rsid w:val="00EB6C50"/>
    <w:rsid w:val="00EB6F2B"/>
    <w:rsid w:val="00EC126D"/>
    <w:rsid w:val="00EC720E"/>
    <w:rsid w:val="00ED1237"/>
    <w:rsid w:val="00ED2F8C"/>
    <w:rsid w:val="00ED452D"/>
    <w:rsid w:val="00ED4B86"/>
    <w:rsid w:val="00EE7B05"/>
    <w:rsid w:val="00EE7D8D"/>
    <w:rsid w:val="00EF0D43"/>
    <w:rsid w:val="00EF1FB7"/>
    <w:rsid w:val="00F00B3C"/>
    <w:rsid w:val="00F01005"/>
    <w:rsid w:val="00F0109D"/>
    <w:rsid w:val="00F01F41"/>
    <w:rsid w:val="00F110B1"/>
    <w:rsid w:val="00F123D1"/>
    <w:rsid w:val="00F1406D"/>
    <w:rsid w:val="00F14133"/>
    <w:rsid w:val="00F20F0C"/>
    <w:rsid w:val="00F21E02"/>
    <w:rsid w:val="00F24239"/>
    <w:rsid w:val="00F24AFC"/>
    <w:rsid w:val="00F32F3A"/>
    <w:rsid w:val="00F35ABF"/>
    <w:rsid w:val="00F37DC9"/>
    <w:rsid w:val="00F40053"/>
    <w:rsid w:val="00F438E3"/>
    <w:rsid w:val="00F43D1E"/>
    <w:rsid w:val="00F464BF"/>
    <w:rsid w:val="00F46BA9"/>
    <w:rsid w:val="00F52243"/>
    <w:rsid w:val="00F52FD1"/>
    <w:rsid w:val="00F54329"/>
    <w:rsid w:val="00F545AC"/>
    <w:rsid w:val="00F55212"/>
    <w:rsid w:val="00F55301"/>
    <w:rsid w:val="00F56999"/>
    <w:rsid w:val="00F573F1"/>
    <w:rsid w:val="00F60422"/>
    <w:rsid w:val="00F60644"/>
    <w:rsid w:val="00F615BD"/>
    <w:rsid w:val="00F6767A"/>
    <w:rsid w:val="00F67E6A"/>
    <w:rsid w:val="00F71485"/>
    <w:rsid w:val="00F80A00"/>
    <w:rsid w:val="00F854D8"/>
    <w:rsid w:val="00F860E1"/>
    <w:rsid w:val="00F860F7"/>
    <w:rsid w:val="00F93181"/>
    <w:rsid w:val="00F97C75"/>
    <w:rsid w:val="00FA2D2A"/>
    <w:rsid w:val="00FA2FE7"/>
    <w:rsid w:val="00FA325B"/>
    <w:rsid w:val="00FA3413"/>
    <w:rsid w:val="00FA7186"/>
    <w:rsid w:val="00FB115F"/>
    <w:rsid w:val="00FB19F5"/>
    <w:rsid w:val="00FB4A1C"/>
    <w:rsid w:val="00FB504D"/>
    <w:rsid w:val="00FB51DC"/>
    <w:rsid w:val="00FB5BF0"/>
    <w:rsid w:val="00FB5CD9"/>
    <w:rsid w:val="00FB6924"/>
    <w:rsid w:val="00FB795F"/>
    <w:rsid w:val="00FC7377"/>
    <w:rsid w:val="00FD12DB"/>
    <w:rsid w:val="00FD3C84"/>
    <w:rsid w:val="00FD4088"/>
    <w:rsid w:val="00FD57E2"/>
    <w:rsid w:val="00FD64E5"/>
    <w:rsid w:val="00FE03F5"/>
    <w:rsid w:val="00FE493E"/>
    <w:rsid w:val="00FE5DF6"/>
    <w:rsid w:val="00FF3C7C"/>
    <w:rsid w:val="00FF5794"/>
    <w:rsid w:val="00FF69E1"/>
    <w:rsid w:val="00FF6B3D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3594D"/>
  <w15:docId w15:val="{AE278A13-9C2A-4D53-8A14-E27E9B8F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4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4450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4450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50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6E1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47C2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645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645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A6453"/>
    <w:rPr>
      <w:vertAlign w:val="superscript"/>
    </w:rPr>
  </w:style>
  <w:style w:type="character" w:customStyle="1" w:styleId="cf01">
    <w:name w:val="cf01"/>
    <w:basedOn w:val="Standardnpsmoodstavce"/>
    <w:rsid w:val="009835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8650-8B43-417C-931A-06049C16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8628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vlachova</dc:creator>
  <cp:lastModifiedBy>Radana Možná</cp:lastModifiedBy>
  <cp:revision>2</cp:revision>
  <cp:lastPrinted>2021-11-10T10:12:00Z</cp:lastPrinted>
  <dcterms:created xsi:type="dcterms:W3CDTF">2022-02-10T07:50:00Z</dcterms:created>
  <dcterms:modified xsi:type="dcterms:W3CDTF">2022-02-10T07:50:00Z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Enabled">
    <vt:lpwstr>True</vt:lpwstr>
  </property>
  <property fmtid="{D5CDD505-2E9C-101B-9397-08002B2CF9AE}" pid="3" name="MSIP_Label_390254f4-34d0-49c5-b888-af4abf762ef7_SiteId">
    <vt:lpwstr>2cc49ce9-66a1-41ac-a96b-bdc54247696a</vt:lpwstr>
  </property>
  <property fmtid="{D5CDD505-2E9C-101B-9397-08002B2CF9AE}" pid="4" name="MSIP_Label_390254f4-34d0-49c5-b888-af4abf762ef7_Owner">
    <vt:lpwstr>Pavel.Sobisek@unicreditgroup.cz</vt:lpwstr>
  </property>
  <property fmtid="{D5CDD505-2E9C-101B-9397-08002B2CF9AE}" pid="5" name="MSIP_Label_390254f4-34d0-49c5-b888-af4abf762ef7_SetDate">
    <vt:lpwstr>2020-01-15T16:11:29.8787231Z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Application">
    <vt:lpwstr>Microsoft Azure Information Protection</vt:lpwstr>
  </property>
  <property fmtid="{D5CDD505-2E9C-101B-9397-08002B2CF9AE}" pid="8" name="MSIP_Label_390254f4-34d0-49c5-b888-af4abf762ef7_ActionId">
    <vt:lpwstr>43f3763f-d3c6-435c-ae50-a4a40081b5fb</vt:lpwstr>
  </property>
  <property fmtid="{D5CDD505-2E9C-101B-9397-08002B2CF9AE}" pid="9" name="MSIP_Label_390254f4-34d0-49c5-b888-af4abf762ef7_Extended_MSFT_Method">
    <vt:lpwstr>Automatic</vt:lpwstr>
  </property>
  <property fmtid="{D5CDD505-2E9C-101B-9397-08002B2CF9AE}" pid="10" name="MSIP_Label_faa92781-1fcb-4da3-a1a2-e534c28a25f3_Enabled">
    <vt:lpwstr>True</vt:lpwstr>
  </property>
  <property fmtid="{D5CDD505-2E9C-101B-9397-08002B2CF9AE}" pid="11" name="MSIP_Label_faa92781-1fcb-4da3-a1a2-e534c28a25f3_SiteId">
    <vt:lpwstr>2cc49ce9-66a1-41ac-a96b-bdc54247696a</vt:lpwstr>
  </property>
  <property fmtid="{D5CDD505-2E9C-101B-9397-08002B2CF9AE}" pid="12" name="MSIP_Label_faa92781-1fcb-4da3-a1a2-e534c28a25f3_Owner">
    <vt:lpwstr>Pavel.Sobisek@unicreditgroup.cz</vt:lpwstr>
  </property>
  <property fmtid="{D5CDD505-2E9C-101B-9397-08002B2CF9AE}" pid="13" name="MSIP_Label_faa92781-1fcb-4da3-a1a2-e534c28a25f3_SetDate">
    <vt:lpwstr>2020-01-15T16:11:29.8787231Z</vt:lpwstr>
  </property>
  <property fmtid="{D5CDD505-2E9C-101B-9397-08002B2CF9AE}" pid="14" name="MSIP_Label_faa92781-1fcb-4da3-a1a2-e534c28a25f3_Name">
    <vt:lpwstr>in UniCredit Group - no visual markings</vt:lpwstr>
  </property>
  <property fmtid="{D5CDD505-2E9C-101B-9397-08002B2CF9AE}" pid="15" name="MSIP_Label_faa92781-1fcb-4da3-a1a2-e534c28a25f3_Application">
    <vt:lpwstr>Microsoft Azure Information Protection</vt:lpwstr>
  </property>
  <property fmtid="{D5CDD505-2E9C-101B-9397-08002B2CF9AE}" pid="16" name="MSIP_Label_faa92781-1fcb-4da3-a1a2-e534c28a25f3_ActionId">
    <vt:lpwstr>43f3763f-d3c6-435c-ae50-a4a40081b5fb</vt:lpwstr>
  </property>
  <property fmtid="{D5CDD505-2E9C-101B-9397-08002B2CF9AE}" pid="17" name="MSIP_Label_faa92781-1fcb-4da3-a1a2-e534c28a25f3_Parent">
    <vt:lpwstr>390254f4-34d0-49c5-b888-af4abf762ef7</vt:lpwstr>
  </property>
  <property fmtid="{D5CDD505-2E9C-101B-9397-08002B2CF9AE}" pid="18" name="MSIP_Label_faa92781-1fcb-4da3-a1a2-e534c28a25f3_Extended_MSFT_Method">
    <vt:lpwstr>Automatic</vt:lpwstr>
  </property>
  <property fmtid="{D5CDD505-2E9C-101B-9397-08002B2CF9AE}" pid="19" name="Sensitivity">
    <vt:lpwstr>Internal Use Only in UniCredit Group - no visual markings</vt:lpwstr>
  </property>
  <property fmtid="{D5CDD505-2E9C-101B-9397-08002B2CF9AE}" pid="20" name="MSIP_Label_2b3a104e-2916-42dc-a2f6-6210338509ed_Enabled">
    <vt:lpwstr>True</vt:lpwstr>
  </property>
  <property fmtid="{D5CDD505-2E9C-101B-9397-08002B2CF9AE}" pid="21" name="MSIP_Label_2b3a104e-2916-42dc-a2f6-6210338509ed_SiteId">
    <vt:lpwstr>e70aafb3-2e89-46a5-ba50-66803e8a4411</vt:lpwstr>
  </property>
  <property fmtid="{D5CDD505-2E9C-101B-9397-08002B2CF9AE}" pid="22" name="MSIP_Label_2b3a104e-2916-42dc-a2f6-6210338509ed_Owner">
    <vt:lpwstr>cen87316@csin.cz</vt:lpwstr>
  </property>
  <property fmtid="{D5CDD505-2E9C-101B-9397-08002B2CF9AE}" pid="23" name="MSIP_Label_2b3a104e-2916-42dc-a2f6-6210338509ed_SetDate">
    <vt:lpwstr>2020-01-17T08:10:02.3455520Z</vt:lpwstr>
  </property>
  <property fmtid="{D5CDD505-2E9C-101B-9397-08002B2CF9AE}" pid="24" name="MSIP_Label_2b3a104e-2916-42dc-a2f6-6210338509ed_Name">
    <vt:lpwstr>CS Internal</vt:lpwstr>
  </property>
  <property fmtid="{D5CDD505-2E9C-101B-9397-08002B2CF9AE}" pid="25" name="MSIP_Label_2b3a104e-2916-42dc-a2f6-6210338509ed_Application">
    <vt:lpwstr>Microsoft Azure Information Protection</vt:lpwstr>
  </property>
  <property fmtid="{D5CDD505-2E9C-101B-9397-08002B2CF9AE}" pid="26" name="MSIP_Label_2b3a104e-2916-42dc-a2f6-6210338509ed_ActionId">
    <vt:lpwstr>60b9ebe4-46ae-459c-bf59-6a05f328379e</vt:lpwstr>
  </property>
  <property fmtid="{D5CDD505-2E9C-101B-9397-08002B2CF9AE}" pid="27" name="MSIP_Label_2b3a104e-2916-42dc-a2f6-6210338509ed_Extended_MSFT_Method">
    <vt:lpwstr>Automatic</vt:lpwstr>
  </property>
  <property fmtid="{D5CDD505-2E9C-101B-9397-08002B2CF9AE}" pid="28" name="MSIP_Label_076d9757-80ae-4c87-b4d7-9ffa7a0710d0_Enabled">
    <vt:lpwstr>true</vt:lpwstr>
  </property>
  <property fmtid="{D5CDD505-2E9C-101B-9397-08002B2CF9AE}" pid="29" name="MSIP_Label_076d9757-80ae-4c87-b4d7-9ffa7a0710d0_SetDate">
    <vt:lpwstr>2021-05-09T16:09:36Z</vt:lpwstr>
  </property>
  <property fmtid="{D5CDD505-2E9C-101B-9397-08002B2CF9AE}" pid="30" name="MSIP_Label_076d9757-80ae-4c87-b4d7-9ffa7a0710d0_Method">
    <vt:lpwstr>Standard</vt:lpwstr>
  </property>
  <property fmtid="{D5CDD505-2E9C-101B-9397-08002B2CF9AE}" pid="31" name="MSIP_Label_076d9757-80ae-4c87-b4d7-9ffa7a0710d0_Name">
    <vt:lpwstr>C1 - Internal</vt:lpwstr>
  </property>
  <property fmtid="{D5CDD505-2E9C-101B-9397-08002B2CF9AE}" pid="32" name="MSIP_Label_076d9757-80ae-4c87-b4d7-9ffa7a0710d0_SiteId">
    <vt:lpwstr>c79e7c80-cff5-4503-b468-3702cea89272</vt:lpwstr>
  </property>
  <property fmtid="{D5CDD505-2E9C-101B-9397-08002B2CF9AE}" pid="33" name="MSIP_Label_076d9757-80ae-4c87-b4d7-9ffa7a0710d0_ActionId">
    <vt:lpwstr>e6da5af1-39f2-4f2b-b59b-984e27099740</vt:lpwstr>
  </property>
  <property fmtid="{D5CDD505-2E9C-101B-9397-08002B2CF9AE}" pid="34" name="MSIP_Label_076d9757-80ae-4c87-b4d7-9ffa7a0710d0_ContentBits">
    <vt:lpwstr>0</vt:lpwstr>
  </property>
  <property fmtid="{D5CDD505-2E9C-101B-9397-08002B2CF9AE}" pid="35" name="Kod_Duvernosti">
    <vt:lpwstr>KB_C1_INTERNAL_992521</vt:lpwstr>
  </property>
  <property fmtid="{D5CDD505-2E9C-101B-9397-08002B2CF9AE}" pid="36" name="MSIP_Label_2a6524ed-fb1a-49fd-bafe-15c5e5ffd047_Enabled">
    <vt:lpwstr>true</vt:lpwstr>
  </property>
  <property fmtid="{D5CDD505-2E9C-101B-9397-08002B2CF9AE}" pid="37" name="MSIP_Label_2a6524ed-fb1a-49fd-bafe-15c5e5ffd047_SetDate">
    <vt:lpwstr>2021-05-10T05:54:55Z</vt:lpwstr>
  </property>
  <property fmtid="{D5CDD505-2E9C-101B-9397-08002B2CF9AE}" pid="38" name="MSIP_Label_2a6524ed-fb1a-49fd-bafe-15c5e5ffd047_Method">
    <vt:lpwstr>Standard</vt:lpwstr>
  </property>
  <property fmtid="{D5CDD505-2E9C-101B-9397-08002B2CF9AE}" pid="39" name="MSIP_Label_2a6524ed-fb1a-49fd-bafe-15c5e5ffd047_Name">
    <vt:lpwstr>Internal</vt:lpwstr>
  </property>
  <property fmtid="{D5CDD505-2E9C-101B-9397-08002B2CF9AE}" pid="40" name="MSIP_Label_2a6524ed-fb1a-49fd-bafe-15c5e5ffd047_SiteId">
    <vt:lpwstr>9b511fda-f0b1-43a5-b06e-1e720f64520a</vt:lpwstr>
  </property>
  <property fmtid="{D5CDD505-2E9C-101B-9397-08002B2CF9AE}" pid="41" name="MSIP_Label_2a6524ed-fb1a-49fd-bafe-15c5e5ffd047_ActionId">
    <vt:lpwstr>6e16e441-bca8-45fa-8e42-4b14b422a2ce</vt:lpwstr>
  </property>
  <property fmtid="{D5CDD505-2E9C-101B-9397-08002B2CF9AE}" pid="42" name="MSIP_Label_2a6524ed-fb1a-49fd-bafe-15c5e5ffd047_ContentBits">
    <vt:lpwstr>0</vt:lpwstr>
  </property>
</Properties>
</file>