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single" w:sz="36" w:space="0" w:color="13576B"/>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3"/>
      </w:tblGrid>
      <w:tr w:rsidR="00563240" w:rsidRPr="00635D8B" w14:paraId="4BF395A8" w14:textId="77777777" w:rsidTr="00563240">
        <w:tc>
          <w:tcPr>
            <w:tcW w:w="10196" w:type="dxa"/>
            <w:tcBorders>
              <w:left w:val="single" w:sz="18" w:space="0" w:color="13576B"/>
            </w:tcBorders>
            <w:vAlign w:val="center"/>
          </w:tcPr>
          <w:p w14:paraId="60131CE3" w14:textId="77777777" w:rsidR="00172FE8" w:rsidRPr="005D6D59" w:rsidRDefault="00172FE8" w:rsidP="00172FE8">
            <w:pPr>
              <w:rPr>
                <w:rFonts w:cs="Arial"/>
                <w:b/>
                <w:color w:val="007E79"/>
                <w:sz w:val="28"/>
                <w:szCs w:val="28"/>
              </w:rPr>
            </w:pPr>
            <w:bookmarkStart w:id="0" w:name="_Hlk89175450"/>
            <w:bookmarkEnd w:id="0"/>
            <w:r w:rsidRPr="005D6D59">
              <w:rPr>
                <w:rFonts w:cs="Arial"/>
                <w:b/>
                <w:color w:val="13576B"/>
                <w:sz w:val="28"/>
                <w:szCs w:val="28"/>
              </w:rPr>
              <w:t>Komentář České bankovní asociace k vývoji vkladů, úvěrů a nevýkonných úvěrů za prosinec 2021 dle statistik ČNB</w:t>
            </w:r>
          </w:p>
          <w:p w14:paraId="58482A4C" w14:textId="77777777" w:rsidR="00172FE8" w:rsidRDefault="00172FE8" w:rsidP="00172FE8">
            <w:pPr>
              <w:rPr>
                <w:rFonts w:ascii="Calibri" w:hAnsi="Calibri" w:cs="Arial"/>
                <w:color w:val="13576B"/>
                <w:szCs w:val="18"/>
              </w:rPr>
            </w:pPr>
          </w:p>
          <w:p w14:paraId="638B8CC9" w14:textId="77777777" w:rsidR="00172FE8" w:rsidRPr="005D6D59" w:rsidRDefault="00172FE8" w:rsidP="00172FE8">
            <w:pPr>
              <w:spacing w:line="276" w:lineRule="auto"/>
              <w:rPr>
                <w:rFonts w:cs="Arial"/>
                <w:b/>
                <w:color w:val="13576B"/>
              </w:rPr>
            </w:pPr>
            <w:r w:rsidRPr="005D6D59">
              <w:rPr>
                <w:rFonts w:cs="Arial"/>
                <w:b/>
                <w:color w:val="13576B"/>
                <w:sz w:val="22"/>
                <w:szCs w:val="22"/>
              </w:rPr>
              <w:t xml:space="preserve">Autor: </w:t>
            </w:r>
            <w:r w:rsidRPr="005D6D59">
              <w:rPr>
                <w:rFonts w:cs="Arial"/>
                <w:b/>
                <w:color w:val="13576B"/>
                <w:sz w:val="22"/>
                <w:szCs w:val="24"/>
              </w:rPr>
              <w:t xml:space="preserve">Miroslav Zámečník, hlavní poradce České bankovní asociace </w:t>
            </w:r>
          </w:p>
          <w:p w14:paraId="11ECFEB1" w14:textId="08473A35" w:rsidR="008659E6" w:rsidRPr="00172FE8" w:rsidRDefault="00172FE8" w:rsidP="00172FE8">
            <w:pPr>
              <w:spacing w:line="276" w:lineRule="auto"/>
              <w:rPr>
                <w:rFonts w:ascii="Calibri" w:hAnsi="Calibri" w:cs="Arial"/>
                <w:b/>
                <w:color w:val="13576B"/>
                <w:sz w:val="22"/>
                <w:szCs w:val="22"/>
              </w:rPr>
            </w:pPr>
            <w:r w:rsidRPr="005D6D59">
              <w:rPr>
                <w:rFonts w:cs="Arial"/>
                <w:b/>
                <w:color w:val="13576B"/>
                <w:sz w:val="22"/>
                <w:szCs w:val="22"/>
              </w:rPr>
              <w:t xml:space="preserve">Praha, </w:t>
            </w:r>
            <w:r w:rsidR="006955C2">
              <w:rPr>
                <w:rFonts w:cs="Arial"/>
                <w:b/>
                <w:color w:val="13576B"/>
                <w:sz w:val="22"/>
                <w:szCs w:val="22"/>
              </w:rPr>
              <w:t>1. února</w:t>
            </w:r>
            <w:r w:rsidRPr="005D6D59">
              <w:rPr>
                <w:rFonts w:cs="Arial"/>
                <w:b/>
                <w:color w:val="13576B"/>
                <w:sz w:val="22"/>
                <w:szCs w:val="22"/>
              </w:rPr>
              <w:t xml:space="preserve"> 2022</w:t>
            </w:r>
          </w:p>
        </w:tc>
      </w:tr>
    </w:tbl>
    <w:p w14:paraId="2D09FF4E" w14:textId="77777777" w:rsidR="00563240" w:rsidRPr="00635D8B" w:rsidRDefault="00563240" w:rsidP="00563240">
      <w:pPr>
        <w:spacing w:after="120" w:line="276" w:lineRule="auto"/>
        <w:rPr>
          <w:rFonts w:cs="Arial"/>
          <w:b/>
          <w:bCs/>
          <w:color w:val="13576B"/>
          <w:sz w:val="28"/>
          <w:szCs w:val="28"/>
        </w:rPr>
      </w:pPr>
    </w:p>
    <w:p w14:paraId="5FA859D6" w14:textId="7E1ECA56" w:rsidR="00172FE8" w:rsidRPr="005D6D59" w:rsidRDefault="00172FE8" w:rsidP="00172FE8">
      <w:pPr>
        <w:rPr>
          <w:rFonts w:cs="Arial"/>
          <w:b/>
          <w:color w:val="13576B"/>
          <w:sz w:val="24"/>
          <w:szCs w:val="24"/>
        </w:rPr>
      </w:pPr>
      <w:r w:rsidRPr="005D6D59">
        <w:rPr>
          <w:rFonts w:cs="Arial"/>
          <w:b/>
          <w:color w:val="13576B"/>
          <w:sz w:val="24"/>
          <w:szCs w:val="24"/>
        </w:rPr>
        <w:t xml:space="preserve">Vklady obyvatel a úvěry obyvatelstvu rostly, u firem klesaly </w:t>
      </w:r>
    </w:p>
    <w:p w14:paraId="588B44DA" w14:textId="77777777" w:rsidR="00172FE8" w:rsidRPr="005D6D59" w:rsidRDefault="00172FE8" w:rsidP="00172FE8">
      <w:pPr>
        <w:rPr>
          <w:rFonts w:cs="Arial"/>
          <w:sz w:val="22"/>
          <w:szCs w:val="22"/>
        </w:rPr>
      </w:pPr>
    </w:p>
    <w:p w14:paraId="71DD3E6D" w14:textId="77777777" w:rsidR="00172FE8" w:rsidRPr="005D6D59" w:rsidRDefault="00172FE8" w:rsidP="00172FE8">
      <w:pPr>
        <w:rPr>
          <w:rFonts w:cs="Arial"/>
          <w:bCs/>
          <w:color w:val="000000" w:themeColor="text1"/>
          <w:sz w:val="22"/>
          <w:szCs w:val="22"/>
        </w:rPr>
      </w:pPr>
      <w:r w:rsidRPr="005D6D59">
        <w:rPr>
          <w:rFonts w:cs="Arial"/>
          <w:b/>
          <w:color w:val="000000" w:themeColor="text1"/>
          <w:sz w:val="22"/>
          <w:szCs w:val="22"/>
        </w:rPr>
        <w:t>Vklady obyvatel</w:t>
      </w:r>
      <w:r w:rsidRPr="005D6D59">
        <w:rPr>
          <w:rFonts w:cs="Arial"/>
          <w:bCs/>
          <w:color w:val="000000" w:themeColor="text1"/>
          <w:sz w:val="22"/>
          <w:szCs w:val="22"/>
        </w:rPr>
        <w:t xml:space="preserve"> v bankách, počítáno v korunách i cizí měně, překonaly již v srpnu loňského roku magickou hranici tří bilionů korun, v prosinci pak stouply o 7,412 miliardy korun, a celý rok uzavřely vzestupem o 197,6 miliardy korun na 3,020 bilionu korun. Výsledný meziroční vzestup je tak rychlejší než průměrná spotřebitelská inflace. Ještě čilejší pak byla poptávka po úvěrech. Ze statistik sestavovaných Českou národní bankou (ČNB) vyplývá, že </w:t>
      </w:r>
      <w:r w:rsidRPr="005D6D59">
        <w:rPr>
          <w:rFonts w:cs="Arial"/>
          <w:b/>
          <w:color w:val="000000" w:themeColor="text1"/>
          <w:sz w:val="22"/>
          <w:szCs w:val="22"/>
        </w:rPr>
        <w:t>úvěry obyvatelstvu</w:t>
      </w:r>
      <w:r w:rsidRPr="005D6D59">
        <w:rPr>
          <w:rFonts w:cs="Arial"/>
          <w:bCs/>
          <w:color w:val="000000" w:themeColor="text1"/>
          <w:sz w:val="22"/>
          <w:szCs w:val="22"/>
        </w:rPr>
        <w:t>, zejména díky pokračující poptávce po hypotékách, stouply meziročně o 10,5 % na 1,948 bilionu korun. Výsledné saldo mezi vklady a úvěry obyvatelstva pak v prosinci o 72 miliard korun překročilo biliónovou hranici.</w:t>
      </w:r>
    </w:p>
    <w:p w14:paraId="4FB0D6A1" w14:textId="77777777" w:rsidR="00172FE8" w:rsidRPr="005D6D59" w:rsidRDefault="00172FE8" w:rsidP="00172FE8">
      <w:pPr>
        <w:rPr>
          <w:rFonts w:cs="Arial"/>
          <w:bCs/>
          <w:color w:val="000000" w:themeColor="text1"/>
          <w:sz w:val="22"/>
          <w:szCs w:val="22"/>
        </w:rPr>
      </w:pPr>
    </w:p>
    <w:p w14:paraId="4E26C238" w14:textId="77777777" w:rsidR="00172FE8" w:rsidRPr="005D6D59" w:rsidRDefault="00172FE8" w:rsidP="00172FE8">
      <w:pPr>
        <w:rPr>
          <w:rFonts w:cs="Arial"/>
          <w:bCs/>
          <w:color w:val="000000" w:themeColor="text1"/>
          <w:sz w:val="22"/>
          <w:szCs w:val="22"/>
        </w:rPr>
      </w:pPr>
      <w:r w:rsidRPr="005D6D59">
        <w:rPr>
          <w:rFonts w:cs="Arial"/>
          <w:b/>
          <w:color w:val="000000" w:themeColor="text1"/>
          <w:sz w:val="22"/>
          <w:szCs w:val="22"/>
        </w:rPr>
        <w:t>Živnostníci</w:t>
      </w:r>
      <w:r w:rsidRPr="005D6D59">
        <w:rPr>
          <w:rFonts w:cs="Arial"/>
          <w:bCs/>
          <w:color w:val="000000" w:themeColor="text1"/>
          <w:sz w:val="22"/>
          <w:szCs w:val="22"/>
        </w:rPr>
        <w:t xml:space="preserve"> v prosinci nepatrně zvýšili čerpání úvěrů, jejich vklady klesly o zhruba dvě miliardy korun, ale i tak měli na vkladech koncem roku o 123,4 miliardy korun více, než kolik si od bank vypůjčili. Převis vkladů nad úvěry je nejvyšší za posledních zhruba dvacet let.</w:t>
      </w:r>
    </w:p>
    <w:p w14:paraId="3FF5AF1E" w14:textId="77777777" w:rsidR="00172FE8" w:rsidRDefault="00172FE8" w:rsidP="00172FE8">
      <w:pPr>
        <w:rPr>
          <w:rFonts w:ascii="Calibri" w:hAnsi="Calibri" w:cs="Arial"/>
          <w:bCs/>
          <w:color w:val="000000" w:themeColor="text1"/>
          <w:sz w:val="22"/>
          <w:szCs w:val="22"/>
        </w:rPr>
      </w:pPr>
    </w:p>
    <w:p w14:paraId="4F4BE465" w14:textId="77777777" w:rsidR="00172FE8" w:rsidRDefault="00172FE8" w:rsidP="00172FE8">
      <w:pPr>
        <w:rPr>
          <w:rFonts w:ascii="Calibri" w:hAnsi="Calibri" w:cs="Arial"/>
          <w:bCs/>
          <w:color w:val="000000" w:themeColor="text1"/>
          <w:sz w:val="22"/>
          <w:szCs w:val="22"/>
        </w:rPr>
      </w:pPr>
    </w:p>
    <w:p w14:paraId="2D85D002" w14:textId="77777777" w:rsidR="00172FE8" w:rsidRPr="005D6D59" w:rsidRDefault="00172FE8" w:rsidP="00172FE8">
      <w:pPr>
        <w:jc w:val="left"/>
        <w:rPr>
          <w:rFonts w:cs="Arial"/>
          <w:color w:val="000000"/>
          <w:sz w:val="22"/>
          <w:szCs w:val="22"/>
          <w:lang w:eastAsia="en-GB"/>
        </w:rPr>
      </w:pPr>
      <w:r w:rsidRPr="005D6D59">
        <w:rPr>
          <w:rFonts w:cs="Arial"/>
          <w:b/>
          <w:bCs/>
          <w:color w:val="000000"/>
          <w:sz w:val="22"/>
          <w:szCs w:val="22"/>
          <w:lang w:eastAsia="en-GB"/>
        </w:rPr>
        <w:t>Vývoj úvěrů a vkladů (v mil. Kč)</w:t>
      </w:r>
    </w:p>
    <w:p w14:paraId="0189A3FD" w14:textId="77777777" w:rsidR="00172FE8" w:rsidRDefault="00172FE8" w:rsidP="00172FE8">
      <w:pPr>
        <w:rPr>
          <w:rFonts w:cs="Arial"/>
          <w:color w:val="000000"/>
          <w:sz w:val="20"/>
          <w:lang w:eastAsia="en-GB"/>
        </w:rPr>
      </w:pPr>
      <w:r w:rsidRPr="00FC228B">
        <w:rPr>
          <w:rFonts w:cs="Arial"/>
          <w:noProof/>
          <w:sz w:val="20"/>
          <w:lang w:val="en-GB" w:eastAsia="en-GB"/>
        </w:rPr>
        <mc:AlternateContent>
          <mc:Choice Requires="wps">
            <w:drawing>
              <wp:anchor distT="45720" distB="45720" distL="114300" distR="114300" simplePos="0" relativeHeight="251660288" behindDoc="1" locked="0" layoutInCell="1" allowOverlap="1" wp14:anchorId="2AF86B5B" wp14:editId="173B5D2D">
                <wp:simplePos x="0" y="0"/>
                <wp:positionH relativeFrom="column">
                  <wp:posOffset>2669540</wp:posOffset>
                </wp:positionH>
                <wp:positionV relativeFrom="paragraph">
                  <wp:posOffset>1472202</wp:posOffset>
                </wp:positionV>
                <wp:extent cx="3686175" cy="2762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6225"/>
                        </a:xfrm>
                        <a:prstGeom prst="rect">
                          <a:avLst/>
                        </a:prstGeom>
                        <a:noFill/>
                        <a:ln w="9525">
                          <a:noFill/>
                          <a:miter lim="800000"/>
                          <a:headEnd/>
                          <a:tailEnd/>
                        </a:ln>
                      </wps:spPr>
                      <wps:txbx>
                        <w:txbxContent>
                          <w:p w14:paraId="559DC839" w14:textId="77777777" w:rsidR="00172FE8" w:rsidRPr="00280D31" w:rsidRDefault="00172FE8" w:rsidP="00172FE8">
                            <w:pPr>
                              <w:rPr>
                                <w:rFonts w:ascii="Calibri" w:hAnsi="Calibri"/>
                                <w:i/>
                                <w:iCs/>
                                <w:sz w:val="16"/>
                                <w:szCs w:val="18"/>
                              </w:rPr>
                            </w:pPr>
                            <w:r w:rsidRPr="00280D31">
                              <w:rPr>
                                <w:rFonts w:ascii="Calibri" w:hAnsi="Calibri"/>
                                <w:i/>
                                <w:iCs/>
                                <w:sz w:val="16"/>
                                <w:szCs w:val="18"/>
                              </w:rPr>
                              <w:t>Zdroj: ČNB (ARAD), vklady a úvěry rezidentů dle sektorového hlediska (Kč + cizí měna)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86B5B" id="_x0000_t202" coordsize="21600,21600" o:spt="202" path="m,l,21600r21600,l21600,xe">
                <v:stroke joinstyle="miter"/>
                <v:path gradientshapeok="t" o:connecttype="rect"/>
              </v:shapetype>
              <v:shape id="Textové pole 2" o:spid="_x0000_s1026" type="#_x0000_t202" style="position:absolute;left:0;text-align:left;margin-left:210.2pt;margin-top:115.9pt;width:290.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" filled="f" stroked="f">
                <v:textbox>
                  <w:txbxContent>
                    <w:p w14:paraId="559DC839" w14:textId="77777777" w:rsidR="00172FE8" w:rsidRPr="00280D31" w:rsidRDefault="00172FE8" w:rsidP="00172FE8">
                      <w:pPr>
                        <w:rPr>
                          <w:rFonts w:ascii="Calibri" w:hAnsi="Calibri"/>
                          <w:i/>
                          <w:iCs/>
                          <w:sz w:val="16"/>
                          <w:szCs w:val="18"/>
                        </w:rPr>
                      </w:pPr>
                      <w:r w:rsidRPr="00280D31">
                        <w:rPr>
                          <w:rFonts w:ascii="Calibri" w:hAnsi="Calibri"/>
                          <w:i/>
                          <w:iCs/>
                          <w:sz w:val="16"/>
                          <w:szCs w:val="18"/>
                        </w:rPr>
                        <w:t>Zdroj: ČNB (ARAD), vklady a úvěry rezidentů dle sektorového hlediska (Kč + cizí měna)</w:t>
                      </w:r>
                    </w:p>
                  </w:txbxContent>
                </v:textbox>
              </v:shape>
            </w:pict>
          </mc:Fallback>
        </mc:AlternateContent>
      </w:r>
    </w:p>
    <w:tbl>
      <w:tblPr>
        <w:tblW w:w="9927" w:type="dxa"/>
        <w:tblCellMar>
          <w:left w:w="70" w:type="dxa"/>
          <w:right w:w="70" w:type="dxa"/>
        </w:tblCellMar>
        <w:tblLook w:val="04A0" w:firstRow="1" w:lastRow="0" w:firstColumn="1" w:lastColumn="0" w:noHBand="0" w:noVBand="1"/>
      </w:tblPr>
      <w:tblGrid>
        <w:gridCol w:w="1712"/>
        <w:gridCol w:w="1368"/>
        <w:gridCol w:w="1227"/>
        <w:gridCol w:w="1362"/>
        <w:gridCol w:w="1498"/>
        <w:gridCol w:w="1308"/>
        <w:gridCol w:w="1452"/>
      </w:tblGrid>
      <w:tr w:rsidR="00172FE8" w:rsidRPr="00D01455" w14:paraId="12BF4AC1" w14:textId="77777777" w:rsidTr="004B7162">
        <w:trPr>
          <w:trHeight w:val="405"/>
        </w:trPr>
        <w:tc>
          <w:tcPr>
            <w:tcW w:w="1712" w:type="dxa"/>
            <w:vMerge w:val="restart"/>
            <w:tcBorders>
              <w:top w:val="single" w:sz="4" w:space="0" w:color="auto"/>
              <w:left w:val="single" w:sz="4" w:space="0" w:color="auto"/>
              <w:right w:val="single" w:sz="4" w:space="0" w:color="auto"/>
            </w:tcBorders>
            <w:shd w:val="clear" w:color="auto" w:fill="007E79"/>
            <w:vAlign w:val="center"/>
            <w:hideMark/>
          </w:tcPr>
          <w:p w14:paraId="1864CA6C"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Období</w:t>
            </w:r>
          </w:p>
        </w:tc>
        <w:tc>
          <w:tcPr>
            <w:tcW w:w="3957" w:type="dxa"/>
            <w:gridSpan w:val="3"/>
            <w:tcBorders>
              <w:top w:val="single" w:sz="4" w:space="0" w:color="auto"/>
              <w:left w:val="single" w:sz="4" w:space="0" w:color="auto"/>
              <w:bottom w:val="single" w:sz="4" w:space="0" w:color="auto"/>
              <w:right w:val="single" w:sz="4" w:space="0" w:color="auto"/>
            </w:tcBorders>
            <w:shd w:val="clear" w:color="auto" w:fill="007E79"/>
            <w:vAlign w:val="center"/>
            <w:hideMark/>
          </w:tcPr>
          <w:p w14:paraId="6DB65CD6"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Domácnosti – živnosti</w:t>
            </w:r>
          </w:p>
        </w:tc>
        <w:tc>
          <w:tcPr>
            <w:tcW w:w="4258" w:type="dxa"/>
            <w:gridSpan w:val="3"/>
            <w:tcBorders>
              <w:top w:val="single" w:sz="4" w:space="0" w:color="auto"/>
              <w:left w:val="single" w:sz="4" w:space="0" w:color="auto"/>
              <w:bottom w:val="single" w:sz="4" w:space="0" w:color="auto"/>
              <w:right w:val="single" w:sz="4" w:space="0" w:color="auto"/>
            </w:tcBorders>
            <w:shd w:val="clear" w:color="auto" w:fill="007E79"/>
            <w:vAlign w:val="center"/>
          </w:tcPr>
          <w:p w14:paraId="08146DA7"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Domácnosti – obyvatelstvo</w:t>
            </w:r>
          </w:p>
        </w:tc>
      </w:tr>
      <w:tr w:rsidR="00172FE8" w:rsidRPr="00D01455" w14:paraId="5253574D" w14:textId="77777777" w:rsidTr="004B7162">
        <w:trPr>
          <w:trHeight w:val="405"/>
        </w:trPr>
        <w:tc>
          <w:tcPr>
            <w:tcW w:w="1712" w:type="dxa"/>
            <w:vMerge/>
            <w:tcBorders>
              <w:left w:val="single" w:sz="4" w:space="0" w:color="auto"/>
              <w:bottom w:val="single" w:sz="4" w:space="0" w:color="auto"/>
              <w:right w:val="single" w:sz="4" w:space="0" w:color="auto"/>
            </w:tcBorders>
            <w:shd w:val="clear" w:color="auto" w:fill="007E79"/>
            <w:vAlign w:val="center"/>
          </w:tcPr>
          <w:p w14:paraId="4FA39299"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007E79"/>
            <w:vAlign w:val="center"/>
          </w:tcPr>
          <w:p w14:paraId="513BD22B"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vklady</w:t>
            </w:r>
          </w:p>
        </w:tc>
        <w:tc>
          <w:tcPr>
            <w:tcW w:w="1227" w:type="dxa"/>
            <w:tcBorders>
              <w:top w:val="single" w:sz="4" w:space="0" w:color="auto"/>
              <w:left w:val="single" w:sz="4" w:space="0" w:color="auto"/>
              <w:bottom w:val="single" w:sz="4" w:space="0" w:color="auto"/>
              <w:right w:val="single" w:sz="4" w:space="0" w:color="auto"/>
            </w:tcBorders>
            <w:shd w:val="clear" w:color="auto" w:fill="007E79"/>
            <w:vAlign w:val="center"/>
          </w:tcPr>
          <w:p w14:paraId="7EFAAC9C"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úvěry</w:t>
            </w:r>
          </w:p>
        </w:tc>
        <w:tc>
          <w:tcPr>
            <w:tcW w:w="1362" w:type="dxa"/>
            <w:tcBorders>
              <w:top w:val="single" w:sz="4" w:space="0" w:color="auto"/>
              <w:left w:val="single" w:sz="4" w:space="0" w:color="auto"/>
              <w:bottom w:val="single" w:sz="4" w:space="0" w:color="auto"/>
              <w:right w:val="single" w:sz="4" w:space="0" w:color="auto"/>
            </w:tcBorders>
            <w:shd w:val="clear" w:color="auto" w:fill="007E79"/>
            <w:vAlign w:val="center"/>
          </w:tcPr>
          <w:p w14:paraId="71BCD993"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saldo</w:t>
            </w:r>
          </w:p>
        </w:tc>
        <w:tc>
          <w:tcPr>
            <w:tcW w:w="1498" w:type="dxa"/>
            <w:tcBorders>
              <w:top w:val="single" w:sz="4" w:space="0" w:color="auto"/>
              <w:left w:val="single" w:sz="4" w:space="0" w:color="auto"/>
              <w:bottom w:val="single" w:sz="4" w:space="0" w:color="auto"/>
              <w:right w:val="single" w:sz="4" w:space="0" w:color="auto"/>
            </w:tcBorders>
            <w:shd w:val="clear" w:color="auto" w:fill="007E79"/>
            <w:vAlign w:val="center"/>
          </w:tcPr>
          <w:p w14:paraId="74F3D4CF"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vklady</w:t>
            </w:r>
          </w:p>
        </w:tc>
        <w:tc>
          <w:tcPr>
            <w:tcW w:w="1308" w:type="dxa"/>
            <w:tcBorders>
              <w:top w:val="single" w:sz="4" w:space="0" w:color="auto"/>
              <w:left w:val="single" w:sz="4" w:space="0" w:color="auto"/>
              <w:bottom w:val="single" w:sz="4" w:space="0" w:color="auto"/>
              <w:right w:val="single" w:sz="4" w:space="0" w:color="auto"/>
            </w:tcBorders>
            <w:shd w:val="clear" w:color="auto" w:fill="007E79"/>
            <w:vAlign w:val="center"/>
          </w:tcPr>
          <w:p w14:paraId="49380581"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úvěry</w:t>
            </w:r>
          </w:p>
        </w:tc>
        <w:tc>
          <w:tcPr>
            <w:tcW w:w="1452" w:type="dxa"/>
            <w:tcBorders>
              <w:top w:val="single" w:sz="4" w:space="0" w:color="auto"/>
              <w:left w:val="single" w:sz="4" w:space="0" w:color="auto"/>
              <w:bottom w:val="single" w:sz="4" w:space="0" w:color="auto"/>
              <w:right w:val="single" w:sz="4" w:space="0" w:color="auto"/>
            </w:tcBorders>
            <w:shd w:val="clear" w:color="auto" w:fill="007E79"/>
            <w:vAlign w:val="center"/>
          </w:tcPr>
          <w:p w14:paraId="05380CE5"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saldo</w:t>
            </w:r>
          </w:p>
        </w:tc>
      </w:tr>
      <w:tr w:rsidR="00172FE8" w:rsidRPr="00D01455" w14:paraId="3D92EEB2" w14:textId="77777777" w:rsidTr="004B7162">
        <w:trPr>
          <w:trHeight w:val="405"/>
        </w:trPr>
        <w:tc>
          <w:tcPr>
            <w:tcW w:w="1712" w:type="dxa"/>
            <w:tcBorders>
              <w:top w:val="single" w:sz="4" w:space="0" w:color="auto"/>
              <w:left w:val="single" w:sz="4" w:space="0" w:color="000000"/>
              <w:bottom w:val="single" w:sz="4" w:space="0" w:color="000000"/>
              <w:right w:val="single" w:sz="4" w:space="0" w:color="auto"/>
            </w:tcBorders>
            <w:shd w:val="clear" w:color="auto" w:fill="auto"/>
            <w:vAlign w:val="center"/>
          </w:tcPr>
          <w:p w14:paraId="624901F5"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31.12.2021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5DCFDCE"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171035</w:t>
            </w:r>
          </w:p>
          <w:p w14:paraId="2A018D99" w14:textId="77777777" w:rsidR="00172FE8" w:rsidRPr="005D6D59" w:rsidRDefault="00172FE8" w:rsidP="004B7162">
            <w:pPr>
              <w:overflowPunct/>
              <w:autoSpaceDE/>
              <w:autoSpaceDN/>
              <w:adjustRightInd/>
              <w:jc w:val="center"/>
              <w:textAlignment w:val="auto"/>
              <w:rPr>
                <w:rFonts w:cs="Arial"/>
                <w:color w:val="000000"/>
                <w:sz w:val="20"/>
                <w:lang w:eastAsia="en-GB"/>
              </w:rPr>
            </w:pPr>
          </w:p>
        </w:tc>
        <w:tc>
          <w:tcPr>
            <w:tcW w:w="1227" w:type="dxa"/>
            <w:tcBorders>
              <w:top w:val="single" w:sz="4" w:space="0" w:color="auto"/>
              <w:left w:val="single" w:sz="4" w:space="0" w:color="auto"/>
              <w:bottom w:val="single" w:sz="4" w:space="0" w:color="auto"/>
              <w:right w:val="single" w:sz="4" w:space="0" w:color="auto"/>
            </w:tcBorders>
            <w:vAlign w:val="center"/>
          </w:tcPr>
          <w:p w14:paraId="18A1DE2E"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47641,2</w:t>
            </w:r>
          </w:p>
          <w:p w14:paraId="14D55C03" w14:textId="77777777" w:rsidR="00172FE8" w:rsidRPr="005D6D59" w:rsidRDefault="00172FE8" w:rsidP="004B7162">
            <w:pPr>
              <w:overflowPunct/>
              <w:autoSpaceDE/>
              <w:autoSpaceDN/>
              <w:adjustRightInd/>
              <w:jc w:val="center"/>
              <w:textAlignment w:val="auto"/>
              <w:rPr>
                <w:rFonts w:cs="Arial"/>
                <w:color w:val="000000"/>
                <w:sz w:val="20"/>
                <w:lang w:eastAsia="en-GB"/>
              </w:rPr>
            </w:pPr>
          </w:p>
        </w:tc>
        <w:tc>
          <w:tcPr>
            <w:tcW w:w="1362" w:type="dxa"/>
            <w:tcBorders>
              <w:top w:val="single" w:sz="4" w:space="0" w:color="auto"/>
              <w:left w:val="single" w:sz="4" w:space="0" w:color="auto"/>
              <w:bottom w:val="single" w:sz="4" w:space="0" w:color="auto"/>
              <w:right w:val="single" w:sz="4" w:space="0" w:color="auto"/>
            </w:tcBorders>
            <w:vAlign w:val="center"/>
          </w:tcPr>
          <w:p w14:paraId="583795A3" w14:textId="77777777" w:rsidR="00172FE8" w:rsidRPr="005D6D59" w:rsidRDefault="00172FE8" w:rsidP="004B7162">
            <w:pPr>
              <w:overflowPunct/>
              <w:autoSpaceDE/>
              <w:autoSpaceDN/>
              <w:adjustRightInd/>
              <w:jc w:val="center"/>
              <w:textAlignment w:val="auto"/>
              <w:rPr>
                <w:rFonts w:cs="Arial"/>
                <w:color w:val="000000"/>
                <w:sz w:val="22"/>
                <w:szCs w:val="22"/>
                <w:lang w:eastAsia="en-GB"/>
              </w:rPr>
            </w:pPr>
            <w:r w:rsidRPr="005D6D59">
              <w:rPr>
                <w:rFonts w:cs="Arial"/>
                <w:color w:val="000000"/>
                <w:sz w:val="22"/>
                <w:szCs w:val="22"/>
              </w:rPr>
              <w:t>123393,8</w:t>
            </w:r>
          </w:p>
          <w:p w14:paraId="6774710B" w14:textId="77777777" w:rsidR="00172FE8" w:rsidRPr="005D6D59" w:rsidRDefault="00172FE8" w:rsidP="004B7162">
            <w:pPr>
              <w:overflowPunct/>
              <w:autoSpaceDE/>
              <w:autoSpaceDN/>
              <w:adjustRightInd/>
              <w:jc w:val="center"/>
              <w:textAlignment w:val="auto"/>
              <w:rPr>
                <w:rFonts w:cs="Arial"/>
                <w:color w:val="000000"/>
                <w:sz w:val="20"/>
                <w:lang w:eastAsia="en-GB"/>
              </w:rPr>
            </w:pPr>
          </w:p>
        </w:tc>
        <w:tc>
          <w:tcPr>
            <w:tcW w:w="1498" w:type="dxa"/>
            <w:tcBorders>
              <w:top w:val="single" w:sz="4" w:space="0" w:color="auto"/>
              <w:left w:val="single" w:sz="4" w:space="0" w:color="auto"/>
              <w:bottom w:val="single" w:sz="4" w:space="0" w:color="auto"/>
              <w:right w:val="single" w:sz="4" w:space="0" w:color="auto"/>
            </w:tcBorders>
            <w:vAlign w:val="center"/>
          </w:tcPr>
          <w:p w14:paraId="7921A33C"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3020385</w:t>
            </w:r>
          </w:p>
          <w:p w14:paraId="1A8038C0" w14:textId="77777777" w:rsidR="00172FE8" w:rsidRPr="005D6D59" w:rsidRDefault="00172FE8" w:rsidP="004B7162">
            <w:pPr>
              <w:overflowPunct/>
              <w:autoSpaceDE/>
              <w:autoSpaceDN/>
              <w:adjustRightInd/>
              <w:jc w:val="center"/>
              <w:textAlignment w:val="auto"/>
              <w:rPr>
                <w:rFonts w:cs="Arial"/>
                <w:color w:val="000000"/>
                <w:sz w:val="20"/>
                <w:lang w:eastAsia="en-GB"/>
              </w:rPr>
            </w:pPr>
          </w:p>
        </w:tc>
        <w:tc>
          <w:tcPr>
            <w:tcW w:w="1308" w:type="dxa"/>
            <w:tcBorders>
              <w:top w:val="single" w:sz="4" w:space="0" w:color="auto"/>
              <w:left w:val="single" w:sz="4" w:space="0" w:color="auto"/>
              <w:bottom w:val="single" w:sz="4" w:space="0" w:color="auto"/>
              <w:right w:val="single" w:sz="4" w:space="0" w:color="auto"/>
            </w:tcBorders>
            <w:vAlign w:val="center"/>
          </w:tcPr>
          <w:p w14:paraId="440DCC48"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1948112,4</w:t>
            </w:r>
          </w:p>
          <w:p w14:paraId="6062B847" w14:textId="77777777" w:rsidR="00172FE8" w:rsidRPr="005D6D59" w:rsidRDefault="00172FE8" w:rsidP="004B7162">
            <w:pPr>
              <w:overflowPunct/>
              <w:autoSpaceDE/>
              <w:autoSpaceDN/>
              <w:adjustRightInd/>
              <w:jc w:val="center"/>
              <w:textAlignment w:val="auto"/>
              <w:rPr>
                <w:rFonts w:cs="Arial"/>
                <w:color w:val="000000"/>
                <w:sz w:val="20"/>
                <w:lang w:eastAsia="en-GB"/>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64458A1" w14:textId="77777777" w:rsidR="00172FE8" w:rsidRPr="005D6D59" w:rsidRDefault="00172FE8" w:rsidP="004B7162">
            <w:pPr>
              <w:overflowPunct/>
              <w:autoSpaceDE/>
              <w:autoSpaceDN/>
              <w:adjustRightInd/>
              <w:jc w:val="center"/>
              <w:textAlignment w:val="auto"/>
              <w:rPr>
                <w:rFonts w:cs="Arial"/>
                <w:color w:val="000000"/>
                <w:sz w:val="22"/>
                <w:szCs w:val="22"/>
                <w:lang w:eastAsia="en-GB"/>
              </w:rPr>
            </w:pPr>
            <w:r w:rsidRPr="005D6D59">
              <w:rPr>
                <w:rFonts w:cs="Arial"/>
                <w:color w:val="000000"/>
                <w:sz w:val="22"/>
                <w:szCs w:val="22"/>
              </w:rPr>
              <w:t>1072273</w:t>
            </w:r>
          </w:p>
          <w:p w14:paraId="4708F45A" w14:textId="77777777" w:rsidR="00172FE8" w:rsidRPr="005D6D59" w:rsidRDefault="00172FE8" w:rsidP="004B7162">
            <w:pPr>
              <w:overflowPunct/>
              <w:autoSpaceDE/>
              <w:autoSpaceDN/>
              <w:adjustRightInd/>
              <w:jc w:val="center"/>
              <w:textAlignment w:val="auto"/>
              <w:rPr>
                <w:rFonts w:cs="Arial"/>
                <w:color w:val="000000"/>
                <w:sz w:val="20"/>
                <w:lang w:eastAsia="en-GB"/>
              </w:rPr>
            </w:pPr>
          </w:p>
        </w:tc>
      </w:tr>
      <w:tr w:rsidR="00172FE8" w:rsidRPr="00D01455" w14:paraId="522918AD" w14:textId="77777777" w:rsidTr="004B7162">
        <w:trPr>
          <w:trHeight w:val="405"/>
        </w:trPr>
        <w:tc>
          <w:tcPr>
            <w:tcW w:w="1712" w:type="dxa"/>
            <w:tcBorders>
              <w:top w:val="single" w:sz="4" w:space="0" w:color="auto"/>
              <w:left w:val="single" w:sz="4" w:space="0" w:color="000000"/>
              <w:bottom w:val="single" w:sz="4" w:space="0" w:color="000000"/>
              <w:right w:val="single" w:sz="4" w:space="0" w:color="auto"/>
            </w:tcBorders>
            <w:shd w:val="clear" w:color="auto" w:fill="auto"/>
            <w:vAlign w:val="center"/>
          </w:tcPr>
          <w:p w14:paraId="48DBFFE0"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31.12.2020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AF40CB7"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166 283,6</w:t>
            </w:r>
          </w:p>
        </w:tc>
        <w:tc>
          <w:tcPr>
            <w:tcW w:w="1227" w:type="dxa"/>
            <w:tcBorders>
              <w:top w:val="single" w:sz="4" w:space="0" w:color="auto"/>
              <w:left w:val="single" w:sz="4" w:space="0" w:color="auto"/>
              <w:bottom w:val="single" w:sz="4" w:space="0" w:color="auto"/>
              <w:right w:val="single" w:sz="4" w:space="0" w:color="auto"/>
            </w:tcBorders>
            <w:vAlign w:val="center"/>
          </w:tcPr>
          <w:p w14:paraId="3F98A83D"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47 008,1</w:t>
            </w:r>
          </w:p>
        </w:tc>
        <w:tc>
          <w:tcPr>
            <w:tcW w:w="1362" w:type="dxa"/>
            <w:tcBorders>
              <w:top w:val="single" w:sz="4" w:space="0" w:color="auto"/>
              <w:left w:val="single" w:sz="4" w:space="0" w:color="auto"/>
              <w:bottom w:val="single" w:sz="4" w:space="0" w:color="auto"/>
              <w:right w:val="single" w:sz="4" w:space="0" w:color="auto"/>
            </w:tcBorders>
            <w:vAlign w:val="center"/>
          </w:tcPr>
          <w:p w14:paraId="5E7B0B3E"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119 275,5</w:t>
            </w:r>
          </w:p>
        </w:tc>
        <w:tc>
          <w:tcPr>
            <w:tcW w:w="1498" w:type="dxa"/>
            <w:tcBorders>
              <w:top w:val="single" w:sz="4" w:space="0" w:color="auto"/>
              <w:left w:val="single" w:sz="4" w:space="0" w:color="auto"/>
              <w:bottom w:val="single" w:sz="4" w:space="0" w:color="auto"/>
              <w:right w:val="single" w:sz="4" w:space="0" w:color="auto"/>
            </w:tcBorders>
            <w:vAlign w:val="center"/>
          </w:tcPr>
          <w:p w14:paraId="316B369F"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2 822 763,1</w:t>
            </w:r>
          </w:p>
        </w:tc>
        <w:tc>
          <w:tcPr>
            <w:tcW w:w="1308" w:type="dxa"/>
            <w:tcBorders>
              <w:top w:val="single" w:sz="4" w:space="0" w:color="auto"/>
              <w:left w:val="single" w:sz="4" w:space="0" w:color="auto"/>
              <w:bottom w:val="single" w:sz="4" w:space="0" w:color="auto"/>
              <w:right w:val="single" w:sz="4" w:space="0" w:color="auto"/>
            </w:tcBorders>
            <w:vAlign w:val="center"/>
          </w:tcPr>
          <w:p w14:paraId="791B3738"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1 763 145,2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242247CC"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1 059 618,1</w:t>
            </w:r>
          </w:p>
        </w:tc>
      </w:tr>
      <w:tr w:rsidR="00172FE8" w:rsidRPr="00D01455" w14:paraId="51C36894" w14:textId="77777777" w:rsidTr="004B7162">
        <w:trPr>
          <w:trHeight w:val="405"/>
        </w:trPr>
        <w:tc>
          <w:tcPr>
            <w:tcW w:w="1712" w:type="dxa"/>
            <w:tcBorders>
              <w:top w:val="single" w:sz="4" w:space="0" w:color="auto"/>
              <w:left w:val="single" w:sz="4" w:space="0" w:color="000000"/>
              <w:bottom w:val="single" w:sz="4" w:space="0" w:color="000000"/>
              <w:right w:val="single" w:sz="4" w:space="0" w:color="auto"/>
            </w:tcBorders>
            <w:shd w:val="clear" w:color="auto" w:fill="auto"/>
            <w:vAlign w:val="center"/>
          </w:tcPr>
          <w:p w14:paraId="0DA48E33" w14:textId="6F80C0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29.02.2020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CEFFCD6"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146 902,1</w:t>
            </w:r>
          </w:p>
        </w:tc>
        <w:tc>
          <w:tcPr>
            <w:tcW w:w="1227" w:type="dxa"/>
            <w:tcBorders>
              <w:top w:val="single" w:sz="4" w:space="0" w:color="auto"/>
              <w:left w:val="single" w:sz="4" w:space="0" w:color="auto"/>
              <w:bottom w:val="single" w:sz="4" w:space="0" w:color="auto"/>
              <w:right w:val="single" w:sz="4" w:space="0" w:color="auto"/>
            </w:tcBorders>
            <w:vAlign w:val="center"/>
          </w:tcPr>
          <w:p w14:paraId="1DC3946E"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45 608,7</w:t>
            </w:r>
          </w:p>
        </w:tc>
        <w:tc>
          <w:tcPr>
            <w:tcW w:w="1362" w:type="dxa"/>
            <w:tcBorders>
              <w:top w:val="single" w:sz="4" w:space="0" w:color="auto"/>
              <w:left w:val="single" w:sz="4" w:space="0" w:color="auto"/>
              <w:bottom w:val="single" w:sz="4" w:space="0" w:color="auto"/>
              <w:right w:val="single" w:sz="4" w:space="0" w:color="auto"/>
            </w:tcBorders>
            <w:vAlign w:val="center"/>
          </w:tcPr>
          <w:p w14:paraId="73220F02"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101 293,4</w:t>
            </w:r>
          </w:p>
        </w:tc>
        <w:tc>
          <w:tcPr>
            <w:tcW w:w="1498" w:type="dxa"/>
            <w:tcBorders>
              <w:top w:val="single" w:sz="4" w:space="0" w:color="auto"/>
              <w:left w:val="single" w:sz="4" w:space="0" w:color="auto"/>
              <w:bottom w:val="single" w:sz="4" w:space="0" w:color="auto"/>
              <w:right w:val="single" w:sz="4" w:space="0" w:color="auto"/>
            </w:tcBorders>
            <w:vAlign w:val="center"/>
          </w:tcPr>
          <w:p w14:paraId="7CA6B1C4"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2 558 237,8</w:t>
            </w:r>
          </w:p>
        </w:tc>
        <w:tc>
          <w:tcPr>
            <w:tcW w:w="1308" w:type="dxa"/>
            <w:tcBorders>
              <w:top w:val="single" w:sz="4" w:space="0" w:color="auto"/>
              <w:left w:val="single" w:sz="4" w:space="0" w:color="auto"/>
              <w:bottom w:val="single" w:sz="4" w:space="0" w:color="auto"/>
              <w:right w:val="single" w:sz="4" w:space="0" w:color="auto"/>
            </w:tcBorders>
            <w:vAlign w:val="center"/>
          </w:tcPr>
          <w:p w14:paraId="21FE97BA"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1 663 888,8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F0F8739"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894 348,8</w:t>
            </w:r>
          </w:p>
        </w:tc>
      </w:tr>
    </w:tbl>
    <w:p w14:paraId="378105F7" w14:textId="77777777" w:rsidR="00172FE8" w:rsidRPr="005D6D59" w:rsidRDefault="00172FE8" w:rsidP="00172FE8">
      <w:pPr>
        <w:rPr>
          <w:rFonts w:cs="Arial"/>
          <w:b/>
          <w:color w:val="13576B"/>
          <w:sz w:val="22"/>
          <w:szCs w:val="22"/>
        </w:rPr>
      </w:pPr>
    </w:p>
    <w:p w14:paraId="6BCEA67A" w14:textId="77777777" w:rsidR="00172FE8" w:rsidRPr="005D6D59" w:rsidRDefault="00172FE8" w:rsidP="00172FE8">
      <w:pPr>
        <w:rPr>
          <w:rFonts w:cs="Arial"/>
          <w:b/>
          <w:color w:val="13576B"/>
          <w:sz w:val="22"/>
          <w:szCs w:val="22"/>
        </w:rPr>
      </w:pPr>
    </w:p>
    <w:p w14:paraId="71D576AD" w14:textId="77777777" w:rsidR="00172FE8" w:rsidRPr="005D6D59" w:rsidRDefault="00172FE8" w:rsidP="00172FE8">
      <w:pPr>
        <w:rPr>
          <w:rFonts w:cs="Arial"/>
          <w:b/>
          <w:color w:val="13576B"/>
          <w:sz w:val="24"/>
          <w:szCs w:val="24"/>
        </w:rPr>
      </w:pPr>
      <w:r w:rsidRPr="005D6D59">
        <w:rPr>
          <w:rFonts w:cs="Arial"/>
          <w:b/>
          <w:color w:val="13576B"/>
          <w:sz w:val="24"/>
          <w:szCs w:val="24"/>
        </w:rPr>
        <w:t xml:space="preserve">Vklady firem za měsíc prosinec klesly o 14,7 miliardy korun, úvěry padly ještě rychleji </w:t>
      </w:r>
    </w:p>
    <w:p w14:paraId="2536BB78" w14:textId="77777777" w:rsidR="00172FE8" w:rsidRPr="005D6D59" w:rsidRDefault="00172FE8" w:rsidP="00172FE8">
      <w:pPr>
        <w:rPr>
          <w:rFonts w:cs="Arial"/>
          <w:bCs/>
          <w:color w:val="000000" w:themeColor="text1"/>
          <w:sz w:val="22"/>
          <w:szCs w:val="22"/>
        </w:rPr>
      </w:pPr>
    </w:p>
    <w:p w14:paraId="3FC29E5F" w14:textId="0BC346C1" w:rsidR="00172FE8" w:rsidRPr="005D6D59" w:rsidRDefault="00172FE8" w:rsidP="00172FE8">
      <w:pPr>
        <w:rPr>
          <w:rFonts w:cs="Arial"/>
          <w:sz w:val="22"/>
          <w:szCs w:val="22"/>
        </w:rPr>
      </w:pPr>
      <w:r w:rsidRPr="005D6D59">
        <w:rPr>
          <w:rFonts w:cs="Arial"/>
          <w:sz w:val="22"/>
          <w:szCs w:val="22"/>
        </w:rPr>
        <w:t>V prosinci meziměsíčně výrazně klesl zůstatek podnikových úvěrů o 16,466 miliardy korun</w:t>
      </w:r>
      <w:r w:rsidR="00030927">
        <w:rPr>
          <w:rFonts w:cs="Arial"/>
          <w:sz w:val="22"/>
          <w:szCs w:val="22"/>
        </w:rPr>
        <w:t xml:space="preserve"> </w:t>
      </w:r>
      <w:r w:rsidRPr="005D6D59">
        <w:rPr>
          <w:rFonts w:cs="Arial"/>
          <w:sz w:val="22"/>
          <w:szCs w:val="22"/>
        </w:rPr>
        <w:t>na 1,190 bilionu korun, ale na rozdíl od listopadu klesal i objem firemní hotovosti na účtech v bankách o 14,7 miliardy na 1,309 biliónu Kč; výsledné saldo vůči bankám skončilo na plus 118,2 miliardy korun, tedy s podstatným meziročním nárůstem o víc než 23 miliard Kč.</w:t>
      </w:r>
    </w:p>
    <w:p w14:paraId="284269B2" w14:textId="77777777" w:rsidR="00172FE8" w:rsidRPr="005D6D59" w:rsidRDefault="00172FE8" w:rsidP="00172FE8">
      <w:pPr>
        <w:rPr>
          <w:rFonts w:cs="Arial"/>
          <w:sz w:val="22"/>
          <w:szCs w:val="22"/>
        </w:rPr>
      </w:pPr>
    </w:p>
    <w:p w14:paraId="16DD9A92" w14:textId="77777777" w:rsidR="00172FE8" w:rsidRPr="005D6D59" w:rsidRDefault="00172FE8" w:rsidP="00172FE8">
      <w:pPr>
        <w:rPr>
          <w:rFonts w:cs="Arial"/>
          <w:sz w:val="22"/>
          <w:szCs w:val="22"/>
        </w:rPr>
      </w:pPr>
    </w:p>
    <w:p w14:paraId="4E7FA2C3" w14:textId="77777777" w:rsidR="00172FE8" w:rsidRPr="005D6D59" w:rsidRDefault="00172FE8" w:rsidP="00172FE8">
      <w:pPr>
        <w:spacing w:after="120"/>
        <w:rPr>
          <w:rFonts w:cs="Arial"/>
          <w:b/>
          <w:bCs/>
          <w:sz w:val="22"/>
          <w:szCs w:val="22"/>
        </w:rPr>
      </w:pPr>
      <w:r w:rsidRPr="005D6D59">
        <w:rPr>
          <w:rFonts w:cs="Arial"/>
          <w:b/>
          <w:bCs/>
          <w:sz w:val="22"/>
          <w:szCs w:val="22"/>
        </w:rPr>
        <w:t>Komentář Miroslava Zámečníka, hlavního poradce ČBA:</w:t>
      </w:r>
    </w:p>
    <w:p w14:paraId="1193F6DF" w14:textId="77777777" w:rsidR="00172FE8" w:rsidRPr="005D6D59" w:rsidRDefault="00172FE8" w:rsidP="00172FE8">
      <w:pPr>
        <w:rPr>
          <w:rFonts w:cs="Arial"/>
          <w:i/>
          <w:iCs/>
          <w:sz w:val="22"/>
          <w:szCs w:val="22"/>
        </w:rPr>
      </w:pPr>
      <w:r w:rsidRPr="005D6D59">
        <w:rPr>
          <w:rFonts w:cs="Arial"/>
          <w:i/>
          <w:iCs/>
          <w:sz w:val="22"/>
          <w:szCs w:val="22"/>
        </w:rPr>
        <w:t xml:space="preserve">Zatímco u obyvatel je převis úspor nad půjčkami základní charakteristikou českého bankovnictví od nepaměti, a živnostníci jsou v „netto pozici“ od přelomu tisíciletí, u firem se objevil tenhle fenomén až v průběhu pandemie, poprvé v červenci 2020. V české ekonomice máme co dělat s „averzí na riziko“ – </w:t>
      </w:r>
      <w:r w:rsidRPr="005D6D59">
        <w:rPr>
          <w:rFonts w:cs="Arial"/>
          <w:i/>
          <w:iCs/>
          <w:sz w:val="22"/>
          <w:szCs w:val="22"/>
        </w:rPr>
        <w:lastRenderedPageBreak/>
        <w:t>opatrnost v přijímání finančních závazků je sice ctnost, ale odvrácenou stranou téže mince je pomalý ekonomický růst. S koncem roku klesaly jak podnikové úvěry, tak i vklady.  </w:t>
      </w:r>
    </w:p>
    <w:p w14:paraId="74728F4B" w14:textId="77777777" w:rsidR="00172FE8" w:rsidRPr="005D6D59" w:rsidRDefault="00172FE8" w:rsidP="00172FE8">
      <w:pPr>
        <w:rPr>
          <w:rFonts w:cs="Arial"/>
          <w:bCs/>
          <w:i/>
          <w:iCs/>
          <w:color w:val="000000" w:themeColor="text1"/>
          <w:sz w:val="22"/>
          <w:szCs w:val="22"/>
        </w:rPr>
      </w:pPr>
    </w:p>
    <w:p w14:paraId="69F0189E" w14:textId="77777777" w:rsidR="00172FE8" w:rsidRPr="005D6D59" w:rsidRDefault="00172FE8" w:rsidP="00172FE8">
      <w:pPr>
        <w:rPr>
          <w:rFonts w:cs="Arial"/>
          <w:b/>
          <w:bCs/>
          <w:color w:val="000000"/>
          <w:sz w:val="20"/>
          <w:lang w:eastAsia="en-GB"/>
        </w:rPr>
      </w:pPr>
      <w:r w:rsidRPr="005D6D59">
        <w:rPr>
          <w:rFonts w:cs="Arial"/>
          <w:b/>
          <w:bCs/>
          <w:color w:val="000000"/>
          <w:sz w:val="20"/>
          <w:lang w:eastAsia="en-GB"/>
        </w:rPr>
        <w:t>Vývoj úvěrů a vkladů (v mil. Kč)</w:t>
      </w:r>
    </w:p>
    <w:p w14:paraId="3AED66A6" w14:textId="77777777" w:rsidR="00172FE8" w:rsidRPr="005D6D59" w:rsidRDefault="00172FE8" w:rsidP="00172FE8">
      <w:pPr>
        <w:rPr>
          <w:rFonts w:cs="Arial"/>
          <w:b/>
          <w:bCs/>
          <w:color w:val="000000"/>
          <w:sz w:val="20"/>
          <w:lang w:eastAsia="en-GB"/>
        </w:rPr>
      </w:pPr>
    </w:p>
    <w:tbl>
      <w:tblPr>
        <w:tblW w:w="5910" w:type="dxa"/>
        <w:tblCellMar>
          <w:left w:w="70" w:type="dxa"/>
          <w:right w:w="70" w:type="dxa"/>
        </w:tblCellMar>
        <w:tblLook w:val="04A0" w:firstRow="1" w:lastRow="0" w:firstColumn="1" w:lastColumn="0" w:noHBand="0" w:noVBand="1"/>
      </w:tblPr>
      <w:tblGrid>
        <w:gridCol w:w="1761"/>
        <w:gridCol w:w="1529"/>
        <w:gridCol w:w="1298"/>
        <w:gridCol w:w="1322"/>
      </w:tblGrid>
      <w:tr w:rsidR="00172FE8" w:rsidRPr="005D6D59" w14:paraId="184AEA73" w14:textId="77777777" w:rsidTr="004B7162">
        <w:trPr>
          <w:trHeight w:val="331"/>
        </w:trPr>
        <w:tc>
          <w:tcPr>
            <w:tcW w:w="1761" w:type="dxa"/>
            <w:vMerge w:val="restart"/>
            <w:tcBorders>
              <w:top w:val="single" w:sz="4" w:space="0" w:color="auto"/>
              <w:left w:val="single" w:sz="4" w:space="0" w:color="auto"/>
              <w:right w:val="single" w:sz="4" w:space="0" w:color="auto"/>
            </w:tcBorders>
            <w:shd w:val="clear" w:color="auto" w:fill="007E79"/>
            <w:vAlign w:val="center"/>
            <w:hideMark/>
          </w:tcPr>
          <w:p w14:paraId="4087D4CF"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Období</w:t>
            </w:r>
          </w:p>
        </w:tc>
        <w:tc>
          <w:tcPr>
            <w:tcW w:w="4149" w:type="dxa"/>
            <w:gridSpan w:val="3"/>
            <w:tcBorders>
              <w:top w:val="single" w:sz="4" w:space="0" w:color="auto"/>
              <w:left w:val="single" w:sz="4" w:space="0" w:color="auto"/>
              <w:bottom w:val="single" w:sz="4" w:space="0" w:color="auto"/>
              <w:right w:val="single" w:sz="4" w:space="0" w:color="auto"/>
            </w:tcBorders>
            <w:shd w:val="clear" w:color="auto" w:fill="007E79"/>
            <w:vAlign w:val="center"/>
            <w:hideMark/>
          </w:tcPr>
          <w:p w14:paraId="35FBCF42"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Nefinanční podniky</w:t>
            </w:r>
          </w:p>
        </w:tc>
      </w:tr>
      <w:tr w:rsidR="00172FE8" w:rsidRPr="005D6D59" w14:paraId="18B02B73" w14:textId="77777777" w:rsidTr="004B7162">
        <w:trPr>
          <w:trHeight w:val="331"/>
        </w:trPr>
        <w:tc>
          <w:tcPr>
            <w:tcW w:w="1761" w:type="dxa"/>
            <w:vMerge/>
            <w:tcBorders>
              <w:left w:val="single" w:sz="4" w:space="0" w:color="auto"/>
              <w:bottom w:val="single" w:sz="4" w:space="0" w:color="auto"/>
              <w:right w:val="single" w:sz="4" w:space="0" w:color="auto"/>
            </w:tcBorders>
            <w:shd w:val="clear" w:color="auto" w:fill="007E79"/>
            <w:vAlign w:val="center"/>
          </w:tcPr>
          <w:p w14:paraId="0D10FE98"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p>
        </w:tc>
        <w:tc>
          <w:tcPr>
            <w:tcW w:w="1529" w:type="dxa"/>
            <w:tcBorders>
              <w:top w:val="single" w:sz="4" w:space="0" w:color="auto"/>
              <w:left w:val="single" w:sz="4" w:space="0" w:color="auto"/>
              <w:bottom w:val="single" w:sz="4" w:space="0" w:color="auto"/>
              <w:right w:val="single" w:sz="4" w:space="0" w:color="auto"/>
            </w:tcBorders>
            <w:shd w:val="clear" w:color="auto" w:fill="007E79"/>
            <w:vAlign w:val="center"/>
          </w:tcPr>
          <w:p w14:paraId="6003C543"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vklady</w:t>
            </w:r>
          </w:p>
        </w:tc>
        <w:tc>
          <w:tcPr>
            <w:tcW w:w="1298" w:type="dxa"/>
            <w:tcBorders>
              <w:top w:val="single" w:sz="4" w:space="0" w:color="auto"/>
              <w:left w:val="single" w:sz="4" w:space="0" w:color="auto"/>
              <w:bottom w:val="single" w:sz="4" w:space="0" w:color="auto"/>
              <w:right w:val="single" w:sz="4" w:space="0" w:color="auto"/>
            </w:tcBorders>
            <w:shd w:val="clear" w:color="auto" w:fill="007E79"/>
            <w:vAlign w:val="center"/>
          </w:tcPr>
          <w:p w14:paraId="0BB39673"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úvěry</w:t>
            </w:r>
          </w:p>
        </w:tc>
        <w:tc>
          <w:tcPr>
            <w:tcW w:w="1322" w:type="dxa"/>
            <w:tcBorders>
              <w:top w:val="single" w:sz="4" w:space="0" w:color="auto"/>
              <w:left w:val="single" w:sz="4" w:space="0" w:color="auto"/>
              <w:bottom w:val="single" w:sz="4" w:space="0" w:color="auto"/>
              <w:right w:val="single" w:sz="4" w:space="0" w:color="auto"/>
            </w:tcBorders>
            <w:shd w:val="clear" w:color="auto" w:fill="007E79"/>
            <w:vAlign w:val="center"/>
          </w:tcPr>
          <w:p w14:paraId="039F7DF7" w14:textId="77777777" w:rsidR="00172FE8" w:rsidRPr="005D6D59" w:rsidRDefault="00172FE8" w:rsidP="004B7162">
            <w:pPr>
              <w:overflowPunct/>
              <w:autoSpaceDE/>
              <w:autoSpaceDN/>
              <w:adjustRightInd/>
              <w:jc w:val="center"/>
              <w:textAlignment w:val="auto"/>
              <w:rPr>
                <w:rFonts w:cs="Arial"/>
                <w:b/>
                <w:bCs/>
                <w:color w:val="FFFFFF" w:themeColor="background1"/>
                <w:sz w:val="22"/>
                <w:szCs w:val="22"/>
              </w:rPr>
            </w:pPr>
            <w:r w:rsidRPr="005D6D59">
              <w:rPr>
                <w:rFonts w:cs="Arial"/>
                <w:b/>
                <w:bCs/>
                <w:color w:val="FFFFFF" w:themeColor="background1"/>
                <w:sz w:val="22"/>
                <w:szCs w:val="22"/>
              </w:rPr>
              <w:t xml:space="preserve">saldo </w:t>
            </w:r>
          </w:p>
        </w:tc>
      </w:tr>
      <w:tr w:rsidR="00172FE8" w:rsidRPr="005D6D59" w14:paraId="0119122C" w14:textId="77777777" w:rsidTr="004B7162">
        <w:trPr>
          <w:trHeight w:val="331"/>
        </w:trPr>
        <w:tc>
          <w:tcPr>
            <w:tcW w:w="1761" w:type="dxa"/>
            <w:tcBorders>
              <w:top w:val="single" w:sz="4" w:space="0" w:color="auto"/>
              <w:left w:val="single" w:sz="4" w:space="0" w:color="000000"/>
              <w:bottom w:val="single" w:sz="4" w:space="0" w:color="000000"/>
              <w:right w:val="single" w:sz="4" w:space="0" w:color="auto"/>
            </w:tcBorders>
            <w:shd w:val="clear" w:color="auto" w:fill="auto"/>
            <w:vAlign w:val="center"/>
          </w:tcPr>
          <w:p w14:paraId="397F8F87"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31.12.2021</w:t>
            </w:r>
          </w:p>
        </w:tc>
        <w:tc>
          <w:tcPr>
            <w:tcW w:w="1529" w:type="dxa"/>
            <w:tcBorders>
              <w:top w:val="single" w:sz="4" w:space="0" w:color="auto"/>
              <w:left w:val="single" w:sz="4" w:space="0" w:color="auto"/>
              <w:bottom w:val="single" w:sz="4" w:space="0" w:color="000000"/>
              <w:right w:val="single" w:sz="4" w:space="0" w:color="auto"/>
            </w:tcBorders>
            <w:shd w:val="clear" w:color="auto" w:fill="auto"/>
            <w:vAlign w:val="center"/>
          </w:tcPr>
          <w:p w14:paraId="6DB20316"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1308877</w:t>
            </w:r>
          </w:p>
          <w:p w14:paraId="612D430C" w14:textId="77777777" w:rsidR="00172FE8" w:rsidRPr="005D6D59" w:rsidRDefault="00172FE8" w:rsidP="004B7162">
            <w:pPr>
              <w:overflowPunct/>
              <w:autoSpaceDE/>
              <w:autoSpaceDN/>
              <w:adjustRightInd/>
              <w:jc w:val="center"/>
              <w:textAlignment w:val="auto"/>
              <w:rPr>
                <w:rFonts w:cs="Arial"/>
                <w:color w:val="000000"/>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20721E78" w14:textId="77777777" w:rsidR="00172FE8" w:rsidRPr="005D6D59" w:rsidRDefault="00172FE8" w:rsidP="004B7162">
            <w:pPr>
              <w:overflowPunct/>
              <w:autoSpaceDE/>
              <w:autoSpaceDN/>
              <w:adjustRightInd/>
              <w:jc w:val="center"/>
              <w:textAlignment w:val="auto"/>
              <w:rPr>
                <w:rFonts w:cs="Arial"/>
                <w:color w:val="000000"/>
                <w:sz w:val="20"/>
                <w:lang w:eastAsia="en-GB"/>
              </w:rPr>
            </w:pPr>
            <w:r w:rsidRPr="005D6D59">
              <w:rPr>
                <w:rFonts w:cs="Arial"/>
                <w:color w:val="000000"/>
                <w:sz w:val="20"/>
              </w:rPr>
              <w:t>1190672,9</w:t>
            </w:r>
          </w:p>
          <w:p w14:paraId="5507A5C7" w14:textId="77777777" w:rsidR="00172FE8" w:rsidRPr="005D6D59" w:rsidRDefault="00172FE8" w:rsidP="004B7162">
            <w:pPr>
              <w:overflowPunct/>
              <w:autoSpaceDE/>
              <w:autoSpaceDN/>
              <w:adjustRightInd/>
              <w:jc w:val="center"/>
              <w:textAlignment w:val="auto"/>
              <w:rPr>
                <w:rFonts w:cs="Arial"/>
                <w:color w:val="000000"/>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16FA860" w14:textId="77777777" w:rsidR="00172FE8" w:rsidRPr="005D6D59" w:rsidRDefault="00172FE8" w:rsidP="004B7162">
            <w:pPr>
              <w:overflowPunct/>
              <w:autoSpaceDE/>
              <w:autoSpaceDN/>
              <w:adjustRightInd/>
              <w:jc w:val="center"/>
              <w:textAlignment w:val="auto"/>
              <w:rPr>
                <w:rFonts w:cs="Arial"/>
                <w:color w:val="000000"/>
                <w:sz w:val="22"/>
                <w:szCs w:val="22"/>
                <w:lang w:eastAsia="en-GB"/>
              </w:rPr>
            </w:pPr>
            <w:r w:rsidRPr="005D6D59">
              <w:rPr>
                <w:rFonts w:cs="Arial"/>
                <w:color w:val="000000"/>
                <w:sz w:val="22"/>
                <w:szCs w:val="22"/>
              </w:rPr>
              <w:t>118204</w:t>
            </w:r>
          </w:p>
          <w:p w14:paraId="539B1FA0" w14:textId="77777777" w:rsidR="00172FE8" w:rsidRPr="005D6D59" w:rsidRDefault="00172FE8" w:rsidP="004B7162">
            <w:pPr>
              <w:overflowPunct/>
              <w:autoSpaceDE/>
              <w:autoSpaceDN/>
              <w:adjustRightInd/>
              <w:jc w:val="center"/>
              <w:textAlignment w:val="auto"/>
              <w:rPr>
                <w:rFonts w:cs="Arial"/>
                <w:color w:val="000000"/>
                <w:sz w:val="22"/>
                <w:szCs w:val="22"/>
              </w:rPr>
            </w:pPr>
          </w:p>
        </w:tc>
      </w:tr>
      <w:tr w:rsidR="00172FE8" w:rsidRPr="005D6D59" w14:paraId="6FDA2AEE" w14:textId="77777777" w:rsidTr="004B7162">
        <w:trPr>
          <w:trHeight w:val="331"/>
        </w:trPr>
        <w:tc>
          <w:tcPr>
            <w:tcW w:w="1761" w:type="dxa"/>
            <w:tcBorders>
              <w:top w:val="single" w:sz="4" w:space="0" w:color="auto"/>
              <w:left w:val="single" w:sz="4" w:space="0" w:color="000000"/>
              <w:bottom w:val="single" w:sz="4" w:space="0" w:color="000000"/>
              <w:right w:val="single" w:sz="4" w:space="0" w:color="auto"/>
            </w:tcBorders>
            <w:shd w:val="clear" w:color="auto" w:fill="auto"/>
            <w:vAlign w:val="center"/>
          </w:tcPr>
          <w:p w14:paraId="39DADBAE"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31.12.2020</w:t>
            </w:r>
          </w:p>
        </w:tc>
        <w:tc>
          <w:tcPr>
            <w:tcW w:w="1529" w:type="dxa"/>
            <w:tcBorders>
              <w:top w:val="single" w:sz="4" w:space="0" w:color="auto"/>
              <w:left w:val="single" w:sz="4" w:space="0" w:color="auto"/>
              <w:bottom w:val="single" w:sz="4" w:space="0" w:color="000000"/>
              <w:right w:val="single" w:sz="4" w:space="0" w:color="auto"/>
            </w:tcBorders>
            <w:shd w:val="clear" w:color="auto" w:fill="auto"/>
            <w:vAlign w:val="center"/>
          </w:tcPr>
          <w:p w14:paraId="1C2A76CF"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1 217 934</w:t>
            </w:r>
          </w:p>
        </w:tc>
        <w:tc>
          <w:tcPr>
            <w:tcW w:w="1298" w:type="dxa"/>
            <w:tcBorders>
              <w:top w:val="single" w:sz="4" w:space="0" w:color="auto"/>
              <w:left w:val="single" w:sz="4" w:space="0" w:color="auto"/>
              <w:bottom w:val="single" w:sz="4" w:space="0" w:color="auto"/>
              <w:right w:val="single" w:sz="4" w:space="0" w:color="auto"/>
            </w:tcBorders>
            <w:vAlign w:val="center"/>
          </w:tcPr>
          <w:p w14:paraId="241CA4EA"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1 123 034</w:t>
            </w:r>
          </w:p>
        </w:tc>
        <w:tc>
          <w:tcPr>
            <w:tcW w:w="1322" w:type="dxa"/>
            <w:tcBorders>
              <w:top w:val="single" w:sz="4" w:space="0" w:color="auto"/>
              <w:left w:val="single" w:sz="4" w:space="0" w:color="auto"/>
              <w:bottom w:val="single" w:sz="4" w:space="0" w:color="auto"/>
              <w:right w:val="single" w:sz="4" w:space="0" w:color="auto"/>
            </w:tcBorders>
            <w:vAlign w:val="center"/>
          </w:tcPr>
          <w:p w14:paraId="79EF63F2"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94 900</w:t>
            </w:r>
          </w:p>
        </w:tc>
      </w:tr>
      <w:tr w:rsidR="00172FE8" w:rsidRPr="005D6D59" w14:paraId="6DDD2B4C" w14:textId="77777777" w:rsidTr="004B7162">
        <w:trPr>
          <w:trHeight w:val="331"/>
        </w:trPr>
        <w:tc>
          <w:tcPr>
            <w:tcW w:w="1761" w:type="dxa"/>
            <w:tcBorders>
              <w:top w:val="single" w:sz="4" w:space="0" w:color="auto"/>
              <w:left w:val="single" w:sz="4" w:space="0" w:color="000000"/>
              <w:bottom w:val="single" w:sz="4" w:space="0" w:color="000000"/>
              <w:right w:val="single" w:sz="4" w:space="0" w:color="auto"/>
            </w:tcBorders>
            <w:shd w:val="clear" w:color="auto" w:fill="auto"/>
            <w:vAlign w:val="center"/>
          </w:tcPr>
          <w:p w14:paraId="1FADDB95"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29.02.2020</w:t>
            </w:r>
          </w:p>
        </w:tc>
        <w:tc>
          <w:tcPr>
            <w:tcW w:w="1529" w:type="dxa"/>
            <w:tcBorders>
              <w:top w:val="single" w:sz="4" w:space="0" w:color="auto"/>
              <w:left w:val="single" w:sz="4" w:space="0" w:color="auto"/>
              <w:bottom w:val="single" w:sz="4" w:space="0" w:color="000000"/>
              <w:right w:val="single" w:sz="4" w:space="0" w:color="auto"/>
            </w:tcBorders>
            <w:shd w:val="clear" w:color="auto" w:fill="auto"/>
            <w:vAlign w:val="center"/>
          </w:tcPr>
          <w:p w14:paraId="6BCDA4FD"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1 098 811</w:t>
            </w:r>
          </w:p>
        </w:tc>
        <w:tc>
          <w:tcPr>
            <w:tcW w:w="1298" w:type="dxa"/>
            <w:tcBorders>
              <w:top w:val="single" w:sz="4" w:space="0" w:color="auto"/>
              <w:left w:val="single" w:sz="4" w:space="0" w:color="auto"/>
              <w:bottom w:val="single" w:sz="4" w:space="0" w:color="auto"/>
              <w:right w:val="single" w:sz="4" w:space="0" w:color="auto"/>
            </w:tcBorders>
            <w:vAlign w:val="center"/>
          </w:tcPr>
          <w:p w14:paraId="4B3F7126"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color w:val="000000"/>
                <w:sz w:val="20"/>
              </w:rPr>
              <w:t>1 124 189</w:t>
            </w:r>
          </w:p>
        </w:tc>
        <w:tc>
          <w:tcPr>
            <w:tcW w:w="1322" w:type="dxa"/>
            <w:tcBorders>
              <w:top w:val="single" w:sz="4" w:space="0" w:color="auto"/>
              <w:left w:val="single" w:sz="4" w:space="0" w:color="auto"/>
              <w:bottom w:val="single" w:sz="4" w:space="0" w:color="auto"/>
              <w:right w:val="single" w:sz="4" w:space="0" w:color="auto"/>
            </w:tcBorders>
            <w:vAlign w:val="center"/>
          </w:tcPr>
          <w:p w14:paraId="5BE4A6BB" w14:textId="77777777" w:rsidR="00172FE8" w:rsidRPr="005D6D59" w:rsidRDefault="00172FE8" w:rsidP="004B7162">
            <w:pPr>
              <w:overflowPunct/>
              <w:autoSpaceDE/>
              <w:autoSpaceDN/>
              <w:adjustRightInd/>
              <w:jc w:val="center"/>
              <w:textAlignment w:val="auto"/>
              <w:rPr>
                <w:rFonts w:cs="Arial"/>
                <w:color w:val="000000"/>
                <w:sz w:val="20"/>
              </w:rPr>
            </w:pPr>
            <w:r w:rsidRPr="005D6D59">
              <w:rPr>
                <w:rFonts w:cs="Arial"/>
                <w:noProof/>
                <w:sz w:val="20"/>
                <w:lang w:val="en-GB" w:eastAsia="en-GB"/>
              </w:rPr>
              <mc:AlternateContent>
                <mc:Choice Requires="wps">
                  <w:drawing>
                    <wp:anchor distT="45720" distB="45720" distL="114300" distR="114300" simplePos="0" relativeHeight="251661312" behindDoc="1" locked="0" layoutInCell="1" allowOverlap="1" wp14:anchorId="5B723607" wp14:editId="478F8A9A">
                      <wp:simplePos x="0" y="0"/>
                      <wp:positionH relativeFrom="column">
                        <wp:posOffset>-2959735</wp:posOffset>
                      </wp:positionH>
                      <wp:positionV relativeFrom="paragraph">
                        <wp:posOffset>192405</wp:posOffset>
                      </wp:positionV>
                      <wp:extent cx="3686175" cy="276225"/>
                      <wp:effectExtent l="0" t="0" r="0" b="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6225"/>
                              </a:xfrm>
                              <a:prstGeom prst="rect">
                                <a:avLst/>
                              </a:prstGeom>
                              <a:noFill/>
                              <a:ln w="9525">
                                <a:noFill/>
                                <a:miter lim="800000"/>
                                <a:headEnd/>
                                <a:tailEnd/>
                              </a:ln>
                            </wps:spPr>
                            <wps:txbx>
                              <w:txbxContent>
                                <w:p w14:paraId="0C7FC614" w14:textId="77777777" w:rsidR="00172FE8" w:rsidRPr="00280D31" w:rsidRDefault="00172FE8" w:rsidP="00172FE8">
                                  <w:pPr>
                                    <w:rPr>
                                      <w:rFonts w:ascii="Calibri" w:hAnsi="Calibri"/>
                                      <w:i/>
                                      <w:iCs/>
                                      <w:sz w:val="16"/>
                                      <w:szCs w:val="18"/>
                                    </w:rPr>
                                  </w:pPr>
                                  <w:r w:rsidRPr="00280D31">
                                    <w:rPr>
                                      <w:rFonts w:ascii="Calibri" w:hAnsi="Calibri"/>
                                      <w:i/>
                                      <w:iCs/>
                                      <w:sz w:val="16"/>
                                      <w:szCs w:val="18"/>
                                    </w:rPr>
                                    <w:t>Zdroj: ČNB (ARAD), vklady a úvěry rezidentů dle sektorového hlediska (Kč + cizí měna)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23607" id="_x0000_s1027" type="#_x0000_t202" style="position:absolute;left:0;text-align:left;margin-left:-233.05pt;margin-top:15.15pt;width:290.2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" filled="f" stroked="f">
                      <v:textbox>
                        <w:txbxContent>
                          <w:p w14:paraId="0C7FC614" w14:textId="77777777" w:rsidR="00172FE8" w:rsidRPr="00280D31" w:rsidRDefault="00172FE8" w:rsidP="00172FE8">
                            <w:pPr>
                              <w:rPr>
                                <w:rFonts w:ascii="Calibri" w:hAnsi="Calibri"/>
                                <w:i/>
                                <w:iCs/>
                                <w:sz w:val="16"/>
                                <w:szCs w:val="18"/>
                              </w:rPr>
                            </w:pPr>
                            <w:r w:rsidRPr="00280D31">
                              <w:rPr>
                                <w:rFonts w:ascii="Calibri" w:hAnsi="Calibri"/>
                                <w:i/>
                                <w:iCs/>
                                <w:sz w:val="16"/>
                                <w:szCs w:val="18"/>
                              </w:rPr>
                              <w:t>Zdroj: ČNB (ARAD), vklady a úvěry rezidentů dle sektorového hlediska (Kč + cizí měna)</w:t>
                            </w:r>
                          </w:p>
                        </w:txbxContent>
                      </v:textbox>
                    </v:shape>
                  </w:pict>
                </mc:Fallback>
              </mc:AlternateContent>
            </w:r>
            <w:r w:rsidRPr="005D6D59">
              <w:rPr>
                <w:rFonts w:cs="Arial"/>
                <w:color w:val="000000"/>
                <w:sz w:val="20"/>
              </w:rPr>
              <w:t>-25 378</w:t>
            </w:r>
          </w:p>
        </w:tc>
      </w:tr>
    </w:tbl>
    <w:p w14:paraId="58D2FADE" w14:textId="77777777" w:rsidR="00172FE8" w:rsidRPr="005D6D59" w:rsidRDefault="00172FE8" w:rsidP="00172FE8">
      <w:pPr>
        <w:rPr>
          <w:rFonts w:cs="Arial"/>
          <w:b/>
          <w:color w:val="13576B"/>
          <w:sz w:val="22"/>
          <w:szCs w:val="22"/>
        </w:rPr>
      </w:pPr>
    </w:p>
    <w:p w14:paraId="30EF0505" w14:textId="77777777" w:rsidR="00172FE8" w:rsidRPr="005D6D59" w:rsidRDefault="00172FE8" w:rsidP="00172FE8">
      <w:pPr>
        <w:rPr>
          <w:rFonts w:cs="Arial"/>
          <w:b/>
          <w:color w:val="13576B"/>
          <w:sz w:val="22"/>
          <w:szCs w:val="22"/>
        </w:rPr>
      </w:pPr>
    </w:p>
    <w:p w14:paraId="5CA059A5" w14:textId="77777777" w:rsidR="00172FE8" w:rsidRPr="005D6D59" w:rsidRDefault="00172FE8" w:rsidP="00172FE8">
      <w:pPr>
        <w:rPr>
          <w:rFonts w:cs="Arial"/>
          <w:b/>
          <w:color w:val="13576B"/>
          <w:sz w:val="22"/>
          <w:szCs w:val="22"/>
        </w:rPr>
      </w:pPr>
    </w:p>
    <w:p w14:paraId="0E9BFE10" w14:textId="77777777" w:rsidR="00172FE8" w:rsidRPr="005D6D59" w:rsidRDefault="00172FE8" w:rsidP="00172FE8">
      <w:pPr>
        <w:rPr>
          <w:rFonts w:cs="Arial"/>
          <w:b/>
          <w:color w:val="13576B"/>
          <w:sz w:val="24"/>
          <w:szCs w:val="24"/>
        </w:rPr>
      </w:pPr>
      <w:r w:rsidRPr="005D6D59">
        <w:rPr>
          <w:rFonts w:cs="Arial"/>
          <w:b/>
          <w:color w:val="13576B"/>
          <w:sz w:val="24"/>
          <w:szCs w:val="24"/>
        </w:rPr>
        <w:t>Hypotéky mají historicky nejnižší procento selhání. Zatím</w:t>
      </w:r>
    </w:p>
    <w:p w14:paraId="116E6D9A" w14:textId="77777777" w:rsidR="00172FE8" w:rsidRPr="005D6D59" w:rsidRDefault="00172FE8" w:rsidP="00172FE8">
      <w:pPr>
        <w:rPr>
          <w:rFonts w:cs="Arial"/>
          <w:b/>
          <w:bCs/>
          <w:color w:val="000000"/>
          <w:sz w:val="20"/>
          <w:lang w:eastAsia="en-GB"/>
        </w:rPr>
      </w:pPr>
    </w:p>
    <w:p w14:paraId="546F72DA" w14:textId="2AAB0656" w:rsidR="00172FE8" w:rsidRPr="005D6D59" w:rsidRDefault="00172FE8" w:rsidP="00172FE8">
      <w:pPr>
        <w:rPr>
          <w:rFonts w:cs="Arial"/>
          <w:bCs/>
          <w:color w:val="000000" w:themeColor="text1"/>
          <w:sz w:val="22"/>
          <w:szCs w:val="22"/>
        </w:rPr>
      </w:pPr>
      <w:r w:rsidRPr="005D6D59">
        <w:rPr>
          <w:rFonts w:cs="Arial"/>
          <w:bCs/>
          <w:color w:val="000000" w:themeColor="text1"/>
          <w:sz w:val="22"/>
          <w:szCs w:val="22"/>
        </w:rPr>
        <w:t>Navzdory poruchám v dodavatelském řetězci, prudkému nárůstu cen energií a dalších vstupů včetně mezd, a návratu další vlny covidu 19 (což je kombinace, již nikdo v novodobé historii ČR nepamatuje), se podíl firemních nevýkonných úvěrů v prosinci ještě o čtyři setiny procentního bodu meziměsíčně</w:t>
      </w:r>
      <w:r w:rsidR="00030927">
        <w:rPr>
          <w:rFonts w:cs="Arial"/>
          <w:bCs/>
          <w:color w:val="000000" w:themeColor="text1"/>
          <w:sz w:val="22"/>
          <w:szCs w:val="22"/>
        </w:rPr>
        <w:t xml:space="preserve"> snížil</w:t>
      </w:r>
      <w:r w:rsidRPr="005D6D59">
        <w:rPr>
          <w:rFonts w:cs="Arial"/>
          <w:bCs/>
          <w:color w:val="000000" w:themeColor="text1"/>
          <w:sz w:val="22"/>
          <w:szCs w:val="22"/>
        </w:rPr>
        <w:t xml:space="preserve">, na </w:t>
      </w:r>
      <w:r w:rsidR="0088184A">
        <w:rPr>
          <w:rFonts w:cs="Arial"/>
          <w:bCs/>
          <w:color w:val="000000" w:themeColor="text1"/>
          <w:sz w:val="22"/>
          <w:szCs w:val="22"/>
        </w:rPr>
        <w:t xml:space="preserve">úroveň </w:t>
      </w:r>
      <w:r w:rsidRPr="005D6D59">
        <w:rPr>
          <w:rFonts w:cs="Arial"/>
          <w:bCs/>
          <w:color w:val="000000" w:themeColor="text1"/>
          <w:sz w:val="22"/>
          <w:szCs w:val="22"/>
        </w:rPr>
        <w:t xml:space="preserve">3,83 %. To je hluboko pod hladinou 8,2 %, na níž byl před deseti lety, na konci roku 2011. </w:t>
      </w:r>
    </w:p>
    <w:p w14:paraId="52960117" w14:textId="77777777" w:rsidR="00172FE8" w:rsidRPr="005D6D59" w:rsidRDefault="00172FE8" w:rsidP="00172FE8">
      <w:pPr>
        <w:rPr>
          <w:rFonts w:cs="Arial"/>
          <w:bCs/>
          <w:color w:val="000000" w:themeColor="text1"/>
          <w:sz w:val="22"/>
          <w:szCs w:val="22"/>
        </w:rPr>
      </w:pPr>
    </w:p>
    <w:p w14:paraId="5FB4BEC6" w14:textId="77777777" w:rsidR="00172FE8" w:rsidRPr="005D6D59" w:rsidRDefault="00172FE8" w:rsidP="00172FE8">
      <w:pPr>
        <w:spacing w:after="120"/>
        <w:rPr>
          <w:rFonts w:cs="Arial"/>
          <w:b/>
          <w:bCs/>
          <w:sz w:val="22"/>
          <w:szCs w:val="22"/>
        </w:rPr>
      </w:pPr>
      <w:r w:rsidRPr="005D6D59">
        <w:rPr>
          <w:rFonts w:cs="Arial"/>
          <w:b/>
          <w:bCs/>
          <w:sz w:val="22"/>
          <w:szCs w:val="22"/>
        </w:rPr>
        <w:t>Komentář Miroslava Zámečníka, hlavního poradce ČBA:</w:t>
      </w:r>
    </w:p>
    <w:p w14:paraId="34078F97" w14:textId="77777777" w:rsidR="00172FE8" w:rsidRPr="005D6D59" w:rsidRDefault="00172FE8" w:rsidP="00172FE8">
      <w:pPr>
        <w:rPr>
          <w:rFonts w:cs="Arial"/>
          <w:bCs/>
          <w:i/>
          <w:iCs/>
          <w:color w:val="000000" w:themeColor="text1"/>
          <w:sz w:val="22"/>
          <w:szCs w:val="22"/>
        </w:rPr>
      </w:pPr>
      <w:r w:rsidRPr="005D6D59">
        <w:rPr>
          <w:rFonts w:cs="Arial"/>
          <w:bCs/>
          <w:i/>
          <w:iCs/>
          <w:color w:val="000000" w:themeColor="text1"/>
          <w:sz w:val="22"/>
          <w:szCs w:val="22"/>
        </w:rPr>
        <w:t xml:space="preserve">Vývoj nevýkonných úvěrů je jedním z nejdůležitějších indikátorů zdravotního stavu ekonomiky a je otázkou, kam se bude, vzhledem k souběhu řady nepříznivých faktorů, posouvat v nadcházejících měsících. Jak v případě úvěrů obyvatelstvu, tak u firem jsou však nevýkonné expozice na podstatně nižší úrovni než například po světové finanční krizi na počátku minulého desetiletí. </w:t>
      </w:r>
    </w:p>
    <w:p w14:paraId="211C6FA5" w14:textId="63C8468C" w:rsidR="00172FE8" w:rsidRPr="005D6D59" w:rsidRDefault="00172FE8" w:rsidP="00172FE8">
      <w:pPr>
        <w:rPr>
          <w:rFonts w:cs="Arial"/>
          <w:bCs/>
          <w:i/>
          <w:iCs/>
          <w:color w:val="000000" w:themeColor="text1"/>
          <w:sz w:val="22"/>
          <w:szCs w:val="22"/>
        </w:rPr>
      </w:pPr>
      <w:r w:rsidRPr="005D6D59">
        <w:rPr>
          <w:rFonts w:cs="Arial"/>
          <w:bCs/>
          <w:i/>
          <w:iCs/>
          <w:color w:val="000000" w:themeColor="text1"/>
          <w:sz w:val="22"/>
          <w:szCs w:val="22"/>
        </w:rPr>
        <w:t xml:space="preserve">Podíl nevýkonných hypotečních úvěrů </w:t>
      </w:r>
      <w:r w:rsidRPr="00AA452F">
        <w:rPr>
          <w:rFonts w:cs="Arial"/>
          <w:bCs/>
          <w:i/>
          <w:iCs/>
          <w:sz w:val="22"/>
          <w:szCs w:val="22"/>
        </w:rPr>
        <w:t xml:space="preserve">rovněž </w:t>
      </w:r>
      <w:r w:rsidR="00B24B20" w:rsidRPr="00AA452F">
        <w:rPr>
          <w:rFonts w:cs="Arial"/>
          <w:bCs/>
          <w:i/>
          <w:iCs/>
          <w:sz w:val="22"/>
          <w:szCs w:val="22"/>
        </w:rPr>
        <w:t>prolomil historická minima</w:t>
      </w:r>
      <w:r w:rsidRPr="00AA452F">
        <w:rPr>
          <w:rFonts w:cs="Arial"/>
          <w:bCs/>
          <w:i/>
          <w:iCs/>
          <w:sz w:val="22"/>
          <w:szCs w:val="22"/>
        </w:rPr>
        <w:t xml:space="preserve"> a </w:t>
      </w:r>
      <w:r w:rsidRPr="005D6D59">
        <w:rPr>
          <w:rFonts w:cs="Arial"/>
          <w:bCs/>
          <w:i/>
          <w:iCs/>
          <w:color w:val="000000" w:themeColor="text1"/>
          <w:sz w:val="22"/>
          <w:szCs w:val="22"/>
        </w:rPr>
        <w:t xml:space="preserve">oproti listopadu navzdory očekávání dále klesl na 0,74 %. Podíl nevýkonných úvěrů jak u firemních půjček, tak v případě úvěrů obyvatelstvu v Česku patří již delší dobu v celoevropském srovnání k nejnižším v Evropě. </w:t>
      </w:r>
    </w:p>
    <w:p w14:paraId="5AF3D3F9" w14:textId="77777777" w:rsidR="00172FE8" w:rsidRPr="005D6D59" w:rsidRDefault="00172FE8" w:rsidP="00172FE8">
      <w:pPr>
        <w:rPr>
          <w:rFonts w:cs="Arial"/>
          <w:bCs/>
          <w:color w:val="000000" w:themeColor="text1"/>
          <w:sz w:val="22"/>
          <w:szCs w:val="22"/>
        </w:rPr>
      </w:pPr>
    </w:p>
    <w:p w14:paraId="5717D8CA" w14:textId="77777777" w:rsidR="00172FE8" w:rsidRPr="005D6D59" w:rsidRDefault="00172FE8" w:rsidP="00172FE8">
      <w:pPr>
        <w:rPr>
          <w:rFonts w:cs="Arial"/>
          <w:b/>
          <w:bCs/>
          <w:color w:val="000000"/>
          <w:sz w:val="22"/>
          <w:szCs w:val="22"/>
          <w:lang w:eastAsia="en-GB"/>
        </w:rPr>
      </w:pPr>
      <w:r w:rsidRPr="005D6D59">
        <w:rPr>
          <w:rFonts w:cs="Arial"/>
          <w:b/>
          <w:bCs/>
          <w:color w:val="000000"/>
          <w:sz w:val="22"/>
          <w:szCs w:val="22"/>
          <w:lang w:eastAsia="en-GB"/>
        </w:rPr>
        <w:t xml:space="preserve">Vývoj nevýkonných úvěrů </w:t>
      </w:r>
    </w:p>
    <w:p w14:paraId="48E49559" w14:textId="77777777" w:rsidR="00172FE8" w:rsidRPr="005D6D59" w:rsidRDefault="00172FE8" w:rsidP="00172FE8">
      <w:pPr>
        <w:rPr>
          <w:rFonts w:cs="Arial"/>
          <w:sz w:val="24"/>
          <w:szCs w:val="24"/>
        </w:rPr>
      </w:pPr>
    </w:p>
    <w:tbl>
      <w:tblPr>
        <w:tblStyle w:val="Mkatabulky"/>
        <w:tblW w:w="9488" w:type="dxa"/>
        <w:jc w:val="center"/>
        <w:tblLook w:val="04A0" w:firstRow="1" w:lastRow="0" w:firstColumn="1" w:lastColumn="0" w:noHBand="0" w:noVBand="1"/>
      </w:tblPr>
      <w:tblGrid>
        <w:gridCol w:w="2992"/>
        <w:gridCol w:w="1624"/>
        <w:gridCol w:w="1624"/>
        <w:gridCol w:w="1624"/>
        <w:gridCol w:w="1624"/>
      </w:tblGrid>
      <w:tr w:rsidR="00172FE8" w:rsidRPr="005D6D59" w14:paraId="7E522529" w14:textId="77777777" w:rsidTr="004B7162">
        <w:trPr>
          <w:trHeight w:val="372"/>
          <w:jc w:val="center"/>
        </w:trPr>
        <w:tc>
          <w:tcPr>
            <w:tcW w:w="2992" w:type="dxa"/>
            <w:shd w:val="clear" w:color="auto" w:fill="13576B"/>
            <w:vAlign w:val="center"/>
          </w:tcPr>
          <w:p w14:paraId="04425A9E" w14:textId="77777777" w:rsidR="00172FE8" w:rsidRPr="005D6D59" w:rsidRDefault="00172FE8" w:rsidP="004B7162">
            <w:pPr>
              <w:rPr>
                <w:rFonts w:cs="Arial"/>
                <w:b/>
                <w:bCs/>
                <w:color w:val="FFFFFF" w:themeColor="background1"/>
              </w:rPr>
            </w:pPr>
          </w:p>
        </w:tc>
        <w:tc>
          <w:tcPr>
            <w:tcW w:w="1624" w:type="dxa"/>
            <w:shd w:val="clear" w:color="auto" w:fill="13576B"/>
            <w:vAlign w:val="center"/>
          </w:tcPr>
          <w:p w14:paraId="009B065E" w14:textId="77777777" w:rsidR="00172FE8" w:rsidRPr="005D6D59" w:rsidRDefault="00172FE8" w:rsidP="004B7162">
            <w:pPr>
              <w:jc w:val="center"/>
              <w:rPr>
                <w:rFonts w:cs="Arial"/>
                <w:b/>
                <w:bCs/>
                <w:color w:val="FFFFFF" w:themeColor="background1"/>
              </w:rPr>
            </w:pPr>
            <w:r w:rsidRPr="005D6D59">
              <w:rPr>
                <w:rFonts w:cs="Arial"/>
                <w:b/>
                <w:bCs/>
                <w:color w:val="FFFFFF" w:themeColor="background1"/>
              </w:rPr>
              <w:t>Prosinec 2011</w:t>
            </w:r>
          </w:p>
        </w:tc>
        <w:tc>
          <w:tcPr>
            <w:tcW w:w="1624" w:type="dxa"/>
            <w:shd w:val="clear" w:color="auto" w:fill="13576B"/>
            <w:vAlign w:val="center"/>
          </w:tcPr>
          <w:p w14:paraId="564FE2A5" w14:textId="77777777" w:rsidR="00172FE8" w:rsidRPr="005D6D59" w:rsidRDefault="00172FE8" w:rsidP="004B7162">
            <w:pPr>
              <w:jc w:val="center"/>
              <w:rPr>
                <w:rFonts w:cs="Arial"/>
                <w:b/>
                <w:bCs/>
                <w:color w:val="FFFFFF" w:themeColor="background1"/>
              </w:rPr>
            </w:pPr>
            <w:r w:rsidRPr="005D6D59">
              <w:rPr>
                <w:rFonts w:cs="Arial"/>
                <w:b/>
                <w:bCs/>
                <w:color w:val="FFFFFF" w:themeColor="background1"/>
              </w:rPr>
              <w:t>Prosinec 2020</w:t>
            </w:r>
          </w:p>
        </w:tc>
        <w:tc>
          <w:tcPr>
            <w:tcW w:w="1624" w:type="dxa"/>
            <w:shd w:val="clear" w:color="auto" w:fill="13576B"/>
            <w:vAlign w:val="center"/>
          </w:tcPr>
          <w:p w14:paraId="51B6AB02" w14:textId="77777777" w:rsidR="00172FE8" w:rsidRPr="005D6D59" w:rsidRDefault="00172FE8" w:rsidP="004B7162">
            <w:pPr>
              <w:jc w:val="center"/>
              <w:rPr>
                <w:rFonts w:cs="Arial"/>
                <w:b/>
                <w:bCs/>
                <w:color w:val="FFFFFF" w:themeColor="background1"/>
              </w:rPr>
            </w:pPr>
            <w:r w:rsidRPr="005D6D59">
              <w:rPr>
                <w:rFonts w:cs="Arial"/>
                <w:b/>
                <w:bCs/>
                <w:color w:val="FFFFFF" w:themeColor="background1"/>
              </w:rPr>
              <w:t>Listopad 2021</w:t>
            </w:r>
          </w:p>
        </w:tc>
        <w:tc>
          <w:tcPr>
            <w:tcW w:w="1624" w:type="dxa"/>
            <w:shd w:val="clear" w:color="auto" w:fill="13576B"/>
            <w:vAlign w:val="center"/>
          </w:tcPr>
          <w:p w14:paraId="67CB5393" w14:textId="77777777" w:rsidR="00172FE8" w:rsidRPr="005D6D59" w:rsidRDefault="00172FE8" w:rsidP="004B7162">
            <w:pPr>
              <w:jc w:val="center"/>
              <w:rPr>
                <w:rFonts w:cs="Arial"/>
                <w:b/>
                <w:bCs/>
                <w:color w:val="FFFFFF" w:themeColor="background1"/>
              </w:rPr>
            </w:pPr>
            <w:r w:rsidRPr="005D6D59">
              <w:rPr>
                <w:rFonts w:cs="Arial"/>
                <w:b/>
                <w:bCs/>
                <w:color w:val="FFFFFF" w:themeColor="background1"/>
              </w:rPr>
              <w:t>Prosinec 2021</w:t>
            </w:r>
          </w:p>
        </w:tc>
      </w:tr>
      <w:tr w:rsidR="00172FE8" w:rsidRPr="005D6D59" w14:paraId="6E07F1EB" w14:textId="77777777" w:rsidTr="004B7162">
        <w:trPr>
          <w:trHeight w:val="372"/>
          <w:jc w:val="center"/>
        </w:trPr>
        <w:tc>
          <w:tcPr>
            <w:tcW w:w="2992" w:type="dxa"/>
            <w:shd w:val="clear" w:color="auto" w:fill="13576B"/>
            <w:vAlign w:val="center"/>
          </w:tcPr>
          <w:p w14:paraId="30689247" w14:textId="77777777" w:rsidR="00172FE8" w:rsidRPr="005D6D59" w:rsidRDefault="00172FE8" w:rsidP="004B7162">
            <w:pPr>
              <w:rPr>
                <w:rFonts w:cs="Arial"/>
                <w:b/>
                <w:bCs/>
                <w:color w:val="FFFFFF" w:themeColor="background1"/>
              </w:rPr>
            </w:pPr>
            <w:r w:rsidRPr="005D6D59">
              <w:rPr>
                <w:rFonts w:cs="Arial"/>
                <w:b/>
                <w:bCs/>
                <w:color w:val="FFFFFF" w:themeColor="background1"/>
              </w:rPr>
              <w:t>Domácnosti, spotřební úvěry</w:t>
            </w:r>
          </w:p>
        </w:tc>
        <w:tc>
          <w:tcPr>
            <w:tcW w:w="1624" w:type="dxa"/>
            <w:vAlign w:val="center"/>
          </w:tcPr>
          <w:p w14:paraId="36C0755A" w14:textId="77777777" w:rsidR="00172FE8" w:rsidRPr="005D6D59" w:rsidRDefault="00172FE8" w:rsidP="004B7162">
            <w:pPr>
              <w:jc w:val="center"/>
              <w:rPr>
                <w:rFonts w:cs="Arial"/>
              </w:rPr>
            </w:pPr>
            <w:r w:rsidRPr="005D6D59">
              <w:rPr>
                <w:rFonts w:cs="Arial"/>
              </w:rPr>
              <w:t>11,3 %</w:t>
            </w:r>
          </w:p>
        </w:tc>
        <w:tc>
          <w:tcPr>
            <w:tcW w:w="1624" w:type="dxa"/>
            <w:vAlign w:val="center"/>
          </w:tcPr>
          <w:p w14:paraId="1062C315" w14:textId="77777777" w:rsidR="00172FE8" w:rsidRPr="005D6D59" w:rsidRDefault="00172FE8" w:rsidP="004B7162">
            <w:pPr>
              <w:jc w:val="center"/>
              <w:rPr>
                <w:rFonts w:cs="Arial"/>
              </w:rPr>
            </w:pPr>
            <w:r w:rsidRPr="005D6D59">
              <w:rPr>
                <w:rFonts w:cs="Arial"/>
              </w:rPr>
              <w:t>5,08 %</w:t>
            </w:r>
          </w:p>
        </w:tc>
        <w:tc>
          <w:tcPr>
            <w:tcW w:w="1624" w:type="dxa"/>
            <w:vAlign w:val="center"/>
          </w:tcPr>
          <w:p w14:paraId="37E2B7C0" w14:textId="77777777" w:rsidR="00172FE8" w:rsidRPr="005D6D59" w:rsidRDefault="00172FE8" w:rsidP="004B7162">
            <w:pPr>
              <w:jc w:val="center"/>
              <w:rPr>
                <w:rFonts w:cs="Arial"/>
              </w:rPr>
            </w:pPr>
            <w:r w:rsidRPr="005D6D59">
              <w:rPr>
                <w:rFonts w:cs="Arial"/>
              </w:rPr>
              <w:t>4,77 %</w:t>
            </w:r>
          </w:p>
        </w:tc>
        <w:tc>
          <w:tcPr>
            <w:tcW w:w="1624" w:type="dxa"/>
            <w:vAlign w:val="center"/>
          </w:tcPr>
          <w:p w14:paraId="0FB0004B" w14:textId="77777777" w:rsidR="00172FE8" w:rsidRPr="005D6D59" w:rsidRDefault="00172FE8" w:rsidP="004B7162">
            <w:pPr>
              <w:jc w:val="center"/>
              <w:rPr>
                <w:rFonts w:cs="Arial"/>
              </w:rPr>
            </w:pPr>
            <w:r w:rsidRPr="005D6D59">
              <w:rPr>
                <w:rFonts w:cs="Arial"/>
              </w:rPr>
              <w:t>4,67 %</w:t>
            </w:r>
          </w:p>
        </w:tc>
      </w:tr>
      <w:tr w:rsidR="00172FE8" w:rsidRPr="005D6D59" w14:paraId="18DD6B65" w14:textId="77777777" w:rsidTr="004B7162">
        <w:trPr>
          <w:trHeight w:val="389"/>
          <w:jc w:val="center"/>
        </w:trPr>
        <w:tc>
          <w:tcPr>
            <w:tcW w:w="2992" w:type="dxa"/>
            <w:shd w:val="clear" w:color="auto" w:fill="13576B"/>
            <w:vAlign w:val="center"/>
          </w:tcPr>
          <w:p w14:paraId="41D8B8CF" w14:textId="77777777" w:rsidR="00172FE8" w:rsidRPr="005D6D59" w:rsidRDefault="00172FE8" w:rsidP="004B7162">
            <w:pPr>
              <w:rPr>
                <w:rFonts w:cs="Arial"/>
                <w:b/>
                <w:bCs/>
                <w:color w:val="FFFFFF" w:themeColor="background1"/>
              </w:rPr>
            </w:pPr>
            <w:r w:rsidRPr="005D6D59">
              <w:rPr>
                <w:rFonts w:cs="Arial"/>
                <w:b/>
                <w:bCs/>
                <w:color w:val="FFFFFF" w:themeColor="background1"/>
              </w:rPr>
              <w:t xml:space="preserve">Domácnosti, hypoteční úvěry                                              </w:t>
            </w:r>
          </w:p>
        </w:tc>
        <w:tc>
          <w:tcPr>
            <w:tcW w:w="1624" w:type="dxa"/>
            <w:vAlign w:val="center"/>
          </w:tcPr>
          <w:p w14:paraId="3236C188" w14:textId="77777777" w:rsidR="00172FE8" w:rsidRPr="005D6D59" w:rsidRDefault="00172FE8" w:rsidP="004B7162">
            <w:pPr>
              <w:jc w:val="center"/>
              <w:rPr>
                <w:rFonts w:cs="Arial"/>
              </w:rPr>
            </w:pPr>
            <w:r w:rsidRPr="005D6D59">
              <w:rPr>
                <w:rFonts w:cs="Arial"/>
              </w:rPr>
              <w:t>3,09 %</w:t>
            </w:r>
          </w:p>
        </w:tc>
        <w:tc>
          <w:tcPr>
            <w:tcW w:w="1624" w:type="dxa"/>
            <w:vAlign w:val="center"/>
          </w:tcPr>
          <w:p w14:paraId="79AB3A32" w14:textId="77777777" w:rsidR="00172FE8" w:rsidRPr="005D6D59" w:rsidRDefault="00172FE8" w:rsidP="004B7162">
            <w:pPr>
              <w:jc w:val="center"/>
              <w:rPr>
                <w:rFonts w:cs="Arial"/>
              </w:rPr>
            </w:pPr>
            <w:r w:rsidRPr="005D6D59">
              <w:rPr>
                <w:rFonts w:cs="Arial"/>
              </w:rPr>
              <w:t>0,88 %</w:t>
            </w:r>
          </w:p>
        </w:tc>
        <w:tc>
          <w:tcPr>
            <w:tcW w:w="1624" w:type="dxa"/>
            <w:vAlign w:val="center"/>
          </w:tcPr>
          <w:p w14:paraId="38E48E6B" w14:textId="77777777" w:rsidR="00172FE8" w:rsidRPr="005D6D59" w:rsidRDefault="00172FE8" w:rsidP="004B7162">
            <w:pPr>
              <w:jc w:val="center"/>
              <w:rPr>
                <w:rFonts w:cs="Arial"/>
              </w:rPr>
            </w:pPr>
            <w:r w:rsidRPr="005D6D59">
              <w:rPr>
                <w:rFonts w:cs="Arial"/>
              </w:rPr>
              <w:t>0,76 %</w:t>
            </w:r>
          </w:p>
        </w:tc>
        <w:tc>
          <w:tcPr>
            <w:tcW w:w="1624" w:type="dxa"/>
            <w:vAlign w:val="center"/>
          </w:tcPr>
          <w:p w14:paraId="33387B42" w14:textId="77777777" w:rsidR="00172FE8" w:rsidRPr="005D6D59" w:rsidRDefault="00172FE8" w:rsidP="004B7162">
            <w:pPr>
              <w:jc w:val="center"/>
              <w:rPr>
                <w:rFonts w:cs="Arial"/>
              </w:rPr>
            </w:pPr>
            <w:r w:rsidRPr="005D6D59">
              <w:rPr>
                <w:rFonts w:cs="Arial"/>
              </w:rPr>
              <w:t>0,74 %</w:t>
            </w:r>
          </w:p>
        </w:tc>
      </w:tr>
      <w:tr w:rsidR="00172FE8" w:rsidRPr="005D6D59" w14:paraId="5BFC7EFE" w14:textId="77777777" w:rsidTr="004B7162">
        <w:trPr>
          <w:trHeight w:val="372"/>
          <w:jc w:val="center"/>
        </w:trPr>
        <w:tc>
          <w:tcPr>
            <w:tcW w:w="2992" w:type="dxa"/>
            <w:shd w:val="clear" w:color="auto" w:fill="13576B"/>
            <w:vAlign w:val="center"/>
          </w:tcPr>
          <w:p w14:paraId="016DC20F" w14:textId="77777777" w:rsidR="00172FE8" w:rsidRPr="005D6D59" w:rsidRDefault="00172FE8" w:rsidP="004B7162">
            <w:pPr>
              <w:rPr>
                <w:rFonts w:cs="Arial"/>
                <w:b/>
                <w:bCs/>
                <w:color w:val="FFFFFF" w:themeColor="background1"/>
              </w:rPr>
            </w:pPr>
            <w:r w:rsidRPr="005D6D59">
              <w:rPr>
                <w:rFonts w:cs="Arial"/>
                <w:b/>
                <w:bCs/>
                <w:color w:val="FFFFFF" w:themeColor="background1"/>
              </w:rPr>
              <w:t xml:space="preserve">Podniky                                                                                    </w:t>
            </w:r>
          </w:p>
        </w:tc>
        <w:tc>
          <w:tcPr>
            <w:tcW w:w="1624" w:type="dxa"/>
            <w:vAlign w:val="center"/>
          </w:tcPr>
          <w:p w14:paraId="6ABA6E0C" w14:textId="77777777" w:rsidR="00172FE8" w:rsidRPr="005D6D59" w:rsidRDefault="00172FE8" w:rsidP="004B7162">
            <w:pPr>
              <w:jc w:val="center"/>
              <w:rPr>
                <w:rFonts w:cs="Arial"/>
              </w:rPr>
            </w:pPr>
            <w:r w:rsidRPr="005D6D59">
              <w:rPr>
                <w:rFonts w:cs="Arial"/>
              </w:rPr>
              <w:t>8,2 %</w:t>
            </w:r>
          </w:p>
        </w:tc>
        <w:tc>
          <w:tcPr>
            <w:tcW w:w="1624" w:type="dxa"/>
            <w:vAlign w:val="center"/>
          </w:tcPr>
          <w:p w14:paraId="0D1CAFD6" w14:textId="77777777" w:rsidR="00172FE8" w:rsidRPr="005D6D59" w:rsidRDefault="00172FE8" w:rsidP="004B7162">
            <w:pPr>
              <w:jc w:val="center"/>
              <w:rPr>
                <w:rFonts w:cs="Arial"/>
              </w:rPr>
            </w:pPr>
            <w:r w:rsidRPr="005D6D59">
              <w:rPr>
                <w:rFonts w:cs="Arial"/>
              </w:rPr>
              <w:t>4,15 %</w:t>
            </w:r>
          </w:p>
        </w:tc>
        <w:tc>
          <w:tcPr>
            <w:tcW w:w="1624" w:type="dxa"/>
            <w:vAlign w:val="center"/>
          </w:tcPr>
          <w:p w14:paraId="20924BC8" w14:textId="77777777" w:rsidR="00172FE8" w:rsidRPr="005D6D59" w:rsidRDefault="00172FE8" w:rsidP="004B7162">
            <w:pPr>
              <w:jc w:val="center"/>
              <w:rPr>
                <w:rFonts w:cs="Arial"/>
              </w:rPr>
            </w:pPr>
            <w:r w:rsidRPr="005D6D59">
              <w:rPr>
                <w:rFonts w:cs="Arial"/>
              </w:rPr>
              <w:t>3,87 %</w:t>
            </w:r>
          </w:p>
        </w:tc>
        <w:tc>
          <w:tcPr>
            <w:tcW w:w="1624" w:type="dxa"/>
            <w:vAlign w:val="center"/>
          </w:tcPr>
          <w:p w14:paraId="2772037C" w14:textId="77777777" w:rsidR="00172FE8" w:rsidRPr="005D6D59" w:rsidRDefault="00172FE8" w:rsidP="004B7162">
            <w:pPr>
              <w:jc w:val="center"/>
              <w:rPr>
                <w:rFonts w:cs="Arial"/>
              </w:rPr>
            </w:pPr>
            <w:r w:rsidRPr="005D6D59">
              <w:rPr>
                <w:rFonts w:cs="Arial"/>
              </w:rPr>
              <w:t>3,83 %</w:t>
            </w:r>
          </w:p>
        </w:tc>
      </w:tr>
    </w:tbl>
    <w:p w14:paraId="00A0B30A" w14:textId="77777777" w:rsidR="00172FE8" w:rsidRPr="005D6D59" w:rsidRDefault="00172FE8" w:rsidP="00172FE8">
      <w:pPr>
        <w:rPr>
          <w:rFonts w:cs="Arial"/>
        </w:rPr>
      </w:pPr>
      <w:r w:rsidRPr="005D6D59">
        <w:rPr>
          <w:rFonts w:cs="Arial"/>
          <w:noProof/>
          <w:lang w:val="en-GB" w:eastAsia="en-GB"/>
        </w:rPr>
        <mc:AlternateContent>
          <mc:Choice Requires="wps">
            <w:drawing>
              <wp:anchor distT="0" distB="0" distL="114300" distR="114300" simplePos="0" relativeHeight="251659264" behindDoc="0" locked="0" layoutInCell="1" allowOverlap="1" wp14:anchorId="68C50A8A" wp14:editId="6A322CBE">
                <wp:simplePos x="0" y="0"/>
                <wp:positionH relativeFrom="column">
                  <wp:posOffset>5151755</wp:posOffset>
                </wp:positionH>
                <wp:positionV relativeFrom="paragraph">
                  <wp:posOffset>24130</wp:posOffset>
                </wp:positionV>
                <wp:extent cx="1219200" cy="349858"/>
                <wp:effectExtent l="0" t="0" r="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9858"/>
                        </a:xfrm>
                        <a:prstGeom prst="rect">
                          <a:avLst/>
                        </a:prstGeom>
                        <a:solidFill>
                          <a:srgbClr val="FFFFFF"/>
                        </a:solidFill>
                        <a:ln w="9525">
                          <a:noFill/>
                          <a:miter lim="800000"/>
                          <a:headEnd/>
                          <a:tailEnd/>
                        </a:ln>
                      </wps:spPr>
                      <wps:txbx>
                        <w:txbxContent>
                          <w:p w14:paraId="237BCE30" w14:textId="77777777" w:rsidR="00172FE8" w:rsidRPr="001549A1" w:rsidRDefault="00172FE8" w:rsidP="00172FE8">
                            <w:pPr>
                              <w:jc w:val="left"/>
                              <w:rPr>
                                <w:rFonts w:ascii="Calibri" w:hAnsi="Calibri"/>
                                <w:i/>
                                <w:iCs/>
                                <w:sz w:val="16"/>
                                <w:szCs w:val="18"/>
                              </w:rPr>
                            </w:pPr>
                            <w:r w:rsidRPr="001549A1">
                              <w:rPr>
                                <w:rFonts w:ascii="Calibri" w:hAnsi="Calibri"/>
                                <w:i/>
                                <w:iCs/>
                                <w:sz w:val="16"/>
                                <w:szCs w:val="18"/>
                              </w:rPr>
                              <w:t xml:space="preserve">   (Zdroj: </w:t>
                            </w:r>
                            <w:r w:rsidRPr="00280D31">
                              <w:rPr>
                                <w:rFonts w:ascii="Calibri" w:hAnsi="Calibri"/>
                                <w:i/>
                                <w:iCs/>
                                <w:sz w:val="16"/>
                                <w:szCs w:val="18"/>
                              </w:rPr>
                              <w:t>ČNB (ARAD)</w:t>
                            </w:r>
                            <w:r w:rsidRPr="001549A1">
                              <w:rPr>
                                <w:rFonts w:ascii="Calibri" w:hAnsi="Calibri"/>
                                <w:i/>
                                <w:iCs/>
                                <w:sz w:val="16"/>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50A8A" id="_x0000_s1028" type="#_x0000_t202" style="position:absolute;left:0;text-align:left;margin-left:405.65pt;margin-top:1.9pt;width:96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" stroked="f">
                <v:textbox>
                  <w:txbxContent>
                    <w:p w14:paraId="237BCE30" w14:textId="77777777" w:rsidR="00172FE8" w:rsidRPr="001549A1" w:rsidRDefault="00172FE8" w:rsidP="00172FE8">
                      <w:pPr>
                        <w:jc w:val="left"/>
                        <w:rPr>
                          <w:rFonts w:ascii="Calibri" w:hAnsi="Calibri"/>
                          <w:i/>
                          <w:iCs/>
                          <w:sz w:val="16"/>
                          <w:szCs w:val="18"/>
                        </w:rPr>
                      </w:pPr>
                      <w:r w:rsidRPr="001549A1">
                        <w:rPr>
                          <w:rFonts w:ascii="Calibri" w:hAnsi="Calibri"/>
                          <w:i/>
                          <w:iCs/>
                          <w:sz w:val="16"/>
                          <w:szCs w:val="18"/>
                        </w:rPr>
                        <w:t xml:space="preserve">   (Zdroj: </w:t>
                      </w:r>
                      <w:r w:rsidRPr="00280D31">
                        <w:rPr>
                          <w:rFonts w:ascii="Calibri" w:hAnsi="Calibri"/>
                          <w:i/>
                          <w:iCs/>
                          <w:sz w:val="16"/>
                          <w:szCs w:val="18"/>
                        </w:rPr>
                        <w:t>ČNB (ARAD)</w:t>
                      </w:r>
                      <w:r w:rsidRPr="001549A1">
                        <w:rPr>
                          <w:rFonts w:ascii="Calibri" w:hAnsi="Calibri"/>
                          <w:i/>
                          <w:iCs/>
                          <w:sz w:val="16"/>
                          <w:szCs w:val="18"/>
                        </w:rPr>
                        <w:t>)</w:t>
                      </w:r>
                    </w:p>
                  </w:txbxContent>
                </v:textbox>
              </v:shape>
            </w:pict>
          </mc:Fallback>
        </mc:AlternateContent>
      </w:r>
      <w:r w:rsidRPr="005D6D59">
        <w:rPr>
          <w:rFonts w:cs="Arial"/>
        </w:rPr>
        <w:t xml:space="preserve">                                   </w:t>
      </w:r>
    </w:p>
    <w:p w14:paraId="3001352A" w14:textId="77777777" w:rsidR="00172FE8" w:rsidRPr="005D6D59" w:rsidRDefault="00172FE8" w:rsidP="00172FE8">
      <w:pPr>
        <w:rPr>
          <w:rFonts w:cs="Arial"/>
          <w:sz w:val="24"/>
          <w:szCs w:val="24"/>
        </w:rPr>
      </w:pPr>
    </w:p>
    <w:tbl>
      <w:tblPr>
        <w:tblStyle w:val="Mkatabul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7"/>
        <w:gridCol w:w="3384"/>
      </w:tblGrid>
      <w:tr w:rsidR="009B6DE2" w:rsidRPr="00635D8B" w14:paraId="0FCCB045" w14:textId="77777777" w:rsidTr="00303C78">
        <w:trPr>
          <w:trHeight w:val="1995"/>
        </w:trPr>
        <w:tc>
          <w:tcPr>
            <w:tcW w:w="6817" w:type="dxa"/>
            <w:shd w:val="clear" w:color="auto" w:fill="13576B"/>
          </w:tcPr>
          <w:p w14:paraId="4D313D11" w14:textId="77777777" w:rsidR="009B6DE2" w:rsidRPr="00406C4B" w:rsidRDefault="009B6DE2" w:rsidP="00303C78">
            <w:pPr>
              <w:pStyle w:val="CBANadpisvTABULCE"/>
              <w:jc w:val="both"/>
              <w:rPr>
                <w:rFonts w:ascii="IBM Plex Sans" w:hAnsi="IBM Plex Sans" w:cs="Poppins"/>
                <w:color w:val="FFFFFF" w:themeColor="background1"/>
                <w:szCs w:val="18"/>
              </w:rPr>
            </w:pPr>
            <w:r w:rsidRPr="00406C4B">
              <w:rPr>
                <w:rFonts w:ascii="IBM Plex Sans" w:hAnsi="IBM Plex Sans" w:cs="Poppins"/>
                <w:color w:val="FFFFFF" w:themeColor="background1"/>
                <w:szCs w:val="18"/>
              </w:rPr>
              <w:lastRenderedPageBreak/>
              <w:t>O České bankovní asociaci</w:t>
            </w:r>
          </w:p>
          <w:p w14:paraId="5FF33618" w14:textId="5586612A" w:rsidR="009B6DE2" w:rsidRPr="00406C4B" w:rsidRDefault="009B6DE2" w:rsidP="00303C78">
            <w:pPr>
              <w:pStyle w:val="CBAodstavecvTABULCE"/>
              <w:jc w:val="both"/>
              <w:rPr>
                <w:rFonts w:ascii="IBM Plex Sans" w:hAnsi="IBM Plex Sans" w:cs="Poppins"/>
                <w:color w:val="A9936D"/>
                <w:szCs w:val="18"/>
              </w:rPr>
            </w:pPr>
            <w:r w:rsidRPr="00406C4B">
              <w:rPr>
                <w:rFonts w:ascii="IBM Plex Sans" w:hAnsi="IBM Plex Sans" w:cs="Poppins"/>
                <w:color w:val="FFFFFF" w:themeColor="background1"/>
                <w:szCs w:val="18"/>
              </w:rPr>
              <w:t>Česká bankovní asociace vznikla v roce 1990 a je dobrovolným sdružením právnických osob podnikajících v oblasti peněžnictví. V současné době sdružuje 3</w:t>
            </w:r>
            <w:r w:rsidR="008659E6">
              <w:rPr>
                <w:rFonts w:ascii="IBM Plex Sans" w:hAnsi="IBM Plex Sans" w:cs="Poppins"/>
                <w:color w:val="FFFFFF" w:themeColor="background1"/>
                <w:szCs w:val="18"/>
              </w:rPr>
              <w:t>5</w:t>
            </w:r>
            <w:r w:rsidRPr="00406C4B">
              <w:rPr>
                <w:rFonts w:ascii="IBM Plex Sans" w:hAnsi="IBM Plex Sans" w:cs="Poppins"/>
                <w:color w:val="FFFFFF" w:themeColor="background1"/>
                <w:szCs w:val="18"/>
              </w:rPr>
              <w:t xml:space="preserve"> členů. Rolí asociace je především zastupovat a prosazovat společné zájmy členů, prezentovat roli a zájmy bankovnictví vůči veřejnosti, podílet se na standardizaci postupů v bankovnictví a na vytváření odborných zvyklostí, podporovat harmonizaci bankovní legislativy s legislativou Evropské unie a vyvíjet aktivitu v informativní a školící oblasti. ČBA je členem Evropské bankovní federace a EMMI. Více informací na </w:t>
            </w:r>
            <w:hyperlink r:id="rId11" w:history="1">
              <w:r w:rsidRPr="00406C4B">
                <w:rPr>
                  <w:rStyle w:val="Hypertextovodkaz"/>
                  <w:rFonts w:ascii="IBM Plex Sans" w:hAnsi="IBM Plex Sans" w:cs="Poppins"/>
                  <w:color w:val="FFFFFF" w:themeColor="background1"/>
                  <w:szCs w:val="18"/>
                </w:rPr>
                <w:t>www.cbaonline.cz</w:t>
              </w:r>
            </w:hyperlink>
            <w:r w:rsidR="00406C4B" w:rsidRPr="00406C4B">
              <w:rPr>
                <w:rFonts w:ascii="IBM Plex Sans" w:hAnsi="IBM Plex Sans" w:cs="Poppins"/>
                <w:color w:val="FFFFFF" w:themeColor="background1"/>
                <w:szCs w:val="18"/>
              </w:rPr>
              <w:t xml:space="preserve">. </w:t>
            </w:r>
          </w:p>
        </w:tc>
        <w:tc>
          <w:tcPr>
            <w:tcW w:w="3384" w:type="dxa"/>
            <w:shd w:val="clear" w:color="auto" w:fill="A9936D"/>
            <w:vAlign w:val="center"/>
          </w:tcPr>
          <w:p w14:paraId="1A770954" w14:textId="036E1E19" w:rsidR="009B6DE2" w:rsidRPr="00406C4B" w:rsidRDefault="009B6DE2" w:rsidP="00303C78">
            <w:pPr>
              <w:pStyle w:val="CBAodstavecvTABULCE"/>
              <w:jc w:val="center"/>
              <w:rPr>
                <w:rFonts w:ascii="IBM Plex Sans" w:hAnsi="IBM Plex Sans" w:cs="Poppins"/>
                <w:b/>
                <w:bCs/>
                <w:color w:val="FFFFFF" w:themeColor="background1"/>
                <w:szCs w:val="18"/>
              </w:rPr>
            </w:pPr>
            <w:r w:rsidRPr="00406C4B">
              <w:rPr>
                <w:rFonts w:ascii="IBM Plex Sans" w:hAnsi="IBM Plex Sans" w:cs="Poppins"/>
                <w:b/>
                <w:bCs/>
                <w:color w:val="FFFFFF" w:themeColor="background1"/>
                <w:szCs w:val="18"/>
              </w:rPr>
              <w:t>Další informace obdržíte na adrese:</w:t>
            </w:r>
          </w:p>
          <w:p w14:paraId="106F1030" w14:textId="0D6DB357" w:rsidR="009B6DE2" w:rsidRPr="00406C4B" w:rsidRDefault="009B6DE2" w:rsidP="00303C78">
            <w:pPr>
              <w:pStyle w:val="CBAodstavecvTABULCE"/>
              <w:jc w:val="center"/>
              <w:rPr>
                <w:rFonts w:ascii="IBM Plex Sans" w:hAnsi="IBM Plex Sans" w:cs="Poppins"/>
                <w:color w:val="FFFFFF" w:themeColor="background1"/>
                <w:szCs w:val="18"/>
              </w:rPr>
            </w:pPr>
            <w:r w:rsidRPr="00406C4B">
              <w:rPr>
                <w:rFonts w:ascii="IBM Plex Sans" w:hAnsi="IBM Plex Sans" w:cs="Poppins"/>
                <w:b/>
                <w:bCs/>
                <w:color w:val="FFFFFF" w:themeColor="background1"/>
                <w:szCs w:val="18"/>
              </w:rPr>
              <w:t>media@cbaonline.cz</w:t>
            </w:r>
          </w:p>
        </w:tc>
      </w:tr>
    </w:tbl>
    <w:p w14:paraId="79952D08" w14:textId="518D10FE" w:rsidR="00C42F00" w:rsidRPr="00635D8B" w:rsidRDefault="00C42F00" w:rsidP="00563240">
      <w:pPr>
        <w:spacing w:line="276" w:lineRule="auto"/>
        <w:contextualSpacing/>
        <w:rPr>
          <w:rFonts w:cs="Arial"/>
          <w:sz w:val="20"/>
        </w:rPr>
      </w:pPr>
    </w:p>
    <w:sectPr w:rsidR="00C42F00" w:rsidRPr="00635D8B" w:rsidSect="008659E6">
      <w:headerReference w:type="default" r:id="rId12"/>
      <w:footerReference w:type="default" r:id="rId13"/>
      <w:pgSz w:w="11906" w:h="16838" w:code="9"/>
      <w:pgMar w:top="2977" w:right="849" w:bottom="141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1E84" w14:textId="77777777" w:rsidR="00274868" w:rsidRDefault="00274868" w:rsidP="00F573F1">
      <w:r>
        <w:separator/>
      </w:r>
    </w:p>
  </w:endnote>
  <w:endnote w:type="continuationSeparator" w:id="0">
    <w:p w14:paraId="765B7F5D" w14:textId="77777777" w:rsidR="00274868" w:rsidRDefault="00274868"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BM Plex Sans">
    <w:altName w:val="IBM Plex Sans"/>
    <w:panose1 w:val="020B0503050203000203"/>
    <w:charset w:val="00"/>
    <w:family w:val="swiss"/>
    <w:pitch w:val="variable"/>
    <w:sig w:usb0="A00002EF" w:usb1="5000207B" w:usb2="00000000" w:usb3="00000000" w:csb0="0000019F" w:csb1="00000000"/>
  </w:font>
  <w:font w:name="Poppins">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EndPr/>
    <w:sdtContent>
      <w:sdt>
        <w:sdtPr>
          <w:id w:val="-1769616900"/>
          <w:docPartObj>
            <w:docPartGallery w:val="Page Numbers (Top of Page)"/>
            <w:docPartUnique/>
          </w:docPartObj>
        </w:sdtPr>
        <w:sdtEndPr/>
        <w:sdtContent>
          <w:p w14:paraId="5E2EB97C" w14:textId="016AD999" w:rsidR="001E31AB" w:rsidRDefault="001E31AB">
            <w:pPr>
              <w:pStyle w:val="Zpat"/>
              <w:jc w:val="right"/>
            </w:pPr>
            <w:r w:rsidRPr="001E31AB">
              <w:rPr>
                <w:rFonts w:ascii="Calibri" w:hAnsi="Calibri"/>
                <w:noProof/>
                <w:szCs w:val="18"/>
                <w:lang w:val="en-GB" w:eastAsia="en-GB"/>
              </w:rPr>
              <w:drawing>
                <wp:anchor distT="0" distB="0" distL="114300" distR="114300" simplePos="0" relativeHeight="251666432"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005F4B41">
              <w:rPr>
                <w:rFonts w:ascii="Calibri" w:hAnsi="Calibri"/>
                <w:b/>
                <w:bCs/>
                <w:noProof/>
                <w:szCs w:val="18"/>
              </w:rPr>
              <w:t>1</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005F4B41">
              <w:rPr>
                <w:rFonts w:ascii="Calibri" w:hAnsi="Calibri"/>
                <w:b/>
                <w:bCs/>
                <w:noProof/>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0EF2" w14:textId="77777777" w:rsidR="00274868" w:rsidRDefault="00274868" w:rsidP="00F573F1">
      <w:r>
        <w:separator/>
      </w:r>
    </w:p>
  </w:footnote>
  <w:footnote w:type="continuationSeparator" w:id="0">
    <w:p w14:paraId="1B1B5B70" w14:textId="77777777" w:rsidR="00274868" w:rsidRDefault="00274868"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52151882" w:rsidR="0065124E" w:rsidRDefault="00563240">
    <w:pPr>
      <w:pStyle w:val="Zhlav"/>
    </w:pPr>
    <w:r>
      <w:rPr>
        <w:noProof/>
      </w:rPr>
      <w:drawing>
        <wp:anchor distT="0" distB="0" distL="114300" distR="114300" simplePos="0" relativeHeight="251667456" behindDoc="0" locked="0" layoutInCell="1" allowOverlap="1" wp14:anchorId="0E5A202D" wp14:editId="59D0D1E8">
          <wp:simplePos x="0" y="0"/>
          <wp:positionH relativeFrom="column">
            <wp:posOffset>-540385</wp:posOffset>
          </wp:positionH>
          <wp:positionV relativeFrom="paragraph">
            <wp:posOffset>-443491</wp:posOffset>
          </wp:positionV>
          <wp:extent cx="7543800" cy="1609876"/>
          <wp:effectExtent l="0" t="0" r="0" b="317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607615" cy="1623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7E8"/>
    <w:multiLevelType w:val="hybridMultilevel"/>
    <w:tmpl w:val="0F84A4BA"/>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45575"/>
    <w:multiLevelType w:val="multilevel"/>
    <w:tmpl w:val="800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F37EF"/>
    <w:multiLevelType w:val="multilevel"/>
    <w:tmpl w:val="094AC5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0D30"/>
    <w:multiLevelType w:val="hybridMultilevel"/>
    <w:tmpl w:val="41E675EE"/>
    <w:lvl w:ilvl="0" w:tplc="FFFFFFFF">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52931"/>
    <w:multiLevelType w:val="hybridMultilevel"/>
    <w:tmpl w:val="CE94A9DA"/>
    <w:lvl w:ilvl="0" w:tplc="FFFFFFFF">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0E6975"/>
    <w:multiLevelType w:val="hybridMultilevel"/>
    <w:tmpl w:val="1A9A075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160CDB"/>
    <w:multiLevelType w:val="hybridMultilevel"/>
    <w:tmpl w:val="9CAAD05C"/>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DB3575"/>
    <w:multiLevelType w:val="hybridMultilevel"/>
    <w:tmpl w:val="14DCA708"/>
    <w:lvl w:ilvl="0" w:tplc="040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C115FAD"/>
    <w:multiLevelType w:val="multilevel"/>
    <w:tmpl w:val="5EA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75EB8"/>
    <w:multiLevelType w:val="hybridMultilevel"/>
    <w:tmpl w:val="0268BA8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DD4F38"/>
    <w:multiLevelType w:val="hybridMultilevel"/>
    <w:tmpl w:val="A84E570C"/>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0E2E69"/>
    <w:multiLevelType w:val="multilevel"/>
    <w:tmpl w:val="3EDE4D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B2E39"/>
    <w:multiLevelType w:val="hybridMultilevel"/>
    <w:tmpl w:val="D71CC8D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A7E274F"/>
    <w:multiLevelType w:val="hybridMultilevel"/>
    <w:tmpl w:val="51C8FDCA"/>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A4145C"/>
    <w:multiLevelType w:val="hybridMultilevel"/>
    <w:tmpl w:val="7B341244"/>
    <w:lvl w:ilvl="0" w:tplc="2AE638C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F33D99"/>
    <w:multiLevelType w:val="multilevel"/>
    <w:tmpl w:val="B9A4785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95DE9"/>
    <w:multiLevelType w:val="hybridMultilevel"/>
    <w:tmpl w:val="F30A469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035B0F"/>
    <w:multiLevelType w:val="hybridMultilevel"/>
    <w:tmpl w:val="424006B2"/>
    <w:lvl w:ilvl="0" w:tplc="FFFFFFFF">
      <w:start w:val="1"/>
      <w:numFmt w:val="bullet"/>
      <w:lvlText w:val="o"/>
      <w:lvlJc w:val="left"/>
      <w:pPr>
        <w:ind w:left="1080" w:hanging="360"/>
      </w:pPr>
      <w:rPr>
        <w:rFonts w:ascii="Courier New" w:hAnsi="Courier New" w:cs="Courier New" w:hint="default"/>
      </w:rPr>
    </w:lvl>
    <w:lvl w:ilvl="1" w:tplc="0405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8DF62E2"/>
    <w:multiLevelType w:val="hybridMultilevel"/>
    <w:tmpl w:val="0AB886D2"/>
    <w:lvl w:ilvl="0" w:tplc="BB089BB6">
      <w:start w:val="1"/>
      <w:numFmt w:val="bullet"/>
      <w:pStyle w:val="CBAodrazkavTABULCE"/>
      <w:lvlText w:val=""/>
      <w:lvlJc w:val="left"/>
      <w:pPr>
        <w:ind w:left="720" w:hanging="360"/>
      </w:pPr>
      <w:rPr>
        <w:rFonts w:ascii="Symbol" w:hAnsi="Symbol" w:hint="default"/>
        <w:color w:val="13576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D844BD"/>
    <w:multiLevelType w:val="hybridMultilevel"/>
    <w:tmpl w:val="85F22400"/>
    <w:lvl w:ilvl="0" w:tplc="0405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F2E6C53"/>
    <w:multiLevelType w:val="hybridMultilevel"/>
    <w:tmpl w:val="16AC101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7BD2C98"/>
    <w:multiLevelType w:val="hybridMultilevel"/>
    <w:tmpl w:val="1C6CC806"/>
    <w:lvl w:ilvl="0" w:tplc="FFFFFFFF">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A60407"/>
    <w:multiLevelType w:val="hybridMultilevel"/>
    <w:tmpl w:val="616847F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C0A46FF"/>
    <w:multiLevelType w:val="hybridMultilevel"/>
    <w:tmpl w:val="C246AFA2"/>
    <w:lvl w:ilvl="0" w:tplc="FFFFFFFF">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996221"/>
    <w:multiLevelType w:val="hybridMultilevel"/>
    <w:tmpl w:val="96B4F50C"/>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5EA80E25"/>
    <w:multiLevelType w:val="hybridMultilevel"/>
    <w:tmpl w:val="B9EC19F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337EEC"/>
    <w:multiLevelType w:val="hybridMultilevel"/>
    <w:tmpl w:val="136EE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04445B"/>
    <w:multiLevelType w:val="hybridMultilevel"/>
    <w:tmpl w:val="3048894E"/>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63C5193"/>
    <w:multiLevelType w:val="hybridMultilevel"/>
    <w:tmpl w:val="FB440342"/>
    <w:lvl w:ilvl="0" w:tplc="0405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71D235B"/>
    <w:multiLevelType w:val="hybridMultilevel"/>
    <w:tmpl w:val="11EE430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67B13990"/>
    <w:multiLevelType w:val="hybridMultilevel"/>
    <w:tmpl w:val="27ECF2BC"/>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6AFD3B08"/>
    <w:multiLevelType w:val="hybridMultilevel"/>
    <w:tmpl w:val="C12EBD7A"/>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903513"/>
    <w:multiLevelType w:val="hybridMultilevel"/>
    <w:tmpl w:val="BDCCF682"/>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2B08A1"/>
    <w:multiLevelType w:val="hybridMultilevel"/>
    <w:tmpl w:val="81BA51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E06EA5"/>
    <w:multiLevelType w:val="multilevel"/>
    <w:tmpl w:val="F89883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145BA4"/>
    <w:multiLevelType w:val="hybridMultilevel"/>
    <w:tmpl w:val="E75414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2A29FC"/>
    <w:multiLevelType w:val="multilevel"/>
    <w:tmpl w:val="94DC25DE"/>
    <w:lvl w:ilvl="0">
      <w:start w:val="1"/>
      <w:numFmt w:val="bullet"/>
      <w:lvlText w:val="o"/>
      <w:lvlJc w:val="left"/>
      <w:pPr>
        <w:tabs>
          <w:tab w:val="num" w:pos="720"/>
        </w:tabs>
        <w:ind w:left="720" w:hanging="360"/>
      </w:pPr>
      <w:rPr>
        <w:rFonts w:ascii="Courier New" w:hAnsi="Courier New" w:cs="Courier New" w:hint="default"/>
        <w:sz w:val="20"/>
      </w:rPr>
    </w:lvl>
    <w:lvl w:ilvl="1">
      <w:start w:val="3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8354E"/>
    <w:multiLevelType w:val="multilevel"/>
    <w:tmpl w:val="A412E44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444D5"/>
    <w:multiLevelType w:val="hybridMultilevel"/>
    <w:tmpl w:val="E2E62294"/>
    <w:lvl w:ilvl="0" w:tplc="FFFFFFFF">
      <w:numFmt w:val="bullet"/>
      <w:lvlText w:val="·"/>
      <w:lvlJc w:val="left"/>
      <w:pPr>
        <w:ind w:left="720" w:hanging="360"/>
      </w:pPr>
      <w:rPr>
        <w:rFonts w:ascii="Calibri" w:eastAsia="Times New Roman" w:hAnsi="Calibri" w:cs="Calibri"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150BFE"/>
    <w:multiLevelType w:val="multilevel"/>
    <w:tmpl w:val="A0543A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C97FA7"/>
    <w:multiLevelType w:val="hybridMultilevel"/>
    <w:tmpl w:val="F0022884"/>
    <w:lvl w:ilvl="0" w:tplc="FFFFFFFF">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EBD74FC"/>
    <w:multiLevelType w:val="hybridMultilevel"/>
    <w:tmpl w:val="7B32B5E0"/>
    <w:lvl w:ilvl="0" w:tplc="0405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8"/>
  </w:num>
  <w:num w:numId="2">
    <w:abstractNumId w:val="12"/>
  </w:num>
  <w:num w:numId="3">
    <w:abstractNumId w:val="41"/>
  </w:num>
  <w:num w:numId="4">
    <w:abstractNumId w:val="20"/>
  </w:num>
  <w:num w:numId="5">
    <w:abstractNumId w:val="22"/>
  </w:num>
  <w:num w:numId="6">
    <w:abstractNumId w:val="24"/>
  </w:num>
  <w:num w:numId="7">
    <w:abstractNumId w:val="30"/>
  </w:num>
  <w:num w:numId="8">
    <w:abstractNumId w:val="29"/>
  </w:num>
  <w:num w:numId="9">
    <w:abstractNumId w:val="37"/>
  </w:num>
  <w:num w:numId="10">
    <w:abstractNumId w:val="1"/>
  </w:num>
  <w:num w:numId="11">
    <w:abstractNumId w:val="36"/>
  </w:num>
  <w:num w:numId="12">
    <w:abstractNumId w:val="39"/>
  </w:num>
  <w:num w:numId="13">
    <w:abstractNumId w:val="32"/>
  </w:num>
  <w:num w:numId="14">
    <w:abstractNumId w:val="10"/>
  </w:num>
  <w:num w:numId="15">
    <w:abstractNumId w:val="13"/>
  </w:num>
  <w:num w:numId="16">
    <w:abstractNumId w:val="27"/>
  </w:num>
  <w:num w:numId="17">
    <w:abstractNumId w:val="5"/>
  </w:num>
  <w:num w:numId="18">
    <w:abstractNumId w:val="35"/>
  </w:num>
  <w:num w:numId="19">
    <w:abstractNumId w:val="7"/>
  </w:num>
  <w:num w:numId="20">
    <w:abstractNumId w:val="19"/>
  </w:num>
  <w:num w:numId="21">
    <w:abstractNumId w:val="9"/>
  </w:num>
  <w:num w:numId="22">
    <w:abstractNumId w:val="17"/>
  </w:num>
  <w:num w:numId="23">
    <w:abstractNumId w:val="33"/>
  </w:num>
  <w:num w:numId="24">
    <w:abstractNumId w:val="38"/>
  </w:num>
  <w:num w:numId="25">
    <w:abstractNumId w:val="25"/>
  </w:num>
  <w:num w:numId="26">
    <w:abstractNumId w:val="40"/>
  </w:num>
  <w:num w:numId="27">
    <w:abstractNumId w:val="3"/>
  </w:num>
  <w:num w:numId="28">
    <w:abstractNumId w:val="4"/>
  </w:num>
  <w:num w:numId="29">
    <w:abstractNumId w:val="11"/>
  </w:num>
  <w:num w:numId="30">
    <w:abstractNumId w:val="34"/>
  </w:num>
  <w:num w:numId="31">
    <w:abstractNumId w:val="2"/>
  </w:num>
  <w:num w:numId="32">
    <w:abstractNumId w:val="16"/>
  </w:num>
  <w:num w:numId="33">
    <w:abstractNumId w:val="21"/>
  </w:num>
  <w:num w:numId="34">
    <w:abstractNumId w:val="23"/>
  </w:num>
  <w:num w:numId="35">
    <w:abstractNumId w:val="15"/>
  </w:num>
  <w:num w:numId="36">
    <w:abstractNumId w:val="0"/>
  </w:num>
  <w:num w:numId="37">
    <w:abstractNumId w:val="31"/>
  </w:num>
  <w:num w:numId="38">
    <w:abstractNumId w:val="6"/>
  </w:num>
  <w:num w:numId="39">
    <w:abstractNumId w:val="26"/>
  </w:num>
  <w:num w:numId="40">
    <w:abstractNumId w:val="14"/>
  </w:num>
  <w:num w:numId="41">
    <w:abstractNumId w:val="28"/>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07E"/>
    <w:rsid w:val="000118C2"/>
    <w:rsid w:val="00015933"/>
    <w:rsid w:val="000159E5"/>
    <w:rsid w:val="000176E6"/>
    <w:rsid w:val="00020581"/>
    <w:rsid w:val="00020FE5"/>
    <w:rsid w:val="00021047"/>
    <w:rsid w:val="000213CC"/>
    <w:rsid w:val="00023E9F"/>
    <w:rsid w:val="0002473E"/>
    <w:rsid w:val="00026207"/>
    <w:rsid w:val="0002743B"/>
    <w:rsid w:val="00030927"/>
    <w:rsid w:val="00037707"/>
    <w:rsid w:val="00043889"/>
    <w:rsid w:val="00044002"/>
    <w:rsid w:val="000444EA"/>
    <w:rsid w:val="00046FB7"/>
    <w:rsid w:val="00047DF1"/>
    <w:rsid w:val="000509DD"/>
    <w:rsid w:val="00050AF7"/>
    <w:rsid w:val="00051A5B"/>
    <w:rsid w:val="00052BCB"/>
    <w:rsid w:val="00053EE4"/>
    <w:rsid w:val="000559DE"/>
    <w:rsid w:val="000563EB"/>
    <w:rsid w:val="00056A4F"/>
    <w:rsid w:val="00057072"/>
    <w:rsid w:val="00057396"/>
    <w:rsid w:val="00060D7F"/>
    <w:rsid w:val="00072447"/>
    <w:rsid w:val="0007445A"/>
    <w:rsid w:val="000769D2"/>
    <w:rsid w:val="00081E35"/>
    <w:rsid w:val="000842AE"/>
    <w:rsid w:val="00086094"/>
    <w:rsid w:val="000870EB"/>
    <w:rsid w:val="0009491E"/>
    <w:rsid w:val="000949FA"/>
    <w:rsid w:val="00097293"/>
    <w:rsid w:val="000A2C3B"/>
    <w:rsid w:val="000A3ECF"/>
    <w:rsid w:val="000A4D59"/>
    <w:rsid w:val="000A55AA"/>
    <w:rsid w:val="000A664C"/>
    <w:rsid w:val="000B4C8F"/>
    <w:rsid w:val="000B79A4"/>
    <w:rsid w:val="000C234E"/>
    <w:rsid w:val="000C4910"/>
    <w:rsid w:val="000D1707"/>
    <w:rsid w:val="000D249C"/>
    <w:rsid w:val="000D32BB"/>
    <w:rsid w:val="000D4F26"/>
    <w:rsid w:val="000D56F1"/>
    <w:rsid w:val="000D5D2B"/>
    <w:rsid w:val="000D684D"/>
    <w:rsid w:val="000E0C43"/>
    <w:rsid w:val="000E2B4E"/>
    <w:rsid w:val="000E4ABC"/>
    <w:rsid w:val="000E563F"/>
    <w:rsid w:val="000E77BC"/>
    <w:rsid w:val="000F02FD"/>
    <w:rsid w:val="000F1BC2"/>
    <w:rsid w:val="000F53D4"/>
    <w:rsid w:val="000F70CA"/>
    <w:rsid w:val="0010268F"/>
    <w:rsid w:val="0010277A"/>
    <w:rsid w:val="00103662"/>
    <w:rsid w:val="001126B2"/>
    <w:rsid w:val="001129E8"/>
    <w:rsid w:val="00113662"/>
    <w:rsid w:val="0011443F"/>
    <w:rsid w:val="00115D53"/>
    <w:rsid w:val="00116F4B"/>
    <w:rsid w:val="00122CC4"/>
    <w:rsid w:val="0012351B"/>
    <w:rsid w:val="00123FF9"/>
    <w:rsid w:val="001253CC"/>
    <w:rsid w:val="00131E94"/>
    <w:rsid w:val="00134FF8"/>
    <w:rsid w:val="001361CA"/>
    <w:rsid w:val="00136FC5"/>
    <w:rsid w:val="00143DCC"/>
    <w:rsid w:val="00144D53"/>
    <w:rsid w:val="00145E7A"/>
    <w:rsid w:val="00146F46"/>
    <w:rsid w:val="001500B2"/>
    <w:rsid w:val="0015125A"/>
    <w:rsid w:val="00151921"/>
    <w:rsid w:val="00152252"/>
    <w:rsid w:val="0015295E"/>
    <w:rsid w:val="00152A73"/>
    <w:rsid w:val="00157080"/>
    <w:rsid w:val="001622C2"/>
    <w:rsid w:val="001633ED"/>
    <w:rsid w:val="00163F5F"/>
    <w:rsid w:val="00165DDC"/>
    <w:rsid w:val="00172320"/>
    <w:rsid w:val="00172FE8"/>
    <w:rsid w:val="0017441E"/>
    <w:rsid w:val="00175A85"/>
    <w:rsid w:val="00175D36"/>
    <w:rsid w:val="00176C20"/>
    <w:rsid w:val="00182C97"/>
    <w:rsid w:val="00183066"/>
    <w:rsid w:val="00184412"/>
    <w:rsid w:val="001857AD"/>
    <w:rsid w:val="00195C6D"/>
    <w:rsid w:val="00196205"/>
    <w:rsid w:val="0019772B"/>
    <w:rsid w:val="001A2623"/>
    <w:rsid w:val="001A46CC"/>
    <w:rsid w:val="001A6304"/>
    <w:rsid w:val="001B1060"/>
    <w:rsid w:val="001C091C"/>
    <w:rsid w:val="001C2261"/>
    <w:rsid w:val="001C6945"/>
    <w:rsid w:val="001C7F88"/>
    <w:rsid w:val="001D0B1C"/>
    <w:rsid w:val="001D3C90"/>
    <w:rsid w:val="001D5BB9"/>
    <w:rsid w:val="001D7365"/>
    <w:rsid w:val="001E15FD"/>
    <w:rsid w:val="001E27B8"/>
    <w:rsid w:val="001E31AB"/>
    <w:rsid w:val="001E6F5D"/>
    <w:rsid w:val="001F3DF4"/>
    <w:rsid w:val="001F5CF7"/>
    <w:rsid w:val="00201DDA"/>
    <w:rsid w:val="00202BDE"/>
    <w:rsid w:val="00203021"/>
    <w:rsid w:val="002045A5"/>
    <w:rsid w:val="0020667A"/>
    <w:rsid w:val="00206A71"/>
    <w:rsid w:val="002075C6"/>
    <w:rsid w:val="00207AE7"/>
    <w:rsid w:val="002105A2"/>
    <w:rsid w:val="002137B0"/>
    <w:rsid w:val="002152E8"/>
    <w:rsid w:val="0021762D"/>
    <w:rsid w:val="00217881"/>
    <w:rsid w:val="0022075B"/>
    <w:rsid w:val="00221F77"/>
    <w:rsid w:val="00221FF5"/>
    <w:rsid w:val="00222917"/>
    <w:rsid w:val="00225F51"/>
    <w:rsid w:val="0022648E"/>
    <w:rsid w:val="00226A5F"/>
    <w:rsid w:val="00226F32"/>
    <w:rsid w:val="00227ACD"/>
    <w:rsid w:val="00234FD0"/>
    <w:rsid w:val="002375B2"/>
    <w:rsid w:val="00237A71"/>
    <w:rsid w:val="00240233"/>
    <w:rsid w:val="00242D73"/>
    <w:rsid w:val="002443DF"/>
    <w:rsid w:val="00244923"/>
    <w:rsid w:val="002472A6"/>
    <w:rsid w:val="00247512"/>
    <w:rsid w:val="0025305E"/>
    <w:rsid w:val="00253816"/>
    <w:rsid w:val="00253D09"/>
    <w:rsid w:val="00256268"/>
    <w:rsid w:val="002567A3"/>
    <w:rsid w:val="00262B7F"/>
    <w:rsid w:val="00266980"/>
    <w:rsid w:val="00267ACA"/>
    <w:rsid w:val="00270A4E"/>
    <w:rsid w:val="00270EF9"/>
    <w:rsid w:val="00274868"/>
    <w:rsid w:val="00275209"/>
    <w:rsid w:val="002805CE"/>
    <w:rsid w:val="00280D31"/>
    <w:rsid w:val="00283681"/>
    <w:rsid w:val="00290498"/>
    <w:rsid w:val="002972E3"/>
    <w:rsid w:val="0029774E"/>
    <w:rsid w:val="002A02A1"/>
    <w:rsid w:val="002A2CE3"/>
    <w:rsid w:val="002A31A1"/>
    <w:rsid w:val="002A3CF3"/>
    <w:rsid w:val="002A3F7E"/>
    <w:rsid w:val="002A4191"/>
    <w:rsid w:val="002A6290"/>
    <w:rsid w:val="002B4617"/>
    <w:rsid w:val="002B5069"/>
    <w:rsid w:val="002B724C"/>
    <w:rsid w:val="002C2C2B"/>
    <w:rsid w:val="002C30D4"/>
    <w:rsid w:val="002C513E"/>
    <w:rsid w:val="002D0F7C"/>
    <w:rsid w:val="002D1376"/>
    <w:rsid w:val="002D2A30"/>
    <w:rsid w:val="002D4720"/>
    <w:rsid w:val="002D49FB"/>
    <w:rsid w:val="002D4A25"/>
    <w:rsid w:val="002E1390"/>
    <w:rsid w:val="002E5E57"/>
    <w:rsid w:val="002F1752"/>
    <w:rsid w:val="002F2FAA"/>
    <w:rsid w:val="002F3512"/>
    <w:rsid w:val="002F477C"/>
    <w:rsid w:val="002F557F"/>
    <w:rsid w:val="003005F2"/>
    <w:rsid w:val="003028DC"/>
    <w:rsid w:val="00303C78"/>
    <w:rsid w:val="00313FF2"/>
    <w:rsid w:val="00315F32"/>
    <w:rsid w:val="00320811"/>
    <w:rsid w:val="00322434"/>
    <w:rsid w:val="00324743"/>
    <w:rsid w:val="003253AF"/>
    <w:rsid w:val="00327407"/>
    <w:rsid w:val="00327CB6"/>
    <w:rsid w:val="003329E5"/>
    <w:rsid w:val="00335341"/>
    <w:rsid w:val="00341D86"/>
    <w:rsid w:val="003444F4"/>
    <w:rsid w:val="00346684"/>
    <w:rsid w:val="003472AF"/>
    <w:rsid w:val="003502D2"/>
    <w:rsid w:val="003508FE"/>
    <w:rsid w:val="00351369"/>
    <w:rsid w:val="00352542"/>
    <w:rsid w:val="00356FF7"/>
    <w:rsid w:val="003608FD"/>
    <w:rsid w:val="0036420C"/>
    <w:rsid w:val="00366057"/>
    <w:rsid w:val="003677E2"/>
    <w:rsid w:val="00367FCE"/>
    <w:rsid w:val="0037051F"/>
    <w:rsid w:val="00370F35"/>
    <w:rsid w:val="00372865"/>
    <w:rsid w:val="003732C7"/>
    <w:rsid w:val="003739F0"/>
    <w:rsid w:val="00373B6E"/>
    <w:rsid w:val="003749A5"/>
    <w:rsid w:val="00376918"/>
    <w:rsid w:val="00376F07"/>
    <w:rsid w:val="00380502"/>
    <w:rsid w:val="00380788"/>
    <w:rsid w:val="00384170"/>
    <w:rsid w:val="003847A3"/>
    <w:rsid w:val="0038561F"/>
    <w:rsid w:val="00391C4B"/>
    <w:rsid w:val="00391FA6"/>
    <w:rsid w:val="0039430F"/>
    <w:rsid w:val="003952ED"/>
    <w:rsid w:val="00396DEC"/>
    <w:rsid w:val="00396F9D"/>
    <w:rsid w:val="00397430"/>
    <w:rsid w:val="003A0F5E"/>
    <w:rsid w:val="003A5636"/>
    <w:rsid w:val="003A623D"/>
    <w:rsid w:val="003A7B48"/>
    <w:rsid w:val="003B0433"/>
    <w:rsid w:val="003B04C1"/>
    <w:rsid w:val="003B2C84"/>
    <w:rsid w:val="003B4F01"/>
    <w:rsid w:val="003B5E6F"/>
    <w:rsid w:val="003C12B6"/>
    <w:rsid w:val="003C24D9"/>
    <w:rsid w:val="003C373E"/>
    <w:rsid w:val="003C3D7F"/>
    <w:rsid w:val="003C6326"/>
    <w:rsid w:val="003C6843"/>
    <w:rsid w:val="003C6D87"/>
    <w:rsid w:val="003D079C"/>
    <w:rsid w:val="003D224C"/>
    <w:rsid w:val="003E14DF"/>
    <w:rsid w:val="003E215A"/>
    <w:rsid w:val="003E32B0"/>
    <w:rsid w:val="003E382B"/>
    <w:rsid w:val="003E3DCB"/>
    <w:rsid w:val="003E4ADE"/>
    <w:rsid w:val="003E5891"/>
    <w:rsid w:val="003E6317"/>
    <w:rsid w:val="003F021E"/>
    <w:rsid w:val="003F03DF"/>
    <w:rsid w:val="003F1CB9"/>
    <w:rsid w:val="003F2050"/>
    <w:rsid w:val="003F37CA"/>
    <w:rsid w:val="003F7F31"/>
    <w:rsid w:val="004009B6"/>
    <w:rsid w:val="00402FA1"/>
    <w:rsid w:val="00403744"/>
    <w:rsid w:val="00406C4B"/>
    <w:rsid w:val="0041521E"/>
    <w:rsid w:val="00420AD3"/>
    <w:rsid w:val="00421FFD"/>
    <w:rsid w:val="00422B81"/>
    <w:rsid w:val="00424D1B"/>
    <w:rsid w:val="00425B3B"/>
    <w:rsid w:val="00427F38"/>
    <w:rsid w:val="00430929"/>
    <w:rsid w:val="004325D3"/>
    <w:rsid w:val="004371EE"/>
    <w:rsid w:val="00437589"/>
    <w:rsid w:val="00440E28"/>
    <w:rsid w:val="00444BDA"/>
    <w:rsid w:val="004455AE"/>
    <w:rsid w:val="00445609"/>
    <w:rsid w:val="004476C2"/>
    <w:rsid w:val="00451368"/>
    <w:rsid w:val="00452C30"/>
    <w:rsid w:val="004555E6"/>
    <w:rsid w:val="004601F7"/>
    <w:rsid w:val="00462717"/>
    <w:rsid w:val="004641CC"/>
    <w:rsid w:val="0046651A"/>
    <w:rsid w:val="004714FB"/>
    <w:rsid w:val="00471C10"/>
    <w:rsid w:val="00471D6F"/>
    <w:rsid w:val="00472210"/>
    <w:rsid w:val="0047757F"/>
    <w:rsid w:val="00477AF5"/>
    <w:rsid w:val="00482526"/>
    <w:rsid w:val="0048354D"/>
    <w:rsid w:val="00483DC8"/>
    <w:rsid w:val="0048489E"/>
    <w:rsid w:val="0049025B"/>
    <w:rsid w:val="00490E1A"/>
    <w:rsid w:val="00492636"/>
    <w:rsid w:val="004926A2"/>
    <w:rsid w:val="00493236"/>
    <w:rsid w:val="00493F88"/>
    <w:rsid w:val="00495C6A"/>
    <w:rsid w:val="004979BF"/>
    <w:rsid w:val="004A1724"/>
    <w:rsid w:val="004A435C"/>
    <w:rsid w:val="004A53BB"/>
    <w:rsid w:val="004A6CE0"/>
    <w:rsid w:val="004A74F4"/>
    <w:rsid w:val="004B1766"/>
    <w:rsid w:val="004B19DD"/>
    <w:rsid w:val="004B3889"/>
    <w:rsid w:val="004B7ECE"/>
    <w:rsid w:val="004C07DD"/>
    <w:rsid w:val="004C0A56"/>
    <w:rsid w:val="004C2697"/>
    <w:rsid w:val="004C2DF2"/>
    <w:rsid w:val="004C2F43"/>
    <w:rsid w:val="004C50BF"/>
    <w:rsid w:val="004C629B"/>
    <w:rsid w:val="004C751A"/>
    <w:rsid w:val="004C7E8B"/>
    <w:rsid w:val="004D3E58"/>
    <w:rsid w:val="004D4333"/>
    <w:rsid w:val="004D6531"/>
    <w:rsid w:val="004E011D"/>
    <w:rsid w:val="004E1AC6"/>
    <w:rsid w:val="004E4B5B"/>
    <w:rsid w:val="004E5E51"/>
    <w:rsid w:val="004F40C4"/>
    <w:rsid w:val="004F4632"/>
    <w:rsid w:val="004F6CFB"/>
    <w:rsid w:val="004F6EA8"/>
    <w:rsid w:val="004F70A7"/>
    <w:rsid w:val="0050228D"/>
    <w:rsid w:val="005069C2"/>
    <w:rsid w:val="0051164C"/>
    <w:rsid w:val="00512176"/>
    <w:rsid w:val="00517111"/>
    <w:rsid w:val="005208BD"/>
    <w:rsid w:val="00521FF6"/>
    <w:rsid w:val="005324CB"/>
    <w:rsid w:val="00533601"/>
    <w:rsid w:val="0053589B"/>
    <w:rsid w:val="00537D95"/>
    <w:rsid w:val="00546646"/>
    <w:rsid w:val="0054665C"/>
    <w:rsid w:val="00552694"/>
    <w:rsid w:val="0055377C"/>
    <w:rsid w:val="00554717"/>
    <w:rsid w:val="005562D4"/>
    <w:rsid w:val="00556DE6"/>
    <w:rsid w:val="00561ED7"/>
    <w:rsid w:val="00563240"/>
    <w:rsid w:val="00563855"/>
    <w:rsid w:val="005642DD"/>
    <w:rsid w:val="00564453"/>
    <w:rsid w:val="0056611F"/>
    <w:rsid w:val="005666D7"/>
    <w:rsid w:val="00571BEE"/>
    <w:rsid w:val="00571C08"/>
    <w:rsid w:val="00571E5D"/>
    <w:rsid w:val="00572C09"/>
    <w:rsid w:val="00573F62"/>
    <w:rsid w:val="00576C13"/>
    <w:rsid w:val="00576CF4"/>
    <w:rsid w:val="00577164"/>
    <w:rsid w:val="00577D9F"/>
    <w:rsid w:val="00584718"/>
    <w:rsid w:val="00584D4C"/>
    <w:rsid w:val="00587350"/>
    <w:rsid w:val="00587BA9"/>
    <w:rsid w:val="00592176"/>
    <w:rsid w:val="0059556C"/>
    <w:rsid w:val="005A0ACF"/>
    <w:rsid w:val="005A0C34"/>
    <w:rsid w:val="005A1433"/>
    <w:rsid w:val="005A2501"/>
    <w:rsid w:val="005A347C"/>
    <w:rsid w:val="005A34B6"/>
    <w:rsid w:val="005A3E34"/>
    <w:rsid w:val="005A44FF"/>
    <w:rsid w:val="005A51C6"/>
    <w:rsid w:val="005A5BAB"/>
    <w:rsid w:val="005B03B0"/>
    <w:rsid w:val="005B08A6"/>
    <w:rsid w:val="005B3439"/>
    <w:rsid w:val="005B57DE"/>
    <w:rsid w:val="005B5E17"/>
    <w:rsid w:val="005C1943"/>
    <w:rsid w:val="005C22C2"/>
    <w:rsid w:val="005C3106"/>
    <w:rsid w:val="005C501A"/>
    <w:rsid w:val="005C576C"/>
    <w:rsid w:val="005C6D52"/>
    <w:rsid w:val="005C751B"/>
    <w:rsid w:val="005C7858"/>
    <w:rsid w:val="005C7A9A"/>
    <w:rsid w:val="005D11A5"/>
    <w:rsid w:val="005D3875"/>
    <w:rsid w:val="005D4BC8"/>
    <w:rsid w:val="005D55D6"/>
    <w:rsid w:val="005D593D"/>
    <w:rsid w:val="005D6D59"/>
    <w:rsid w:val="005D6E43"/>
    <w:rsid w:val="005D769A"/>
    <w:rsid w:val="005E092E"/>
    <w:rsid w:val="005E1DD8"/>
    <w:rsid w:val="005E375A"/>
    <w:rsid w:val="005E58E1"/>
    <w:rsid w:val="005E5F8B"/>
    <w:rsid w:val="005F0EC7"/>
    <w:rsid w:val="005F2843"/>
    <w:rsid w:val="005F4B41"/>
    <w:rsid w:val="005F4F2A"/>
    <w:rsid w:val="005F73A6"/>
    <w:rsid w:val="00600D9B"/>
    <w:rsid w:val="0060308F"/>
    <w:rsid w:val="0060552B"/>
    <w:rsid w:val="00606E04"/>
    <w:rsid w:val="00607D24"/>
    <w:rsid w:val="00611C5C"/>
    <w:rsid w:val="006123DF"/>
    <w:rsid w:val="006131E9"/>
    <w:rsid w:val="0061392C"/>
    <w:rsid w:val="006203EC"/>
    <w:rsid w:val="00622191"/>
    <w:rsid w:val="00622D62"/>
    <w:rsid w:val="0062336F"/>
    <w:rsid w:val="00624A28"/>
    <w:rsid w:val="00624B94"/>
    <w:rsid w:val="006264F1"/>
    <w:rsid w:val="00626CB1"/>
    <w:rsid w:val="0063314F"/>
    <w:rsid w:val="0063450F"/>
    <w:rsid w:val="00635D8B"/>
    <w:rsid w:val="00637228"/>
    <w:rsid w:val="0064298D"/>
    <w:rsid w:val="0064364F"/>
    <w:rsid w:val="00643F5F"/>
    <w:rsid w:val="006445A3"/>
    <w:rsid w:val="00650724"/>
    <w:rsid w:val="0065124E"/>
    <w:rsid w:val="006513A0"/>
    <w:rsid w:val="00651436"/>
    <w:rsid w:val="00654F37"/>
    <w:rsid w:val="0066152C"/>
    <w:rsid w:val="00661C43"/>
    <w:rsid w:val="00662C23"/>
    <w:rsid w:val="00662C5E"/>
    <w:rsid w:val="0066473E"/>
    <w:rsid w:val="00665069"/>
    <w:rsid w:val="00665718"/>
    <w:rsid w:val="00676326"/>
    <w:rsid w:val="006768EF"/>
    <w:rsid w:val="006777C7"/>
    <w:rsid w:val="006839E8"/>
    <w:rsid w:val="00685F12"/>
    <w:rsid w:val="0069373F"/>
    <w:rsid w:val="006955C2"/>
    <w:rsid w:val="006963D2"/>
    <w:rsid w:val="006A0B4A"/>
    <w:rsid w:val="006A0F4A"/>
    <w:rsid w:val="006A123E"/>
    <w:rsid w:val="006A1D16"/>
    <w:rsid w:val="006A7BEA"/>
    <w:rsid w:val="006B120F"/>
    <w:rsid w:val="006B1C3F"/>
    <w:rsid w:val="006B2EBD"/>
    <w:rsid w:val="006B2F86"/>
    <w:rsid w:val="006B37A6"/>
    <w:rsid w:val="006B68CF"/>
    <w:rsid w:val="006C13D5"/>
    <w:rsid w:val="006C1944"/>
    <w:rsid w:val="006C3A40"/>
    <w:rsid w:val="006D0EE8"/>
    <w:rsid w:val="006D12C7"/>
    <w:rsid w:val="006D175B"/>
    <w:rsid w:val="006D1BF7"/>
    <w:rsid w:val="006D23EF"/>
    <w:rsid w:val="006D463D"/>
    <w:rsid w:val="006D59F8"/>
    <w:rsid w:val="006D61DA"/>
    <w:rsid w:val="006E0941"/>
    <w:rsid w:val="006E1DC5"/>
    <w:rsid w:val="006E3420"/>
    <w:rsid w:val="006E3BD0"/>
    <w:rsid w:val="006E3FA9"/>
    <w:rsid w:val="006E4D14"/>
    <w:rsid w:val="006F1A53"/>
    <w:rsid w:val="006F2196"/>
    <w:rsid w:val="006F2B29"/>
    <w:rsid w:val="006F5A87"/>
    <w:rsid w:val="00702D07"/>
    <w:rsid w:val="00705982"/>
    <w:rsid w:val="007078D6"/>
    <w:rsid w:val="00712E4D"/>
    <w:rsid w:val="007133E9"/>
    <w:rsid w:val="00714837"/>
    <w:rsid w:val="00717B00"/>
    <w:rsid w:val="00720DE3"/>
    <w:rsid w:val="00722F2C"/>
    <w:rsid w:val="00723293"/>
    <w:rsid w:val="00724D46"/>
    <w:rsid w:val="00727012"/>
    <w:rsid w:val="0072723A"/>
    <w:rsid w:val="007325B1"/>
    <w:rsid w:val="00733C05"/>
    <w:rsid w:val="0073460E"/>
    <w:rsid w:val="007402C2"/>
    <w:rsid w:val="00743577"/>
    <w:rsid w:val="00744C66"/>
    <w:rsid w:val="00745413"/>
    <w:rsid w:val="007609D5"/>
    <w:rsid w:val="007624AC"/>
    <w:rsid w:val="00762F6A"/>
    <w:rsid w:val="00762FBA"/>
    <w:rsid w:val="00763887"/>
    <w:rsid w:val="00764748"/>
    <w:rsid w:val="00765515"/>
    <w:rsid w:val="00766B61"/>
    <w:rsid w:val="00771AA1"/>
    <w:rsid w:val="00776698"/>
    <w:rsid w:val="007804C9"/>
    <w:rsid w:val="007813D1"/>
    <w:rsid w:val="007821BC"/>
    <w:rsid w:val="0078383A"/>
    <w:rsid w:val="007853F8"/>
    <w:rsid w:val="0078687A"/>
    <w:rsid w:val="00786BB9"/>
    <w:rsid w:val="00786FE5"/>
    <w:rsid w:val="007870B3"/>
    <w:rsid w:val="007953B5"/>
    <w:rsid w:val="007964DC"/>
    <w:rsid w:val="007A0CAC"/>
    <w:rsid w:val="007A3BFB"/>
    <w:rsid w:val="007A64C9"/>
    <w:rsid w:val="007A7B10"/>
    <w:rsid w:val="007B02A8"/>
    <w:rsid w:val="007B0B30"/>
    <w:rsid w:val="007B2394"/>
    <w:rsid w:val="007B5E3D"/>
    <w:rsid w:val="007B6B28"/>
    <w:rsid w:val="007B7B44"/>
    <w:rsid w:val="007C4C83"/>
    <w:rsid w:val="007C6720"/>
    <w:rsid w:val="007D1E88"/>
    <w:rsid w:val="007D275E"/>
    <w:rsid w:val="007D3F75"/>
    <w:rsid w:val="007D4025"/>
    <w:rsid w:val="007E1035"/>
    <w:rsid w:val="007E18D1"/>
    <w:rsid w:val="007E770A"/>
    <w:rsid w:val="007F166D"/>
    <w:rsid w:val="007F1EDF"/>
    <w:rsid w:val="007F3143"/>
    <w:rsid w:val="007F35DD"/>
    <w:rsid w:val="007F40D6"/>
    <w:rsid w:val="007F742B"/>
    <w:rsid w:val="007F7CBC"/>
    <w:rsid w:val="008000AB"/>
    <w:rsid w:val="00802F9F"/>
    <w:rsid w:val="00803E55"/>
    <w:rsid w:val="00804F92"/>
    <w:rsid w:val="00807F85"/>
    <w:rsid w:val="00810E94"/>
    <w:rsid w:val="00811F2C"/>
    <w:rsid w:val="00811FE2"/>
    <w:rsid w:val="00814FC2"/>
    <w:rsid w:val="00820A66"/>
    <w:rsid w:val="00823323"/>
    <w:rsid w:val="008242DA"/>
    <w:rsid w:val="00826371"/>
    <w:rsid w:val="0082668B"/>
    <w:rsid w:val="00830214"/>
    <w:rsid w:val="00830902"/>
    <w:rsid w:val="00834366"/>
    <w:rsid w:val="008363D1"/>
    <w:rsid w:val="00837238"/>
    <w:rsid w:val="00842443"/>
    <w:rsid w:val="00843285"/>
    <w:rsid w:val="00843386"/>
    <w:rsid w:val="008466C4"/>
    <w:rsid w:val="008522B5"/>
    <w:rsid w:val="00854190"/>
    <w:rsid w:val="00854682"/>
    <w:rsid w:val="00857A3C"/>
    <w:rsid w:val="00860613"/>
    <w:rsid w:val="00861279"/>
    <w:rsid w:val="008612B4"/>
    <w:rsid w:val="00862A90"/>
    <w:rsid w:val="0086454A"/>
    <w:rsid w:val="008659E6"/>
    <w:rsid w:val="00870102"/>
    <w:rsid w:val="00872847"/>
    <w:rsid w:val="00872C9B"/>
    <w:rsid w:val="00873451"/>
    <w:rsid w:val="00874DCB"/>
    <w:rsid w:val="0087619E"/>
    <w:rsid w:val="00877706"/>
    <w:rsid w:val="008810E3"/>
    <w:rsid w:val="0088184A"/>
    <w:rsid w:val="008825CE"/>
    <w:rsid w:val="0088460D"/>
    <w:rsid w:val="008857AA"/>
    <w:rsid w:val="0088650A"/>
    <w:rsid w:val="00886569"/>
    <w:rsid w:val="00887608"/>
    <w:rsid w:val="00890B66"/>
    <w:rsid w:val="00893E72"/>
    <w:rsid w:val="008A6398"/>
    <w:rsid w:val="008B08AC"/>
    <w:rsid w:val="008B19B7"/>
    <w:rsid w:val="008B1C16"/>
    <w:rsid w:val="008B2390"/>
    <w:rsid w:val="008B2E9A"/>
    <w:rsid w:val="008B44C3"/>
    <w:rsid w:val="008C1507"/>
    <w:rsid w:val="008C5342"/>
    <w:rsid w:val="008C5671"/>
    <w:rsid w:val="008C5D4D"/>
    <w:rsid w:val="008C7707"/>
    <w:rsid w:val="008D6CA8"/>
    <w:rsid w:val="008E2336"/>
    <w:rsid w:val="008E78B4"/>
    <w:rsid w:val="008F047E"/>
    <w:rsid w:val="008F2959"/>
    <w:rsid w:val="008F2AE4"/>
    <w:rsid w:val="008F399F"/>
    <w:rsid w:val="008F432C"/>
    <w:rsid w:val="008F6E7F"/>
    <w:rsid w:val="009038F9"/>
    <w:rsid w:val="00905A54"/>
    <w:rsid w:val="00905AAB"/>
    <w:rsid w:val="009068C3"/>
    <w:rsid w:val="009139AF"/>
    <w:rsid w:val="00921BFB"/>
    <w:rsid w:val="009234FD"/>
    <w:rsid w:val="00924258"/>
    <w:rsid w:val="00924973"/>
    <w:rsid w:val="00925221"/>
    <w:rsid w:val="0092631A"/>
    <w:rsid w:val="00931E42"/>
    <w:rsid w:val="009326E9"/>
    <w:rsid w:val="0093283A"/>
    <w:rsid w:val="00932892"/>
    <w:rsid w:val="0093545A"/>
    <w:rsid w:val="00935EAC"/>
    <w:rsid w:val="00937712"/>
    <w:rsid w:val="00944529"/>
    <w:rsid w:val="00944D10"/>
    <w:rsid w:val="009454B6"/>
    <w:rsid w:val="00946929"/>
    <w:rsid w:val="009474F2"/>
    <w:rsid w:val="0095412A"/>
    <w:rsid w:val="00962647"/>
    <w:rsid w:val="00962773"/>
    <w:rsid w:val="00962CB7"/>
    <w:rsid w:val="00963AA3"/>
    <w:rsid w:val="00963B80"/>
    <w:rsid w:val="00966080"/>
    <w:rsid w:val="009664DD"/>
    <w:rsid w:val="00966F48"/>
    <w:rsid w:val="009704A0"/>
    <w:rsid w:val="00971E1A"/>
    <w:rsid w:val="009753FB"/>
    <w:rsid w:val="00975439"/>
    <w:rsid w:val="00977317"/>
    <w:rsid w:val="00980C11"/>
    <w:rsid w:val="0098257D"/>
    <w:rsid w:val="00984F99"/>
    <w:rsid w:val="00987232"/>
    <w:rsid w:val="00990EC7"/>
    <w:rsid w:val="00991B95"/>
    <w:rsid w:val="00992840"/>
    <w:rsid w:val="00994CC4"/>
    <w:rsid w:val="009968AC"/>
    <w:rsid w:val="009976E7"/>
    <w:rsid w:val="009A11ED"/>
    <w:rsid w:val="009A1795"/>
    <w:rsid w:val="009A1CB0"/>
    <w:rsid w:val="009A2A78"/>
    <w:rsid w:val="009A65F0"/>
    <w:rsid w:val="009A67A1"/>
    <w:rsid w:val="009A7026"/>
    <w:rsid w:val="009B393A"/>
    <w:rsid w:val="009B59AC"/>
    <w:rsid w:val="009B6DE2"/>
    <w:rsid w:val="009B7972"/>
    <w:rsid w:val="009C0DD6"/>
    <w:rsid w:val="009C1B29"/>
    <w:rsid w:val="009C40F8"/>
    <w:rsid w:val="009D0E39"/>
    <w:rsid w:val="009D0E88"/>
    <w:rsid w:val="009D24D7"/>
    <w:rsid w:val="009D256E"/>
    <w:rsid w:val="009D2DB6"/>
    <w:rsid w:val="009D2F47"/>
    <w:rsid w:val="009D633B"/>
    <w:rsid w:val="009D7835"/>
    <w:rsid w:val="009E172B"/>
    <w:rsid w:val="009E1779"/>
    <w:rsid w:val="009E253A"/>
    <w:rsid w:val="009E39C0"/>
    <w:rsid w:val="009E5367"/>
    <w:rsid w:val="009E7B93"/>
    <w:rsid w:val="009F1E76"/>
    <w:rsid w:val="009F3268"/>
    <w:rsid w:val="009F6749"/>
    <w:rsid w:val="009F6C56"/>
    <w:rsid w:val="00A028AD"/>
    <w:rsid w:val="00A031CC"/>
    <w:rsid w:val="00A0323B"/>
    <w:rsid w:val="00A04192"/>
    <w:rsid w:val="00A0762A"/>
    <w:rsid w:val="00A13D89"/>
    <w:rsid w:val="00A13F1D"/>
    <w:rsid w:val="00A155ED"/>
    <w:rsid w:val="00A1597F"/>
    <w:rsid w:val="00A15F37"/>
    <w:rsid w:val="00A163E3"/>
    <w:rsid w:val="00A214A3"/>
    <w:rsid w:val="00A22A52"/>
    <w:rsid w:val="00A25889"/>
    <w:rsid w:val="00A3034C"/>
    <w:rsid w:val="00A36B18"/>
    <w:rsid w:val="00A41C2A"/>
    <w:rsid w:val="00A425BA"/>
    <w:rsid w:val="00A430E2"/>
    <w:rsid w:val="00A4316F"/>
    <w:rsid w:val="00A45FC0"/>
    <w:rsid w:val="00A50571"/>
    <w:rsid w:val="00A5314F"/>
    <w:rsid w:val="00A54B25"/>
    <w:rsid w:val="00A569E0"/>
    <w:rsid w:val="00A60311"/>
    <w:rsid w:val="00A60546"/>
    <w:rsid w:val="00A6319B"/>
    <w:rsid w:val="00A65377"/>
    <w:rsid w:val="00A676D3"/>
    <w:rsid w:val="00A7149F"/>
    <w:rsid w:val="00A72FF3"/>
    <w:rsid w:val="00A7410C"/>
    <w:rsid w:val="00A814A3"/>
    <w:rsid w:val="00A832BA"/>
    <w:rsid w:val="00A85048"/>
    <w:rsid w:val="00A8635E"/>
    <w:rsid w:val="00A8750A"/>
    <w:rsid w:val="00A90878"/>
    <w:rsid w:val="00A91266"/>
    <w:rsid w:val="00A950F4"/>
    <w:rsid w:val="00A96385"/>
    <w:rsid w:val="00A96783"/>
    <w:rsid w:val="00A97F5A"/>
    <w:rsid w:val="00AA1257"/>
    <w:rsid w:val="00AA2D58"/>
    <w:rsid w:val="00AA452F"/>
    <w:rsid w:val="00AB09A4"/>
    <w:rsid w:val="00AB0ED1"/>
    <w:rsid w:val="00AB23B0"/>
    <w:rsid w:val="00AB365A"/>
    <w:rsid w:val="00AB4201"/>
    <w:rsid w:val="00AB4CFC"/>
    <w:rsid w:val="00AB58F2"/>
    <w:rsid w:val="00AC0AAA"/>
    <w:rsid w:val="00AC2A0F"/>
    <w:rsid w:val="00AC41F9"/>
    <w:rsid w:val="00AC4EEC"/>
    <w:rsid w:val="00AC56B7"/>
    <w:rsid w:val="00AC6BF0"/>
    <w:rsid w:val="00AC6C46"/>
    <w:rsid w:val="00AC6D5D"/>
    <w:rsid w:val="00AD03D9"/>
    <w:rsid w:val="00AD20AF"/>
    <w:rsid w:val="00AD3BBF"/>
    <w:rsid w:val="00AD60D7"/>
    <w:rsid w:val="00AD62C5"/>
    <w:rsid w:val="00AE079E"/>
    <w:rsid w:val="00AE2387"/>
    <w:rsid w:val="00AE6E19"/>
    <w:rsid w:val="00AF09A0"/>
    <w:rsid w:val="00AF18CA"/>
    <w:rsid w:val="00AF2AE5"/>
    <w:rsid w:val="00AF3AD9"/>
    <w:rsid w:val="00AF58F3"/>
    <w:rsid w:val="00B01190"/>
    <w:rsid w:val="00B05777"/>
    <w:rsid w:val="00B1041D"/>
    <w:rsid w:val="00B11271"/>
    <w:rsid w:val="00B112A5"/>
    <w:rsid w:val="00B118CF"/>
    <w:rsid w:val="00B12833"/>
    <w:rsid w:val="00B14E09"/>
    <w:rsid w:val="00B15438"/>
    <w:rsid w:val="00B21BF3"/>
    <w:rsid w:val="00B222E2"/>
    <w:rsid w:val="00B2310C"/>
    <w:rsid w:val="00B242B1"/>
    <w:rsid w:val="00B24B20"/>
    <w:rsid w:val="00B24E54"/>
    <w:rsid w:val="00B257BC"/>
    <w:rsid w:val="00B25950"/>
    <w:rsid w:val="00B27646"/>
    <w:rsid w:val="00B33037"/>
    <w:rsid w:val="00B377F6"/>
    <w:rsid w:val="00B4059C"/>
    <w:rsid w:val="00B42D63"/>
    <w:rsid w:val="00B44CCC"/>
    <w:rsid w:val="00B44EAC"/>
    <w:rsid w:val="00B465C8"/>
    <w:rsid w:val="00B47E17"/>
    <w:rsid w:val="00B506AC"/>
    <w:rsid w:val="00B50E2C"/>
    <w:rsid w:val="00B51364"/>
    <w:rsid w:val="00B54F8C"/>
    <w:rsid w:val="00B56D06"/>
    <w:rsid w:val="00B60C22"/>
    <w:rsid w:val="00B60FE8"/>
    <w:rsid w:val="00B67ADB"/>
    <w:rsid w:val="00B72E23"/>
    <w:rsid w:val="00B73636"/>
    <w:rsid w:val="00B7657E"/>
    <w:rsid w:val="00B76793"/>
    <w:rsid w:val="00B76C42"/>
    <w:rsid w:val="00B8029C"/>
    <w:rsid w:val="00B82916"/>
    <w:rsid w:val="00B8390E"/>
    <w:rsid w:val="00B84219"/>
    <w:rsid w:val="00B85068"/>
    <w:rsid w:val="00B85546"/>
    <w:rsid w:val="00B87EA2"/>
    <w:rsid w:val="00B90220"/>
    <w:rsid w:val="00B913AA"/>
    <w:rsid w:val="00B927F9"/>
    <w:rsid w:val="00B94D99"/>
    <w:rsid w:val="00B95673"/>
    <w:rsid w:val="00BA04E1"/>
    <w:rsid w:val="00BA18D1"/>
    <w:rsid w:val="00BA19E0"/>
    <w:rsid w:val="00BA1F8A"/>
    <w:rsid w:val="00BA46B0"/>
    <w:rsid w:val="00BA47DA"/>
    <w:rsid w:val="00BA4E91"/>
    <w:rsid w:val="00BA6D97"/>
    <w:rsid w:val="00BB50DE"/>
    <w:rsid w:val="00BB7A89"/>
    <w:rsid w:val="00BC0409"/>
    <w:rsid w:val="00BC08D4"/>
    <w:rsid w:val="00BC0CB8"/>
    <w:rsid w:val="00BC162C"/>
    <w:rsid w:val="00BC1B82"/>
    <w:rsid w:val="00BC4519"/>
    <w:rsid w:val="00BC4A61"/>
    <w:rsid w:val="00BC4EFC"/>
    <w:rsid w:val="00BC5978"/>
    <w:rsid w:val="00BD0100"/>
    <w:rsid w:val="00BD297C"/>
    <w:rsid w:val="00BD4234"/>
    <w:rsid w:val="00BD483C"/>
    <w:rsid w:val="00BD6F03"/>
    <w:rsid w:val="00BD6FDA"/>
    <w:rsid w:val="00BD79B8"/>
    <w:rsid w:val="00BD7A55"/>
    <w:rsid w:val="00BE00E4"/>
    <w:rsid w:val="00BE0270"/>
    <w:rsid w:val="00BE180E"/>
    <w:rsid w:val="00BE21A8"/>
    <w:rsid w:val="00BE2827"/>
    <w:rsid w:val="00BE331A"/>
    <w:rsid w:val="00BE48B7"/>
    <w:rsid w:val="00BE53BC"/>
    <w:rsid w:val="00BE5574"/>
    <w:rsid w:val="00BE74B4"/>
    <w:rsid w:val="00BF0B84"/>
    <w:rsid w:val="00BF5F81"/>
    <w:rsid w:val="00BF6F8D"/>
    <w:rsid w:val="00C04F50"/>
    <w:rsid w:val="00C05E06"/>
    <w:rsid w:val="00C0748A"/>
    <w:rsid w:val="00C07AC1"/>
    <w:rsid w:val="00C1233D"/>
    <w:rsid w:val="00C12AFA"/>
    <w:rsid w:val="00C16E86"/>
    <w:rsid w:val="00C17244"/>
    <w:rsid w:val="00C2020E"/>
    <w:rsid w:val="00C21CA1"/>
    <w:rsid w:val="00C2648E"/>
    <w:rsid w:val="00C313E7"/>
    <w:rsid w:val="00C34EEE"/>
    <w:rsid w:val="00C3654D"/>
    <w:rsid w:val="00C41DE8"/>
    <w:rsid w:val="00C41E47"/>
    <w:rsid w:val="00C42F00"/>
    <w:rsid w:val="00C44924"/>
    <w:rsid w:val="00C461EB"/>
    <w:rsid w:val="00C520D7"/>
    <w:rsid w:val="00C5372C"/>
    <w:rsid w:val="00C54CB6"/>
    <w:rsid w:val="00C57869"/>
    <w:rsid w:val="00C627A3"/>
    <w:rsid w:val="00C64C2F"/>
    <w:rsid w:val="00C6528A"/>
    <w:rsid w:val="00C6749F"/>
    <w:rsid w:val="00C7375A"/>
    <w:rsid w:val="00C74048"/>
    <w:rsid w:val="00C74654"/>
    <w:rsid w:val="00C74775"/>
    <w:rsid w:val="00C75F55"/>
    <w:rsid w:val="00C8174A"/>
    <w:rsid w:val="00C84C3A"/>
    <w:rsid w:val="00C8685C"/>
    <w:rsid w:val="00C87795"/>
    <w:rsid w:val="00C90684"/>
    <w:rsid w:val="00C90FC8"/>
    <w:rsid w:val="00C948E7"/>
    <w:rsid w:val="00C97688"/>
    <w:rsid w:val="00C9786B"/>
    <w:rsid w:val="00CA1957"/>
    <w:rsid w:val="00CA1D3D"/>
    <w:rsid w:val="00CA3BA7"/>
    <w:rsid w:val="00CA7866"/>
    <w:rsid w:val="00CB1580"/>
    <w:rsid w:val="00CB4072"/>
    <w:rsid w:val="00CB4C9C"/>
    <w:rsid w:val="00CB517A"/>
    <w:rsid w:val="00CC3988"/>
    <w:rsid w:val="00CC5AF3"/>
    <w:rsid w:val="00CC68BF"/>
    <w:rsid w:val="00CC7C45"/>
    <w:rsid w:val="00CD2DC8"/>
    <w:rsid w:val="00CD561D"/>
    <w:rsid w:val="00CE4053"/>
    <w:rsid w:val="00CF4CD4"/>
    <w:rsid w:val="00CF72AC"/>
    <w:rsid w:val="00D004E5"/>
    <w:rsid w:val="00D0142A"/>
    <w:rsid w:val="00D0150B"/>
    <w:rsid w:val="00D038D7"/>
    <w:rsid w:val="00D052E6"/>
    <w:rsid w:val="00D0654F"/>
    <w:rsid w:val="00D073F9"/>
    <w:rsid w:val="00D10717"/>
    <w:rsid w:val="00D13DF1"/>
    <w:rsid w:val="00D13EDA"/>
    <w:rsid w:val="00D2261D"/>
    <w:rsid w:val="00D23CB0"/>
    <w:rsid w:val="00D24515"/>
    <w:rsid w:val="00D30E94"/>
    <w:rsid w:val="00D324DA"/>
    <w:rsid w:val="00D32A14"/>
    <w:rsid w:val="00D32B43"/>
    <w:rsid w:val="00D357A4"/>
    <w:rsid w:val="00D36238"/>
    <w:rsid w:val="00D4029D"/>
    <w:rsid w:val="00D451A5"/>
    <w:rsid w:val="00D477C3"/>
    <w:rsid w:val="00D47DE7"/>
    <w:rsid w:val="00D53DC5"/>
    <w:rsid w:val="00D55406"/>
    <w:rsid w:val="00D60759"/>
    <w:rsid w:val="00D6293F"/>
    <w:rsid w:val="00D670D3"/>
    <w:rsid w:val="00D67470"/>
    <w:rsid w:val="00D67FC9"/>
    <w:rsid w:val="00D75B0B"/>
    <w:rsid w:val="00D775D2"/>
    <w:rsid w:val="00D8118D"/>
    <w:rsid w:val="00D814EE"/>
    <w:rsid w:val="00D85155"/>
    <w:rsid w:val="00D91CBD"/>
    <w:rsid w:val="00D92B66"/>
    <w:rsid w:val="00D93CC1"/>
    <w:rsid w:val="00D93EB9"/>
    <w:rsid w:val="00D942A3"/>
    <w:rsid w:val="00D97E49"/>
    <w:rsid w:val="00DA2818"/>
    <w:rsid w:val="00DA4875"/>
    <w:rsid w:val="00DA4917"/>
    <w:rsid w:val="00DA792F"/>
    <w:rsid w:val="00DB35F8"/>
    <w:rsid w:val="00DB3E0D"/>
    <w:rsid w:val="00DB4116"/>
    <w:rsid w:val="00DB67E5"/>
    <w:rsid w:val="00DC13F9"/>
    <w:rsid w:val="00DC1D72"/>
    <w:rsid w:val="00DC545A"/>
    <w:rsid w:val="00DC585F"/>
    <w:rsid w:val="00DC78DB"/>
    <w:rsid w:val="00DD2FAB"/>
    <w:rsid w:val="00DD4F3E"/>
    <w:rsid w:val="00DD50D0"/>
    <w:rsid w:val="00DE3AB8"/>
    <w:rsid w:val="00DF096E"/>
    <w:rsid w:val="00DF19F6"/>
    <w:rsid w:val="00DF431A"/>
    <w:rsid w:val="00DF6D21"/>
    <w:rsid w:val="00DF7DAD"/>
    <w:rsid w:val="00E00B05"/>
    <w:rsid w:val="00E01F2F"/>
    <w:rsid w:val="00E02136"/>
    <w:rsid w:val="00E03E17"/>
    <w:rsid w:val="00E06813"/>
    <w:rsid w:val="00E10053"/>
    <w:rsid w:val="00E14161"/>
    <w:rsid w:val="00E145DF"/>
    <w:rsid w:val="00E15637"/>
    <w:rsid w:val="00E15B99"/>
    <w:rsid w:val="00E22AC9"/>
    <w:rsid w:val="00E26AF9"/>
    <w:rsid w:val="00E27F2F"/>
    <w:rsid w:val="00E315D6"/>
    <w:rsid w:val="00E330AB"/>
    <w:rsid w:val="00E3317B"/>
    <w:rsid w:val="00E3386F"/>
    <w:rsid w:val="00E350BD"/>
    <w:rsid w:val="00E373B4"/>
    <w:rsid w:val="00E37A69"/>
    <w:rsid w:val="00E42C3B"/>
    <w:rsid w:val="00E455B4"/>
    <w:rsid w:val="00E46FA7"/>
    <w:rsid w:val="00E479DF"/>
    <w:rsid w:val="00E528C6"/>
    <w:rsid w:val="00E54596"/>
    <w:rsid w:val="00E56000"/>
    <w:rsid w:val="00E56378"/>
    <w:rsid w:val="00E641C3"/>
    <w:rsid w:val="00E642DC"/>
    <w:rsid w:val="00E64F71"/>
    <w:rsid w:val="00E66942"/>
    <w:rsid w:val="00E67590"/>
    <w:rsid w:val="00E703B1"/>
    <w:rsid w:val="00E7045C"/>
    <w:rsid w:val="00E718EA"/>
    <w:rsid w:val="00E71A6E"/>
    <w:rsid w:val="00E72E55"/>
    <w:rsid w:val="00E73EB6"/>
    <w:rsid w:val="00E74867"/>
    <w:rsid w:val="00E7493F"/>
    <w:rsid w:val="00E76297"/>
    <w:rsid w:val="00E77101"/>
    <w:rsid w:val="00E8148D"/>
    <w:rsid w:val="00E82DCF"/>
    <w:rsid w:val="00E8561A"/>
    <w:rsid w:val="00E85DE8"/>
    <w:rsid w:val="00E900CF"/>
    <w:rsid w:val="00E90C78"/>
    <w:rsid w:val="00E9363C"/>
    <w:rsid w:val="00E9372A"/>
    <w:rsid w:val="00E94F69"/>
    <w:rsid w:val="00E96932"/>
    <w:rsid w:val="00E979A5"/>
    <w:rsid w:val="00EA2C1A"/>
    <w:rsid w:val="00EA5747"/>
    <w:rsid w:val="00EB0F28"/>
    <w:rsid w:val="00EB3F96"/>
    <w:rsid w:val="00EB3FA2"/>
    <w:rsid w:val="00EB4281"/>
    <w:rsid w:val="00EB4A81"/>
    <w:rsid w:val="00EB54FA"/>
    <w:rsid w:val="00EC03D2"/>
    <w:rsid w:val="00EC0719"/>
    <w:rsid w:val="00EC202F"/>
    <w:rsid w:val="00EC51C3"/>
    <w:rsid w:val="00EC5679"/>
    <w:rsid w:val="00ED2264"/>
    <w:rsid w:val="00ED412E"/>
    <w:rsid w:val="00ED41A8"/>
    <w:rsid w:val="00ED452D"/>
    <w:rsid w:val="00ED5DD6"/>
    <w:rsid w:val="00EE29BE"/>
    <w:rsid w:val="00EE3CDA"/>
    <w:rsid w:val="00EE62D3"/>
    <w:rsid w:val="00EF038F"/>
    <w:rsid w:val="00EF07C3"/>
    <w:rsid w:val="00EF1AC5"/>
    <w:rsid w:val="00EF607A"/>
    <w:rsid w:val="00EF6331"/>
    <w:rsid w:val="00F00241"/>
    <w:rsid w:val="00F01AED"/>
    <w:rsid w:val="00F02102"/>
    <w:rsid w:val="00F04ABD"/>
    <w:rsid w:val="00F05332"/>
    <w:rsid w:val="00F109A7"/>
    <w:rsid w:val="00F1261B"/>
    <w:rsid w:val="00F1303C"/>
    <w:rsid w:val="00F15DA7"/>
    <w:rsid w:val="00F15E8D"/>
    <w:rsid w:val="00F175AF"/>
    <w:rsid w:val="00F22A61"/>
    <w:rsid w:val="00F236DC"/>
    <w:rsid w:val="00F2464A"/>
    <w:rsid w:val="00F247BC"/>
    <w:rsid w:val="00F2719D"/>
    <w:rsid w:val="00F313E8"/>
    <w:rsid w:val="00F31EFE"/>
    <w:rsid w:val="00F3277D"/>
    <w:rsid w:val="00F33D35"/>
    <w:rsid w:val="00F35253"/>
    <w:rsid w:val="00F36405"/>
    <w:rsid w:val="00F375E5"/>
    <w:rsid w:val="00F42120"/>
    <w:rsid w:val="00F428F8"/>
    <w:rsid w:val="00F53132"/>
    <w:rsid w:val="00F5456A"/>
    <w:rsid w:val="00F545FC"/>
    <w:rsid w:val="00F56CB3"/>
    <w:rsid w:val="00F573F1"/>
    <w:rsid w:val="00F57CAC"/>
    <w:rsid w:val="00F66066"/>
    <w:rsid w:val="00F66320"/>
    <w:rsid w:val="00F663A8"/>
    <w:rsid w:val="00F6767A"/>
    <w:rsid w:val="00F67E6A"/>
    <w:rsid w:val="00F70BAD"/>
    <w:rsid w:val="00F71668"/>
    <w:rsid w:val="00F72672"/>
    <w:rsid w:val="00F73140"/>
    <w:rsid w:val="00F7568A"/>
    <w:rsid w:val="00F81073"/>
    <w:rsid w:val="00F83EEA"/>
    <w:rsid w:val="00F8461A"/>
    <w:rsid w:val="00F87FA4"/>
    <w:rsid w:val="00F90063"/>
    <w:rsid w:val="00F91222"/>
    <w:rsid w:val="00F9267B"/>
    <w:rsid w:val="00F94AE5"/>
    <w:rsid w:val="00F96F50"/>
    <w:rsid w:val="00F970A7"/>
    <w:rsid w:val="00F9738D"/>
    <w:rsid w:val="00FA2228"/>
    <w:rsid w:val="00FA2A03"/>
    <w:rsid w:val="00FA59C6"/>
    <w:rsid w:val="00FA5A3F"/>
    <w:rsid w:val="00FB15EB"/>
    <w:rsid w:val="00FB4A1C"/>
    <w:rsid w:val="00FB60CC"/>
    <w:rsid w:val="00FB60FB"/>
    <w:rsid w:val="00FC23C7"/>
    <w:rsid w:val="00FC3B9D"/>
    <w:rsid w:val="00FC4432"/>
    <w:rsid w:val="00FC52C1"/>
    <w:rsid w:val="00FC5A6D"/>
    <w:rsid w:val="00FC5B2A"/>
    <w:rsid w:val="00FC7BAB"/>
    <w:rsid w:val="00FD12DB"/>
    <w:rsid w:val="00FD1306"/>
    <w:rsid w:val="00FD3713"/>
    <w:rsid w:val="00FD57E2"/>
    <w:rsid w:val="00FD77C2"/>
    <w:rsid w:val="00FD7EDE"/>
    <w:rsid w:val="00FE2ED7"/>
    <w:rsid w:val="00FE3E6F"/>
    <w:rsid w:val="00FE797F"/>
    <w:rsid w:val="00FF052C"/>
    <w:rsid w:val="00FF1B26"/>
    <w:rsid w:val="00FF27FB"/>
    <w:rsid w:val="00FF4658"/>
    <w:rsid w:val="00FF6DE4"/>
    <w:rsid w:val="03D5B010"/>
    <w:rsid w:val="05718071"/>
    <w:rsid w:val="0B618477"/>
    <w:rsid w:val="0BFB3B52"/>
    <w:rsid w:val="1CEA2FC0"/>
    <w:rsid w:val="2C9F9746"/>
    <w:rsid w:val="384CBDA9"/>
    <w:rsid w:val="4FAEC204"/>
    <w:rsid w:val="5A3BFE00"/>
    <w:rsid w:val="600A7E27"/>
    <w:rsid w:val="78921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FD0"/>
  <w15:docId w15:val="{DD01E476-5A3B-4C76-80E8-B48BE4ED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paragraph" w:styleId="Nadpis2">
    <w:name w:val="heading 2"/>
    <w:basedOn w:val="Normln"/>
    <w:link w:val="Nadpis2Char"/>
    <w:uiPriority w:val="9"/>
    <w:qFormat/>
    <w:rsid w:val="007325B1"/>
    <w:pPr>
      <w:overflowPunct/>
      <w:autoSpaceDE/>
      <w:autoSpaceDN/>
      <w:adjustRightInd/>
      <w:spacing w:before="100" w:beforeAutospacing="1" w:after="100" w:afterAutospacing="1"/>
      <w:jc w:val="left"/>
      <w:textAlignment w:val="auto"/>
      <w:outlineLvl w:val="1"/>
    </w:pPr>
    <w:rPr>
      <w:rFonts w:ascii="Times New Roman" w:hAnsi="Times New Roman"/>
      <w:b/>
      <w:bCs/>
      <w:sz w:val="36"/>
      <w:szCs w:val="36"/>
    </w:rPr>
  </w:style>
  <w:style w:type="paragraph" w:styleId="Nadpis3">
    <w:name w:val="heading 3"/>
    <w:basedOn w:val="Normln"/>
    <w:link w:val="Nadpis3Char"/>
    <w:uiPriority w:val="9"/>
    <w:qFormat/>
    <w:rsid w:val="007325B1"/>
    <w:pPr>
      <w:overflowPunct/>
      <w:autoSpaceDE/>
      <w:autoSpaceDN/>
      <w:adjustRightInd/>
      <w:spacing w:before="100" w:beforeAutospacing="1" w:after="100" w:afterAutospacing="1"/>
      <w:jc w:val="left"/>
      <w:textAlignment w:val="auto"/>
      <w:outlineLvl w:val="2"/>
    </w:pPr>
    <w:rPr>
      <w:rFonts w:ascii="Times New Roman" w:hAnsi="Times New Roman"/>
      <w:b/>
      <w:bCs/>
      <w:sz w:val="27"/>
      <w:szCs w:val="27"/>
    </w:rPr>
  </w:style>
  <w:style w:type="paragraph" w:styleId="Nadpis5">
    <w:name w:val="heading 5"/>
    <w:basedOn w:val="Normln"/>
    <w:next w:val="Normln"/>
    <w:link w:val="Nadpis5Char"/>
    <w:uiPriority w:val="9"/>
    <w:semiHidden/>
    <w:unhideWhenUsed/>
    <w:qFormat/>
    <w:rsid w:val="00026207"/>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character" w:customStyle="1" w:styleId="Nevyeenzmnka2">
    <w:name w:val="Nevyřešená zmínka2"/>
    <w:basedOn w:val="Standardnpsmoodstavce"/>
    <w:uiPriority w:val="99"/>
    <w:semiHidden/>
    <w:unhideWhenUsed/>
    <w:rsid w:val="005A0ACF"/>
    <w:rPr>
      <w:color w:val="605E5C"/>
      <w:shd w:val="clear" w:color="auto" w:fill="E1DFDD"/>
    </w:rPr>
  </w:style>
  <w:style w:type="character" w:styleId="Nevyeenzmnka">
    <w:name w:val="Unresolved Mention"/>
    <w:basedOn w:val="Standardnpsmoodstavce"/>
    <w:uiPriority w:val="99"/>
    <w:semiHidden/>
    <w:unhideWhenUsed/>
    <w:rsid w:val="00BA19E0"/>
    <w:rPr>
      <w:color w:val="605E5C"/>
      <w:shd w:val="clear" w:color="auto" w:fill="E1DFDD"/>
    </w:rPr>
  </w:style>
  <w:style w:type="character" w:customStyle="1" w:styleId="Nadpis2Char">
    <w:name w:val="Nadpis 2 Char"/>
    <w:basedOn w:val="Standardnpsmoodstavce"/>
    <w:link w:val="Nadpis2"/>
    <w:uiPriority w:val="9"/>
    <w:rsid w:val="007325B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325B1"/>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semiHidden/>
    <w:rsid w:val="00026207"/>
    <w:rPr>
      <w:rFonts w:asciiTheme="majorHAnsi" w:eastAsiaTheme="majorEastAsia" w:hAnsiTheme="majorHAnsi" w:cstheme="majorBidi"/>
      <w:color w:val="2E74B5" w:themeColor="accent1" w:themeShade="BF"/>
      <w:sz w:val="18"/>
      <w:szCs w:val="20"/>
      <w:lang w:eastAsia="cs-CZ"/>
    </w:rPr>
  </w:style>
  <w:style w:type="character" w:styleId="Zdraznn">
    <w:name w:val="Emphasis"/>
    <w:basedOn w:val="Standardnpsmoodstavce"/>
    <w:uiPriority w:val="20"/>
    <w:qFormat/>
    <w:rsid w:val="00026207"/>
    <w:rPr>
      <w:i/>
      <w:iCs/>
    </w:rPr>
  </w:style>
  <w:style w:type="table" w:styleId="Mkatabulky">
    <w:name w:val="Table Grid"/>
    <w:basedOn w:val="Normlntabulka"/>
    <w:uiPriority w:val="39"/>
    <w:rsid w:val="0011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1129E8"/>
    <w:pPr>
      <w:overflowPunct/>
      <w:autoSpaceDE/>
      <w:autoSpaceDN/>
      <w:adjustRightInd/>
      <w:ind w:left="708"/>
      <w:jc w:val="left"/>
      <w:textAlignment w:val="auto"/>
    </w:pPr>
    <w:rPr>
      <w:rFonts w:ascii="Times New Roman" w:hAnsi="Times New Roman"/>
      <w:sz w:val="24"/>
      <w:szCs w:val="24"/>
    </w:rPr>
  </w:style>
  <w:style w:type="paragraph" w:styleId="Textvbloku">
    <w:name w:val="Block Text"/>
    <w:basedOn w:val="Normln"/>
    <w:uiPriority w:val="99"/>
    <w:semiHidden/>
    <w:unhideWhenUsed/>
    <w:rsid w:val="00A214A3"/>
    <w:pPr>
      <w:overflowPunct/>
      <w:autoSpaceDE/>
      <w:autoSpaceDN/>
      <w:adjustRightInd/>
      <w:ind w:left="2160" w:right="-288" w:hanging="2160"/>
      <w:jc w:val="left"/>
      <w:textAlignment w:val="auto"/>
    </w:pPr>
    <w:rPr>
      <w:rFonts w:ascii="Times New Roman" w:eastAsiaTheme="minorHAnsi" w:hAnsi="Times New Roman"/>
      <w:color w:val="333399"/>
      <w:sz w:val="24"/>
      <w:szCs w:val="24"/>
      <w:lang w:eastAsia="en-US"/>
    </w:rPr>
  </w:style>
  <w:style w:type="paragraph" w:customStyle="1" w:styleId="CBAPerex">
    <w:name w:val="CBA Perex"/>
    <w:basedOn w:val="Normln"/>
    <w:qFormat/>
    <w:rsid w:val="00563240"/>
    <w:pPr>
      <w:spacing w:before="240" w:after="240" w:line="276" w:lineRule="auto"/>
    </w:pPr>
    <w:rPr>
      <w:rFonts w:cs="Arial"/>
      <w:color w:val="13576B"/>
      <w:sz w:val="20"/>
    </w:rPr>
  </w:style>
  <w:style w:type="paragraph" w:customStyle="1" w:styleId="CBATitulek">
    <w:name w:val="CBA Titulek"/>
    <w:basedOn w:val="Normln"/>
    <w:qFormat/>
    <w:rsid w:val="00563240"/>
    <w:pPr>
      <w:spacing w:line="276" w:lineRule="auto"/>
      <w:jc w:val="left"/>
    </w:pPr>
    <w:rPr>
      <w:rFonts w:cs="Arial"/>
      <w:b/>
      <w:bCs/>
      <w:color w:val="13576B"/>
      <w:sz w:val="28"/>
      <w:szCs w:val="28"/>
    </w:rPr>
  </w:style>
  <w:style w:type="paragraph" w:customStyle="1" w:styleId="CBACitace">
    <w:name w:val="CBA Citace"/>
    <w:basedOn w:val="Normln"/>
    <w:qFormat/>
    <w:rsid w:val="00563240"/>
    <w:pPr>
      <w:spacing w:before="240" w:after="240" w:line="276" w:lineRule="auto"/>
    </w:pPr>
    <w:rPr>
      <w:rFonts w:cs="Arial"/>
      <w:i/>
      <w:iCs/>
      <w:sz w:val="20"/>
    </w:rPr>
  </w:style>
  <w:style w:type="paragraph" w:customStyle="1" w:styleId="CBANormalni">
    <w:name w:val="CBA Normalni"/>
    <w:basedOn w:val="Normln"/>
    <w:qFormat/>
    <w:rsid w:val="00563240"/>
    <w:pPr>
      <w:spacing w:before="240" w:after="240" w:line="276" w:lineRule="auto"/>
    </w:pPr>
    <w:rPr>
      <w:rFonts w:cs="Arial"/>
      <w:sz w:val="20"/>
    </w:rPr>
  </w:style>
  <w:style w:type="paragraph" w:customStyle="1" w:styleId="CBATitulektabulky">
    <w:name w:val="CBA Titulek tabulky"/>
    <w:basedOn w:val="Normln"/>
    <w:qFormat/>
    <w:rsid w:val="009A2A78"/>
    <w:pPr>
      <w:spacing w:before="240" w:after="240" w:line="276" w:lineRule="auto"/>
      <w:jc w:val="center"/>
    </w:pPr>
    <w:rPr>
      <w:rFonts w:cs="Arial"/>
      <w:b/>
      <w:bCs/>
      <w:color w:val="FFFFFF" w:themeColor="background1"/>
      <w:sz w:val="20"/>
    </w:rPr>
  </w:style>
  <w:style w:type="paragraph" w:customStyle="1" w:styleId="CBANadpisvTABULCE">
    <w:name w:val="CBA Nadpis v TABULCE"/>
    <w:basedOn w:val="Normln"/>
    <w:qFormat/>
    <w:rsid w:val="00134FF8"/>
    <w:pPr>
      <w:spacing w:before="120" w:after="120"/>
      <w:jc w:val="left"/>
    </w:pPr>
    <w:rPr>
      <w:b/>
      <w:bCs/>
      <w:color w:val="13576B"/>
    </w:rPr>
  </w:style>
  <w:style w:type="paragraph" w:customStyle="1" w:styleId="CBAodrazkavTABULCE">
    <w:name w:val="CBA odrazka v TABULCE"/>
    <w:basedOn w:val="Odstavecseseznamem"/>
    <w:qFormat/>
    <w:rsid w:val="00134FF8"/>
    <w:pPr>
      <w:numPr>
        <w:numId w:val="42"/>
      </w:numPr>
      <w:spacing w:before="120" w:after="120"/>
      <w:jc w:val="left"/>
    </w:pPr>
    <w:rPr>
      <w:color w:val="13576B"/>
    </w:rPr>
  </w:style>
  <w:style w:type="paragraph" w:customStyle="1" w:styleId="CBAodstavecvTABULCE">
    <w:name w:val="CBA odstavec v TABULCE"/>
    <w:basedOn w:val="Normln"/>
    <w:qFormat/>
    <w:rsid w:val="00134FF8"/>
    <w:pPr>
      <w:spacing w:before="120" w:after="120"/>
      <w:jc w:val="left"/>
    </w:pPr>
    <w:rPr>
      <w:color w:val="13576B"/>
    </w:rPr>
  </w:style>
  <w:style w:type="paragraph" w:customStyle="1" w:styleId="CBAvertikalnihlavickavTABULCE">
    <w:name w:val="CBA vertikalni hlavicka v TABULCE"/>
    <w:basedOn w:val="Normln"/>
    <w:qFormat/>
    <w:rsid w:val="00134FF8"/>
    <w:pPr>
      <w:spacing w:after="120" w:line="276" w:lineRule="auto"/>
      <w:ind w:left="113" w:right="113"/>
      <w:jc w:val="center"/>
    </w:pPr>
    <w:rPr>
      <w:rFonts w:cs="Arial"/>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764336">
      <w:bodyDiv w:val="1"/>
      <w:marLeft w:val="0"/>
      <w:marRight w:val="0"/>
      <w:marTop w:val="0"/>
      <w:marBottom w:val="0"/>
      <w:divBdr>
        <w:top w:val="none" w:sz="0" w:space="0" w:color="auto"/>
        <w:left w:val="none" w:sz="0" w:space="0" w:color="auto"/>
        <w:bottom w:val="none" w:sz="0" w:space="0" w:color="auto"/>
        <w:right w:val="none" w:sz="0" w:space="0" w:color="auto"/>
      </w:divBdr>
    </w:div>
    <w:div w:id="41563890">
      <w:bodyDiv w:val="1"/>
      <w:marLeft w:val="0"/>
      <w:marRight w:val="0"/>
      <w:marTop w:val="0"/>
      <w:marBottom w:val="0"/>
      <w:divBdr>
        <w:top w:val="none" w:sz="0" w:space="0" w:color="auto"/>
        <w:left w:val="none" w:sz="0" w:space="0" w:color="auto"/>
        <w:bottom w:val="none" w:sz="0" w:space="0" w:color="auto"/>
        <w:right w:val="none" w:sz="0" w:space="0" w:color="auto"/>
      </w:divBdr>
    </w:div>
    <w:div w:id="66729864">
      <w:bodyDiv w:val="1"/>
      <w:marLeft w:val="0"/>
      <w:marRight w:val="0"/>
      <w:marTop w:val="0"/>
      <w:marBottom w:val="0"/>
      <w:divBdr>
        <w:top w:val="none" w:sz="0" w:space="0" w:color="auto"/>
        <w:left w:val="none" w:sz="0" w:space="0" w:color="auto"/>
        <w:bottom w:val="none" w:sz="0" w:space="0" w:color="auto"/>
        <w:right w:val="none" w:sz="0" w:space="0" w:color="auto"/>
      </w:divBdr>
    </w:div>
    <w:div w:id="97651239">
      <w:bodyDiv w:val="1"/>
      <w:marLeft w:val="0"/>
      <w:marRight w:val="0"/>
      <w:marTop w:val="0"/>
      <w:marBottom w:val="0"/>
      <w:divBdr>
        <w:top w:val="none" w:sz="0" w:space="0" w:color="auto"/>
        <w:left w:val="none" w:sz="0" w:space="0" w:color="auto"/>
        <w:bottom w:val="none" w:sz="0" w:space="0" w:color="auto"/>
        <w:right w:val="none" w:sz="0" w:space="0" w:color="auto"/>
      </w:divBdr>
    </w:div>
    <w:div w:id="104077534">
      <w:bodyDiv w:val="1"/>
      <w:marLeft w:val="0"/>
      <w:marRight w:val="0"/>
      <w:marTop w:val="0"/>
      <w:marBottom w:val="0"/>
      <w:divBdr>
        <w:top w:val="none" w:sz="0" w:space="0" w:color="auto"/>
        <w:left w:val="none" w:sz="0" w:space="0" w:color="auto"/>
        <w:bottom w:val="none" w:sz="0" w:space="0" w:color="auto"/>
        <w:right w:val="none" w:sz="0" w:space="0" w:color="auto"/>
      </w:divBdr>
    </w:div>
    <w:div w:id="132212633">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178393963">
          <w:marLeft w:val="360"/>
          <w:marRight w:val="0"/>
          <w:marTop w:val="200"/>
          <w:marBottom w:val="0"/>
          <w:divBdr>
            <w:top w:val="none" w:sz="0" w:space="0" w:color="auto"/>
            <w:left w:val="none" w:sz="0" w:space="0" w:color="auto"/>
            <w:bottom w:val="none" w:sz="0" w:space="0" w:color="auto"/>
            <w:right w:val="none" w:sz="0" w:space="0" w:color="auto"/>
          </w:divBdr>
        </w:div>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77086154">
      <w:bodyDiv w:val="1"/>
      <w:marLeft w:val="0"/>
      <w:marRight w:val="0"/>
      <w:marTop w:val="0"/>
      <w:marBottom w:val="0"/>
      <w:divBdr>
        <w:top w:val="none" w:sz="0" w:space="0" w:color="auto"/>
        <w:left w:val="none" w:sz="0" w:space="0" w:color="auto"/>
        <w:bottom w:val="none" w:sz="0" w:space="0" w:color="auto"/>
        <w:right w:val="none" w:sz="0" w:space="0" w:color="auto"/>
      </w:divBdr>
    </w:div>
    <w:div w:id="177283369">
      <w:bodyDiv w:val="1"/>
      <w:marLeft w:val="0"/>
      <w:marRight w:val="0"/>
      <w:marTop w:val="0"/>
      <w:marBottom w:val="0"/>
      <w:divBdr>
        <w:top w:val="none" w:sz="0" w:space="0" w:color="auto"/>
        <w:left w:val="none" w:sz="0" w:space="0" w:color="auto"/>
        <w:bottom w:val="none" w:sz="0" w:space="0" w:color="auto"/>
        <w:right w:val="none" w:sz="0" w:space="0" w:color="auto"/>
      </w:divBdr>
    </w:div>
    <w:div w:id="180977078">
      <w:bodyDiv w:val="1"/>
      <w:marLeft w:val="0"/>
      <w:marRight w:val="0"/>
      <w:marTop w:val="0"/>
      <w:marBottom w:val="0"/>
      <w:divBdr>
        <w:top w:val="none" w:sz="0" w:space="0" w:color="auto"/>
        <w:left w:val="none" w:sz="0" w:space="0" w:color="auto"/>
        <w:bottom w:val="none" w:sz="0" w:space="0" w:color="auto"/>
        <w:right w:val="none" w:sz="0" w:space="0" w:color="auto"/>
      </w:divBdr>
    </w:div>
    <w:div w:id="21242473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116265497">
          <w:marLeft w:val="1080"/>
          <w:marRight w:val="0"/>
          <w:marTop w:val="360"/>
          <w:marBottom w:val="5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417947238">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sChild>
    </w:div>
    <w:div w:id="215168246">
      <w:bodyDiv w:val="1"/>
      <w:marLeft w:val="0"/>
      <w:marRight w:val="0"/>
      <w:marTop w:val="0"/>
      <w:marBottom w:val="0"/>
      <w:divBdr>
        <w:top w:val="none" w:sz="0" w:space="0" w:color="auto"/>
        <w:left w:val="none" w:sz="0" w:space="0" w:color="auto"/>
        <w:bottom w:val="none" w:sz="0" w:space="0" w:color="auto"/>
        <w:right w:val="none" w:sz="0" w:space="0" w:color="auto"/>
      </w:divBdr>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22377426">
      <w:bodyDiv w:val="1"/>
      <w:marLeft w:val="0"/>
      <w:marRight w:val="0"/>
      <w:marTop w:val="0"/>
      <w:marBottom w:val="0"/>
      <w:divBdr>
        <w:top w:val="none" w:sz="0" w:space="0" w:color="auto"/>
        <w:left w:val="none" w:sz="0" w:space="0" w:color="auto"/>
        <w:bottom w:val="none" w:sz="0" w:space="0" w:color="auto"/>
        <w:right w:val="none" w:sz="0" w:space="0" w:color="auto"/>
      </w:divBdr>
    </w:div>
    <w:div w:id="231698303">
      <w:bodyDiv w:val="1"/>
      <w:marLeft w:val="0"/>
      <w:marRight w:val="0"/>
      <w:marTop w:val="0"/>
      <w:marBottom w:val="0"/>
      <w:divBdr>
        <w:top w:val="none" w:sz="0" w:space="0" w:color="auto"/>
        <w:left w:val="none" w:sz="0" w:space="0" w:color="auto"/>
        <w:bottom w:val="none" w:sz="0" w:space="0" w:color="auto"/>
        <w:right w:val="none" w:sz="0" w:space="0" w:color="auto"/>
      </w:divBdr>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244921490">
      <w:bodyDiv w:val="1"/>
      <w:marLeft w:val="0"/>
      <w:marRight w:val="0"/>
      <w:marTop w:val="0"/>
      <w:marBottom w:val="0"/>
      <w:divBdr>
        <w:top w:val="none" w:sz="0" w:space="0" w:color="auto"/>
        <w:left w:val="none" w:sz="0" w:space="0" w:color="auto"/>
        <w:bottom w:val="none" w:sz="0" w:space="0" w:color="auto"/>
        <w:right w:val="none" w:sz="0" w:space="0" w:color="auto"/>
      </w:divBdr>
    </w:div>
    <w:div w:id="270673598">
      <w:bodyDiv w:val="1"/>
      <w:marLeft w:val="0"/>
      <w:marRight w:val="0"/>
      <w:marTop w:val="0"/>
      <w:marBottom w:val="0"/>
      <w:divBdr>
        <w:top w:val="none" w:sz="0" w:space="0" w:color="auto"/>
        <w:left w:val="none" w:sz="0" w:space="0" w:color="auto"/>
        <w:bottom w:val="none" w:sz="0" w:space="0" w:color="auto"/>
        <w:right w:val="none" w:sz="0" w:space="0" w:color="auto"/>
      </w:divBdr>
    </w:div>
    <w:div w:id="285897207">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31490063">
      <w:bodyDiv w:val="1"/>
      <w:marLeft w:val="0"/>
      <w:marRight w:val="0"/>
      <w:marTop w:val="0"/>
      <w:marBottom w:val="0"/>
      <w:divBdr>
        <w:top w:val="none" w:sz="0" w:space="0" w:color="auto"/>
        <w:left w:val="none" w:sz="0" w:space="0" w:color="auto"/>
        <w:bottom w:val="none" w:sz="0" w:space="0" w:color="auto"/>
        <w:right w:val="none" w:sz="0" w:space="0" w:color="auto"/>
      </w:divBdr>
    </w:div>
    <w:div w:id="339740379">
      <w:bodyDiv w:val="1"/>
      <w:marLeft w:val="0"/>
      <w:marRight w:val="0"/>
      <w:marTop w:val="0"/>
      <w:marBottom w:val="0"/>
      <w:divBdr>
        <w:top w:val="none" w:sz="0" w:space="0" w:color="auto"/>
        <w:left w:val="none" w:sz="0" w:space="0" w:color="auto"/>
        <w:bottom w:val="none" w:sz="0" w:space="0" w:color="auto"/>
        <w:right w:val="none" w:sz="0" w:space="0" w:color="auto"/>
      </w:divBdr>
    </w:div>
    <w:div w:id="343899673">
      <w:bodyDiv w:val="1"/>
      <w:marLeft w:val="0"/>
      <w:marRight w:val="0"/>
      <w:marTop w:val="0"/>
      <w:marBottom w:val="0"/>
      <w:divBdr>
        <w:top w:val="none" w:sz="0" w:space="0" w:color="auto"/>
        <w:left w:val="none" w:sz="0" w:space="0" w:color="auto"/>
        <w:bottom w:val="none" w:sz="0" w:space="0" w:color="auto"/>
        <w:right w:val="none" w:sz="0" w:space="0" w:color="auto"/>
      </w:divBdr>
    </w:div>
    <w:div w:id="358311346">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08618435">
      <w:bodyDiv w:val="1"/>
      <w:marLeft w:val="0"/>
      <w:marRight w:val="0"/>
      <w:marTop w:val="0"/>
      <w:marBottom w:val="0"/>
      <w:divBdr>
        <w:top w:val="none" w:sz="0" w:space="0" w:color="auto"/>
        <w:left w:val="none" w:sz="0" w:space="0" w:color="auto"/>
        <w:bottom w:val="none" w:sz="0" w:space="0" w:color="auto"/>
        <w:right w:val="none" w:sz="0" w:space="0" w:color="auto"/>
      </w:divBdr>
    </w:div>
    <w:div w:id="411201801">
      <w:bodyDiv w:val="1"/>
      <w:marLeft w:val="0"/>
      <w:marRight w:val="0"/>
      <w:marTop w:val="0"/>
      <w:marBottom w:val="0"/>
      <w:divBdr>
        <w:top w:val="none" w:sz="0" w:space="0" w:color="auto"/>
        <w:left w:val="none" w:sz="0" w:space="0" w:color="auto"/>
        <w:bottom w:val="none" w:sz="0" w:space="0" w:color="auto"/>
        <w:right w:val="none" w:sz="0" w:space="0" w:color="auto"/>
      </w:divBdr>
    </w:div>
    <w:div w:id="420875207">
      <w:bodyDiv w:val="1"/>
      <w:marLeft w:val="0"/>
      <w:marRight w:val="0"/>
      <w:marTop w:val="0"/>
      <w:marBottom w:val="0"/>
      <w:divBdr>
        <w:top w:val="none" w:sz="0" w:space="0" w:color="auto"/>
        <w:left w:val="none" w:sz="0" w:space="0" w:color="auto"/>
        <w:bottom w:val="none" w:sz="0" w:space="0" w:color="auto"/>
        <w:right w:val="none" w:sz="0" w:space="0" w:color="auto"/>
      </w:divBdr>
    </w:div>
    <w:div w:id="421756657">
      <w:bodyDiv w:val="1"/>
      <w:marLeft w:val="0"/>
      <w:marRight w:val="0"/>
      <w:marTop w:val="0"/>
      <w:marBottom w:val="0"/>
      <w:divBdr>
        <w:top w:val="none" w:sz="0" w:space="0" w:color="auto"/>
        <w:left w:val="none" w:sz="0" w:space="0" w:color="auto"/>
        <w:bottom w:val="none" w:sz="0" w:space="0" w:color="auto"/>
        <w:right w:val="none" w:sz="0" w:space="0" w:color="auto"/>
      </w:divBdr>
    </w:div>
    <w:div w:id="430663453">
      <w:bodyDiv w:val="1"/>
      <w:marLeft w:val="0"/>
      <w:marRight w:val="0"/>
      <w:marTop w:val="0"/>
      <w:marBottom w:val="0"/>
      <w:divBdr>
        <w:top w:val="none" w:sz="0" w:space="0" w:color="auto"/>
        <w:left w:val="none" w:sz="0" w:space="0" w:color="auto"/>
        <w:bottom w:val="none" w:sz="0" w:space="0" w:color="auto"/>
        <w:right w:val="none" w:sz="0" w:space="0" w:color="auto"/>
      </w:divBdr>
    </w:div>
    <w:div w:id="443963842">
      <w:bodyDiv w:val="1"/>
      <w:marLeft w:val="0"/>
      <w:marRight w:val="0"/>
      <w:marTop w:val="0"/>
      <w:marBottom w:val="0"/>
      <w:divBdr>
        <w:top w:val="none" w:sz="0" w:space="0" w:color="auto"/>
        <w:left w:val="none" w:sz="0" w:space="0" w:color="auto"/>
        <w:bottom w:val="none" w:sz="0" w:space="0" w:color="auto"/>
        <w:right w:val="none" w:sz="0" w:space="0" w:color="auto"/>
      </w:divBdr>
    </w:div>
    <w:div w:id="445009305">
      <w:bodyDiv w:val="1"/>
      <w:marLeft w:val="0"/>
      <w:marRight w:val="0"/>
      <w:marTop w:val="0"/>
      <w:marBottom w:val="0"/>
      <w:divBdr>
        <w:top w:val="none" w:sz="0" w:space="0" w:color="auto"/>
        <w:left w:val="none" w:sz="0" w:space="0" w:color="auto"/>
        <w:bottom w:val="none" w:sz="0" w:space="0" w:color="auto"/>
        <w:right w:val="none" w:sz="0" w:space="0" w:color="auto"/>
      </w:divBdr>
    </w:div>
    <w:div w:id="507059065">
      <w:bodyDiv w:val="1"/>
      <w:marLeft w:val="0"/>
      <w:marRight w:val="0"/>
      <w:marTop w:val="0"/>
      <w:marBottom w:val="0"/>
      <w:divBdr>
        <w:top w:val="none" w:sz="0" w:space="0" w:color="auto"/>
        <w:left w:val="none" w:sz="0" w:space="0" w:color="auto"/>
        <w:bottom w:val="none" w:sz="0" w:space="0" w:color="auto"/>
        <w:right w:val="none" w:sz="0" w:space="0" w:color="auto"/>
      </w:divBdr>
    </w:div>
    <w:div w:id="512230630">
      <w:bodyDiv w:val="1"/>
      <w:marLeft w:val="0"/>
      <w:marRight w:val="0"/>
      <w:marTop w:val="0"/>
      <w:marBottom w:val="0"/>
      <w:divBdr>
        <w:top w:val="none" w:sz="0" w:space="0" w:color="auto"/>
        <w:left w:val="none" w:sz="0" w:space="0" w:color="auto"/>
        <w:bottom w:val="none" w:sz="0" w:space="0" w:color="auto"/>
        <w:right w:val="none" w:sz="0" w:space="0" w:color="auto"/>
      </w:divBdr>
    </w:div>
    <w:div w:id="530805065">
      <w:bodyDiv w:val="1"/>
      <w:marLeft w:val="0"/>
      <w:marRight w:val="0"/>
      <w:marTop w:val="0"/>
      <w:marBottom w:val="0"/>
      <w:divBdr>
        <w:top w:val="none" w:sz="0" w:space="0" w:color="auto"/>
        <w:left w:val="none" w:sz="0" w:space="0" w:color="auto"/>
        <w:bottom w:val="none" w:sz="0" w:space="0" w:color="auto"/>
        <w:right w:val="none" w:sz="0" w:space="0" w:color="auto"/>
      </w:divBdr>
    </w:div>
    <w:div w:id="537932198">
      <w:bodyDiv w:val="1"/>
      <w:marLeft w:val="0"/>
      <w:marRight w:val="0"/>
      <w:marTop w:val="0"/>
      <w:marBottom w:val="0"/>
      <w:divBdr>
        <w:top w:val="none" w:sz="0" w:space="0" w:color="auto"/>
        <w:left w:val="none" w:sz="0" w:space="0" w:color="auto"/>
        <w:bottom w:val="none" w:sz="0" w:space="0" w:color="auto"/>
        <w:right w:val="none" w:sz="0" w:space="0" w:color="auto"/>
      </w:divBdr>
    </w:div>
    <w:div w:id="541747342">
      <w:bodyDiv w:val="1"/>
      <w:marLeft w:val="0"/>
      <w:marRight w:val="0"/>
      <w:marTop w:val="0"/>
      <w:marBottom w:val="0"/>
      <w:divBdr>
        <w:top w:val="none" w:sz="0" w:space="0" w:color="auto"/>
        <w:left w:val="none" w:sz="0" w:space="0" w:color="auto"/>
        <w:bottom w:val="none" w:sz="0" w:space="0" w:color="auto"/>
        <w:right w:val="none" w:sz="0" w:space="0" w:color="auto"/>
      </w:divBdr>
    </w:div>
    <w:div w:id="547766773">
      <w:bodyDiv w:val="1"/>
      <w:marLeft w:val="0"/>
      <w:marRight w:val="0"/>
      <w:marTop w:val="0"/>
      <w:marBottom w:val="0"/>
      <w:divBdr>
        <w:top w:val="none" w:sz="0" w:space="0" w:color="auto"/>
        <w:left w:val="none" w:sz="0" w:space="0" w:color="auto"/>
        <w:bottom w:val="none" w:sz="0" w:space="0" w:color="auto"/>
        <w:right w:val="none" w:sz="0" w:space="0" w:color="auto"/>
      </w:divBdr>
    </w:div>
    <w:div w:id="566258281">
      <w:bodyDiv w:val="1"/>
      <w:marLeft w:val="0"/>
      <w:marRight w:val="0"/>
      <w:marTop w:val="0"/>
      <w:marBottom w:val="0"/>
      <w:divBdr>
        <w:top w:val="none" w:sz="0" w:space="0" w:color="auto"/>
        <w:left w:val="none" w:sz="0" w:space="0" w:color="auto"/>
        <w:bottom w:val="none" w:sz="0" w:space="0" w:color="auto"/>
        <w:right w:val="none" w:sz="0" w:space="0" w:color="auto"/>
      </w:divBdr>
    </w:div>
    <w:div w:id="583611380">
      <w:bodyDiv w:val="1"/>
      <w:marLeft w:val="0"/>
      <w:marRight w:val="0"/>
      <w:marTop w:val="0"/>
      <w:marBottom w:val="0"/>
      <w:divBdr>
        <w:top w:val="none" w:sz="0" w:space="0" w:color="auto"/>
        <w:left w:val="none" w:sz="0" w:space="0" w:color="auto"/>
        <w:bottom w:val="none" w:sz="0" w:space="0" w:color="auto"/>
        <w:right w:val="none" w:sz="0" w:space="0" w:color="auto"/>
      </w:divBdr>
    </w:div>
    <w:div w:id="588545531">
      <w:bodyDiv w:val="1"/>
      <w:marLeft w:val="0"/>
      <w:marRight w:val="0"/>
      <w:marTop w:val="0"/>
      <w:marBottom w:val="0"/>
      <w:divBdr>
        <w:top w:val="none" w:sz="0" w:space="0" w:color="auto"/>
        <w:left w:val="none" w:sz="0" w:space="0" w:color="auto"/>
        <w:bottom w:val="none" w:sz="0" w:space="0" w:color="auto"/>
        <w:right w:val="none" w:sz="0" w:space="0" w:color="auto"/>
      </w:divBdr>
    </w:div>
    <w:div w:id="624774902">
      <w:bodyDiv w:val="1"/>
      <w:marLeft w:val="0"/>
      <w:marRight w:val="0"/>
      <w:marTop w:val="0"/>
      <w:marBottom w:val="0"/>
      <w:divBdr>
        <w:top w:val="none" w:sz="0" w:space="0" w:color="auto"/>
        <w:left w:val="none" w:sz="0" w:space="0" w:color="auto"/>
        <w:bottom w:val="none" w:sz="0" w:space="0" w:color="auto"/>
        <w:right w:val="none" w:sz="0" w:space="0" w:color="auto"/>
      </w:divBdr>
    </w:div>
    <w:div w:id="653605490">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3140190">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9524415">
      <w:bodyDiv w:val="1"/>
      <w:marLeft w:val="0"/>
      <w:marRight w:val="0"/>
      <w:marTop w:val="0"/>
      <w:marBottom w:val="0"/>
      <w:divBdr>
        <w:top w:val="none" w:sz="0" w:space="0" w:color="auto"/>
        <w:left w:val="none" w:sz="0" w:space="0" w:color="auto"/>
        <w:bottom w:val="none" w:sz="0" w:space="0" w:color="auto"/>
        <w:right w:val="none" w:sz="0" w:space="0" w:color="auto"/>
      </w:divBdr>
    </w:div>
    <w:div w:id="822359253">
      <w:bodyDiv w:val="1"/>
      <w:marLeft w:val="0"/>
      <w:marRight w:val="0"/>
      <w:marTop w:val="0"/>
      <w:marBottom w:val="0"/>
      <w:divBdr>
        <w:top w:val="none" w:sz="0" w:space="0" w:color="auto"/>
        <w:left w:val="none" w:sz="0" w:space="0" w:color="auto"/>
        <w:bottom w:val="none" w:sz="0" w:space="0" w:color="auto"/>
        <w:right w:val="none" w:sz="0" w:space="0" w:color="auto"/>
      </w:divBdr>
    </w:div>
    <w:div w:id="832257858">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845943866">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1332576">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2442645">
      <w:bodyDiv w:val="1"/>
      <w:marLeft w:val="0"/>
      <w:marRight w:val="0"/>
      <w:marTop w:val="0"/>
      <w:marBottom w:val="0"/>
      <w:divBdr>
        <w:top w:val="none" w:sz="0" w:space="0" w:color="auto"/>
        <w:left w:val="none" w:sz="0" w:space="0" w:color="auto"/>
        <w:bottom w:val="none" w:sz="0" w:space="0" w:color="auto"/>
        <w:right w:val="none" w:sz="0" w:space="0" w:color="auto"/>
      </w:divBdr>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sChild>
        </w:div>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07630827">
      <w:bodyDiv w:val="1"/>
      <w:marLeft w:val="0"/>
      <w:marRight w:val="0"/>
      <w:marTop w:val="0"/>
      <w:marBottom w:val="0"/>
      <w:divBdr>
        <w:top w:val="none" w:sz="0" w:space="0" w:color="auto"/>
        <w:left w:val="none" w:sz="0" w:space="0" w:color="auto"/>
        <w:bottom w:val="none" w:sz="0" w:space="0" w:color="auto"/>
        <w:right w:val="none" w:sz="0" w:space="0" w:color="auto"/>
      </w:divBdr>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65756110">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54445641">
      <w:bodyDiv w:val="1"/>
      <w:marLeft w:val="0"/>
      <w:marRight w:val="0"/>
      <w:marTop w:val="0"/>
      <w:marBottom w:val="0"/>
      <w:divBdr>
        <w:top w:val="none" w:sz="0" w:space="0" w:color="auto"/>
        <w:left w:val="none" w:sz="0" w:space="0" w:color="auto"/>
        <w:bottom w:val="none" w:sz="0" w:space="0" w:color="auto"/>
        <w:right w:val="none" w:sz="0" w:space="0" w:color="auto"/>
      </w:divBdr>
      <w:divsChild>
        <w:div w:id="2086954122">
          <w:marLeft w:val="0"/>
          <w:marRight w:val="0"/>
          <w:marTop w:val="0"/>
          <w:marBottom w:val="0"/>
          <w:divBdr>
            <w:top w:val="none" w:sz="0" w:space="0" w:color="auto"/>
            <w:left w:val="none" w:sz="0" w:space="0" w:color="auto"/>
            <w:bottom w:val="none" w:sz="0" w:space="0" w:color="auto"/>
            <w:right w:val="none" w:sz="0" w:space="0" w:color="auto"/>
          </w:divBdr>
          <w:divsChild>
            <w:div w:id="1762946549">
              <w:marLeft w:val="-225"/>
              <w:marRight w:val="-225"/>
              <w:marTop w:val="0"/>
              <w:marBottom w:val="0"/>
              <w:divBdr>
                <w:top w:val="single" w:sz="6" w:space="0" w:color="D5E1E1"/>
                <w:left w:val="none" w:sz="0" w:space="0" w:color="auto"/>
                <w:bottom w:val="none" w:sz="0" w:space="0" w:color="auto"/>
                <w:right w:val="none" w:sz="0" w:space="0" w:color="auto"/>
              </w:divBdr>
              <w:divsChild>
                <w:div w:id="542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597561776">
          <w:marLeft w:val="360"/>
          <w:marRight w:val="0"/>
          <w:marTop w:val="200"/>
          <w:marBottom w:val="0"/>
          <w:divBdr>
            <w:top w:val="none" w:sz="0" w:space="0" w:color="auto"/>
            <w:left w:val="none" w:sz="0" w:space="0" w:color="auto"/>
            <w:bottom w:val="none" w:sz="0" w:space="0" w:color="auto"/>
            <w:right w:val="none" w:sz="0" w:space="0" w:color="auto"/>
          </w:divBdr>
        </w:div>
        <w:div w:id="810363461">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84320010">
      <w:bodyDiv w:val="1"/>
      <w:marLeft w:val="0"/>
      <w:marRight w:val="0"/>
      <w:marTop w:val="0"/>
      <w:marBottom w:val="0"/>
      <w:divBdr>
        <w:top w:val="none" w:sz="0" w:space="0" w:color="auto"/>
        <w:left w:val="none" w:sz="0" w:space="0" w:color="auto"/>
        <w:bottom w:val="none" w:sz="0" w:space="0" w:color="auto"/>
        <w:right w:val="none" w:sz="0" w:space="0" w:color="auto"/>
      </w:divBdr>
    </w:div>
    <w:div w:id="1200707317">
      <w:bodyDiv w:val="1"/>
      <w:marLeft w:val="0"/>
      <w:marRight w:val="0"/>
      <w:marTop w:val="0"/>
      <w:marBottom w:val="0"/>
      <w:divBdr>
        <w:top w:val="none" w:sz="0" w:space="0" w:color="auto"/>
        <w:left w:val="none" w:sz="0" w:space="0" w:color="auto"/>
        <w:bottom w:val="none" w:sz="0" w:space="0" w:color="auto"/>
        <w:right w:val="none" w:sz="0" w:space="0" w:color="auto"/>
      </w:divBdr>
    </w:div>
    <w:div w:id="1205211742">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16002883">
          <w:marLeft w:val="360"/>
          <w:marRight w:val="0"/>
          <w:marTop w:val="200"/>
          <w:marBottom w:val="0"/>
          <w:divBdr>
            <w:top w:val="none" w:sz="0" w:space="0" w:color="auto"/>
            <w:left w:val="none" w:sz="0" w:space="0" w:color="auto"/>
            <w:bottom w:val="none" w:sz="0" w:space="0" w:color="auto"/>
            <w:right w:val="none" w:sz="0" w:space="0" w:color="auto"/>
          </w:divBdr>
        </w:div>
        <w:div w:id="991954521">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sChild>
    </w:div>
    <w:div w:id="1268585387">
      <w:bodyDiv w:val="1"/>
      <w:marLeft w:val="0"/>
      <w:marRight w:val="0"/>
      <w:marTop w:val="0"/>
      <w:marBottom w:val="0"/>
      <w:divBdr>
        <w:top w:val="none" w:sz="0" w:space="0" w:color="auto"/>
        <w:left w:val="none" w:sz="0" w:space="0" w:color="auto"/>
        <w:bottom w:val="none" w:sz="0" w:space="0" w:color="auto"/>
        <w:right w:val="none" w:sz="0" w:space="0" w:color="auto"/>
      </w:divBdr>
    </w:div>
    <w:div w:id="1285237181">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373380894">
      <w:bodyDiv w:val="1"/>
      <w:marLeft w:val="0"/>
      <w:marRight w:val="0"/>
      <w:marTop w:val="0"/>
      <w:marBottom w:val="0"/>
      <w:divBdr>
        <w:top w:val="none" w:sz="0" w:space="0" w:color="auto"/>
        <w:left w:val="none" w:sz="0" w:space="0" w:color="auto"/>
        <w:bottom w:val="none" w:sz="0" w:space="0" w:color="auto"/>
        <w:right w:val="none" w:sz="0" w:space="0" w:color="auto"/>
      </w:divBdr>
    </w:div>
    <w:div w:id="1399206700">
      <w:bodyDiv w:val="1"/>
      <w:marLeft w:val="0"/>
      <w:marRight w:val="0"/>
      <w:marTop w:val="0"/>
      <w:marBottom w:val="0"/>
      <w:divBdr>
        <w:top w:val="none" w:sz="0" w:space="0" w:color="auto"/>
        <w:left w:val="none" w:sz="0" w:space="0" w:color="auto"/>
        <w:bottom w:val="none" w:sz="0" w:space="0" w:color="auto"/>
        <w:right w:val="none" w:sz="0" w:space="0" w:color="auto"/>
      </w:divBdr>
    </w:div>
    <w:div w:id="1400251907">
      <w:bodyDiv w:val="1"/>
      <w:marLeft w:val="0"/>
      <w:marRight w:val="0"/>
      <w:marTop w:val="0"/>
      <w:marBottom w:val="0"/>
      <w:divBdr>
        <w:top w:val="none" w:sz="0" w:space="0" w:color="auto"/>
        <w:left w:val="none" w:sz="0" w:space="0" w:color="auto"/>
        <w:bottom w:val="none" w:sz="0" w:space="0" w:color="auto"/>
        <w:right w:val="none" w:sz="0" w:space="0" w:color="auto"/>
      </w:divBdr>
    </w:div>
    <w:div w:id="1411075325">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24510810">
      <w:bodyDiv w:val="1"/>
      <w:marLeft w:val="0"/>
      <w:marRight w:val="0"/>
      <w:marTop w:val="0"/>
      <w:marBottom w:val="0"/>
      <w:divBdr>
        <w:top w:val="none" w:sz="0" w:space="0" w:color="auto"/>
        <w:left w:val="none" w:sz="0" w:space="0" w:color="auto"/>
        <w:bottom w:val="none" w:sz="0" w:space="0" w:color="auto"/>
        <w:right w:val="none" w:sz="0" w:space="0" w:color="auto"/>
      </w:divBdr>
    </w:div>
    <w:div w:id="153033278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68108159">
      <w:bodyDiv w:val="1"/>
      <w:marLeft w:val="0"/>
      <w:marRight w:val="0"/>
      <w:marTop w:val="0"/>
      <w:marBottom w:val="0"/>
      <w:divBdr>
        <w:top w:val="none" w:sz="0" w:space="0" w:color="auto"/>
        <w:left w:val="none" w:sz="0" w:space="0" w:color="auto"/>
        <w:bottom w:val="none" w:sz="0" w:space="0" w:color="auto"/>
        <w:right w:val="none" w:sz="0" w:space="0" w:color="auto"/>
      </w:divBdr>
    </w:div>
    <w:div w:id="1593313646">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 w:id="1625690487">
      <w:bodyDiv w:val="1"/>
      <w:marLeft w:val="0"/>
      <w:marRight w:val="0"/>
      <w:marTop w:val="0"/>
      <w:marBottom w:val="0"/>
      <w:divBdr>
        <w:top w:val="none" w:sz="0" w:space="0" w:color="auto"/>
        <w:left w:val="none" w:sz="0" w:space="0" w:color="auto"/>
        <w:bottom w:val="none" w:sz="0" w:space="0" w:color="auto"/>
        <w:right w:val="none" w:sz="0" w:space="0" w:color="auto"/>
      </w:divBdr>
    </w:div>
    <w:div w:id="1652515071">
      <w:bodyDiv w:val="1"/>
      <w:marLeft w:val="0"/>
      <w:marRight w:val="0"/>
      <w:marTop w:val="0"/>
      <w:marBottom w:val="0"/>
      <w:divBdr>
        <w:top w:val="none" w:sz="0" w:space="0" w:color="auto"/>
        <w:left w:val="none" w:sz="0" w:space="0" w:color="auto"/>
        <w:bottom w:val="none" w:sz="0" w:space="0" w:color="auto"/>
        <w:right w:val="none" w:sz="0" w:space="0" w:color="auto"/>
      </w:divBdr>
    </w:div>
    <w:div w:id="1672639719">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314721304">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2128498270">
          <w:marLeft w:val="547"/>
          <w:marRight w:val="0"/>
          <w:marTop w:val="200"/>
          <w:marBottom w:val="0"/>
          <w:divBdr>
            <w:top w:val="none" w:sz="0" w:space="0" w:color="auto"/>
            <w:left w:val="none" w:sz="0" w:space="0" w:color="auto"/>
            <w:bottom w:val="none" w:sz="0" w:space="0" w:color="auto"/>
            <w:right w:val="none" w:sz="0" w:space="0" w:color="auto"/>
          </w:divBdr>
        </w:div>
      </w:divsChild>
    </w:div>
    <w:div w:id="1737510226">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79589351">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19316874">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1925264404">
      <w:bodyDiv w:val="1"/>
      <w:marLeft w:val="0"/>
      <w:marRight w:val="0"/>
      <w:marTop w:val="0"/>
      <w:marBottom w:val="0"/>
      <w:divBdr>
        <w:top w:val="none" w:sz="0" w:space="0" w:color="auto"/>
        <w:left w:val="none" w:sz="0" w:space="0" w:color="auto"/>
        <w:bottom w:val="none" w:sz="0" w:space="0" w:color="auto"/>
        <w:right w:val="none" w:sz="0" w:space="0" w:color="auto"/>
      </w:divBdr>
    </w:div>
    <w:div w:id="1938127327">
      <w:bodyDiv w:val="1"/>
      <w:marLeft w:val="0"/>
      <w:marRight w:val="0"/>
      <w:marTop w:val="0"/>
      <w:marBottom w:val="0"/>
      <w:divBdr>
        <w:top w:val="none" w:sz="0" w:space="0" w:color="auto"/>
        <w:left w:val="none" w:sz="0" w:space="0" w:color="auto"/>
        <w:bottom w:val="none" w:sz="0" w:space="0" w:color="auto"/>
        <w:right w:val="none" w:sz="0" w:space="0" w:color="auto"/>
      </w:divBdr>
    </w:div>
    <w:div w:id="1964920720">
      <w:bodyDiv w:val="1"/>
      <w:marLeft w:val="0"/>
      <w:marRight w:val="0"/>
      <w:marTop w:val="0"/>
      <w:marBottom w:val="0"/>
      <w:divBdr>
        <w:top w:val="none" w:sz="0" w:space="0" w:color="auto"/>
        <w:left w:val="none" w:sz="0" w:space="0" w:color="auto"/>
        <w:bottom w:val="none" w:sz="0" w:space="0" w:color="auto"/>
        <w:right w:val="none" w:sz="0" w:space="0" w:color="auto"/>
      </w:divBdr>
    </w:div>
    <w:div w:id="1988048669">
      <w:bodyDiv w:val="1"/>
      <w:marLeft w:val="0"/>
      <w:marRight w:val="0"/>
      <w:marTop w:val="0"/>
      <w:marBottom w:val="0"/>
      <w:divBdr>
        <w:top w:val="none" w:sz="0" w:space="0" w:color="auto"/>
        <w:left w:val="none" w:sz="0" w:space="0" w:color="auto"/>
        <w:bottom w:val="none" w:sz="0" w:space="0" w:color="auto"/>
        <w:right w:val="none" w:sz="0" w:space="0" w:color="auto"/>
      </w:divBdr>
    </w:div>
    <w:div w:id="2006467231">
      <w:bodyDiv w:val="1"/>
      <w:marLeft w:val="0"/>
      <w:marRight w:val="0"/>
      <w:marTop w:val="0"/>
      <w:marBottom w:val="0"/>
      <w:divBdr>
        <w:top w:val="none" w:sz="0" w:space="0" w:color="auto"/>
        <w:left w:val="none" w:sz="0" w:space="0" w:color="auto"/>
        <w:bottom w:val="none" w:sz="0" w:space="0" w:color="auto"/>
        <w:right w:val="none" w:sz="0" w:space="0" w:color="auto"/>
      </w:divBdr>
    </w:div>
    <w:div w:id="2016418330">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21292041">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X\AppData\Local\Microsoft\Windows\INetCache\Content.Outlook\CCUAA50K\www.cbaonline.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41FFD1AC5864C9AE2223036D552B1" ma:contentTypeVersion="11" ma:contentTypeDescription="Create a new document." ma:contentTypeScope="" ma:versionID="bb4871e8ec63205b39a96939af13b6e6">
  <xsd:schema xmlns:xsd="http://www.w3.org/2001/XMLSchema" xmlns:xs="http://www.w3.org/2001/XMLSchema" xmlns:p="http://schemas.microsoft.com/office/2006/metadata/properties" xmlns:ns2="a564d0cd-d6a9-472d-bcb7-604aa8cc4704" xmlns:ns3="9d24cfe3-6204-46e0-8944-f121c2eec419" targetNamespace="http://schemas.microsoft.com/office/2006/metadata/properties" ma:root="true" ma:fieldsID="df292c7fb4234792b057258c0d02597e" ns2:_="" ns3:_="">
    <xsd:import namespace="a564d0cd-d6a9-472d-bcb7-604aa8cc4704"/>
    <xsd:import namespace="9d24cfe3-6204-46e0-8944-f121c2eec4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4d0cd-d6a9-472d-bcb7-604aa8cc4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4cfe3-6204-46e0-8944-f121c2eec4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24cfe3-6204-46e0-8944-f121c2eec419">
      <UserInfo>
        <DisplayName>Bouc František</DisplayName>
        <AccountId>58</AccountId>
        <AccountType/>
      </UserInfo>
      <UserInfo>
        <DisplayName>Jeřábek Jakub</DisplayName>
        <AccountId>54</AccountId>
        <AccountType/>
      </UserInfo>
      <UserInfo>
        <DisplayName>Čech Pavel</DisplayName>
        <AccountId>59</AccountId>
        <AccountType/>
      </UserInfo>
      <UserInfo>
        <DisplayName>Púll Matúš</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B610-BFEC-417C-9B74-C1507005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4d0cd-d6a9-472d-bcb7-604aa8cc4704"/>
    <ds:schemaRef ds:uri="9d24cfe3-6204-46e0-8944-f121c2eec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F8034-2D11-4BC8-9254-170BE890F796}">
  <ds:schemaRefs>
    <ds:schemaRef ds:uri="http://schemas.microsoft.com/sharepoint/v3/contenttype/forms"/>
  </ds:schemaRefs>
</ds:datastoreItem>
</file>

<file path=customXml/itemProps3.xml><?xml version="1.0" encoding="utf-8"?>
<ds:datastoreItem xmlns:ds="http://schemas.openxmlformats.org/officeDocument/2006/customXml" ds:itemID="{C914F0DC-41AF-4875-A73A-F53429E4FE8D}">
  <ds:schemaRefs>
    <ds:schemaRef ds:uri="http://schemas.microsoft.com/office/2006/metadata/properties"/>
    <ds:schemaRef ds:uri="http://schemas.microsoft.com/office/infopath/2007/PartnerControls"/>
    <ds:schemaRef ds:uri="9d24cfe3-6204-46e0-8944-f121c2eec419"/>
  </ds:schemaRefs>
</ds:datastoreItem>
</file>

<file path=customXml/itemProps4.xml><?xml version="1.0" encoding="utf-8"?>
<ds:datastoreItem xmlns:ds="http://schemas.openxmlformats.org/officeDocument/2006/customXml" ds:itemID="{B2A9F6F5-D843-4129-900A-FD170C2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4402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Marketa Dvorackova</cp:lastModifiedBy>
  <cp:revision>5</cp:revision>
  <cp:lastPrinted>2020-09-16T06:48:00Z</cp:lastPrinted>
  <dcterms:created xsi:type="dcterms:W3CDTF">2022-01-31T15:02:00Z</dcterms:created>
  <dcterms:modified xsi:type="dcterms:W3CDTF">2022-02-01T06:51:00Z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0x010100D5A41FFD1AC5864C9AE2223036D552B1</vt:lpwstr>
  </property>
  <property fmtid="{D5CDD505-2E9C-101B-9397-08002B2CF9AE}" pid="3" name="Order">
    <vt:r8>844400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