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2549" w14:textId="5ED2E1F6" w:rsidR="0001227F" w:rsidRPr="0001227F" w:rsidRDefault="0001227F" w:rsidP="0001227F">
      <w:pPr>
        <w:rPr>
          <w:rFonts w:ascii="Calibri" w:hAnsi="Calibri" w:cs="Calibri"/>
          <w:b/>
          <w:color w:val="13576B"/>
          <w:sz w:val="32"/>
          <w:szCs w:val="32"/>
        </w:rPr>
      </w:pP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ČBA </w:t>
      </w:r>
      <w:proofErr w:type="spellStart"/>
      <w:r w:rsidRPr="0001227F">
        <w:rPr>
          <w:rFonts w:ascii="Calibri" w:hAnsi="Calibri" w:cs="Calibri"/>
          <w:b/>
          <w:color w:val="13576B"/>
          <w:sz w:val="32"/>
          <w:szCs w:val="32"/>
        </w:rPr>
        <w:t>Hypomonitor</w:t>
      </w:r>
      <w:proofErr w:type="spellEnd"/>
      <w:r w:rsidR="005E4132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0264B4">
        <w:rPr>
          <w:rFonts w:ascii="Calibri" w:hAnsi="Calibri" w:cs="Calibri"/>
          <w:b/>
          <w:color w:val="13576B"/>
          <w:sz w:val="32"/>
          <w:szCs w:val="32"/>
        </w:rPr>
        <w:t xml:space="preserve">prosinec </w:t>
      </w: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2021: </w:t>
      </w:r>
      <w:r w:rsidR="000264B4">
        <w:rPr>
          <w:rFonts w:ascii="Calibri" w:hAnsi="Calibri" w:cs="Calibri"/>
          <w:b/>
          <w:color w:val="13576B"/>
          <w:sz w:val="32"/>
          <w:szCs w:val="32"/>
        </w:rPr>
        <w:t>Hypoteční sazby pokračují v</w:t>
      </w:r>
      <w:r w:rsidR="004A5D84">
        <w:rPr>
          <w:rFonts w:ascii="Calibri" w:hAnsi="Calibri" w:cs="Calibri"/>
          <w:b/>
          <w:color w:val="13576B"/>
          <w:sz w:val="32"/>
          <w:szCs w:val="32"/>
        </w:rPr>
        <w:t> </w:t>
      </w:r>
      <w:r w:rsidR="000264B4">
        <w:rPr>
          <w:rFonts w:ascii="Calibri" w:hAnsi="Calibri" w:cs="Calibri"/>
          <w:b/>
          <w:color w:val="13576B"/>
          <w:sz w:val="32"/>
          <w:szCs w:val="32"/>
        </w:rPr>
        <w:t>růstu</w:t>
      </w:r>
      <w:r w:rsidR="004A5D84">
        <w:rPr>
          <w:rFonts w:ascii="Calibri" w:hAnsi="Calibri" w:cs="Calibri"/>
          <w:b/>
          <w:color w:val="13576B"/>
          <w:sz w:val="32"/>
          <w:szCs w:val="32"/>
        </w:rPr>
        <w:t>, objem</w:t>
      </w:r>
      <w:r w:rsidR="00676079">
        <w:rPr>
          <w:rFonts w:ascii="Calibri" w:hAnsi="Calibri" w:cs="Calibri"/>
          <w:b/>
          <w:color w:val="13576B"/>
          <w:sz w:val="32"/>
          <w:szCs w:val="32"/>
        </w:rPr>
        <w:t xml:space="preserve"> poskytnutých hypoték</w:t>
      </w:r>
      <w:r w:rsidR="004A5D84">
        <w:rPr>
          <w:rFonts w:ascii="Calibri" w:hAnsi="Calibri" w:cs="Calibri"/>
          <w:b/>
          <w:color w:val="13576B"/>
          <w:sz w:val="32"/>
          <w:szCs w:val="32"/>
        </w:rPr>
        <w:t xml:space="preserve"> v prosinci mírně poklesl,</w:t>
      </w:r>
      <w:r w:rsidR="00676079">
        <w:rPr>
          <w:rFonts w:ascii="Calibri" w:hAnsi="Calibri" w:cs="Calibri"/>
          <w:b/>
          <w:color w:val="13576B"/>
          <w:sz w:val="32"/>
          <w:szCs w:val="32"/>
        </w:rPr>
        <w:t xml:space="preserve"> z</w:t>
      </w:r>
      <w:r w:rsidR="00BC0EE4">
        <w:rPr>
          <w:rFonts w:ascii="Calibri" w:hAnsi="Calibri" w:cs="Calibri"/>
          <w:b/>
          <w:color w:val="13576B"/>
          <w:sz w:val="32"/>
          <w:szCs w:val="32"/>
        </w:rPr>
        <w:t>ů</w:t>
      </w:r>
      <w:r w:rsidR="00676079">
        <w:rPr>
          <w:rFonts w:ascii="Calibri" w:hAnsi="Calibri" w:cs="Calibri"/>
          <w:b/>
          <w:color w:val="13576B"/>
          <w:sz w:val="32"/>
          <w:szCs w:val="32"/>
        </w:rPr>
        <w:t>stal</w:t>
      </w:r>
      <w:r w:rsidR="00BC0EE4">
        <w:rPr>
          <w:rFonts w:ascii="Calibri" w:hAnsi="Calibri" w:cs="Calibri"/>
          <w:b/>
          <w:color w:val="13576B"/>
          <w:sz w:val="32"/>
          <w:szCs w:val="32"/>
        </w:rPr>
        <w:t xml:space="preserve"> však nadprůměrn</w:t>
      </w:r>
      <w:r w:rsidR="0026106F">
        <w:rPr>
          <w:rFonts w:ascii="Calibri" w:hAnsi="Calibri" w:cs="Calibri"/>
          <w:b/>
          <w:color w:val="13576B"/>
          <w:sz w:val="32"/>
          <w:szCs w:val="32"/>
        </w:rPr>
        <w:t>ý</w:t>
      </w:r>
      <w:r w:rsidR="00BC0EE4">
        <w:rPr>
          <w:rFonts w:ascii="Calibri" w:hAnsi="Calibri" w:cs="Calibri"/>
          <w:b/>
          <w:color w:val="13576B"/>
          <w:sz w:val="32"/>
          <w:szCs w:val="32"/>
        </w:rPr>
        <w:t>.</w:t>
      </w:r>
      <w:r w:rsidR="00676079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BC0EE4">
        <w:rPr>
          <w:rFonts w:ascii="Calibri" w:hAnsi="Calibri" w:cs="Calibri"/>
          <w:b/>
          <w:color w:val="13576B"/>
          <w:sz w:val="32"/>
          <w:szCs w:val="32"/>
        </w:rPr>
        <w:t xml:space="preserve">Za celý </w:t>
      </w:r>
      <w:r w:rsidR="007B31A6">
        <w:rPr>
          <w:rFonts w:ascii="Calibri" w:hAnsi="Calibri" w:cs="Calibri"/>
          <w:b/>
          <w:color w:val="13576B"/>
          <w:sz w:val="32"/>
          <w:szCs w:val="32"/>
        </w:rPr>
        <w:t>loňský rok bylo poskytnuto</w:t>
      </w:r>
      <w:r w:rsidR="006E4444">
        <w:rPr>
          <w:rFonts w:ascii="Calibri" w:hAnsi="Calibri" w:cs="Calibri"/>
          <w:b/>
          <w:color w:val="13576B"/>
          <w:sz w:val="32"/>
          <w:szCs w:val="32"/>
        </w:rPr>
        <w:t xml:space="preserve"> téměř 178 tisíc hypoték, </w:t>
      </w:r>
      <w:r w:rsidR="002F4CDA">
        <w:rPr>
          <w:rFonts w:ascii="Calibri" w:hAnsi="Calibri" w:cs="Calibri"/>
          <w:b/>
          <w:color w:val="13576B"/>
          <w:sz w:val="32"/>
          <w:szCs w:val="32"/>
        </w:rPr>
        <w:t>o polovinu více než v roce 2020.</w:t>
      </w:r>
    </w:p>
    <w:p w14:paraId="5E7258BB" w14:textId="77777777" w:rsidR="0001227F" w:rsidRPr="0001227F" w:rsidRDefault="0001227F" w:rsidP="0001227F">
      <w:pPr>
        <w:rPr>
          <w:rFonts w:ascii="Calibri" w:hAnsi="Calibri" w:cs="Calibri"/>
          <w:b/>
          <w:bCs/>
        </w:rPr>
      </w:pPr>
    </w:p>
    <w:p w14:paraId="63C2D765" w14:textId="0AB996BC" w:rsidR="0001227F" w:rsidRPr="0001227F" w:rsidRDefault="000C12F1" w:rsidP="0001227F">
      <w:pPr>
        <w:rPr>
          <w:rFonts w:ascii="Calibri" w:hAnsi="Calibri" w:cs="Calibri"/>
          <w:b/>
          <w:color w:val="13576B"/>
          <w:sz w:val="22"/>
          <w:szCs w:val="22"/>
        </w:rPr>
      </w:pPr>
      <w:r w:rsidRPr="000C12F1">
        <w:rPr>
          <w:rFonts w:ascii="Calibri" w:hAnsi="Calibri" w:cs="Calibri"/>
          <w:b/>
          <w:color w:val="13576B"/>
          <w:sz w:val="22"/>
          <w:szCs w:val="22"/>
        </w:rPr>
        <w:t>Praha, 1</w:t>
      </w:r>
      <w:r w:rsidR="00FC2710">
        <w:rPr>
          <w:rFonts w:ascii="Calibri" w:hAnsi="Calibri" w:cs="Calibri"/>
          <w:b/>
          <w:color w:val="13576B"/>
          <w:sz w:val="22"/>
          <w:szCs w:val="22"/>
        </w:rPr>
        <w:t>3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2F4CDA">
        <w:rPr>
          <w:rFonts w:ascii="Calibri" w:hAnsi="Calibri" w:cs="Calibri"/>
          <w:b/>
          <w:color w:val="13576B"/>
          <w:sz w:val="22"/>
          <w:szCs w:val="22"/>
        </w:rPr>
        <w:t xml:space="preserve">ledna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202</w:t>
      </w:r>
      <w:r w:rsidR="002F4CDA">
        <w:rPr>
          <w:rFonts w:ascii="Calibri" w:hAnsi="Calibri" w:cs="Calibri"/>
          <w:b/>
          <w:color w:val="13576B"/>
          <w:sz w:val="22"/>
          <w:szCs w:val="22"/>
        </w:rPr>
        <w:t>2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– Banky 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 xml:space="preserve">a stavební spořitelny </w:t>
      </w:r>
      <w:r w:rsidR="00F812E4">
        <w:rPr>
          <w:rFonts w:ascii="Calibri" w:hAnsi="Calibri" w:cs="Calibri"/>
          <w:b/>
          <w:color w:val="13576B"/>
          <w:sz w:val="22"/>
          <w:szCs w:val="22"/>
        </w:rPr>
        <w:t xml:space="preserve">poskytly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v</w:t>
      </w:r>
      <w:r w:rsidR="00F812E4">
        <w:rPr>
          <w:rFonts w:ascii="Calibri" w:hAnsi="Calibri" w:cs="Calibri"/>
          <w:b/>
          <w:color w:val="13576B"/>
          <w:sz w:val="22"/>
          <w:szCs w:val="22"/>
        </w:rPr>
        <w:t xml:space="preserve"> prosinci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hypoteční úvěry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v celkovém objemu přes 4</w:t>
      </w:r>
      <w:r w:rsidR="00716F27">
        <w:rPr>
          <w:rFonts w:ascii="Calibri" w:hAnsi="Calibri" w:cs="Calibri"/>
          <w:b/>
          <w:color w:val="13576B"/>
          <w:sz w:val="22"/>
          <w:szCs w:val="22"/>
        </w:rPr>
        <w:t>4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mld. Kč, což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je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>o</w:t>
      </w:r>
      <w:r w:rsidR="001B7154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716F27">
        <w:rPr>
          <w:rFonts w:ascii="Calibri" w:hAnsi="Calibri" w:cs="Calibri"/>
          <w:b/>
          <w:color w:val="13576B"/>
          <w:sz w:val="22"/>
          <w:szCs w:val="22"/>
        </w:rPr>
        <w:t>2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 xml:space="preserve"> mld. Kč </w:t>
      </w:r>
      <w:r w:rsidR="00716F27">
        <w:rPr>
          <w:rFonts w:ascii="Calibri" w:hAnsi="Calibri" w:cs="Calibri"/>
          <w:b/>
          <w:color w:val="13576B"/>
          <w:sz w:val="22"/>
          <w:szCs w:val="22"/>
        </w:rPr>
        <w:t>méně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 xml:space="preserve"> než v </w:t>
      </w:r>
      <w:r w:rsidR="00716F27">
        <w:rPr>
          <w:rFonts w:ascii="Calibri" w:hAnsi="Calibri" w:cs="Calibri"/>
          <w:b/>
          <w:color w:val="13576B"/>
          <w:sz w:val="22"/>
          <w:szCs w:val="22"/>
        </w:rPr>
        <w:t>listopadu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Z</w:t>
      </w:r>
      <w:r w:rsidR="00701FC8">
        <w:rPr>
          <w:rFonts w:ascii="Calibri" w:hAnsi="Calibri" w:cs="Calibri"/>
          <w:b/>
          <w:color w:val="13576B"/>
          <w:sz w:val="22"/>
          <w:szCs w:val="22"/>
        </w:rPr>
        <w:t> 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tohoto objemu tvoří </w:t>
      </w:r>
      <w:r w:rsidR="00E05C1A">
        <w:rPr>
          <w:rFonts w:ascii="Calibri" w:hAnsi="Calibri" w:cs="Calibri"/>
          <w:b/>
          <w:color w:val="13576B"/>
          <w:sz w:val="22"/>
          <w:szCs w:val="22"/>
        </w:rPr>
        <w:t>přes</w:t>
      </w:r>
      <w:r w:rsidR="00F62F06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E05C1A">
        <w:rPr>
          <w:rFonts w:ascii="Calibri" w:hAnsi="Calibri" w:cs="Calibri"/>
          <w:b/>
          <w:color w:val="13576B"/>
          <w:sz w:val="22"/>
          <w:szCs w:val="22"/>
        </w:rPr>
        <w:t>34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mld. Kč hypotéky nové a </w:t>
      </w:r>
      <w:r w:rsidR="009E4CE0">
        <w:rPr>
          <w:rFonts w:ascii="Calibri" w:hAnsi="Calibri" w:cs="Calibri"/>
          <w:b/>
          <w:color w:val="13576B"/>
          <w:sz w:val="22"/>
          <w:szCs w:val="22"/>
        </w:rPr>
        <w:t>10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mld. Kč pak hypotéky refinancované. </w:t>
      </w:r>
      <w:r w:rsidR="00E60175">
        <w:rPr>
          <w:rFonts w:ascii="Calibri" w:hAnsi="Calibri" w:cs="Calibri"/>
          <w:b/>
          <w:color w:val="13576B"/>
          <w:sz w:val="22"/>
          <w:szCs w:val="22"/>
        </w:rPr>
        <w:t>I přes nepatrný</w:t>
      </w:r>
      <w:r w:rsidR="006F01FC">
        <w:rPr>
          <w:rFonts w:ascii="Calibri" w:hAnsi="Calibri" w:cs="Calibri"/>
          <w:b/>
          <w:color w:val="13576B"/>
          <w:sz w:val="22"/>
          <w:szCs w:val="22"/>
        </w:rPr>
        <w:t xml:space="preserve"> meziměsíční</w:t>
      </w:r>
      <w:r w:rsidR="00E60175">
        <w:rPr>
          <w:rFonts w:ascii="Calibri" w:hAnsi="Calibri" w:cs="Calibri"/>
          <w:b/>
          <w:color w:val="13576B"/>
          <w:sz w:val="22"/>
          <w:szCs w:val="22"/>
        </w:rPr>
        <w:t xml:space="preserve"> pokles tak zůstal objem poskytnutých hy</w:t>
      </w:r>
      <w:r w:rsidR="00881D54">
        <w:rPr>
          <w:rFonts w:ascii="Calibri" w:hAnsi="Calibri" w:cs="Calibri"/>
          <w:b/>
          <w:color w:val="13576B"/>
          <w:sz w:val="22"/>
          <w:szCs w:val="22"/>
        </w:rPr>
        <w:t>p</w:t>
      </w:r>
      <w:r w:rsidR="00E60175">
        <w:rPr>
          <w:rFonts w:ascii="Calibri" w:hAnsi="Calibri" w:cs="Calibri"/>
          <w:b/>
          <w:color w:val="13576B"/>
          <w:sz w:val="22"/>
          <w:szCs w:val="22"/>
        </w:rPr>
        <w:t xml:space="preserve">oték v závěru roku nadprůměrný.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Úroková sazba u nově poskytnutých hypoték v </w:t>
      </w:r>
      <w:r w:rsidR="00247A4D">
        <w:rPr>
          <w:rFonts w:ascii="Calibri" w:hAnsi="Calibri" w:cs="Calibri"/>
          <w:b/>
          <w:color w:val="13576B"/>
          <w:sz w:val="22"/>
          <w:szCs w:val="22"/>
        </w:rPr>
        <w:t>prosin</w:t>
      </w:r>
      <w:r w:rsidR="00E60175">
        <w:rPr>
          <w:rFonts w:ascii="Calibri" w:hAnsi="Calibri" w:cs="Calibri"/>
          <w:b/>
          <w:color w:val="13576B"/>
          <w:sz w:val="22"/>
          <w:szCs w:val="22"/>
        </w:rPr>
        <w:t>c</w:t>
      </w:r>
      <w:r w:rsidR="00247A4D">
        <w:rPr>
          <w:rFonts w:ascii="Calibri" w:hAnsi="Calibri" w:cs="Calibri"/>
          <w:b/>
          <w:color w:val="13576B"/>
          <w:sz w:val="22"/>
          <w:szCs w:val="22"/>
        </w:rPr>
        <w:t>i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vzrostla na </w:t>
      </w:r>
      <w:r w:rsidR="00247A4D">
        <w:rPr>
          <w:rFonts w:ascii="Calibri" w:hAnsi="Calibri" w:cs="Calibri"/>
          <w:b/>
          <w:color w:val="13576B"/>
          <w:sz w:val="22"/>
          <w:szCs w:val="22"/>
        </w:rPr>
        <w:t>3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% z</w:t>
      </w:r>
      <w:r w:rsidR="00E60175">
        <w:rPr>
          <w:rFonts w:ascii="Calibri" w:hAnsi="Calibri" w:cs="Calibri"/>
          <w:b/>
          <w:color w:val="13576B"/>
          <w:sz w:val="22"/>
          <w:szCs w:val="22"/>
        </w:rPr>
        <w:t xml:space="preserve"> listopadových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2,</w:t>
      </w:r>
      <w:r w:rsidR="00247A4D">
        <w:rPr>
          <w:rFonts w:ascii="Calibri" w:hAnsi="Calibri" w:cs="Calibri"/>
          <w:b/>
          <w:color w:val="13576B"/>
          <w:sz w:val="22"/>
          <w:szCs w:val="22"/>
        </w:rPr>
        <w:t>7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% </w:t>
      </w:r>
      <w:r w:rsidR="00247A4D">
        <w:rPr>
          <w:rFonts w:ascii="Calibri" w:hAnsi="Calibri" w:cs="Calibri"/>
          <w:b/>
          <w:color w:val="13576B"/>
          <w:sz w:val="22"/>
          <w:szCs w:val="22"/>
        </w:rPr>
        <w:t xml:space="preserve">a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je zřejmé</w:t>
      </w:r>
      <w:r w:rsidR="00804358">
        <w:rPr>
          <w:rFonts w:ascii="Calibri" w:hAnsi="Calibri" w:cs="Calibri"/>
          <w:b/>
          <w:color w:val="13576B"/>
          <w:sz w:val="22"/>
          <w:szCs w:val="22"/>
        </w:rPr>
        <w:t>, že</w:t>
      </w:r>
      <w:r w:rsidR="00247A4D">
        <w:rPr>
          <w:rFonts w:ascii="Calibri" w:hAnsi="Calibri" w:cs="Calibri"/>
          <w:b/>
          <w:color w:val="13576B"/>
          <w:sz w:val="22"/>
          <w:szCs w:val="22"/>
        </w:rPr>
        <w:t xml:space="preserve"> tento trend bude pokračovat.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Dosavadní pomalejší </w:t>
      </w:r>
      <w:r w:rsidR="00530DE6">
        <w:rPr>
          <w:rFonts w:ascii="Calibri" w:hAnsi="Calibri" w:cs="Calibri"/>
          <w:b/>
          <w:color w:val="13576B"/>
          <w:sz w:val="22"/>
          <w:szCs w:val="22"/>
        </w:rPr>
        <w:t>ná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růst</w:t>
      </w:r>
      <w:r w:rsidR="00571C69">
        <w:rPr>
          <w:rFonts w:ascii="Calibri" w:hAnsi="Calibri" w:cs="Calibri"/>
          <w:b/>
          <w:color w:val="13576B"/>
          <w:sz w:val="22"/>
          <w:szCs w:val="22"/>
        </w:rPr>
        <w:t xml:space="preserve"> sazeb</w:t>
      </w:r>
      <w:r w:rsidR="00247A4D">
        <w:rPr>
          <w:rFonts w:ascii="Calibri" w:hAnsi="Calibri" w:cs="Calibri"/>
          <w:b/>
          <w:color w:val="13576B"/>
          <w:sz w:val="22"/>
          <w:szCs w:val="22"/>
        </w:rPr>
        <w:t xml:space="preserve"> oproti nabídkovým sazbám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je brzděn postupným uzavíráním smluv</w:t>
      </w:r>
      <w:r w:rsidR="00571C69">
        <w:rPr>
          <w:rFonts w:ascii="Calibri" w:hAnsi="Calibri" w:cs="Calibri"/>
          <w:b/>
          <w:color w:val="13576B"/>
          <w:sz w:val="22"/>
          <w:szCs w:val="22"/>
        </w:rPr>
        <w:t xml:space="preserve"> s klienty, kteří </w:t>
      </w:r>
      <w:r w:rsidR="005A576D">
        <w:rPr>
          <w:rFonts w:ascii="Calibri" w:hAnsi="Calibri" w:cs="Calibri"/>
          <w:b/>
          <w:color w:val="13576B"/>
          <w:sz w:val="22"/>
          <w:szCs w:val="22"/>
        </w:rPr>
        <w:t xml:space="preserve">začali hypotéční úvěr </w:t>
      </w:r>
      <w:r w:rsidR="00E535BD">
        <w:rPr>
          <w:rFonts w:ascii="Calibri" w:hAnsi="Calibri" w:cs="Calibri"/>
          <w:b/>
          <w:color w:val="13576B"/>
          <w:sz w:val="22"/>
          <w:szCs w:val="22"/>
        </w:rPr>
        <w:t>rozjednávat dříve</w:t>
      </w:r>
      <w:r w:rsidR="005A576D">
        <w:rPr>
          <w:rFonts w:ascii="Calibri" w:hAnsi="Calibri" w:cs="Calibri"/>
          <w:b/>
          <w:color w:val="13576B"/>
          <w:sz w:val="22"/>
          <w:szCs w:val="22"/>
        </w:rPr>
        <w:t xml:space="preserve"> ještě</w:t>
      </w:r>
      <w:r w:rsidR="00027BAD">
        <w:rPr>
          <w:rFonts w:ascii="Calibri" w:hAnsi="Calibri" w:cs="Calibri"/>
          <w:b/>
          <w:color w:val="13576B"/>
          <w:sz w:val="22"/>
          <w:szCs w:val="22"/>
        </w:rPr>
        <w:t xml:space="preserve"> s nižšími sazbami.</w:t>
      </w:r>
      <w:r w:rsidR="00804358">
        <w:rPr>
          <w:rFonts w:ascii="Calibri" w:hAnsi="Calibri" w:cs="Calibri"/>
          <w:b/>
          <w:color w:val="13576B"/>
          <w:sz w:val="22"/>
          <w:szCs w:val="22"/>
        </w:rPr>
        <w:t xml:space="preserve"> Za celý rok 2021 poskytly banky a stavební spořitelny </w:t>
      </w:r>
      <w:r w:rsidR="00027BAD">
        <w:rPr>
          <w:rFonts w:ascii="Calibri" w:hAnsi="Calibri" w:cs="Calibri"/>
          <w:b/>
          <w:color w:val="13576B"/>
          <w:sz w:val="22"/>
          <w:szCs w:val="22"/>
        </w:rPr>
        <w:t xml:space="preserve">domácnostem </w:t>
      </w:r>
      <w:r w:rsidR="00804358">
        <w:rPr>
          <w:rFonts w:ascii="Calibri" w:hAnsi="Calibri" w:cs="Calibri"/>
          <w:b/>
          <w:color w:val="13576B"/>
          <w:sz w:val="22"/>
          <w:szCs w:val="22"/>
        </w:rPr>
        <w:t>178 tisíc hypoték v objemu 541 mld. Kč</w:t>
      </w:r>
      <w:r w:rsidR="00381524">
        <w:rPr>
          <w:rFonts w:ascii="Calibri" w:hAnsi="Calibri" w:cs="Calibri"/>
          <w:b/>
          <w:color w:val="13576B"/>
          <w:sz w:val="22"/>
          <w:szCs w:val="22"/>
        </w:rPr>
        <w:t>.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757649">
        <w:rPr>
          <w:rFonts w:ascii="Calibri" w:hAnsi="Calibri" w:cs="Calibri"/>
          <w:b/>
          <w:color w:val="13576B"/>
          <w:sz w:val="22"/>
          <w:szCs w:val="22"/>
        </w:rPr>
        <w:t xml:space="preserve">Uvedené informace plynou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z dat ČBA </w:t>
      </w:r>
      <w:proofErr w:type="spellStart"/>
      <w:r w:rsidRPr="001C7200">
        <w:rPr>
          <w:rFonts w:ascii="Calibri" w:hAnsi="Calibri" w:cs="Calibri"/>
          <w:b/>
          <w:color w:val="13576B"/>
          <w:sz w:val="22"/>
          <w:szCs w:val="22"/>
        </w:rPr>
        <w:t>Hypomonitoru</w:t>
      </w:r>
      <w:proofErr w:type="spellEnd"/>
      <w:r w:rsidR="00052C6A">
        <w:rPr>
          <w:rFonts w:ascii="Calibri" w:hAnsi="Calibri" w:cs="Calibri"/>
          <w:b/>
          <w:color w:val="13576B"/>
          <w:sz w:val="22"/>
          <w:szCs w:val="22"/>
        </w:rPr>
        <w:t xml:space="preserve">, který </w:t>
      </w:r>
      <w:r w:rsidR="001C7200" w:rsidRPr="001C7200">
        <w:rPr>
          <w:rFonts w:ascii="Calibri" w:hAnsi="Calibri" w:cs="Calibri"/>
          <w:b/>
          <w:color w:val="13576B"/>
          <w:sz w:val="22"/>
          <w:szCs w:val="22"/>
        </w:rPr>
        <w:t xml:space="preserve">obsahuje data všech tuzemských </w:t>
      </w:r>
      <w:r w:rsidR="001C7200">
        <w:rPr>
          <w:rFonts w:ascii="Calibri" w:hAnsi="Calibri" w:cs="Calibri"/>
          <w:b/>
          <w:color w:val="13576B"/>
          <w:sz w:val="22"/>
          <w:szCs w:val="22"/>
        </w:rPr>
        <w:t>bank</w:t>
      </w:r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 a stavebních spořitelen</w:t>
      </w:r>
      <w:r w:rsidR="001C7200">
        <w:rPr>
          <w:rFonts w:ascii="Calibri" w:hAnsi="Calibri" w:cs="Calibri"/>
          <w:b/>
          <w:color w:val="13576B"/>
          <w:sz w:val="22"/>
          <w:szCs w:val="22"/>
        </w:rPr>
        <w:t xml:space="preserve"> poskytujících hypoteční úvěry</w:t>
      </w:r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 na domácím trhu.</w:t>
      </w:r>
      <w:r w:rsidR="00461E79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</w:p>
    <w:p w14:paraId="44CE3940" w14:textId="77777777" w:rsidR="0001227F" w:rsidRPr="0001227F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</w:p>
    <w:p w14:paraId="367713E2" w14:textId="3C5596A1" w:rsidR="0001227F" w:rsidRPr="00477CEB" w:rsidRDefault="002E6C7C" w:rsidP="0001227F">
      <w:pPr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>O</w:t>
      </w:r>
      <w:r w:rsidR="0001227F" w:rsidRPr="00477CEB">
        <w:rPr>
          <w:rFonts w:ascii="Calibri" w:hAnsi="Calibri" w:cs="Calibri"/>
          <w:b/>
          <w:color w:val="13576B"/>
          <w:sz w:val="23"/>
          <w:szCs w:val="23"/>
        </w:rPr>
        <w:t xml:space="preserve">bjemy </w:t>
      </w:r>
      <w:r>
        <w:rPr>
          <w:rFonts w:ascii="Calibri" w:hAnsi="Calibri" w:cs="Calibri"/>
          <w:b/>
          <w:color w:val="13576B"/>
          <w:sz w:val="23"/>
          <w:szCs w:val="23"/>
        </w:rPr>
        <w:t>poskytnutých</w:t>
      </w:r>
      <w:r w:rsidR="00703676">
        <w:rPr>
          <w:rFonts w:ascii="Calibri" w:hAnsi="Calibri" w:cs="Calibri"/>
          <w:b/>
          <w:color w:val="13576B"/>
          <w:sz w:val="23"/>
          <w:szCs w:val="23"/>
        </w:rPr>
        <w:t xml:space="preserve"> hypoték</w:t>
      </w:r>
      <w:r w:rsidR="00475D5E">
        <w:rPr>
          <w:rFonts w:ascii="Calibri" w:hAnsi="Calibri" w:cs="Calibri"/>
          <w:b/>
          <w:color w:val="13576B"/>
          <w:sz w:val="23"/>
          <w:szCs w:val="23"/>
        </w:rPr>
        <w:t xml:space="preserve"> v </w:t>
      </w:r>
      <w:r w:rsidR="002F4CDA">
        <w:rPr>
          <w:rFonts w:ascii="Calibri" w:hAnsi="Calibri" w:cs="Calibri"/>
          <w:b/>
          <w:color w:val="13576B"/>
          <w:sz w:val="23"/>
          <w:szCs w:val="23"/>
        </w:rPr>
        <w:t>prosinci</w:t>
      </w:r>
      <w:r w:rsidR="00475D5E">
        <w:rPr>
          <w:rFonts w:ascii="Calibri" w:hAnsi="Calibri" w:cs="Calibri"/>
          <w:b/>
          <w:color w:val="13576B"/>
          <w:sz w:val="23"/>
          <w:szCs w:val="23"/>
        </w:rPr>
        <w:t xml:space="preserve"> </w:t>
      </w:r>
      <w:r w:rsidR="000E59CE">
        <w:rPr>
          <w:rFonts w:ascii="Calibri" w:hAnsi="Calibri" w:cs="Calibri"/>
          <w:b/>
          <w:color w:val="13576B"/>
          <w:sz w:val="23"/>
          <w:szCs w:val="23"/>
        </w:rPr>
        <w:t xml:space="preserve">mírně </w:t>
      </w:r>
      <w:r w:rsidR="000C5651">
        <w:rPr>
          <w:rFonts w:ascii="Calibri" w:hAnsi="Calibri" w:cs="Calibri"/>
          <w:b/>
          <w:color w:val="13576B"/>
          <w:sz w:val="23"/>
          <w:szCs w:val="23"/>
        </w:rPr>
        <w:t>poklesly</w:t>
      </w:r>
    </w:p>
    <w:p w14:paraId="77A68D0B" w14:textId="1F1513A7" w:rsidR="00D07DD7" w:rsidRDefault="00AD3A59" w:rsidP="000122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Banky a stavební spořitelny</w:t>
      </w:r>
      <w:r w:rsidR="0001227F" w:rsidRPr="0001227F">
        <w:rPr>
          <w:rFonts w:ascii="Calibri" w:hAnsi="Calibri" w:cs="Calibri"/>
          <w:sz w:val="22"/>
          <w:szCs w:val="22"/>
        </w:rPr>
        <w:t xml:space="preserve"> dle</w:t>
      </w:r>
      <w:r>
        <w:rPr>
          <w:rFonts w:ascii="Calibri" w:hAnsi="Calibri" w:cs="Calibri"/>
          <w:sz w:val="22"/>
          <w:szCs w:val="22"/>
        </w:rPr>
        <w:t xml:space="preserve"> prosincového </w:t>
      </w:r>
      <w:r w:rsidR="0001227F" w:rsidRPr="0001227F">
        <w:rPr>
          <w:rFonts w:ascii="Calibri" w:hAnsi="Calibri" w:cs="Calibri"/>
          <w:sz w:val="22"/>
          <w:szCs w:val="22"/>
        </w:rPr>
        <w:t xml:space="preserve">ČBA </w:t>
      </w:r>
      <w:proofErr w:type="spellStart"/>
      <w:r w:rsidR="0001227F" w:rsidRPr="0001227F">
        <w:rPr>
          <w:rFonts w:ascii="Calibri" w:hAnsi="Calibri" w:cs="Calibri"/>
          <w:sz w:val="22"/>
          <w:szCs w:val="22"/>
        </w:rPr>
        <w:t>Hypomonitoru</w:t>
      </w:r>
      <w:proofErr w:type="spellEnd"/>
      <w:r w:rsidR="0001227F" w:rsidRPr="000122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poskytly domácnostem hypotéky </w:t>
      </w:r>
      <w:r w:rsidR="0001227F" w:rsidRPr="0001227F">
        <w:rPr>
          <w:rFonts w:ascii="Calibri" w:hAnsi="Calibri" w:cs="Calibri"/>
          <w:sz w:val="22"/>
          <w:szCs w:val="22"/>
        </w:rPr>
        <w:t>v</w:t>
      </w:r>
      <w:r w:rsidR="005C7FCE">
        <w:rPr>
          <w:rFonts w:ascii="Calibri" w:hAnsi="Calibri" w:cs="Calibri"/>
          <w:sz w:val="22"/>
          <w:szCs w:val="22"/>
        </w:rPr>
        <w:t xml:space="preserve"> celkovém </w:t>
      </w:r>
      <w:r w:rsidR="0001227F" w:rsidRPr="0001227F">
        <w:rPr>
          <w:rFonts w:ascii="Calibri" w:hAnsi="Calibri" w:cs="Calibri"/>
          <w:sz w:val="22"/>
          <w:szCs w:val="22"/>
        </w:rPr>
        <w:t>objemu</w:t>
      </w:r>
      <w:r w:rsidR="00BE0DD9">
        <w:rPr>
          <w:rFonts w:ascii="Calibri" w:hAnsi="Calibri" w:cs="Calibri"/>
          <w:sz w:val="22"/>
          <w:szCs w:val="22"/>
        </w:rPr>
        <w:t xml:space="preserve"> 4</w:t>
      </w:r>
      <w:r w:rsidR="0004612A">
        <w:rPr>
          <w:rFonts w:ascii="Calibri" w:hAnsi="Calibri" w:cs="Calibri"/>
          <w:sz w:val="22"/>
          <w:szCs w:val="22"/>
        </w:rPr>
        <w:t>4</w:t>
      </w:r>
      <w:r w:rsidR="001C266E">
        <w:rPr>
          <w:rFonts w:ascii="Calibri" w:hAnsi="Calibri" w:cs="Calibri"/>
          <w:sz w:val="22"/>
          <w:szCs w:val="22"/>
        </w:rPr>
        <w:t>,</w:t>
      </w:r>
      <w:r w:rsidR="003142AD">
        <w:rPr>
          <w:rFonts w:ascii="Calibri" w:hAnsi="Calibri" w:cs="Calibri"/>
          <w:sz w:val="22"/>
          <w:szCs w:val="22"/>
        </w:rPr>
        <w:t>3</w:t>
      </w:r>
      <w:r w:rsidR="00BE0DD9">
        <w:rPr>
          <w:rFonts w:ascii="Calibri" w:hAnsi="Calibri" w:cs="Calibri"/>
          <w:sz w:val="22"/>
          <w:szCs w:val="22"/>
        </w:rPr>
        <w:t xml:space="preserve"> mld. Kč. Ve srovnání s </w:t>
      </w:r>
      <w:r w:rsidR="0004612A">
        <w:rPr>
          <w:rFonts w:ascii="Calibri" w:hAnsi="Calibri" w:cs="Calibri"/>
          <w:sz w:val="22"/>
          <w:szCs w:val="22"/>
        </w:rPr>
        <w:t>listopadem</w:t>
      </w:r>
      <w:r w:rsidR="00BE0DD9">
        <w:rPr>
          <w:rFonts w:ascii="Calibri" w:hAnsi="Calibri" w:cs="Calibri"/>
          <w:sz w:val="22"/>
          <w:szCs w:val="22"/>
        </w:rPr>
        <w:t xml:space="preserve"> j</w:t>
      </w:r>
      <w:r w:rsidR="007330A4">
        <w:rPr>
          <w:rFonts w:ascii="Calibri" w:hAnsi="Calibri" w:cs="Calibri"/>
          <w:sz w:val="22"/>
          <w:szCs w:val="22"/>
        </w:rPr>
        <w:t>e hodnota o</w:t>
      </w:r>
      <w:r w:rsidR="00BE0DD9">
        <w:rPr>
          <w:rFonts w:ascii="Calibri" w:hAnsi="Calibri" w:cs="Calibri"/>
          <w:sz w:val="22"/>
          <w:szCs w:val="22"/>
        </w:rPr>
        <w:t xml:space="preserve"> </w:t>
      </w:r>
      <w:r w:rsidR="006D6EBB">
        <w:rPr>
          <w:rFonts w:ascii="Calibri" w:hAnsi="Calibri" w:cs="Calibri"/>
          <w:sz w:val="22"/>
          <w:szCs w:val="22"/>
        </w:rPr>
        <w:t>2</w:t>
      </w:r>
      <w:r w:rsidR="007330A4">
        <w:rPr>
          <w:rFonts w:ascii="Calibri" w:hAnsi="Calibri" w:cs="Calibri"/>
          <w:sz w:val="22"/>
          <w:szCs w:val="22"/>
        </w:rPr>
        <w:t xml:space="preserve"> mld. Kč</w:t>
      </w:r>
      <w:r w:rsidR="006D6EBB">
        <w:rPr>
          <w:rFonts w:ascii="Calibri" w:hAnsi="Calibri" w:cs="Calibri"/>
          <w:sz w:val="22"/>
          <w:szCs w:val="22"/>
        </w:rPr>
        <w:t xml:space="preserve"> nižší</w:t>
      </w:r>
      <w:r w:rsidR="007330A4">
        <w:rPr>
          <w:rFonts w:ascii="Calibri" w:hAnsi="Calibri" w:cs="Calibri"/>
          <w:sz w:val="22"/>
          <w:szCs w:val="22"/>
        </w:rPr>
        <w:t xml:space="preserve">. </w:t>
      </w:r>
      <w:r w:rsidR="001C266E" w:rsidRPr="001C266E">
        <w:rPr>
          <w:rFonts w:ascii="Calibri" w:hAnsi="Calibri" w:cs="Calibri"/>
          <w:b/>
          <w:bCs/>
          <w:sz w:val="22"/>
          <w:szCs w:val="22"/>
        </w:rPr>
        <w:t>N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>ov</w:t>
      </w:r>
      <w:r w:rsidR="006A4300" w:rsidRPr="006D7FC7">
        <w:rPr>
          <w:rFonts w:ascii="Calibri" w:hAnsi="Calibri" w:cs="Calibri"/>
          <w:b/>
          <w:bCs/>
          <w:sz w:val="22"/>
          <w:szCs w:val="22"/>
        </w:rPr>
        <w:t>é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 xml:space="preserve"> hypotéky</w:t>
      </w:r>
      <w:r w:rsidR="001C266E">
        <w:rPr>
          <w:rFonts w:ascii="Calibri" w:hAnsi="Calibri" w:cs="Calibri"/>
          <w:b/>
          <w:bCs/>
          <w:sz w:val="22"/>
          <w:szCs w:val="22"/>
        </w:rPr>
        <w:t xml:space="preserve"> pak činily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C383B" w:rsidRPr="006D7FC7">
        <w:rPr>
          <w:rFonts w:ascii="Calibri" w:hAnsi="Calibri" w:cs="Calibri"/>
          <w:b/>
          <w:bCs/>
          <w:sz w:val="22"/>
          <w:szCs w:val="22"/>
        </w:rPr>
        <w:t>3</w:t>
      </w:r>
      <w:r w:rsidR="00F15550">
        <w:rPr>
          <w:rFonts w:ascii="Calibri" w:hAnsi="Calibri" w:cs="Calibri"/>
          <w:b/>
          <w:bCs/>
          <w:sz w:val="22"/>
          <w:szCs w:val="22"/>
        </w:rPr>
        <w:t>4</w:t>
      </w:r>
      <w:r w:rsidR="008C383B" w:rsidRPr="006D7FC7">
        <w:rPr>
          <w:rFonts w:ascii="Calibri" w:hAnsi="Calibri" w:cs="Calibri"/>
          <w:b/>
          <w:bCs/>
          <w:sz w:val="22"/>
          <w:szCs w:val="22"/>
        </w:rPr>
        <w:t>,</w:t>
      </w:r>
      <w:r w:rsidR="00F15550">
        <w:rPr>
          <w:rFonts w:ascii="Calibri" w:hAnsi="Calibri" w:cs="Calibri"/>
          <w:b/>
          <w:bCs/>
          <w:sz w:val="22"/>
          <w:szCs w:val="22"/>
        </w:rPr>
        <w:t>2</w:t>
      </w:r>
      <w:r w:rsidR="008C383B" w:rsidRPr="006D7FC7">
        <w:rPr>
          <w:rFonts w:ascii="Calibri" w:hAnsi="Calibri" w:cs="Calibri"/>
          <w:b/>
          <w:bCs/>
          <w:sz w:val="22"/>
          <w:szCs w:val="22"/>
        </w:rPr>
        <w:t xml:space="preserve"> mld. Kč</w:t>
      </w:r>
      <w:r w:rsidR="008C383B">
        <w:rPr>
          <w:rFonts w:ascii="Calibri" w:hAnsi="Calibri" w:cs="Calibri"/>
          <w:sz w:val="22"/>
          <w:szCs w:val="22"/>
        </w:rPr>
        <w:t xml:space="preserve">, což je oproti </w:t>
      </w:r>
      <w:r w:rsidR="00F15550">
        <w:rPr>
          <w:rFonts w:ascii="Calibri" w:hAnsi="Calibri" w:cs="Calibri"/>
          <w:sz w:val="22"/>
          <w:szCs w:val="22"/>
        </w:rPr>
        <w:t xml:space="preserve">listopadu </w:t>
      </w:r>
      <w:r w:rsidR="00995379">
        <w:rPr>
          <w:rFonts w:ascii="Calibri" w:hAnsi="Calibri" w:cs="Calibri"/>
          <w:sz w:val="22"/>
          <w:szCs w:val="22"/>
        </w:rPr>
        <w:t xml:space="preserve">také </w:t>
      </w:r>
      <w:r w:rsidR="00110C31">
        <w:rPr>
          <w:rFonts w:ascii="Calibri" w:hAnsi="Calibri" w:cs="Calibri"/>
          <w:sz w:val="22"/>
          <w:szCs w:val="22"/>
        </w:rPr>
        <w:t>mírný pokles</w:t>
      </w:r>
      <w:r w:rsidR="00995379">
        <w:rPr>
          <w:rFonts w:ascii="Calibri" w:hAnsi="Calibri" w:cs="Calibri"/>
          <w:sz w:val="22"/>
          <w:szCs w:val="22"/>
        </w:rPr>
        <w:t>, a to</w:t>
      </w:r>
      <w:r w:rsidR="00110C31">
        <w:rPr>
          <w:rFonts w:ascii="Calibri" w:hAnsi="Calibri" w:cs="Calibri"/>
          <w:sz w:val="22"/>
          <w:szCs w:val="22"/>
        </w:rPr>
        <w:t xml:space="preserve"> o 1,6 </w:t>
      </w:r>
      <w:r w:rsidR="008C383B">
        <w:rPr>
          <w:rFonts w:ascii="Calibri" w:hAnsi="Calibri" w:cs="Calibri"/>
          <w:sz w:val="22"/>
          <w:szCs w:val="22"/>
        </w:rPr>
        <w:t>mld. Kč</w:t>
      </w:r>
      <w:r w:rsidR="00995379">
        <w:rPr>
          <w:rFonts w:ascii="Calibri" w:hAnsi="Calibri" w:cs="Calibri"/>
          <w:sz w:val="22"/>
          <w:szCs w:val="22"/>
        </w:rPr>
        <w:t>, zatímco o</w:t>
      </w:r>
      <w:r w:rsidR="008C383B">
        <w:rPr>
          <w:rFonts w:ascii="Calibri" w:hAnsi="Calibri" w:cs="Calibri"/>
          <w:sz w:val="22"/>
          <w:szCs w:val="22"/>
        </w:rPr>
        <w:t>bjem refinancovaných</w:t>
      </w:r>
      <w:r w:rsidR="006A4300">
        <w:rPr>
          <w:rFonts w:ascii="Calibri" w:hAnsi="Calibri" w:cs="Calibri"/>
          <w:sz w:val="22"/>
          <w:szCs w:val="22"/>
        </w:rPr>
        <w:t xml:space="preserve"> hypoteč</w:t>
      </w:r>
      <w:r w:rsidR="008900AF">
        <w:rPr>
          <w:rFonts w:ascii="Calibri" w:hAnsi="Calibri" w:cs="Calibri"/>
          <w:sz w:val="22"/>
          <w:szCs w:val="22"/>
        </w:rPr>
        <w:t>n</w:t>
      </w:r>
      <w:r w:rsidR="006A4300">
        <w:rPr>
          <w:rFonts w:ascii="Calibri" w:hAnsi="Calibri" w:cs="Calibri"/>
          <w:sz w:val="22"/>
          <w:szCs w:val="22"/>
        </w:rPr>
        <w:t>ích</w:t>
      </w:r>
      <w:r w:rsidR="008C383B">
        <w:rPr>
          <w:rFonts w:ascii="Calibri" w:hAnsi="Calibri" w:cs="Calibri"/>
          <w:sz w:val="22"/>
          <w:szCs w:val="22"/>
        </w:rPr>
        <w:t xml:space="preserve"> úvěrů</w:t>
      </w:r>
      <w:r w:rsidR="00531FAE">
        <w:rPr>
          <w:rFonts w:ascii="Calibri" w:hAnsi="Calibri" w:cs="Calibri"/>
          <w:sz w:val="22"/>
          <w:szCs w:val="22"/>
        </w:rPr>
        <w:t xml:space="preserve"> </w:t>
      </w:r>
      <w:r w:rsidR="00995379">
        <w:rPr>
          <w:rFonts w:ascii="Calibri" w:hAnsi="Calibri" w:cs="Calibri"/>
          <w:sz w:val="22"/>
          <w:szCs w:val="22"/>
        </w:rPr>
        <w:t xml:space="preserve">setrval mírně nad </w:t>
      </w:r>
      <w:r w:rsidR="008F2841">
        <w:rPr>
          <w:rFonts w:ascii="Calibri" w:hAnsi="Calibri" w:cs="Calibri"/>
          <w:sz w:val="22"/>
          <w:szCs w:val="22"/>
        </w:rPr>
        <w:t>10</w:t>
      </w:r>
      <w:r w:rsidR="00442170">
        <w:rPr>
          <w:rFonts w:ascii="Calibri" w:hAnsi="Calibri" w:cs="Calibri"/>
          <w:sz w:val="22"/>
          <w:szCs w:val="22"/>
        </w:rPr>
        <w:t xml:space="preserve"> mld. Kč</w:t>
      </w:r>
      <w:r w:rsidR="00995379">
        <w:rPr>
          <w:rFonts w:ascii="Calibri" w:hAnsi="Calibri" w:cs="Calibri"/>
          <w:sz w:val="22"/>
          <w:szCs w:val="22"/>
        </w:rPr>
        <w:t xml:space="preserve">. </w:t>
      </w:r>
      <w:r w:rsidR="002E2498">
        <w:rPr>
          <w:rFonts w:ascii="Calibri" w:hAnsi="Calibri" w:cs="Calibri"/>
          <w:sz w:val="22"/>
          <w:szCs w:val="22"/>
        </w:rPr>
        <w:t xml:space="preserve">Přes </w:t>
      </w:r>
      <w:r w:rsidR="00020ED0">
        <w:rPr>
          <w:rFonts w:ascii="Calibri" w:hAnsi="Calibri" w:cs="Calibri"/>
          <w:sz w:val="22"/>
          <w:szCs w:val="22"/>
        </w:rPr>
        <w:t>8</w:t>
      </w:r>
      <w:r w:rsidR="00EC4F93">
        <w:rPr>
          <w:rFonts w:ascii="Calibri" w:hAnsi="Calibri" w:cs="Calibri"/>
          <w:sz w:val="22"/>
          <w:szCs w:val="22"/>
        </w:rPr>
        <w:t xml:space="preserve"> mld. Kč </w:t>
      </w:r>
      <w:r w:rsidR="002E2498">
        <w:rPr>
          <w:rFonts w:ascii="Calibri" w:hAnsi="Calibri" w:cs="Calibri"/>
          <w:sz w:val="22"/>
          <w:szCs w:val="22"/>
        </w:rPr>
        <w:t xml:space="preserve">tvořily </w:t>
      </w:r>
      <w:r w:rsidR="00EC4F93">
        <w:rPr>
          <w:rFonts w:ascii="Calibri" w:hAnsi="Calibri" w:cs="Calibri"/>
          <w:sz w:val="22"/>
          <w:szCs w:val="22"/>
        </w:rPr>
        <w:t>refinancované úvěry z jiných finančních institucí</w:t>
      </w:r>
      <w:r w:rsidR="006D7FC7">
        <w:rPr>
          <w:rFonts w:ascii="Calibri" w:hAnsi="Calibri" w:cs="Calibri"/>
          <w:sz w:val="22"/>
          <w:szCs w:val="22"/>
        </w:rPr>
        <w:t xml:space="preserve"> a</w:t>
      </w:r>
      <w:r w:rsidR="00EC4F93">
        <w:rPr>
          <w:rFonts w:ascii="Calibri" w:hAnsi="Calibri" w:cs="Calibri"/>
          <w:sz w:val="22"/>
          <w:szCs w:val="22"/>
        </w:rPr>
        <w:t xml:space="preserve"> </w:t>
      </w:r>
      <w:r w:rsidR="002E2498">
        <w:rPr>
          <w:rFonts w:ascii="Calibri" w:hAnsi="Calibri" w:cs="Calibri"/>
          <w:sz w:val="22"/>
          <w:szCs w:val="22"/>
        </w:rPr>
        <w:t>1,8</w:t>
      </w:r>
      <w:r w:rsidR="00D07DD7">
        <w:rPr>
          <w:rFonts w:ascii="Calibri" w:hAnsi="Calibri" w:cs="Calibri"/>
          <w:sz w:val="22"/>
          <w:szCs w:val="22"/>
        </w:rPr>
        <w:t xml:space="preserve"> mld. Kč </w:t>
      </w:r>
      <w:r w:rsidR="002E2498">
        <w:rPr>
          <w:rFonts w:ascii="Calibri" w:hAnsi="Calibri" w:cs="Calibri"/>
          <w:sz w:val="22"/>
          <w:szCs w:val="22"/>
        </w:rPr>
        <w:t xml:space="preserve">pak </w:t>
      </w:r>
      <w:r w:rsidR="006A4300">
        <w:rPr>
          <w:rFonts w:ascii="Calibri" w:hAnsi="Calibri" w:cs="Calibri"/>
          <w:sz w:val="22"/>
          <w:szCs w:val="22"/>
        </w:rPr>
        <w:t xml:space="preserve">úvěry </w:t>
      </w:r>
      <w:r w:rsidR="00D07DD7">
        <w:rPr>
          <w:rFonts w:ascii="Calibri" w:hAnsi="Calibri" w:cs="Calibri"/>
          <w:sz w:val="22"/>
          <w:szCs w:val="22"/>
        </w:rPr>
        <w:t xml:space="preserve">refinancované </w:t>
      </w:r>
      <w:r w:rsidR="006A4300">
        <w:rPr>
          <w:rFonts w:ascii="Calibri" w:hAnsi="Calibri" w:cs="Calibri"/>
          <w:sz w:val="22"/>
          <w:szCs w:val="22"/>
        </w:rPr>
        <w:t>interně</w:t>
      </w:r>
      <w:r w:rsidR="00D07DD7">
        <w:rPr>
          <w:rFonts w:ascii="Calibri" w:hAnsi="Calibri" w:cs="Calibri"/>
          <w:sz w:val="22"/>
          <w:szCs w:val="22"/>
        </w:rPr>
        <w:t>.</w:t>
      </w:r>
      <w:r w:rsidR="001348D9">
        <w:rPr>
          <w:rFonts w:ascii="Calibri" w:hAnsi="Calibri" w:cs="Calibri"/>
          <w:sz w:val="22"/>
          <w:szCs w:val="22"/>
        </w:rPr>
        <w:t xml:space="preserve"> </w:t>
      </w:r>
      <w:r w:rsidR="00F3032E">
        <w:rPr>
          <w:rFonts w:ascii="Calibri" w:hAnsi="Calibri" w:cs="Calibri"/>
          <w:sz w:val="22"/>
          <w:szCs w:val="22"/>
        </w:rPr>
        <w:t xml:space="preserve">Počet </w:t>
      </w:r>
      <w:r w:rsidR="004C693B">
        <w:rPr>
          <w:rFonts w:ascii="Calibri" w:hAnsi="Calibri" w:cs="Calibri"/>
          <w:sz w:val="22"/>
          <w:szCs w:val="22"/>
        </w:rPr>
        <w:t xml:space="preserve">poskytnutých hypoték v prosinci také mírně </w:t>
      </w:r>
      <w:r w:rsidR="00296021">
        <w:rPr>
          <w:rFonts w:ascii="Calibri" w:hAnsi="Calibri" w:cs="Calibri"/>
          <w:sz w:val="22"/>
          <w:szCs w:val="22"/>
        </w:rPr>
        <w:t>poklesl, v případě nových úvěrů zpět pod hranici 10 tis.</w:t>
      </w:r>
      <w:r w:rsidR="005E1EA0">
        <w:rPr>
          <w:rFonts w:ascii="Calibri" w:hAnsi="Calibri" w:cs="Calibri"/>
          <w:sz w:val="22"/>
          <w:szCs w:val="22"/>
        </w:rPr>
        <w:t>, která byla v loňském roce překonána ve čtyřech měsících</w:t>
      </w:r>
      <w:r w:rsidR="00F77C1A">
        <w:rPr>
          <w:rFonts w:ascii="Calibri" w:hAnsi="Calibri" w:cs="Calibri"/>
          <w:sz w:val="22"/>
          <w:szCs w:val="22"/>
        </w:rPr>
        <w:t xml:space="preserve"> </w:t>
      </w:r>
      <w:r w:rsidR="00F77C1A" w:rsidRPr="00FC2710">
        <w:rPr>
          <w:rFonts w:ascii="Calibri" w:hAnsi="Calibri" w:cs="Calibri"/>
          <w:i/>
          <w:iCs/>
          <w:szCs w:val="18"/>
        </w:rPr>
        <w:t>(měsíční hodnoty jsou uvedeny v přiloženém excelovém soubo</w:t>
      </w:r>
      <w:r w:rsidR="00C975A8" w:rsidRPr="00FC2710">
        <w:rPr>
          <w:rFonts w:ascii="Calibri" w:hAnsi="Calibri" w:cs="Calibri"/>
          <w:i/>
          <w:iCs/>
          <w:szCs w:val="18"/>
        </w:rPr>
        <w:t>r, a to od ledna 2020)</w:t>
      </w:r>
      <w:r w:rsidR="00C975A8">
        <w:rPr>
          <w:rFonts w:ascii="Calibri" w:hAnsi="Calibri" w:cs="Calibri"/>
          <w:sz w:val="22"/>
          <w:szCs w:val="22"/>
        </w:rPr>
        <w:t>.</w:t>
      </w:r>
    </w:p>
    <w:p w14:paraId="2FA2F558" w14:textId="77777777" w:rsidR="00937529" w:rsidRDefault="00937529" w:rsidP="0001227F">
      <w:pPr>
        <w:rPr>
          <w:rFonts w:ascii="Calibri" w:hAnsi="Calibri" w:cs="Calibri"/>
          <w:sz w:val="22"/>
          <w:szCs w:val="22"/>
        </w:rPr>
      </w:pPr>
    </w:p>
    <w:p w14:paraId="2334C411" w14:textId="47DC30EE" w:rsidR="002B4641" w:rsidRDefault="00937529" w:rsidP="002B46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2B4641" w:rsidRPr="00937529">
        <w:rPr>
          <w:rFonts w:ascii="Calibri" w:hAnsi="Calibri" w:cs="Calibri"/>
          <w:i/>
          <w:iCs/>
          <w:sz w:val="22"/>
          <w:szCs w:val="22"/>
        </w:rPr>
        <w:t>Vrchol zájmu o hypotéky je v tuto chvíli už za námi. Kvůli rostoucím úrokovým sazbám jsme už v prosinci zaznamenali výraznější pokles podaných žádostí. Ještě rychlejší ochlazení poptávky očekáváme v letošním roce, kdy by trh mohl poklesnout i o 40</w:t>
      </w:r>
      <w:r w:rsidR="00ED503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B4641" w:rsidRPr="00937529">
        <w:rPr>
          <w:rFonts w:ascii="Calibri" w:hAnsi="Calibri" w:cs="Calibri"/>
          <w:i/>
          <w:iCs/>
          <w:sz w:val="22"/>
          <w:szCs w:val="22"/>
        </w:rPr>
        <w:t>%</w:t>
      </w:r>
      <w:r w:rsidRPr="00937529">
        <w:rPr>
          <w:rFonts w:ascii="Calibri" w:hAnsi="Calibri" w:cs="Calibri"/>
          <w:i/>
          <w:iCs/>
          <w:sz w:val="22"/>
          <w:szCs w:val="22"/>
        </w:rPr>
        <w:t>“</w:t>
      </w:r>
      <w:r w:rsidR="00721C6A" w:rsidRPr="00937529">
        <w:rPr>
          <w:rFonts w:ascii="Calibri" w:hAnsi="Calibri" w:cs="Calibri"/>
          <w:i/>
          <w:iCs/>
          <w:sz w:val="22"/>
          <w:szCs w:val="22"/>
        </w:rPr>
        <w:t>,</w:t>
      </w:r>
      <w:r w:rsidR="00721C6A">
        <w:rPr>
          <w:rFonts w:ascii="Calibri" w:hAnsi="Calibri" w:cs="Calibri"/>
          <w:sz w:val="22"/>
          <w:szCs w:val="22"/>
        </w:rPr>
        <w:t xml:space="preserve"> doplnil </w:t>
      </w:r>
      <w:r w:rsidR="00721C6A" w:rsidRPr="00721C6A">
        <w:rPr>
          <w:rFonts w:ascii="Calibri" w:hAnsi="Calibri" w:cs="Calibri"/>
          <w:sz w:val="22"/>
          <w:szCs w:val="22"/>
        </w:rPr>
        <w:t>Radek Perman, vedoucí hypoték Air Bank</w:t>
      </w:r>
      <w:r w:rsidR="00721C6A">
        <w:rPr>
          <w:rFonts w:ascii="Calibri" w:hAnsi="Calibri" w:cs="Calibri"/>
          <w:sz w:val="22"/>
          <w:szCs w:val="22"/>
        </w:rPr>
        <w:t>.</w:t>
      </w:r>
    </w:p>
    <w:p w14:paraId="0A18A1C2" w14:textId="6E023593" w:rsidR="00D662E4" w:rsidRDefault="00D662E4" w:rsidP="0001227F">
      <w:pPr>
        <w:rPr>
          <w:rFonts w:ascii="Calibri" w:hAnsi="Calibri" w:cs="Calibri"/>
          <w:sz w:val="22"/>
          <w:szCs w:val="22"/>
        </w:rPr>
      </w:pPr>
    </w:p>
    <w:p w14:paraId="11B8840B" w14:textId="5A6E2105" w:rsidR="00D8652F" w:rsidRPr="00C014C6" w:rsidRDefault="00D8652F" w:rsidP="00D8652F">
      <w:pPr>
        <w:rPr>
          <w:rFonts w:ascii="Calibri" w:hAnsi="Calibri" w:cs="Calibri"/>
          <w:b/>
          <w:bCs/>
          <w:sz w:val="22"/>
          <w:szCs w:val="22"/>
        </w:rPr>
      </w:pPr>
      <w:r w:rsidRPr="00C014C6">
        <w:rPr>
          <w:rFonts w:ascii="Calibri" w:hAnsi="Calibri" w:cs="Calibri"/>
          <w:b/>
          <w:bCs/>
          <w:sz w:val="22"/>
          <w:szCs w:val="22"/>
        </w:rPr>
        <w:t xml:space="preserve">Tabulka č. 1: Shrnutí </w:t>
      </w:r>
      <w:r w:rsidR="00C014C6" w:rsidRPr="00C014C6">
        <w:rPr>
          <w:rFonts w:ascii="Calibri" w:hAnsi="Calibri" w:cs="Calibri"/>
          <w:b/>
          <w:bCs/>
          <w:sz w:val="22"/>
          <w:szCs w:val="22"/>
        </w:rPr>
        <w:t xml:space="preserve">objemu poskytnutých hypoték a průměrných úrokových sazeb za </w:t>
      </w:r>
      <w:r w:rsidR="00F84BEC">
        <w:rPr>
          <w:rFonts w:ascii="Calibri" w:hAnsi="Calibri" w:cs="Calibri"/>
          <w:b/>
          <w:bCs/>
          <w:sz w:val="22"/>
          <w:szCs w:val="22"/>
        </w:rPr>
        <w:t>prosinec</w:t>
      </w:r>
      <w:r w:rsidR="00C014C6" w:rsidRPr="00C014C6">
        <w:rPr>
          <w:rFonts w:ascii="Calibri" w:hAnsi="Calibri" w:cs="Calibri"/>
          <w:b/>
          <w:bCs/>
          <w:sz w:val="22"/>
          <w:szCs w:val="22"/>
        </w:rPr>
        <w:t xml:space="preserve"> 2021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01"/>
        <w:gridCol w:w="960"/>
        <w:gridCol w:w="960"/>
      </w:tblGrid>
      <w:tr w:rsidR="00C975A8" w:rsidRPr="00C975A8" w14:paraId="206196C0" w14:textId="77777777" w:rsidTr="00C975A8">
        <w:trPr>
          <w:trHeight w:val="51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18D3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8"/>
                <w:szCs w:val="28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13576B"/>
                <w:sz w:val="28"/>
                <w:szCs w:val="28"/>
              </w:rPr>
              <w:t xml:space="preserve">ČBA </w:t>
            </w:r>
            <w:proofErr w:type="spellStart"/>
            <w:r w:rsidRPr="00C975A8">
              <w:rPr>
                <w:rFonts w:ascii="Calibri Light" w:hAnsi="Calibri Light" w:cs="Calibri Light"/>
                <w:b/>
                <w:bCs/>
                <w:color w:val="13576B"/>
                <w:sz w:val="28"/>
                <w:szCs w:val="28"/>
              </w:rPr>
              <w:t>Hypomonitor</w:t>
            </w:r>
            <w:proofErr w:type="spellEnd"/>
            <w:r w:rsidRPr="00C975A8">
              <w:rPr>
                <w:rFonts w:ascii="Calibri Light" w:hAnsi="Calibri Light" w:cs="Calibri Light"/>
                <w:b/>
                <w:bCs/>
                <w:color w:val="13576B"/>
                <w:sz w:val="28"/>
                <w:szCs w:val="28"/>
              </w:rPr>
              <w:t xml:space="preserve"> prosinec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B4A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A80B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C975A8" w:rsidRPr="00C975A8" w14:paraId="6859F781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F4AD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8225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Objem</w:t>
            </w:r>
            <w:r w:rsidRPr="00C975A8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>(mld. Kč)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B22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62B8D7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Sazba</w:t>
            </w:r>
            <w:r w:rsidRPr="00C975A8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 xml:space="preserve"> (%)</w:t>
            </w:r>
          </w:p>
        </w:tc>
      </w:tr>
      <w:tr w:rsidR="00C975A8" w:rsidRPr="00C975A8" w14:paraId="2530901D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9032D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C417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9208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D4F10F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</w:tr>
      <w:tr w:rsidR="00C975A8" w:rsidRPr="00C975A8" w14:paraId="1F92E335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55CD6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4F56" w14:textId="634809B1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44</w:t>
            </w:r>
            <w:r w:rsidR="00F84BE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8F07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AD1E4" w14:textId="2AF67AB1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  <w:r w:rsidR="00F84B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96</w:t>
            </w:r>
          </w:p>
        </w:tc>
      </w:tr>
      <w:tr w:rsidR="00C975A8" w:rsidRPr="00C975A8" w14:paraId="1A00D386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37C0" w14:textId="77777777" w:rsidR="00C975A8" w:rsidRPr="00C975A8" w:rsidRDefault="00C975A8" w:rsidP="00C975A8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Nové úvěry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63D" w14:textId="054439C9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34</w:t>
            </w:r>
            <w:r w:rsidR="00F84BE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14CE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9,943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0A17" w14:textId="5E93ACE2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</w:t>
            </w:r>
            <w:r w:rsidR="00F84BE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C975A8" w:rsidRPr="00C975A8" w14:paraId="08EC269B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73E1" w14:textId="77777777" w:rsidR="00C975A8" w:rsidRPr="00C975A8" w:rsidRDefault="00C975A8" w:rsidP="00C975A8">
            <w:pPr>
              <w:overflowPunct/>
              <w:autoSpaceDE/>
              <w:autoSpaceDN/>
              <w:adjustRightInd/>
              <w:ind w:firstLineChars="200" w:firstLine="44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 toho: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3B0E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A65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429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C975A8" w:rsidRPr="00C975A8" w14:paraId="11698D08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B424" w14:textId="77777777" w:rsidR="00C975A8" w:rsidRPr="00C975A8" w:rsidRDefault="00C975A8" w:rsidP="00C975A8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koupi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CE1" w14:textId="06EB0E99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</w:t>
            </w:r>
            <w:r w:rsidR="00F84B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31D9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6,148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F9EC" w14:textId="28C80346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  <w:r w:rsidR="00F84B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00</w:t>
            </w:r>
          </w:p>
        </w:tc>
      </w:tr>
      <w:tr w:rsidR="00C975A8" w:rsidRPr="00C975A8" w14:paraId="25AAA5A2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2B86" w14:textId="77777777" w:rsidR="00C975A8" w:rsidRPr="00C975A8" w:rsidRDefault="00C975A8" w:rsidP="00C975A8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výstavbu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F52" w14:textId="513C899A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  <w:r w:rsidR="00F84B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D1B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295D" w14:textId="7C15A612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  <w:r w:rsidR="00F84B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86</w:t>
            </w:r>
          </w:p>
        </w:tc>
      </w:tr>
      <w:tr w:rsidR="00C975A8" w:rsidRPr="00C975A8" w14:paraId="756DC25B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11151" w14:textId="77777777" w:rsidR="00C975A8" w:rsidRPr="00C975A8" w:rsidRDefault="00C975A8" w:rsidP="00C975A8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59F" w14:textId="03A02FC3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  <w:r w:rsidR="00F84B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0C65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4B0C" w14:textId="5E357F36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  <w:r w:rsidR="00F84B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41</w:t>
            </w:r>
          </w:p>
        </w:tc>
      </w:tr>
      <w:tr w:rsidR="00C975A8" w:rsidRPr="00C975A8" w14:paraId="05A161EE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0357" w14:textId="77777777" w:rsidR="00C975A8" w:rsidRPr="00C975A8" w:rsidRDefault="00C975A8" w:rsidP="00C975A8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z jiné instituce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D1D5" w14:textId="44AB4508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8</w:t>
            </w:r>
            <w:r w:rsidR="00F84BE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BF2E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329A5" w14:textId="5AA16F23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  <w:r w:rsidR="00F84BE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C975A8" w:rsidRPr="00C975A8" w14:paraId="46A5EFB2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A9C6" w14:textId="77777777" w:rsidR="00C975A8" w:rsidRPr="00C975A8" w:rsidRDefault="00C975A8" w:rsidP="00C975A8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interně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141" w14:textId="4BD7D726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</w:t>
            </w:r>
            <w:r w:rsidR="00F84BE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49AA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CA70" w14:textId="038B3907" w:rsidR="00C975A8" w:rsidRPr="00C975A8" w:rsidRDefault="00C975A8" w:rsidP="00C975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  <w:r w:rsidR="00F84BE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C975A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C975A8" w:rsidRPr="00C975A8" w14:paraId="6C16A1FE" w14:textId="77777777" w:rsidTr="00C975A8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4AA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C975A8">
              <w:rPr>
                <w:rFonts w:ascii="Calibri Light" w:hAnsi="Calibri Light" w:cs="Calibri Light"/>
                <w:color w:val="13576B"/>
                <w:sz w:val="20"/>
              </w:rPr>
              <w:t xml:space="preserve">Pramen: ČBA </w:t>
            </w:r>
            <w:proofErr w:type="spellStart"/>
            <w:r w:rsidRPr="00C975A8">
              <w:rPr>
                <w:rFonts w:ascii="Calibri Light" w:hAnsi="Calibri Light" w:cs="Calibri Light"/>
                <w:color w:val="13576B"/>
                <w:sz w:val="20"/>
              </w:rPr>
              <w:t>Hypomonitor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845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B1DE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7154" w14:textId="77777777" w:rsidR="00C975A8" w:rsidRPr="00C975A8" w:rsidRDefault="00C975A8" w:rsidP="00C975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44FB14A2" w14:textId="60F04ECE" w:rsidR="0017388B" w:rsidRDefault="0060305B" w:rsidP="00F10D7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17388B">
        <w:instrText xml:space="preserve">Excel.Sheet.12 C:\\Users\\trudicova\\Desktop\\CBA-Hypomonitor-2021-10.xlsx "Tabulka Shrnutí!R2C2:R13C5" </w:instrText>
      </w:r>
      <w:r>
        <w:instrText xml:space="preserve">\a \f 4 \h </w:instrText>
      </w:r>
      <w:r w:rsidR="00750679">
        <w:instrText xml:space="preserve"> \* MERGEFORMAT </w:instrText>
      </w:r>
      <w:r>
        <w:fldChar w:fldCharType="separate"/>
      </w:r>
    </w:p>
    <w:p w14:paraId="1545F02E" w14:textId="548F7182" w:rsidR="002D4DF8" w:rsidRDefault="0060305B" w:rsidP="0081060D">
      <w:pPr>
        <w:rPr>
          <w:rFonts w:ascii="Calibri" w:hAnsi="Calibri" w:cs="Calibri"/>
          <w:b/>
          <w:bCs/>
          <w:sz w:val="22"/>
          <w:szCs w:val="22"/>
        </w:rPr>
      </w:pPr>
      <w:r>
        <w:fldChar w:fldCharType="end"/>
      </w:r>
    </w:p>
    <w:p w14:paraId="37476374" w14:textId="249F6B2A" w:rsidR="0081060D" w:rsidRDefault="0081060D" w:rsidP="00F10D7E"/>
    <w:p w14:paraId="7AE0CCC0" w14:textId="5CF04A77" w:rsidR="00A72C93" w:rsidRPr="00477CEB" w:rsidRDefault="0000363D" w:rsidP="00A72C93">
      <w:pPr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>Průměrná hypoteční sazba</w:t>
      </w:r>
      <w:r w:rsidR="002E6312">
        <w:rPr>
          <w:rFonts w:ascii="Calibri" w:hAnsi="Calibri" w:cs="Calibri"/>
          <w:b/>
          <w:color w:val="13576B"/>
          <w:sz w:val="23"/>
          <w:szCs w:val="23"/>
        </w:rPr>
        <w:t xml:space="preserve"> bude dále postupně růst</w:t>
      </w:r>
    </w:p>
    <w:p w14:paraId="566E3DDB" w14:textId="1A5F02CA" w:rsidR="00FF211E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  <w:r w:rsidRPr="006C090C">
        <w:rPr>
          <w:rFonts w:ascii="Calibri" w:hAnsi="Calibri" w:cs="Calibri"/>
          <w:b/>
          <w:bCs/>
          <w:sz w:val="22"/>
          <w:szCs w:val="22"/>
        </w:rPr>
        <w:t>Úroková sazba u nově poskytnutých hypotečních úvěrů</w:t>
      </w:r>
      <w:r w:rsidR="006C3F79"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090C">
        <w:rPr>
          <w:rFonts w:ascii="Calibri" w:hAnsi="Calibri" w:cs="Calibri"/>
          <w:b/>
          <w:bCs/>
          <w:sz w:val="22"/>
          <w:szCs w:val="22"/>
        </w:rPr>
        <w:t>v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975A8">
        <w:rPr>
          <w:rFonts w:ascii="Calibri" w:hAnsi="Calibri" w:cs="Calibri"/>
          <w:b/>
          <w:bCs/>
          <w:sz w:val="22"/>
          <w:szCs w:val="22"/>
        </w:rPr>
        <w:t>prosinci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3F79" w:rsidRPr="006C090C">
        <w:rPr>
          <w:rFonts w:ascii="Calibri" w:hAnsi="Calibri" w:cs="Calibri"/>
          <w:b/>
          <w:bCs/>
          <w:sz w:val="22"/>
          <w:szCs w:val="22"/>
        </w:rPr>
        <w:t>vzrostla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3273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="00C975A8">
        <w:rPr>
          <w:rFonts w:ascii="Calibri" w:hAnsi="Calibri" w:cs="Calibri"/>
          <w:b/>
          <w:bCs/>
          <w:sz w:val="22"/>
          <w:szCs w:val="22"/>
        </w:rPr>
        <w:t>3</w:t>
      </w:r>
      <w:r w:rsidR="008D3273">
        <w:rPr>
          <w:rFonts w:ascii="Calibri" w:hAnsi="Calibri" w:cs="Calibri"/>
          <w:b/>
          <w:bCs/>
          <w:sz w:val="22"/>
          <w:szCs w:val="22"/>
        </w:rPr>
        <w:t xml:space="preserve"> % z</w:t>
      </w:r>
      <w:r w:rsidR="00ED5035">
        <w:rPr>
          <w:rFonts w:ascii="Calibri" w:hAnsi="Calibri" w:cs="Calibri"/>
          <w:b/>
          <w:bCs/>
          <w:sz w:val="22"/>
          <w:szCs w:val="22"/>
        </w:rPr>
        <w:t xml:space="preserve"> listopadových </w:t>
      </w:r>
      <w:r w:rsidRPr="006C090C">
        <w:rPr>
          <w:rFonts w:ascii="Calibri" w:hAnsi="Calibri" w:cs="Calibri"/>
          <w:b/>
          <w:bCs/>
          <w:sz w:val="22"/>
          <w:szCs w:val="22"/>
        </w:rPr>
        <w:t>2,</w:t>
      </w:r>
      <w:r w:rsidR="00E43380">
        <w:rPr>
          <w:rFonts w:ascii="Calibri" w:hAnsi="Calibri" w:cs="Calibri"/>
          <w:b/>
          <w:bCs/>
          <w:sz w:val="22"/>
          <w:szCs w:val="22"/>
        </w:rPr>
        <w:t>7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%</w:t>
      </w:r>
      <w:r w:rsidR="008D327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926E9">
        <w:rPr>
          <w:rFonts w:ascii="Calibri" w:hAnsi="Calibri" w:cs="Calibri"/>
          <w:sz w:val="22"/>
          <w:szCs w:val="22"/>
        </w:rPr>
        <w:t xml:space="preserve">Růst sazeb tak </w:t>
      </w:r>
      <w:r w:rsidR="00E042FF">
        <w:rPr>
          <w:rFonts w:ascii="Calibri" w:hAnsi="Calibri" w:cs="Calibri"/>
          <w:sz w:val="22"/>
          <w:szCs w:val="22"/>
        </w:rPr>
        <w:t xml:space="preserve">dále </w:t>
      </w:r>
      <w:r w:rsidR="008D3273">
        <w:rPr>
          <w:rFonts w:ascii="Calibri" w:hAnsi="Calibri" w:cs="Calibri"/>
          <w:sz w:val="22"/>
          <w:szCs w:val="22"/>
        </w:rPr>
        <w:t xml:space="preserve">zrychluje, </w:t>
      </w:r>
      <w:r w:rsidR="00591A31">
        <w:rPr>
          <w:rFonts w:ascii="Calibri" w:hAnsi="Calibri" w:cs="Calibri"/>
          <w:sz w:val="22"/>
          <w:szCs w:val="22"/>
        </w:rPr>
        <w:t>což</w:t>
      </w:r>
      <w:r w:rsidR="00E43380">
        <w:rPr>
          <w:rFonts w:ascii="Calibri" w:hAnsi="Calibri" w:cs="Calibri"/>
          <w:sz w:val="22"/>
          <w:szCs w:val="22"/>
        </w:rPr>
        <w:t xml:space="preserve"> odráží vývoj úrokových sazeb na trhu a jejich rychlý růst v posledních měsících. </w:t>
      </w:r>
      <w:r w:rsidR="005F5099">
        <w:rPr>
          <w:rFonts w:ascii="Calibri" w:hAnsi="Calibri" w:cs="Calibri"/>
          <w:sz w:val="22"/>
          <w:szCs w:val="22"/>
        </w:rPr>
        <w:t xml:space="preserve">Průměrná hypoteční sazba tak v prosinci byla na nejvyšší úrovni od </w:t>
      </w:r>
      <w:r w:rsidR="00B54AE6">
        <w:rPr>
          <w:rFonts w:ascii="Calibri" w:hAnsi="Calibri" w:cs="Calibri"/>
          <w:sz w:val="22"/>
          <w:szCs w:val="22"/>
        </w:rPr>
        <w:t xml:space="preserve">první </w:t>
      </w:r>
      <w:r w:rsidR="00C963E5">
        <w:rPr>
          <w:rFonts w:ascii="Calibri" w:hAnsi="Calibri" w:cs="Calibri"/>
          <w:sz w:val="22"/>
          <w:szCs w:val="22"/>
        </w:rPr>
        <w:t xml:space="preserve">poloviny roku 2014. Prosincová průměrná úroková sazba </w:t>
      </w:r>
      <w:r w:rsidR="00D86169">
        <w:rPr>
          <w:rFonts w:ascii="Calibri" w:hAnsi="Calibri" w:cs="Calibri"/>
          <w:sz w:val="22"/>
          <w:szCs w:val="22"/>
        </w:rPr>
        <w:t xml:space="preserve">však ještě zachycuje </w:t>
      </w:r>
      <w:r w:rsidR="00001E72">
        <w:rPr>
          <w:rFonts w:ascii="Calibri" w:hAnsi="Calibri" w:cs="Calibri"/>
          <w:sz w:val="22"/>
          <w:szCs w:val="22"/>
        </w:rPr>
        <w:t xml:space="preserve">uzavřené </w:t>
      </w:r>
      <w:r w:rsidR="00D86169">
        <w:rPr>
          <w:rFonts w:ascii="Calibri" w:hAnsi="Calibri" w:cs="Calibri"/>
          <w:sz w:val="22"/>
          <w:szCs w:val="22"/>
        </w:rPr>
        <w:t xml:space="preserve">smlouvy, které byly rozjednány s klienty </w:t>
      </w:r>
      <w:r w:rsidR="00DE2574">
        <w:rPr>
          <w:rFonts w:ascii="Calibri" w:hAnsi="Calibri" w:cs="Calibri"/>
          <w:sz w:val="22"/>
          <w:szCs w:val="22"/>
        </w:rPr>
        <w:t>v </w:t>
      </w:r>
      <w:r w:rsidR="00E042FF">
        <w:rPr>
          <w:rFonts w:ascii="Calibri" w:hAnsi="Calibri" w:cs="Calibri"/>
          <w:sz w:val="22"/>
          <w:szCs w:val="22"/>
        </w:rPr>
        <w:t>dřívějších</w:t>
      </w:r>
      <w:r w:rsidR="00DE2574">
        <w:rPr>
          <w:rFonts w:ascii="Calibri" w:hAnsi="Calibri" w:cs="Calibri"/>
          <w:sz w:val="22"/>
          <w:szCs w:val="22"/>
        </w:rPr>
        <w:t xml:space="preserve"> měsících, proto je </w:t>
      </w:r>
      <w:r w:rsidR="00774999">
        <w:rPr>
          <w:rFonts w:ascii="Calibri" w:hAnsi="Calibri" w:cs="Calibri"/>
          <w:sz w:val="22"/>
          <w:szCs w:val="22"/>
        </w:rPr>
        <w:t>nižší</w:t>
      </w:r>
      <w:r w:rsidR="00DE2574">
        <w:rPr>
          <w:rFonts w:ascii="Calibri" w:hAnsi="Calibri" w:cs="Calibri"/>
          <w:sz w:val="22"/>
          <w:szCs w:val="22"/>
        </w:rPr>
        <w:t xml:space="preserve"> než </w:t>
      </w:r>
      <w:r w:rsidR="00ED5035">
        <w:rPr>
          <w:rFonts w:ascii="Calibri" w:hAnsi="Calibri" w:cs="Calibri"/>
          <w:sz w:val="22"/>
          <w:szCs w:val="22"/>
        </w:rPr>
        <w:t xml:space="preserve">nabídkové sazby </w:t>
      </w:r>
      <w:r w:rsidR="000606C6">
        <w:rPr>
          <w:rFonts w:ascii="Calibri" w:hAnsi="Calibri" w:cs="Calibri"/>
          <w:sz w:val="22"/>
          <w:szCs w:val="22"/>
        </w:rPr>
        <w:t>hypoték</w:t>
      </w:r>
      <w:r w:rsidR="0080130F">
        <w:rPr>
          <w:rFonts w:ascii="Calibri" w:hAnsi="Calibri" w:cs="Calibri"/>
          <w:sz w:val="22"/>
          <w:szCs w:val="22"/>
        </w:rPr>
        <w:t xml:space="preserve">. Ty se </w:t>
      </w:r>
      <w:r w:rsidR="000606C6">
        <w:rPr>
          <w:rFonts w:ascii="Calibri" w:hAnsi="Calibri" w:cs="Calibri"/>
          <w:sz w:val="22"/>
          <w:szCs w:val="22"/>
        </w:rPr>
        <w:t xml:space="preserve">v prosinci </w:t>
      </w:r>
      <w:r w:rsidR="00DE2574">
        <w:rPr>
          <w:rFonts w:ascii="Calibri" w:hAnsi="Calibri" w:cs="Calibri"/>
          <w:sz w:val="22"/>
          <w:szCs w:val="22"/>
        </w:rPr>
        <w:t>pohybovaly</w:t>
      </w:r>
      <w:r w:rsidR="0080130F">
        <w:rPr>
          <w:rFonts w:ascii="Calibri" w:hAnsi="Calibri" w:cs="Calibri"/>
          <w:sz w:val="22"/>
          <w:szCs w:val="22"/>
        </w:rPr>
        <w:t xml:space="preserve"> </w:t>
      </w:r>
      <w:r w:rsidR="007A06C5">
        <w:rPr>
          <w:rFonts w:ascii="Calibri" w:hAnsi="Calibri" w:cs="Calibri"/>
          <w:sz w:val="22"/>
          <w:szCs w:val="22"/>
        </w:rPr>
        <w:t xml:space="preserve">již </w:t>
      </w:r>
      <w:r w:rsidR="0080130F">
        <w:rPr>
          <w:rFonts w:ascii="Calibri" w:hAnsi="Calibri" w:cs="Calibri"/>
          <w:sz w:val="22"/>
          <w:szCs w:val="22"/>
        </w:rPr>
        <w:t>v průměru</w:t>
      </w:r>
      <w:r w:rsidR="00DE2574">
        <w:rPr>
          <w:rFonts w:ascii="Calibri" w:hAnsi="Calibri" w:cs="Calibri"/>
          <w:sz w:val="22"/>
          <w:szCs w:val="22"/>
        </w:rPr>
        <w:t xml:space="preserve"> kolem</w:t>
      </w:r>
      <w:r w:rsidR="0080130F">
        <w:rPr>
          <w:rFonts w:ascii="Calibri" w:hAnsi="Calibri" w:cs="Calibri"/>
          <w:sz w:val="22"/>
          <w:szCs w:val="22"/>
        </w:rPr>
        <w:t xml:space="preserve"> </w:t>
      </w:r>
      <w:r w:rsidR="00DE2574">
        <w:rPr>
          <w:rFonts w:ascii="Calibri" w:hAnsi="Calibri" w:cs="Calibri"/>
          <w:sz w:val="22"/>
          <w:szCs w:val="22"/>
        </w:rPr>
        <w:t>4 %</w:t>
      </w:r>
      <w:r w:rsidR="0018097B">
        <w:rPr>
          <w:rFonts w:ascii="Calibri" w:hAnsi="Calibri" w:cs="Calibri"/>
          <w:sz w:val="22"/>
          <w:szCs w:val="22"/>
        </w:rPr>
        <w:t xml:space="preserve"> a</w:t>
      </w:r>
      <w:r w:rsidR="0066000B">
        <w:rPr>
          <w:rFonts w:ascii="Calibri" w:hAnsi="Calibri" w:cs="Calibri"/>
          <w:sz w:val="22"/>
          <w:szCs w:val="22"/>
        </w:rPr>
        <w:t xml:space="preserve"> v letošním roce lze vzhledem k vývoji tržních úrokových sazeb </w:t>
      </w:r>
      <w:r w:rsidR="00402778">
        <w:rPr>
          <w:rFonts w:ascii="Calibri" w:hAnsi="Calibri" w:cs="Calibri"/>
          <w:sz w:val="22"/>
          <w:szCs w:val="22"/>
        </w:rPr>
        <w:t>očekávat jejich další růst.</w:t>
      </w:r>
      <w:r w:rsidR="00DE2574">
        <w:rPr>
          <w:rFonts w:ascii="Calibri" w:hAnsi="Calibri" w:cs="Calibri"/>
          <w:sz w:val="22"/>
          <w:szCs w:val="22"/>
        </w:rPr>
        <w:t xml:space="preserve"> </w:t>
      </w:r>
    </w:p>
    <w:p w14:paraId="7FF76024" w14:textId="4831FC01" w:rsidR="00597DD9" w:rsidRDefault="00597DD9" w:rsidP="0001227F">
      <w:pPr>
        <w:rPr>
          <w:rFonts w:ascii="Calibri" w:hAnsi="Calibri" w:cs="Calibri"/>
          <w:i/>
          <w:iCs/>
          <w:sz w:val="22"/>
          <w:szCs w:val="22"/>
        </w:rPr>
      </w:pPr>
    </w:p>
    <w:p w14:paraId="3A190CDC" w14:textId="3D6FD597" w:rsidR="00CE20E9" w:rsidRDefault="00597DD9" w:rsidP="0001227F">
      <w:pPr>
        <w:rPr>
          <w:rFonts w:ascii="Calibri" w:hAnsi="Calibri" w:cs="Calibri"/>
          <w:sz w:val="22"/>
          <w:szCs w:val="22"/>
        </w:rPr>
      </w:pPr>
      <w:r w:rsidRPr="00597DD9">
        <w:rPr>
          <w:rFonts w:ascii="Calibri" w:hAnsi="Calibri" w:cs="Calibri"/>
          <w:sz w:val="22"/>
          <w:szCs w:val="22"/>
        </w:rPr>
        <w:t xml:space="preserve">Hypoteční sazby reagují </w:t>
      </w:r>
      <w:r w:rsidR="00FE34B0">
        <w:rPr>
          <w:rFonts w:ascii="Calibri" w:hAnsi="Calibri" w:cs="Calibri"/>
          <w:sz w:val="22"/>
          <w:szCs w:val="22"/>
        </w:rPr>
        <w:t>s</w:t>
      </w:r>
      <w:r w:rsidR="00B5765A">
        <w:rPr>
          <w:rFonts w:ascii="Calibri" w:hAnsi="Calibri" w:cs="Calibri"/>
          <w:sz w:val="22"/>
          <w:szCs w:val="22"/>
        </w:rPr>
        <w:t xml:space="preserve"> mírným </w:t>
      </w:r>
      <w:r w:rsidR="00FE34B0">
        <w:rPr>
          <w:rFonts w:ascii="Calibri" w:hAnsi="Calibri" w:cs="Calibri"/>
          <w:sz w:val="22"/>
          <w:szCs w:val="22"/>
        </w:rPr>
        <w:t xml:space="preserve">zpožděním </w:t>
      </w:r>
      <w:r w:rsidRPr="00597DD9">
        <w:rPr>
          <w:rFonts w:ascii="Calibri" w:hAnsi="Calibri" w:cs="Calibri"/>
          <w:sz w:val="22"/>
          <w:szCs w:val="22"/>
        </w:rPr>
        <w:t xml:space="preserve">především na </w:t>
      </w:r>
      <w:r w:rsidR="00B5765A">
        <w:rPr>
          <w:rFonts w:ascii="Calibri" w:hAnsi="Calibri" w:cs="Calibri"/>
          <w:sz w:val="22"/>
          <w:szCs w:val="22"/>
        </w:rPr>
        <w:t xml:space="preserve">vývoj </w:t>
      </w:r>
      <w:r w:rsidRPr="00597DD9">
        <w:rPr>
          <w:rFonts w:ascii="Calibri" w:hAnsi="Calibri" w:cs="Calibri"/>
          <w:sz w:val="22"/>
          <w:szCs w:val="22"/>
        </w:rPr>
        <w:t>tržní</w:t>
      </w:r>
      <w:r w:rsidR="00B5765A">
        <w:rPr>
          <w:rFonts w:ascii="Calibri" w:hAnsi="Calibri" w:cs="Calibri"/>
          <w:sz w:val="22"/>
          <w:szCs w:val="22"/>
        </w:rPr>
        <w:t>ch</w:t>
      </w:r>
      <w:r w:rsidRPr="00597DD9">
        <w:rPr>
          <w:rFonts w:ascii="Calibri" w:hAnsi="Calibri" w:cs="Calibri"/>
          <w:sz w:val="22"/>
          <w:szCs w:val="22"/>
        </w:rPr>
        <w:t xml:space="preserve"> úrokov</w:t>
      </w:r>
      <w:r w:rsidR="00B5765A">
        <w:rPr>
          <w:rFonts w:ascii="Calibri" w:hAnsi="Calibri" w:cs="Calibri"/>
          <w:sz w:val="22"/>
          <w:szCs w:val="22"/>
        </w:rPr>
        <w:t>ých</w:t>
      </w:r>
      <w:r w:rsidRPr="00597DD9">
        <w:rPr>
          <w:rFonts w:ascii="Calibri" w:hAnsi="Calibri" w:cs="Calibri"/>
          <w:sz w:val="22"/>
          <w:szCs w:val="22"/>
        </w:rPr>
        <w:t xml:space="preserve"> saz</w:t>
      </w:r>
      <w:r w:rsidR="00B5765A">
        <w:rPr>
          <w:rFonts w:ascii="Calibri" w:hAnsi="Calibri" w:cs="Calibri"/>
          <w:sz w:val="22"/>
          <w:szCs w:val="22"/>
        </w:rPr>
        <w:t>eb</w:t>
      </w:r>
      <w:r w:rsidRPr="00597DD9">
        <w:rPr>
          <w:rFonts w:ascii="Calibri" w:hAnsi="Calibri" w:cs="Calibri"/>
          <w:sz w:val="22"/>
          <w:szCs w:val="22"/>
        </w:rPr>
        <w:t xml:space="preserve"> delších splatností. V nich se promítá řada faktorů</w:t>
      </w:r>
      <w:r w:rsidR="00824A84">
        <w:rPr>
          <w:rFonts w:ascii="Calibri" w:hAnsi="Calibri" w:cs="Calibri"/>
          <w:sz w:val="22"/>
          <w:szCs w:val="22"/>
        </w:rPr>
        <w:t xml:space="preserve"> </w:t>
      </w:r>
      <w:r w:rsidR="00922AFA" w:rsidRPr="00922AFA">
        <w:rPr>
          <w:rFonts w:ascii="Calibri" w:hAnsi="Calibri" w:cs="Calibri"/>
        </w:rPr>
        <w:t>–</w:t>
      </w:r>
      <w:r w:rsidRPr="00597DD9">
        <w:rPr>
          <w:rFonts w:ascii="Calibri" w:hAnsi="Calibri" w:cs="Calibri"/>
          <w:sz w:val="22"/>
          <w:szCs w:val="22"/>
        </w:rPr>
        <w:t xml:space="preserve"> nejen očekáváný vývoj základních sazeb ČNB, ale i výhled na inflaci, ekonomický vývoj či dynamiku obdobných úrokových sazeb v zahraničí. Zmíněné tržní úrokové sazby delších splatností</w:t>
      </w:r>
      <w:r>
        <w:rPr>
          <w:rStyle w:val="Znakapoznpodarou"/>
          <w:rFonts w:ascii="Calibri" w:hAnsi="Calibri" w:cs="Calibri"/>
          <w:i/>
          <w:iCs/>
          <w:sz w:val="22"/>
          <w:szCs w:val="22"/>
        </w:rPr>
        <w:footnoteReference w:id="1"/>
      </w:r>
      <w:r w:rsidR="00833EC7">
        <w:rPr>
          <w:rFonts w:ascii="Calibri" w:hAnsi="Calibri" w:cs="Calibri"/>
          <w:sz w:val="22"/>
          <w:szCs w:val="22"/>
        </w:rPr>
        <w:t xml:space="preserve"> </w:t>
      </w:r>
      <w:r w:rsidR="00D344F3">
        <w:rPr>
          <w:rFonts w:ascii="Calibri" w:hAnsi="Calibri" w:cs="Calibri"/>
          <w:sz w:val="22"/>
          <w:szCs w:val="22"/>
        </w:rPr>
        <w:t xml:space="preserve">v posledních týdnech opět vzrostly a </w:t>
      </w:r>
      <w:r w:rsidR="00840749">
        <w:rPr>
          <w:rFonts w:ascii="Calibri" w:hAnsi="Calibri" w:cs="Calibri"/>
          <w:sz w:val="22"/>
          <w:szCs w:val="22"/>
        </w:rPr>
        <w:t xml:space="preserve">dostaly </w:t>
      </w:r>
      <w:r w:rsidR="00D344F3">
        <w:rPr>
          <w:rFonts w:ascii="Calibri" w:hAnsi="Calibri" w:cs="Calibri"/>
          <w:sz w:val="22"/>
          <w:szCs w:val="22"/>
        </w:rPr>
        <w:t xml:space="preserve">se </w:t>
      </w:r>
      <w:r w:rsidR="00840749">
        <w:rPr>
          <w:rFonts w:ascii="Calibri" w:hAnsi="Calibri" w:cs="Calibri"/>
          <w:sz w:val="22"/>
          <w:szCs w:val="22"/>
        </w:rPr>
        <w:t>na nejvyšší hodnotu od roku 2008</w:t>
      </w:r>
      <w:r w:rsidR="0051508B">
        <w:rPr>
          <w:rFonts w:ascii="Calibri" w:hAnsi="Calibri" w:cs="Calibri"/>
          <w:sz w:val="22"/>
          <w:szCs w:val="22"/>
        </w:rPr>
        <w:t xml:space="preserve">. </w:t>
      </w:r>
      <w:r w:rsidR="00CE20E9">
        <w:rPr>
          <w:rFonts w:ascii="Calibri" w:hAnsi="Calibri" w:cs="Calibri"/>
          <w:sz w:val="22"/>
          <w:szCs w:val="22"/>
        </w:rPr>
        <w:t>Dle oficiálních statistik České národní banky se hypoteční sazba v</w:t>
      </w:r>
      <w:r w:rsidR="00840749">
        <w:rPr>
          <w:rFonts w:ascii="Calibri" w:hAnsi="Calibri" w:cs="Calibri"/>
          <w:sz w:val="22"/>
          <w:szCs w:val="22"/>
        </w:rPr>
        <w:t> tomto období pohybovala kolem 5,5 %</w:t>
      </w:r>
      <w:r w:rsidR="00CE20E9">
        <w:rPr>
          <w:rFonts w:ascii="Calibri" w:hAnsi="Calibri" w:cs="Calibri"/>
          <w:sz w:val="22"/>
          <w:szCs w:val="22"/>
        </w:rPr>
        <w:t>.</w:t>
      </w:r>
    </w:p>
    <w:p w14:paraId="5CADB7B1" w14:textId="44DAE182" w:rsidR="00C975A8" w:rsidRDefault="00C975A8" w:rsidP="0001227F">
      <w:pPr>
        <w:rPr>
          <w:rFonts w:ascii="Calibri" w:hAnsi="Calibri" w:cs="Calibri"/>
          <w:sz w:val="22"/>
          <w:szCs w:val="22"/>
        </w:rPr>
      </w:pPr>
    </w:p>
    <w:p w14:paraId="0DB9B084" w14:textId="1BDFADD9" w:rsidR="00C975A8" w:rsidRPr="00476A2A" w:rsidRDefault="00336412" w:rsidP="00C975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</w:t>
      </w:r>
      <w:r w:rsidR="00254CA2">
        <w:rPr>
          <w:rFonts w:ascii="Calibri" w:hAnsi="Calibri" w:cs="Calibri"/>
          <w:i/>
          <w:iCs/>
          <w:sz w:val="22"/>
          <w:szCs w:val="22"/>
        </w:rPr>
        <w:t>Tr</w:t>
      </w:r>
      <w:r w:rsidR="0053659F">
        <w:rPr>
          <w:rFonts w:ascii="Calibri" w:hAnsi="Calibri" w:cs="Calibri"/>
          <w:i/>
          <w:iCs/>
          <w:sz w:val="22"/>
          <w:szCs w:val="22"/>
        </w:rPr>
        <w:t>ž</w:t>
      </w:r>
      <w:r w:rsidR="00254CA2">
        <w:rPr>
          <w:rFonts w:ascii="Calibri" w:hAnsi="Calibri" w:cs="Calibri"/>
          <w:i/>
          <w:iCs/>
          <w:sz w:val="22"/>
          <w:szCs w:val="22"/>
        </w:rPr>
        <w:t>ní úrokové sazby</w:t>
      </w:r>
      <w:r w:rsidR="0053659F">
        <w:rPr>
          <w:rFonts w:ascii="Calibri" w:hAnsi="Calibri" w:cs="Calibri"/>
          <w:i/>
          <w:iCs/>
          <w:sz w:val="22"/>
          <w:szCs w:val="22"/>
        </w:rPr>
        <w:t xml:space="preserve">, od kterých se </w:t>
      </w:r>
      <w:r w:rsidR="00C25B6F">
        <w:rPr>
          <w:rFonts w:ascii="Calibri" w:hAnsi="Calibri" w:cs="Calibri"/>
          <w:i/>
          <w:iCs/>
          <w:sz w:val="22"/>
          <w:szCs w:val="22"/>
        </w:rPr>
        <w:t xml:space="preserve">nejvíce odvíjí </w:t>
      </w:r>
      <w:r w:rsidR="003411DB">
        <w:rPr>
          <w:rFonts w:ascii="Calibri" w:hAnsi="Calibri" w:cs="Calibri"/>
          <w:i/>
          <w:iCs/>
          <w:sz w:val="22"/>
          <w:szCs w:val="22"/>
        </w:rPr>
        <w:t>hypot</w:t>
      </w:r>
      <w:r w:rsidR="00C25B6F">
        <w:rPr>
          <w:rFonts w:ascii="Calibri" w:hAnsi="Calibri" w:cs="Calibri"/>
          <w:i/>
          <w:iCs/>
          <w:sz w:val="22"/>
          <w:szCs w:val="22"/>
        </w:rPr>
        <w:t>eční sazby,</w:t>
      </w:r>
      <w:r w:rsidR="003411DB">
        <w:rPr>
          <w:rFonts w:ascii="Calibri" w:hAnsi="Calibri" w:cs="Calibri"/>
          <w:i/>
          <w:iCs/>
          <w:sz w:val="22"/>
          <w:szCs w:val="22"/>
        </w:rPr>
        <w:t xml:space="preserve"> v záv</w:t>
      </w:r>
      <w:r w:rsidR="00C25B6F">
        <w:rPr>
          <w:rFonts w:ascii="Calibri" w:hAnsi="Calibri" w:cs="Calibri"/>
          <w:i/>
          <w:iCs/>
          <w:sz w:val="22"/>
          <w:szCs w:val="22"/>
        </w:rPr>
        <w:t>ě</w:t>
      </w:r>
      <w:r w:rsidR="003411DB">
        <w:rPr>
          <w:rFonts w:ascii="Calibri" w:hAnsi="Calibri" w:cs="Calibri"/>
          <w:i/>
          <w:iCs/>
          <w:sz w:val="22"/>
          <w:szCs w:val="22"/>
        </w:rPr>
        <w:t xml:space="preserve">ru minulého roku vzrostly a nyní se </w:t>
      </w:r>
      <w:r w:rsidR="00412186">
        <w:rPr>
          <w:rFonts w:ascii="Calibri" w:hAnsi="Calibri" w:cs="Calibri"/>
          <w:i/>
          <w:iCs/>
          <w:sz w:val="22"/>
          <w:szCs w:val="22"/>
        </w:rPr>
        <w:t xml:space="preserve">pohybují na nejvyšší úrovni od roku 2008. V té době </w:t>
      </w:r>
      <w:r w:rsidR="00C25B6F">
        <w:rPr>
          <w:rFonts w:ascii="Calibri" w:hAnsi="Calibri" w:cs="Calibri"/>
          <w:i/>
          <w:iCs/>
          <w:sz w:val="22"/>
          <w:szCs w:val="22"/>
        </w:rPr>
        <w:t xml:space="preserve">byla </w:t>
      </w:r>
      <w:r>
        <w:rPr>
          <w:rFonts w:ascii="Calibri" w:hAnsi="Calibri" w:cs="Calibri"/>
          <w:i/>
          <w:iCs/>
          <w:sz w:val="22"/>
          <w:szCs w:val="22"/>
        </w:rPr>
        <w:t xml:space="preserve">průměrná </w:t>
      </w:r>
      <w:r w:rsidR="00412186">
        <w:rPr>
          <w:rFonts w:ascii="Calibri" w:hAnsi="Calibri" w:cs="Calibri"/>
          <w:i/>
          <w:iCs/>
          <w:sz w:val="22"/>
          <w:szCs w:val="22"/>
        </w:rPr>
        <w:t>hypoteční sazb</w:t>
      </w:r>
      <w:r w:rsidR="00C25B6F">
        <w:rPr>
          <w:rFonts w:ascii="Calibri" w:hAnsi="Calibri" w:cs="Calibri"/>
          <w:i/>
          <w:iCs/>
          <w:sz w:val="22"/>
          <w:szCs w:val="22"/>
        </w:rPr>
        <w:t xml:space="preserve">a u nových hypoték </w:t>
      </w:r>
      <w:r w:rsidR="00412186">
        <w:rPr>
          <w:rFonts w:ascii="Calibri" w:hAnsi="Calibri" w:cs="Calibri"/>
          <w:i/>
          <w:iCs/>
          <w:sz w:val="22"/>
          <w:szCs w:val="22"/>
        </w:rPr>
        <w:t xml:space="preserve">kolem 5,5 %. </w:t>
      </w:r>
      <w:r w:rsidR="00F064C3">
        <w:rPr>
          <w:rFonts w:ascii="Calibri" w:hAnsi="Calibri" w:cs="Calibri"/>
          <w:i/>
          <w:iCs/>
          <w:sz w:val="22"/>
          <w:szCs w:val="22"/>
        </w:rPr>
        <w:t xml:space="preserve">Pokud se </w:t>
      </w:r>
      <w:r w:rsidR="007C64E2">
        <w:rPr>
          <w:rFonts w:ascii="Calibri" w:hAnsi="Calibri" w:cs="Calibri"/>
          <w:i/>
          <w:iCs/>
          <w:sz w:val="22"/>
          <w:szCs w:val="22"/>
        </w:rPr>
        <w:t xml:space="preserve">tržní sazby </w:t>
      </w:r>
      <w:r w:rsidR="00C25B6F">
        <w:rPr>
          <w:rFonts w:ascii="Calibri" w:hAnsi="Calibri" w:cs="Calibri"/>
          <w:i/>
          <w:iCs/>
          <w:sz w:val="22"/>
          <w:szCs w:val="22"/>
        </w:rPr>
        <w:t xml:space="preserve">letos </w:t>
      </w:r>
      <w:r w:rsidR="007C64E2">
        <w:rPr>
          <w:rFonts w:ascii="Calibri" w:hAnsi="Calibri" w:cs="Calibri"/>
          <w:i/>
          <w:iCs/>
          <w:sz w:val="22"/>
          <w:szCs w:val="22"/>
        </w:rPr>
        <w:t xml:space="preserve">výrazněji nezmění, měly by </w:t>
      </w:r>
      <w:r w:rsidR="00DD2278">
        <w:rPr>
          <w:rFonts w:ascii="Calibri" w:hAnsi="Calibri" w:cs="Calibri"/>
          <w:i/>
          <w:iCs/>
          <w:sz w:val="22"/>
          <w:szCs w:val="22"/>
        </w:rPr>
        <w:t xml:space="preserve">hypoteční sazby </w:t>
      </w:r>
      <w:r w:rsidR="007C64E2">
        <w:rPr>
          <w:rFonts w:ascii="Calibri" w:hAnsi="Calibri" w:cs="Calibri"/>
          <w:i/>
          <w:iCs/>
          <w:sz w:val="22"/>
          <w:szCs w:val="22"/>
        </w:rPr>
        <w:t xml:space="preserve">letos </w:t>
      </w:r>
      <w:r w:rsidR="00DD2278">
        <w:rPr>
          <w:rFonts w:ascii="Calibri" w:hAnsi="Calibri" w:cs="Calibri"/>
          <w:i/>
          <w:iCs/>
          <w:sz w:val="22"/>
          <w:szCs w:val="22"/>
        </w:rPr>
        <w:t xml:space="preserve">postupně směřovat </w:t>
      </w:r>
      <w:r w:rsidR="00F064C3">
        <w:rPr>
          <w:rFonts w:ascii="Calibri" w:hAnsi="Calibri" w:cs="Calibri"/>
          <w:i/>
          <w:iCs/>
          <w:sz w:val="22"/>
          <w:szCs w:val="22"/>
        </w:rPr>
        <w:t xml:space="preserve">k této hranici, </w:t>
      </w:r>
      <w:r w:rsidR="007C64E2">
        <w:rPr>
          <w:rFonts w:ascii="Calibri" w:hAnsi="Calibri" w:cs="Calibri"/>
          <w:i/>
          <w:iCs/>
          <w:sz w:val="22"/>
          <w:szCs w:val="22"/>
        </w:rPr>
        <w:t xml:space="preserve">ačkoli konkrétní sazba se bude odvíjet </w:t>
      </w:r>
      <w:r w:rsidR="00414181">
        <w:rPr>
          <w:rFonts w:ascii="Calibri" w:hAnsi="Calibri" w:cs="Calibri"/>
          <w:i/>
          <w:iCs/>
          <w:sz w:val="22"/>
          <w:szCs w:val="22"/>
        </w:rPr>
        <w:t>od zvolené dél</w:t>
      </w:r>
      <w:r w:rsidR="00402778">
        <w:rPr>
          <w:rFonts w:ascii="Calibri" w:hAnsi="Calibri" w:cs="Calibri"/>
          <w:i/>
          <w:iCs/>
          <w:sz w:val="22"/>
          <w:szCs w:val="22"/>
        </w:rPr>
        <w:t>ky</w:t>
      </w:r>
      <w:r w:rsidR="00414181">
        <w:rPr>
          <w:rFonts w:ascii="Calibri" w:hAnsi="Calibri" w:cs="Calibri"/>
          <w:i/>
          <w:iCs/>
          <w:sz w:val="22"/>
          <w:szCs w:val="22"/>
        </w:rPr>
        <w:t xml:space="preserve"> fixace.</w:t>
      </w:r>
      <w:r w:rsidR="00ED6AF2">
        <w:rPr>
          <w:rFonts w:ascii="Calibri" w:hAnsi="Calibri" w:cs="Calibri"/>
          <w:i/>
          <w:iCs/>
          <w:sz w:val="22"/>
          <w:szCs w:val="22"/>
        </w:rPr>
        <w:t xml:space="preserve"> V tuto chvíli je tržní </w:t>
      </w:r>
      <w:r w:rsidR="00C96E4A">
        <w:rPr>
          <w:rFonts w:ascii="Calibri" w:hAnsi="Calibri" w:cs="Calibri"/>
          <w:i/>
          <w:iCs/>
          <w:sz w:val="22"/>
          <w:szCs w:val="22"/>
        </w:rPr>
        <w:t xml:space="preserve">úroková </w:t>
      </w:r>
      <w:r w:rsidR="00ED6AF2">
        <w:rPr>
          <w:rFonts w:ascii="Calibri" w:hAnsi="Calibri" w:cs="Calibri"/>
          <w:i/>
          <w:iCs/>
          <w:sz w:val="22"/>
          <w:szCs w:val="22"/>
        </w:rPr>
        <w:t xml:space="preserve">sazba u delších splatností nižší, </w:t>
      </w:r>
      <w:r w:rsidR="00203A7B">
        <w:rPr>
          <w:rFonts w:ascii="Calibri" w:hAnsi="Calibri" w:cs="Calibri"/>
          <w:i/>
          <w:iCs/>
          <w:sz w:val="22"/>
          <w:szCs w:val="22"/>
        </w:rPr>
        <w:t xml:space="preserve">přesto </w:t>
      </w:r>
      <w:r w:rsidR="009D05F1">
        <w:rPr>
          <w:rFonts w:ascii="Calibri" w:hAnsi="Calibri" w:cs="Calibri"/>
          <w:i/>
          <w:iCs/>
          <w:sz w:val="22"/>
          <w:szCs w:val="22"/>
        </w:rPr>
        <w:t xml:space="preserve">může řada klientů zvolit raději kratší fixaci s nadějí, že úrokové sazby </w:t>
      </w:r>
      <w:r w:rsidR="00771967">
        <w:rPr>
          <w:rFonts w:ascii="Calibri" w:hAnsi="Calibri" w:cs="Calibri"/>
          <w:i/>
          <w:iCs/>
          <w:sz w:val="22"/>
          <w:szCs w:val="22"/>
        </w:rPr>
        <w:t xml:space="preserve">výhledově </w:t>
      </w:r>
      <w:r w:rsidR="009D05F1">
        <w:rPr>
          <w:rFonts w:ascii="Calibri" w:hAnsi="Calibri" w:cs="Calibri"/>
          <w:i/>
          <w:iCs/>
          <w:sz w:val="22"/>
          <w:szCs w:val="22"/>
        </w:rPr>
        <w:t>opět poklesnou</w:t>
      </w:r>
      <w:r w:rsidR="005B2CB5"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z w:val="22"/>
          <w:szCs w:val="22"/>
        </w:rPr>
        <w:t>“</w:t>
      </w:r>
      <w:r w:rsidR="005B2CB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B2CB5" w:rsidRPr="00476A2A">
        <w:rPr>
          <w:rFonts w:ascii="Calibri" w:hAnsi="Calibri" w:cs="Calibri"/>
          <w:sz w:val="22"/>
          <w:szCs w:val="22"/>
        </w:rPr>
        <w:t xml:space="preserve">říká Jakub Seidler, </w:t>
      </w:r>
      <w:r w:rsidR="00FE34B0" w:rsidRPr="00476A2A">
        <w:rPr>
          <w:rFonts w:ascii="Calibri" w:hAnsi="Calibri" w:cs="Calibri"/>
          <w:sz w:val="22"/>
          <w:szCs w:val="22"/>
        </w:rPr>
        <w:t>h</w:t>
      </w:r>
      <w:r w:rsidR="005B2CB5" w:rsidRPr="00476A2A">
        <w:rPr>
          <w:rFonts w:ascii="Calibri" w:hAnsi="Calibri" w:cs="Calibri"/>
          <w:sz w:val="22"/>
          <w:szCs w:val="22"/>
        </w:rPr>
        <w:t>lavní ekonom ČBA.</w:t>
      </w:r>
    </w:p>
    <w:p w14:paraId="1C0A0149" w14:textId="77777777" w:rsidR="00C975A8" w:rsidRDefault="00C975A8" w:rsidP="0001227F">
      <w:pPr>
        <w:rPr>
          <w:rFonts w:ascii="Calibri" w:hAnsi="Calibri" w:cs="Calibri"/>
          <w:sz w:val="22"/>
          <w:szCs w:val="22"/>
        </w:rPr>
      </w:pPr>
    </w:p>
    <w:p w14:paraId="56DFC912" w14:textId="77777777" w:rsidR="00CE20E9" w:rsidRDefault="00CE20E9" w:rsidP="0001227F">
      <w:pPr>
        <w:rPr>
          <w:rFonts w:ascii="Calibri" w:hAnsi="Calibri" w:cs="Calibri"/>
          <w:sz w:val="22"/>
          <w:szCs w:val="22"/>
        </w:rPr>
      </w:pPr>
    </w:p>
    <w:p w14:paraId="6CE95E97" w14:textId="24D47F81" w:rsidR="00FC4378" w:rsidRDefault="0060305B" w:rsidP="0001227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Graf</w:t>
      </w:r>
      <w:r w:rsidRPr="00C014C6">
        <w:rPr>
          <w:rFonts w:ascii="Calibri" w:hAnsi="Calibri" w:cs="Calibri"/>
          <w:b/>
          <w:bCs/>
          <w:sz w:val="22"/>
          <w:szCs w:val="22"/>
        </w:rPr>
        <w:t xml:space="preserve"> č. 1: </w:t>
      </w:r>
      <w:r>
        <w:rPr>
          <w:rFonts w:ascii="Calibri" w:hAnsi="Calibri" w:cs="Calibri"/>
          <w:b/>
          <w:bCs/>
          <w:sz w:val="22"/>
          <w:szCs w:val="22"/>
        </w:rPr>
        <w:t xml:space="preserve">Průměrná hypoteční sazba u nových obchodů dle oficiálních dat ČNB a ČBA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Hypomonitoru</w:t>
      </w:r>
      <w:proofErr w:type="spellEnd"/>
    </w:p>
    <w:p w14:paraId="072C37EE" w14:textId="77777777" w:rsidR="008026FE" w:rsidRDefault="008026FE" w:rsidP="0001227F">
      <w:pPr>
        <w:rPr>
          <w:rFonts w:ascii="Calibri" w:hAnsi="Calibri" w:cs="Calibri"/>
          <w:b/>
          <w:bCs/>
          <w:sz w:val="22"/>
          <w:szCs w:val="22"/>
        </w:rPr>
      </w:pPr>
    </w:p>
    <w:p w14:paraId="39432B9D" w14:textId="0805E904" w:rsidR="009D089E" w:rsidRDefault="009D089E" w:rsidP="0001227F">
      <w:pPr>
        <w:rPr>
          <w:rFonts w:ascii="Calibri" w:hAnsi="Calibri" w:cs="Calibri"/>
          <w:b/>
          <w:bCs/>
          <w:sz w:val="22"/>
          <w:szCs w:val="22"/>
        </w:rPr>
      </w:pPr>
      <w:r w:rsidRPr="009D089E">
        <w:rPr>
          <w:noProof/>
        </w:rPr>
        <w:drawing>
          <wp:inline distT="0" distB="0" distL="0" distR="0" wp14:anchorId="7F6C4C97" wp14:editId="228D45A1">
            <wp:extent cx="4527080" cy="3062177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05" cy="306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1E4032" w:rsidRPr="001E4032" w14:paraId="77C5C7F2" w14:textId="77777777" w:rsidTr="001E4032">
        <w:trPr>
          <w:trHeight w:val="3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68A1" w14:textId="75BE65DF" w:rsidR="001E4032" w:rsidRPr="001E4032" w:rsidRDefault="001E4032" w:rsidP="001E403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</w:p>
        </w:tc>
      </w:tr>
    </w:tbl>
    <w:p w14:paraId="7F41D3BA" w14:textId="50C585DC" w:rsidR="00715087" w:rsidRDefault="00715087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44AD399D" w14:textId="77777777" w:rsidR="00FB13A2" w:rsidRDefault="00FB13A2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61A98CBF" w14:textId="77777777" w:rsidR="00DD08C1" w:rsidRDefault="00DD08C1" w:rsidP="00D266A9">
      <w:pPr>
        <w:rPr>
          <w:rFonts w:ascii="Calibri" w:hAnsi="Calibri" w:cs="Calibri"/>
          <w:b/>
          <w:color w:val="13576B"/>
          <w:sz w:val="23"/>
          <w:szCs w:val="23"/>
        </w:rPr>
      </w:pPr>
    </w:p>
    <w:p w14:paraId="55AC6E8F" w14:textId="0C84E749" w:rsidR="00D266A9" w:rsidRPr="004B6A7C" w:rsidRDefault="00D266A9" w:rsidP="00D266A9">
      <w:pPr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 xml:space="preserve">Rok 2021 byl z pohledu </w:t>
      </w:r>
      <w:r w:rsidR="00E6160E">
        <w:rPr>
          <w:rFonts w:ascii="Calibri" w:hAnsi="Calibri" w:cs="Calibri"/>
          <w:b/>
          <w:color w:val="13576B"/>
          <w:sz w:val="23"/>
          <w:szCs w:val="23"/>
        </w:rPr>
        <w:t>poskytnutých hypoték zcela výjimečný</w:t>
      </w:r>
    </w:p>
    <w:p w14:paraId="226BE1E4" w14:textId="22010778" w:rsidR="0054574A" w:rsidRDefault="003E4312" w:rsidP="0001227F">
      <w:pPr>
        <w:rPr>
          <w:rFonts w:ascii="Calibri" w:hAnsi="Calibri" w:cs="Calibri"/>
          <w:b/>
          <w:color w:val="13576B"/>
          <w:sz w:val="22"/>
          <w:szCs w:val="22"/>
        </w:rPr>
      </w:pPr>
      <w:r w:rsidRPr="003E4312">
        <w:rPr>
          <w:rFonts w:ascii="Calibri" w:hAnsi="Calibri" w:cs="Calibri"/>
          <w:sz w:val="22"/>
          <w:szCs w:val="22"/>
        </w:rPr>
        <w:t>Za celý loňský rok bylo poskytnuto téměř 178 tisíc hypoték, o polovinu více než v roce 2020.</w:t>
      </w:r>
      <w:r w:rsidR="003A76ED">
        <w:rPr>
          <w:rFonts w:ascii="Calibri" w:hAnsi="Calibri" w:cs="Calibri"/>
          <w:sz w:val="22"/>
          <w:szCs w:val="22"/>
        </w:rPr>
        <w:t xml:space="preserve"> </w:t>
      </w:r>
      <w:r w:rsidR="00F11D60">
        <w:rPr>
          <w:rFonts w:ascii="Calibri" w:hAnsi="Calibri" w:cs="Calibri"/>
          <w:sz w:val="22"/>
          <w:szCs w:val="22"/>
        </w:rPr>
        <w:t xml:space="preserve">Celkový objem poskytnutých hypoték včetně refinancování dosáhl v roce 2021 rekordního objemu </w:t>
      </w:r>
      <w:r w:rsidR="00E95441">
        <w:rPr>
          <w:rFonts w:ascii="Calibri" w:hAnsi="Calibri" w:cs="Calibri"/>
          <w:sz w:val="22"/>
          <w:szCs w:val="22"/>
        </w:rPr>
        <w:t xml:space="preserve">541 mld. Kč, v roce 2020 činil objem 312 mld. Kč. </w:t>
      </w:r>
      <w:r w:rsidR="0059007C">
        <w:rPr>
          <w:rFonts w:ascii="Calibri" w:hAnsi="Calibri" w:cs="Calibri"/>
          <w:sz w:val="22"/>
          <w:szCs w:val="22"/>
        </w:rPr>
        <w:t xml:space="preserve">Obdobně </w:t>
      </w:r>
      <w:r w:rsidR="00112AA1">
        <w:rPr>
          <w:rFonts w:ascii="Calibri" w:hAnsi="Calibri" w:cs="Calibri"/>
          <w:sz w:val="22"/>
          <w:szCs w:val="22"/>
        </w:rPr>
        <w:t xml:space="preserve">silný meziroční růst byl pak patrný i v případě </w:t>
      </w:r>
      <w:r w:rsidR="00FD4587">
        <w:rPr>
          <w:rFonts w:ascii="Calibri" w:hAnsi="Calibri" w:cs="Calibri"/>
          <w:sz w:val="22"/>
          <w:szCs w:val="22"/>
        </w:rPr>
        <w:t>skutečně</w:t>
      </w:r>
      <w:r w:rsidR="00112AA1">
        <w:rPr>
          <w:rFonts w:ascii="Calibri" w:hAnsi="Calibri" w:cs="Calibri"/>
          <w:sz w:val="22"/>
          <w:szCs w:val="22"/>
        </w:rPr>
        <w:t xml:space="preserve"> nově poskytnutých hypoték</w:t>
      </w:r>
      <w:r w:rsidR="00FD4587">
        <w:rPr>
          <w:rFonts w:ascii="Calibri" w:hAnsi="Calibri" w:cs="Calibri"/>
          <w:sz w:val="22"/>
          <w:szCs w:val="22"/>
        </w:rPr>
        <w:t xml:space="preserve"> (bez refinancování a refixací)</w:t>
      </w:r>
      <w:r w:rsidR="00112AA1">
        <w:rPr>
          <w:rFonts w:ascii="Calibri" w:hAnsi="Calibri" w:cs="Calibri"/>
          <w:sz w:val="22"/>
          <w:szCs w:val="22"/>
        </w:rPr>
        <w:t xml:space="preserve">, </w:t>
      </w:r>
      <w:r w:rsidR="00742174">
        <w:rPr>
          <w:rFonts w:ascii="Calibri" w:hAnsi="Calibri" w:cs="Calibri"/>
          <w:sz w:val="22"/>
          <w:szCs w:val="22"/>
        </w:rPr>
        <w:t>které banky poskytly v minulém roce</w:t>
      </w:r>
      <w:r w:rsidR="007B129D">
        <w:rPr>
          <w:rFonts w:ascii="Calibri" w:hAnsi="Calibri" w:cs="Calibri"/>
          <w:sz w:val="22"/>
          <w:szCs w:val="22"/>
        </w:rPr>
        <w:t xml:space="preserve"> rovněž</w:t>
      </w:r>
      <w:r w:rsidR="00742174">
        <w:rPr>
          <w:rFonts w:ascii="Calibri" w:hAnsi="Calibri" w:cs="Calibri"/>
          <w:sz w:val="22"/>
          <w:szCs w:val="22"/>
        </w:rPr>
        <w:t xml:space="preserve"> v historicky rekordním objemu 379 mld. Kč.</w:t>
      </w:r>
      <w:r w:rsidR="00783455">
        <w:rPr>
          <w:rFonts w:ascii="Calibri" w:hAnsi="Calibri" w:cs="Calibri"/>
          <w:sz w:val="22"/>
          <w:szCs w:val="22"/>
        </w:rPr>
        <w:t xml:space="preserve"> Oproti roku 2020 to představuje meziroční ná</w:t>
      </w:r>
      <w:r w:rsidR="00BC5A14">
        <w:rPr>
          <w:rFonts w:ascii="Calibri" w:hAnsi="Calibri" w:cs="Calibri"/>
          <w:sz w:val="22"/>
          <w:szCs w:val="22"/>
        </w:rPr>
        <w:t xml:space="preserve">růst </w:t>
      </w:r>
      <w:r w:rsidR="00783455">
        <w:rPr>
          <w:rFonts w:ascii="Calibri" w:hAnsi="Calibri" w:cs="Calibri"/>
          <w:sz w:val="22"/>
          <w:szCs w:val="22"/>
        </w:rPr>
        <w:t>o 70 %</w:t>
      </w:r>
      <w:r w:rsidR="00BC5A14">
        <w:rPr>
          <w:rFonts w:ascii="Calibri" w:hAnsi="Calibri" w:cs="Calibri"/>
          <w:sz w:val="22"/>
          <w:szCs w:val="22"/>
        </w:rPr>
        <w:t xml:space="preserve">. </w:t>
      </w:r>
    </w:p>
    <w:p w14:paraId="695EB826" w14:textId="71CB844F" w:rsidR="00BE2CB6" w:rsidRDefault="00BE2CB6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279FCA3B" w14:textId="762438D5" w:rsidR="00BE2CB6" w:rsidRPr="00BE2CB6" w:rsidRDefault="00BE2CB6" w:rsidP="0001227F">
      <w:pPr>
        <w:rPr>
          <w:rFonts w:ascii="Calibri" w:hAnsi="Calibri" w:cs="Calibri"/>
          <w:sz w:val="22"/>
          <w:szCs w:val="22"/>
        </w:rPr>
      </w:pPr>
      <w:r w:rsidRPr="00BE2CB6">
        <w:rPr>
          <w:rFonts w:ascii="Calibri" w:hAnsi="Calibri" w:cs="Calibri"/>
          <w:sz w:val="22"/>
          <w:szCs w:val="22"/>
        </w:rPr>
        <w:t>„</w:t>
      </w:r>
      <w:r w:rsidRPr="009D3067">
        <w:rPr>
          <w:rFonts w:ascii="Calibri" w:hAnsi="Calibri" w:cs="Calibri"/>
          <w:i/>
          <w:iCs/>
          <w:sz w:val="22"/>
          <w:szCs w:val="22"/>
        </w:rPr>
        <w:t>V posledních měsících loňského roku jsme nezaznamenali menší zájem o hypotéky, obavy ze zdražení naopak urychlily rozhodování řady našich klientů. Průměrná úroková sazba hypoték rostla především v druhé polovině loňského roku a vyšplhala se k úrovni tří procent. Tento údaj však neodráží skutečné nabídkové ceny hypoték, které na konci roku dosáhly úrovně 4 % a v prvním pololetí roku 2022 pravděpodobně dále porostou. V roce 2022 očekáváme zpomalení trhu a návrat objemu nově poskytnutých hypoték k hodnotám roku 2020</w:t>
      </w:r>
      <w:r w:rsidRPr="00BE2CB6">
        <w:rPr>
          <w:rFonts w:ascii="Calibri" w:hAnsi="Calibri" w:cs="Calibri"/>
          <w:sz w:val="22"/>
          <w:szCs w:val="22"/>
        </w:rPr>
        <w:t xml:space="preserve">.“ uvedl Jiří </w:t>
      </w:r>
      <w:proofErr w:type="spellStart"/>
      <w:r w:rsidRPr="00BE2CB6">
        <w:rPr>
          <w:rFonts w:ascii="Calibri" w:hAnsi="Calibri" w:cs="Calibri"/>
          <w:sz w:val="22"/>
          <w:szCs w:val="22"/>
        </w:rPr>
        <w:t>Feix</w:t>
      </w:r>
      <w:proofErr w:type="spellEnd"/>
      <w:r w:rsidRPr="00BE2CB6">
        <w:rPr>
          <w:rFonts w:ascii="Calibri" w:hAnsi="Calibri" w:cs="Calibri"/>
          <w:sz w:val="22"/>
          <w:szCs w:val="22"/>
        </w:rPr>
        <w:t>, předsedy představenstva a generálního ředitele Hypoteční banky</w:t>
      </w:r>
    </w:p>
    <w:p w14:paraId="6FFC6DF8" w14:textId="4213AC12" w:rsidR="00BE2CB6" w:rsidRDefault="00BE2CB6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07BCF473" w14:textId="76FAA54F" w:rsidR="00BE2CB6" w:rsidRDefault="00BE2CB6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6539BCE8" w14:textId="77777777" w:rsidR="009D3067" w:rsidRPr="00824A84" w:rsidRDefault="009D3067" w:rsidP="009D306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13576B"/>
          <w:sz w:val="23"/>
          <w:szCs w:val="23"/>
        </w:rPr>
      </w:pPr>
      <w:r w:rsidRPr="00824A84">
        <w:rPr>
          <w:rFonts w:ascii="Calibri" w:hAnsi="Calibri" w:cs="Calibri"/>
          <w:b/>
          <w:color w:val="13576B"/>
          <w:sz w:val="23"/>
          <w:szCs w:val="23"/>
        </w:rPr>
        <w:t xml:space="preserve">Průměrná splátka hypotéky </w:t>
      </w:r>
      <w:r>
        <w:rPr>
          <w:rFonts w:ascii="Calibri" w:hAnsi="Calibri" w:cs="Calibri"/>
          <w:b/>
          <w:color w:val="13576B"/>
          <w:sz w:val="23"/>
          <w:szCs w:val="23"/>
        </w:rPr>
        <w:t xml:space="preserve">bude </w:t>
      </w:r>
      <w:r w:rsidRPr="00824A84">
        <w:rPr>
          <w:rFonts w:ascii="Calibri" w:hAnsi="Calibri" w:cs="Calibri"/>
          <w:b/>
          <w:color w:val="13576B"/>
          <w:sz w:val="23"/>
          <w:szCs w:val="23"/>
        </w:rPr>
        <w:t xml:space="preserve">růst </w:t>
      </w:r>
    </w:p>
    <w:p w14:paraId="7310FE59" w14:textId="59F1C67E" w:rsidR="009D3067" w:rsidRDefault="009D3067" w:rsidP="009D3067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>Průměrná výše hypotéky v</w:t>
      </w:r>
      <w:r w:rsidR="00412763">
        <w:rPr>
          <w:rFonts w:ascii="Calibri" w:hAnsi="Calibri" w:cs="Calibri"/>
          <w:sz w:val="22"/>
          <w:szCs w:val="22"/>
        </w:rPr>
        <w:t xml:space="preserve"> prosinci nepatrně poklesla, </w:t>
      </w:r>
      <w:r w:rsidR="00105ACC">
        <w:rPr>
          <w:rFonts w:ascii="Calibri" w:hAnsi="Calibri" w:cs="Calibri"/>
          <w:sz w:val="22"/>
          <w:szCs w:val="22"/>
        </w:rPr>
        <w:t xml:space="preserve">pohybovala se však na podobné úrovní jako v listopadu, a to kolem 3,45 mil Kč. </w:t>
      </w:r>
      <w:r>
        <w:rPr>
          <w:rFonts w:ascii="Calibri" w:hAnsi="Calibri" w:cs="Calibri"/>
          <w:sz w:val="22"/>
          <w:szCs w:val="22"/>
        </w:rPr>
        <w:t xml:space="preserve">S očekávaným růstem úrokových sazeb </w:t>
      </w:r>
      <w:r w:rsidR="003608A1">
        <w:rPr>
          <w:rFonts w:ascii="Calibri" w:hAnsi="Calibri" w:cs="Calibri"/>
          <w:sz w:val="22"/>
          <w:szCs w:val="22"/>
        </w:rPr>
        <w:t xml:space="preserve">se zvyšuje </w:t>
      </w:r>
      <w:r>
        <w:rPr>
          <w:rFonts w:ascii="Calibri" w:hAnsi="Calibri" w:cs="Calibri"/>
          <w:sz w:val="22"/>
          <w:szCs w:val="22"/>
        </w:rPr>
        <w:t xml:space="preserve">i měsíční splátka u nových či </w:t>
      </w:r>
      <w:proofErr w:type="spellStart"/>
      <w:r>
        <w:rPr>
          <w:rFonts w:ascii="Calibri" w:hAnsi="Calibri" w:cs="Calibri"/>
          <w:sz w:val="22"/>
          <w:szCs w:val="22"/>
        </w:rPr>
        <w:t>refixovaných</w:t>
      </w:r>
      <w:proofErr w:type="spellEnd"/>
      <w:r>
        <w:rPr>
          <w:rFonts w:ascii="Calibri" w:hAnsi="Calibri" w:cs="Calibri"/>
          <w:sz w:val="22"/>
          <w:szCs w:val="22"/>
        </w:rPr>
        <w:t xml:space="preserve"> úvěrů. Scénáře vývoje měsíční splátky pro různé délky splatnosti hypotéky</w:t>
      </w:r>
      <w:r w:rsidR="003608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udává tabulka č. 2. Z ní je patrné, že pokud se průměrná hypoteční sazba v</w:t>
      </w:r>
      <w:r w:rsidR="009F0349">
        <w:rPr>
          <w:rFonts w:ascii="Calibri" w:hAnsi="Calibri" w:cs="Calibri"/>
          <w:sz w:val="22"/>
          <w:szCs w:val="22"/>
        </w:rPr>
        <w:t xml:space="preserve"> letošním roce </w:t>
      </w:r>
      <w:r>
        <w:rPr>
          <w:rFonts w:ascii="Calibri" w:hAnsi="Calibri" w:cs="Calibri"/>
          <w:sz w:val="22"/>
          <w:szCs w:val="22"/>
        </w:rPr>
        <w:t xml:space="preserve">dostane k hranici </w:t>
      </w:r>
      <w:r w:rsidR="009F034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%, bude to pro průměrnou velikost hypotéky znamenat oproti současnosti nárůst měsíční splátky o </w:t>
      </w:r>
      <w:r w:rsidR="00316BAA">
        <w:rPr>
          <w:rFonts w:ascii="Calibri" w:hAnsi="Calibri" w:cs="Calibri"/>
          <w:sz w:val="22"/>
          <w:szCs w:val="22"/>
        </w:rPr>
        <w:t>3,5</w:t>
      </w:r>
      <w:r w:rsidR="0033298A">
        <w:rPr>
          <w:rFonts w:ascii="Calibri" w:hAnsi="Calibri" w:cs="Calibri"/>
          <w:sz w:val="22"/>
          <w:szCs w:val="22"/>
        </w:rPr>
        <w:t>–</w:t>
      </w:r>
      <w:r w:rsidR="00316BA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tisíce Kč</w:t>
      </w:r>
      <w:r w:rsidR="00316BAA">
        <w:rPr>
          <w:rFonts w:ascii="Calibri" w:hAnsi="Calibri" w:cs="Calibri"/>
          <w:sz w:val="22"/>
          <w:szCs w:val="22"/>
        </w:rPr>
        <w:t xml:space="preserve"> měsíčně. Ve srovnání s</w:t>
      </w:r>
      <w:r w:rsidR="0051570C">
        <w:rPr>
          <w:rFonts w:ascii="Calibri" w:hAnsi="Calibri" w:cs="Calibri"/>
          <w:sz w:val="22"/>
          <w:szCs w:val="22"/>
        </w:rPr>
        <w:t> </w:t>
      </w:r>
      <w:proofErr w:type="gramStart"/>
      <w:r w:rsidR="0051570C">
        <w:rPr>
          <w:rFonts w:ascii="Calibri" w:hAnsi="Calibri" w:cs="Calibri"/>
          <w:sz w:val="22"/>
          <w:szCs w:val="22"/>
        </w:rPr>
        <w:t>2%</w:t>
      </w:r>
      <w:proofErr w:type="gramEnd"/>
      <w:r w:rsidR="0051570C">
        <w:rPr>
          <w:rFonts w:ascii="Calibri" w:hAnsi="Calibri" w:cs="Calibri"/>
          <w:sz w:val="22"/>
          <w:szCs w:val="22"/>
        </w:rPr>
        <w:t xml:space="preserve"> úrokovou sazbou</w:t>
      </w:r>
      <w:r w:rsidR="009D0BF3">
        <w:rPr>
          <w:rFonts w:ascii="Calibri" w:hAnsi="Calibri" w:cs="Calibri"/>
          <w:sz w:val="22"/>
          <w:szCs w:val="22"/>
        </w:rPr>
        <w:t>, kter</w:t>
      </w:r>
      <w:r w:rsidR="00B472C9">
        <w:rPr>
          <w:rFonts w:ascii="Calibri" w:hAnsi="Calibri" w:cs="Calibri"/>
          <w:sz w:val="22"/>
          <w:szCs w:val="22"/>
        </w:rPr>
        <w:t>á</w:t>
      </w:r>
      <w:r w:rsidR="009D0BF3">
        <w:rPr>
          <w:rFonts w:ascii="Calibri" w:hAnsi="Calibri" w:cs="Calibri"/>
          <w:sz w:val="22"/>
          <w:szCs w:val="22"/>
        </w:rPr>
        <w:t xml:space="preserve"> byly na trhu běžn</w:t>
      </w:r>
      <w:r w:rsidR="00B472C9">
        <w:rPr>
          <w:rFonts w:ascii="Calibri" w:hAnsi="Calibri" w:cs="Calibri"/>
          <w:sz w:val="22"/>
          <w:szCs w:val="22"/>
        </w:rPr>
        <w:t>á</w:t>
      </w:r>
      <w:r w:rsidR="009D0BF3">
        <w:rPr>
          <w:rFonts w:ascii="Calibri" w:hAnsi="Calibri" w:cs="Calibri"/>
          <w:sz w:val="22"/>
          <w:szCs w:val="22"/>
        </w:rPr>
        <w:t xml:space="preserve"> v letech 2016 a 2017, </w:t>
      </w:r>
      <w:r w:rsidR="00E47328">
        <w:rPr>
          <w:rFonts w:ascii="Calibri" w:hAnsi="Calibri" w:cs="Calibri"/>
          <w:sz w:val="22"/>
          <w:szCs w:val="22"/>
        </w:rPr>
        <w:t>by</w:t>
      </w:r>
      <w:r w:rsidR="00557A53">
        <w:rPr>
          <w:rFonts w:ascii="Calibri" w:hAnsi="Calibri" w:cs="Calibri"/>
          <w:sz w:val="22"/>
          <w:szCs w:val="22"/>
        </w:rPr>
        <w:t xml:space="preserve"> hypoteční saz</w:t>
      </w:r>
      <w:r w:rsidR="00E47328">
        <w:rPr>
          <w:rFonts w:ascii="Calibri" w:hAnsi="Calibri" w:cs="Calibri"/>
          <w:sz w:val="22"/>
          <w:szCs w:val="22"/>
        </w:rPr>
        <w:t xml:space="preserve">by </w:t>
      </w:r>
      <w:r w:rsidR="00557A53">
        <w:rPr>
          <w:rFonts w:ascii="Calibri" w:hAnsi="Calibri" w:cs="Calibri"/>
          <w:sz w:val="22"/>
          <w:szCs w:val="22"/>
        </w:rPr>
        <w:t>na 5 % znamena</w:t>
      </w:r>
      <w:r w:rsidR="00E47328">
        <w:rPr>
          <w:rFonts w:ascii="Calibri" w:hAnsi="Calibri" w:cs="Calibri"/>
          <w:sz w:val="22"/>
          <w:szCs w:val="22"/>
        </w:rPr>
        <w:t>ly</w:t>
      </w:r>
      <w:r w:rsidR="00557A53">
        <w:rPr>
          <w:rFonts w:ascii="Calibri" w:hAnsi="Calibri" w:cs="Calibri"/>
          <w:sz w:val="22"/>
          <w:szCs w:val="22"/>
        </w:rPr>
        <w:t xml:space="preserve"> růst měsíční splátky u </w:t>
      </w:r>
      <w:r w:rsidR="0033298A">
        <w:rPr>
          <w:rFonts w:ascii="Calibri" w:hAnsi="Calibri" w:cs="Calibri"/>
          <w:sz w:val="22"/>
          <w:szCs w:val="22"/>
        </w:rPr>
        <w:t>průměrné</w:t>
      </w:r>
      <w:r w:rsidR="00557A53">
        <w:rPr>
          <w:rFonts w:ascii="Calibri" w:hAnsi="Calibri" w:cs="Calibri"/>
          <w:sz w:val="22"/>
          <w:szCs w:val="22"/>
        </w:rPr>
        <w:t xml:space="preserve"> hypotéky </w:t>
      </w:r>
      <w:r w:rsidR="0033298A">
        <w:rPr>
          <w:rFonts w:ascii="Calibri" w:hAnsi="Calibri" w:cs="Calibri"/>
          <w:sz w:val="22"/>
          <w:szCs w:val="22"/>
        </w:rPr>
        <w:t>o 5 až 6 tisíc Kč měsíčně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Style w:val="Znakapoznpodarou"/>
          <w:rFonts w:ascii="Calibri" w:hAnsi="Calibri" w:cs="Calibri"/>
          <w:sz w:val="22"/>
          <w:szCs w:val="22"/>
        </w:rPr>
        <w:footnoteReference w:id="2"/>
      </w:r>
    </w:p>
    <w:p w14:paraId="6DFA9603" w14:textId="77777777" w:rsidR="009D3067" w:rsidRDefault="009D3067" w:rsidP="009D3067">
      <w:pPr>
        <w:rPr>
          <w:rFonts w:ascii="Calibri" w:hAnsi="Calibri" w:cs="Calibri"/>
          <w:sz w:val="22"/>
          <w:szCs w:val="22"/>
        </w:rPr>
      </w:pPr>
    </w:p>
    <w:p w14:paraId="1A267256" w14:textId="77777777" w:rsidR="009D3067" w:rsidRPr="00383D10" w:rsidRDefault="009D3067" w:rsidP="009D3067">
      <w:pPr>
        <w:rPr>
          <w:rFonts w:ascii="Calibri" w:hAnsi="Calibri" w:cs="Calibri"/>
          <w:b/>
          <w:bCs/>
          <w:sz w:val="22"/>
          <w:szCs w:val="22"/>
        </w:rPr>
      </w:pPr>
      <w:r w:rsidRPr="00383D10">
        <w:rPr>
          <w:rFonts w:ascii="Calibri" w:hAnsi="Calibri" w:cs="Calibri"/>
          <w:b/>
          <w:bCs/>
          <w:sz w:val="22"/>
          <w:szCs w:val="22"/>
        </w:rPr>
        <w:t xml:space="preserve">Tabulka č.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383D10">
        <w:rPr>
          <w:rFonts w:ascii="Calibri" w:hAnsi="Calibri" w:cs="Calibri"/>
          <w:b/>
          <w:bCs/>
          <w:sz w:val="22"/>
          <w:szCs w:val="22"/>
        </w:rPr>
        <w:t>: Měsíční splátka průměrné hypotéky v závislosti na délce splatnosti a úrokové sazbě</w:t>
      </w:r>
    </w:p>
    <w:p w14:paraId="4FFD0F2E" w14:textId="77777777" w:rsidR="009D3067" w:rsidRDefault="009D3067" w:rsidP="009D306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C:\\Users\\trudicova\\Desktop\\CBA-Hypomonitor-2021-10.xlsx "Tabulka Splátky!R5C2:R13C8" \a \f 4 \h  \* MERGEFORMAT </w:instrText>
      </w:r>
      <w:r>
        <w:fldChar w:fldCharType="separate"/>
      </w:r>
    </w:p>
    <w:p w14:paraId="3A3C2B8E" w14:textId="77777777" w:rsidR="009D3067" w:rsidRDefault="009D3067" w:rsidP="009D3067">
      <w:pPr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fldChar w:fldCharType="end"/>
      </w: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31"/>
        <w:gridCol w:w="1460"/>
        <w:gridCol w:w="1045"/>
        <w:gridCol w:w="1045"/>
        <w:gridCol w:w="1045"/>
        <w:gridCol w:w="1045"/>
      </w:tblGrid>
      <w:tr w:rsidR="009D3067" w:rsidRPr="001E4032" w14:paraId="0145304C" w14:textId="77777777" w:rsidTr="00CD5D09">
        <w:trPr>
          <w:trHeight w:val="555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CA3E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velikost nové hypotéky v Kč: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E7654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0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4B21" w14:textId="6E1FB604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</w:t>
            </w:r>
            <w:r w:rsidR="007719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440</w:t>
            </w:r>
            <w:r w:rsidR="007719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708</w:t>
            </w:r>
          </w:p>
        </w:tc>
      </w:tr>
      <w:tr w:rsidR="009D3067" w:rsidRPr="001E4032" w14:paraId="10EBF047" w14:textId="77777777" w:rsidTr="00CD5D09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A7819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úroková sazba v %: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4287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2C7B" w14:textId="4DB101B0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  <w:r w:rsidR="007719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0CB632B1" w14:textId="7EF84D52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</w:t>
            </w:r>
            <w:r w:rsidR="007719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7922" w14:textId="26AA372E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</w:t>
            </w:r>
            <w:r w:rsidR="007719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D61C" w14:textId="1750571E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</w:t>
            </w:r>
            <w:r w:rsidR="007719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4B1F6" w14:textId="07C4AEA4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6</w:t>
            </w:r>
            <w:r w:rsidR="007719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,</w:t>
            </w: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D3067" w:rsidRPr="001E4032" w14:paraId="71BD00B2" w14:textId="77777777" w:rsidTr="00CD5D09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954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491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662B4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0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48F8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Měsíční splátka:</w:t>
            </w:r>
          </w:p>
        </w:tc>
      </w:tr>
      <w:tr w:rsidR="009D3067" w:rsidRPr="001E4032" w14:paraId="128B8957" w14:textId="77777777" w:rsidTr="00CD5D09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AC1D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Splatnost hypotéky v letech: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D3B1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EA37" w14:textId="21D52D51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739633AB" w14:textId="298E074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257" w14:textId="1EAD0CDB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25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911C" w14:textId="0B82603E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27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C286" w14:textId="200CB6E6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29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035</w:t>
            </w:r>
          </w:p>
        </w:tc>
      </w:tr>
      <w:tr w:rsidR="009D3067" w:rsidRPr="001E4032" w14:paraId="24DECCA1" w14:textId="77777777" w:rsidTr="00CD5D09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F6C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A49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D0E7" w14:textId="53E572D1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00CEF21B" w14:textId="5B610C71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19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B487" w14:textId="3C7C70F2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53CB" w14:textId="316B8588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734A" w14:textId="4A205141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24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650</w:t>
            </w:r>
          </w:p>
        </w:tc>
      </w:tr>
      <w:tr w:rsidR="009D3067" w:rsidRPr="001E4032" w14:paraId="5CAFD95D" w14:textId="77777777" w:rsidTr="00CD5D09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1CD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C9A0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C2C9" w14:textId="4B796159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3AFE73AF" w14:textId="126D9C02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D22C" w14:textId="254855B8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B468" w14:textId="0E421D14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CC20" w14:textId="6C215116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169</w:t>
            </w:r>
          </w:p>
        </w:tc>
      </w:tr>
      <w:tr w:rsidR="009D3067" w:rsidRPr="001E4032" w14:paraId="11920925" w14:textId="77777777" w:rsidTr="00CD5D09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BAA5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416D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EB9C" w14:textId="44F9360E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577480A2" w14:textId="1605466B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B333" w14:textId="2449A738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7808" w14:textId="0AE5DDE3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8FD8" w14:textId="0F9DD33C" w:rsidR="009D3067" w:rsidRPr="001E4032" w:rsidRDefault="009D3067" w:rsidP="00CD5D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</w:t>
            </w:r>
            <w:r w:rsidR="0077196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1E4032">
              <w:rPr>
                <w:rFonts w:ascii="Calibri Light" w:hAnsi="Calibri Light" w:cs="Calibri Light"/>
                <w:color w:val="000000"/>
                <w:sz w:val="22"/>
                <w:szCs w:val="22"/>
              </w:rPr>
              <w:t>629</w:t>
            </w:r>
          </w:p>
        </w:tc>
      </w:tr>
      <w:tr w:rsidR="009D3067" w:rsidRPr="001E4032" w14:paraId="660D4015" w14:textId="77777777" w:rsidTr="00CD5D09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258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  <w:r w:rsidRPr="001E4032">
              <w:rPr>
                <w:rFonts w:ascii="Calibri" w:hAnsi="Calibri" w:cs="Calibri"/>
                <w:color w:val="13576B"/>
                <w:sz w:val="22"/>
                <w:szCs w:val="22"/>
              </w:rPr>
              <w:t>Zdroj: ČBA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2C1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FAE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D2EE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3CF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CAD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6B3" w14:textId="77777777" w:rsidR="009D3067" w:rsidRPr="001E4032" w:rsidRDefault="009D3067" w:rsidP="00CD5D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08A4B71F" w14:textId="3A333A90" w:rsidR="00BE2CB6" w:rsidRDefault="00F132E8" w:rsidP="0001227F">
      <w:pPr>
        <w:rPr>
          <w:rFonts w:ascii="Calibri" w:hAnsi="Calibri" w:cs="Calibri"/>
          <w:color w:val="13576B"/>
          <w:sz w:val="22"/>
          <w:szCs w:val="22"/>
        </w:rPr>
      </w:pPr>
      <w:r w:rsidRPr="001E4032">
        <w:rPr>
          <w:rFonts w:ascii="Calibri" w:hAnsi="Calibri" w:cs="Calibri"/>
          <w:color w:val="13576B"/>
          <w:sz w:val="22"/>
          <w:szCs w:val="22"/>
        </w:rPr>
        <w:t xml:space="preserve">Pozn.: barevný sloupec odpovídá úrokové sazbě posledního ČBA </w:t>
      </w:r>
      <w:proofErr w:type="spellStart"/>
      <w:r w:rsidRPr="001E4032">
        <w:rPr>
          <w:rFonts w:ascii="Calibri" w:hAnsi="Calibri" w:cs="Calibri"/>
          <w:color w:val="13576B"/>
          <w:sz w:val="22"/>
          <w:szCs w:val="22"/>
        </w:rPr>
        <w:t>Hypomonitoru</w:t>
      </w:r>
      <w:proofErr w:type="spellEnd"/>
      <w:r w:rsidRPr="001E4032">
        <w:rPr>
          <w:rFonts w:ascii="Calibri" w:hAnsi="Calibri" w:cs="Calibri"/>
          <w:color w:val="13576B"/>
          <w:sz w:val="22"/>
          <w:szCs w:val="22"/>
        </w:rPr>
        <w:t>, ostatní úrokové sazby jsou ilustrační</w:t>
      </w:r>
    </w:p>
    <w:p w14:paraId="5A5A7330" w14:textId="0D9F3C0D" w:rsidR="00F132E8" w:rsidRDefault="00F132E8" w:rsidP="0001227F">
      <w:pPr>
        <w:rPr>
          <w:rFonts w:ascii="Calibri" w:hAnsi="Calibri" w:cs="Calibri"/>
          <w:color w:val="13576B"/>
          <w:sz w:val="22"/>
          <w:szCs w:val="22"/>
        </w:rPr>
      </w:pPr>
    </w:p>
    <w:p w14:paraId="30CF6F34" w14:textId="20E9E560" w:rsidR="00797EC1" w:rsidRDefault="00797EC1" w:rsidP="0001227F">
      <w:pPr>
        <w:rPr>
          <w:rFonts w:ascii="Calibri" w:hAnsi="Calibri" w:cs="Calibri"/>
          <w:color w:val="13576B"/>
          <w:sz w:val="22"/>
          <w:szCs w:val="22"/>
        </w:rPr>
      </w:pPr>
    </w:p>
    <w:p w14:paraId="4811524A" w14:textId="5B8EC67C" w:rsidR="00797EC1" w:rsidRDefault="00797EC1" w:rsidP="0001227F">
      <w:pPr>
        <w:rPr>
          <w:rFonts w:ascii="Calibri" w:hAnsi="Calibri" w:cs="Calibri"/>
          <w:color w:val="13576B"/>
          <w:sz w:val="22"/>
          <w:szCs w:val="22"/>
        </w:rPr>
      </w:pPr>
    </w:p>
    <w:p w14:paraId="0F616894" w14:textId="77777777" w:rsidR="00797EC1" w:rsidRDefault="00797EC1" w:rsidP="0001227F">
      <w:pPr>
        <w:rPr>
          <w:rFonts w:ascii="Calibri" w:hAnsi="Calibri" w:cs="Calibri"/>
          <w:color w:val="13576B"/>
          <w:sz w:val="22"/>
          <w:szCs w:val="22"/>
        </w:rPr>
      </w:pPr>
    </w:p>
    <w:p w14:paraId="72036768" w14:textId="77777777" w:rsidR="00F132E8" w:rsidRDefault="00F132E8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77C568AB" w14:textId="432183F4" w:rsidR="0001227F" w:rsidRPr="004B6A7C" w:rsidRDefault="0001227F" w:rsidP="0001227F">
      <w:pPr>
        <w:rPr>
          <w:rFonts w:ascii="Calibri" w:hAnsi="Calibri" w:cs="Calibri"/>
          <w:b/>
          <w:color w:val="13576B"/>
          <w:sz w:val="23"/>
          <w:szCs w:val="23"/>
        </w:rPr>
      </w:pPr>
      <w:r w:rsidRPr="004B6A7C">
        <w:rPr>
          <w:rFonts w:ascii="Calibri" w:hAnsi="Calibri" w:cs="Calibri"/>
          <w:b/>
          <w:color w:val="13576B"/>
          <w:sz w:val="23"/>
          <w:szCs w:val="23"/>
        </w:rPr>
        <w:t xml:space="preserve">ČBA </w:t>
      </w:r>
      <w:r w:rsidR="00336412">
        <w:rPr>
          <w:rFonts w:ascii="Calibri" w:hAnsi="Calibri" w:cs="Calibri"/>
          <w:b/>
          <w:color w:val="13576B"/>
          <w:sz w:val="23"/>
          <w:szCs w:val="23"/>
        </w:rPr>
        <w:t xml:space="preserve">zveřejňuje </w:t>
      </w:r>
      <w:r w:rsidRPr="004B6A7C">
        <w:rPr>
          <w:rFonts w:ascii="Calibri" w:hAnsi="Calibri" w:cs="Calibri"/>
          <w:b/>
          <w:color w:val="13576B"/>
          <w:sz w:val="23"/>
          <w:szCs w:val="23"/>
        </w:rPr>
        <w:t>nové souhrnné statistiky za celý bankovní trh</w:t>
      </w:r>
    </w:p>
    <w:p w14:paraId="6B4D5EA8" w14:textId="00EFA7B5" w:rsidR="0001227F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 xml:space="preserve">Česká bankovní asociace </w:t>
      </w:r>
      <w:r w:rsidR="00336412">
        <w:rPr>
          <w:rFonts w:ascii="Calibri" w:hAnsi="Calibri" w:cs="Calibri"/>
          <w:sz w:val="22"/>
          <w:szCs w:val="22"/>
        </w:rPr>
        <w:t>zveřejňuje</w:t>
      </w:r>
      <w:r w:rsidR="00336412" w:rsidRPr="0001227F">
        <w:rPr>
          <w:rFonts w:ascii="Calibri" w:hAnsi="Calibri" w:cs="Calibri"/>
          <w:sz w:val="22"/>
          <w:szCs w:val="22"/>
        </w:rPr>
        <w:t xml:space="preserve"> </w:t>
      </w:r>
      <w:r w:rsidRPr="0001227F">
        <w:rPr>
          <w:rFonts w:ascii="Calibri" w:hAnsi="Calibri" w:cs="Calibri"/>
          <w:sz w:val="22"/>
          <w:szCs w:val="22"/>
        </w:rPr>
        <w:t xml:space="preserve">ve spolupráci s členskými bankami nové souhrnné statistiky z trhu bydlení. Jde především o objemy a počty nově poskytnutých a refinancovaných hypoték a příslušnou úrokovou sazbu. Tyto statistiky </w:t>
      </w:r>
      <w:r w:rsidR="00336412">
        <w:rPr>
          <w:rFonts w:ascii="Calibri" w:hAnsi="Calibri" w:cs="Calibri"/>
          <w:sz w:val="22"/>
          <w:szCs w:val="22"/>
        </w:rPr>
        <w:t>publikuje ČBA</w:t>
      </w:r>
      <w:r w:rsidRPr="0001227F">
        <w:rPr>
          <w:rFonts w:ascii="Calibri" w:hAnsi="Calibri" w:cs="Calibri"/>
          <w:sz w:val="22"/>
          <w:szCs w:val="22"/>
        </w:rPr>
        <w:t xml:space="preserve"> v agregované podobě za celý bankovní sektor na pravidelné bázi vždy </w:t>
      </w:r>
      <w:r w:rsidR="006E7DC6">
        <w:rPr>
          <w:rFonts w:ascii="Calibri" w:hAnsi="Calibri" w:cs="Calibri"/>
          <w:sz w:val="22"/>
          <w:szCs w:val="22"/>
        </w:rPr>
        <w:t xml:space="preserve">zhruba </w:t>
      </w:r>
      <w:r w:rsidRPr="0001227F">
        <w:rPr>
          <w:rFonts w:ascii="Calibri" w:hAnsi="Calibri" w:cs="Calibri"/>
          <w:sz w:val="22"/>
          <w:szCs w:val="22"/>
        </w:rPr>
        <w:t xml:space="preserve">v polovině měsíce. Šetření se účastní všechny tuzemské banky a stavební spořitelny poskytující v ČR hypotéky. </w:t>
      </w:r>
      <w:r w:rsidR="007F299B">
        <w:rPr>
          <w:rFonts w:ascii="Calibri" w:hAnsi="Calibri" w:cs="Calibri"/>
          <w:sz w:val="22"/>
          <w:szCs w:val="22"/>
        </w:rPr>
        <w:t xml:space="preserve">Data </w:t>
      </w:r>
      <w:r w:rsidR="00E6160E">
        <w:rPr>
          <w:rFonts w:ascii="Calibri" w:hAnsi="Calibri" w:cs="Calibri"/>
          <w:sz w:val="22"/>
          <w:szCs w:val="22"/>
        </w:rPr>
        <w:t>jsou dos</w:t>
      </w:r>
      <w:r w:rsidR="00B91481">
        <w:rPr>
          <w:rFonts w:ascii="Calibri" w:hAnsi="Calibri" w:cs="Calibri"/>
          <w:sz w:val="22"/>
          <w:szCs w:val="22"/>
        </w:rPr>
        <w:t xml:space="preserve">tupná od ledna roku 2020 </w:t>
      </w:r>
      <w:r w:rsidR="007F299B">
        <w:rPr>
          <w:rFonts w:ascii="Calibri" w:hAnsi="Calibri" w:cs="Calibri"/>
          <w:sz w:val="22"/>
          <w:szCs w:val="22"/>
        </w:rPr>
        <w:t>v</w:t>
      </w:r>
      <w:r w:rsidR="0040474A">
        <w:rPr>
          <w:rFonts w:ascii="Calibri" w:hAnsi="Calibri" w:cs="Calibri"/>
          <w:sz w:val="22"/>
          <w:szCs w:val="22"/>
        </w:rPr>
        <w:t> přiloženém souboru</w:t>
      </w:r>
      <w:r w:rsidR="003F12D5">
        <w:rPr>
          <w:rFonts w:ascii="Calibri" w:hAnsi="Calibri" w:cs="Calibri"/>
          <w:sz w:val="22"/>
          <w:szCs w:val="22"/>
        </w:rPr>
        <w:t xml:space="preserve"> na stránkách cbaonline.cz</w:t>
      </w:r>
      <w:r w:rsidR="00B91481">
        <w:rPr>
          <w:rFonts w:ascii="Calibri" w:hAnsi="Calibri" w:cs="Calibri"/>
          <w:sz w:val="22"/>
          <w:szCs w:val="22"/>
        </w:rPr>
        <w:t>, kde lze také</w:t>
      </w:r>
      <w:r w:rsidR="0040474A">
        <w:rPr>
          <w:rFonts w:ascii="Calibri" w:hAnsi="Calibri" w:cs="Calibri"/>
          <w:sz w:val="22"/>
          <w:szCs w:val="22"/>
        </w:rPr>
        <w:t xml:space="preserve"> příslušné statistiky </w:t>
      </w:r>
      <w:r w:rsidR="00B91481">
        <w:rPr>
          <w:rFonts w:ascii="Calibri" w:hAnsi="Calibri" w:cs="Calibri"/>
          <w:sz w:val="22"/>
          <w:szCs w:val="22"/>
        </w:rPr>
        <w:t xml:space="preserve">najít </w:t>
      </w:r>
      <w:r w:rsidR="0040474A">
        <w:rPr>
          <w:rFonts w:ascii="Calibri" w:hAnsi="Calibri" w:cs="Calibri"/>
          <w:sz w:val="22"/>
          <w:szCs w:val="22"/>
        </w:rPr>
        <w:t>zvlášť pro banky a stavební spořitelny. Výše uvedené hodnoty jsou pro sektor jako celek.</w:t>
      </w:r>
    </w:p>
    <w:p w14:paraId="27450794" w14:textId="1E408EB6" w:rsidR="0001227F" w:rsidRDefault="0001227F" w:rsidP="0001227F">
      <w:pPr>
        <w:rPr>
          <w:rFonts w:ascii="Calibri" w:hAnsi="Calibri" w:cs="Calibri"/>
          <w:sz w:val="22"/>
          <w:szCs w:val="22"/>
        </w:rPr>
      </w:pPr>
    </w:p>
    <w:p w14:paraId="2DAF9CB5" w14:textId="451B9542" w:rsidR="0001227F" w:rsidRDefault="0001227F" w:rsidP="0001227F">
      <w:pPr>
        <w:rPr>
          <w:rFonts w:ascii="Calibri" w:hAnsi="Calibri" w:cs="Calibri"/>
          <w:sz w:val="22"/>
          <w:szCs w:val="22"/>
        </w:rPr>
      </w:pPr>
    </w:p>
    <w:p w14:paraId="4E39E615" w14:textId="1E3C9D0E" w:rsidR="0001227F" w:rsidRDefault="0001227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B9C4AA3" w14:textId="02D575E5" w:rsidR="00C42F00" w:rsidRPr="0001227F" w:rsidRDefault="0001227F" w:rsidP="0001227F">
      <w:pPr>
        <w:rPr>
          <w:rFonts w:ascii="Calibri" w:hAnsi="Calibri" w:cs="Calibri"/>
          <w:i/>
          <w:iCs/>
          <w:sz w:val="20"/>
        </w:rPr>
      </w:pPr>
      <w:r w:rsidRPr="0001227F">
        <w:rPr>
          <w:rFonts w:ascii="Calibri" w:hAnsi="Calibri" w:cs="Calibri"/>
          <w:i/>
          <w:iCs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5DA650" wp14:editId="757BC2D9">
                <wp:simplePos x="0" y="0"/>
                <wp:positionH relativeFrom="column">
                  <wp:posOffset>-52705</wp:posOffset>
                </wp:positionH>
                <wp:positionV relativeFrom="paragraph">
                  <wp:posOffset>25400</wp:posOffset>
                </wp:positionV>
                <wp:extent cx="6574790" cy="51892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518922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287C" w14:textId="77777777" w:rsid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23681E4" w14:textId="20B4FCBA" w:rsidR="0001227F" w:rsidRPr="00E818C3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Metodika ČBA </w:t>
                            </w:r>
                            <w:proofErr w:type="spellStart"/>
                            <w:r w:rsidRPr="00E818C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Hypomonitoru</w:t>
                            </w:r>
                            <w:proofErr w:type="spellEnd"/>
                          </w:p>
                          <w:p w14:paraId="7401467C" w14:textId="77777777" w:rsidR="00414AD4" w:rsidRPr="007C6225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1021EABD" w14:textId="16015784" w:rsidR="0001227F" w:rsidRPr="007C6225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ČBA </w:t>
                            </w:r>
                            <w:proofErr w:type="spellStart"/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Hypomonitor</w:t>
                            </w:r>
                            <w:proofErr w:type="spellEnd"/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  <w:r w:rsidR="00FB47DE"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rozděluje poskytnuté hypoteční úvěry </w:t>
                            </w:r>
                            <w:r w:rsidR="00810DCF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bank a stavebních spořitelen</w:t>
                            </w:r>
                            <w:r w:rsidR="00B426A2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domácnostem</w:t>
                            </w:r>
                            <w:r w:rsidR="00810DCF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do několika kategorií tak, aby byly rozlišeny nové úvěry od refinancovaných či interních refixací</w:t>
                            </w:r>
                            <w:r w:rsidR="000B70C8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Nové úvěry jsou 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pak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vykazovány v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kategoriích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dle účelu úvěru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:</w:t>
                            </w:r>
                          </w:p>
                          <w:p w14:paraId="58E707E8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227247A" w14:textId="11714118" w:rsidR="0001227F" w:rsidRPr="00E818C3" w:rsidRDefault="00E818C3" w:rsidP="00E818C3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1227F"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Nové úvěry</w:t>
                            </w:r>
                          </w:p>
                          <w:p w14:paraId="22AF3257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Jsou úvěry, jejichž celý objem poprvé vstupuje do ekonomiky. Do této kategorie nepatří konsolidace úvěrů anebo refinancování úvěrů. Dělí se do tří kategorií:</w:t>
                            </w:r>
                          </w:p>
                          <w:p w14:paraId="362AFB2A" w14:textId="77777777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Nákup nemovitosti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9F23FA5" w14:textId="6EE96893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Výstavba nemovitosti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včetně rekonstrukce nemovitosti </w:t>
                            </w:r>
                          </w:p>
                          <w:p w14:paraId="4D80580F" w14:textId="11E0715F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Ostatní nová ujednání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</w:t>
                            </w:r>
                            <w:proofErr w:type="gramStart"/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podílu,</w:t>
                            </w:r>
                            <w:proofErr w:type="gramEnd"/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atp.</w:t>
                            </w:r>
                          </w:p>
                          <w:p w14:paraId="4FBF1D5A" w14:textId="77777777" w:rsidR="0001227F" w:rsidRPr="0001227F" w:rsidRDefault="0001227F" w:rsidP="0001227F">
                            <w:pPr>
                              <w:spacing w:line="276" w:lineRule="auto"/>
                              <w:ind w:left="708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1D5E0BB" w14:textId="7D112C27" w:rsidR="0001227F" w:rsidRPr="0001227F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01227F" w:rsidRPr="000122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Refinancované úvěry z jiné finanční instituce</w:t>
                            </w:r>
                          </w:p>
                          <w:p w14:paraId="351B5A60" w14:textId="0B5DCBB6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vznikly refinancováním jednoho nebo více úvěrů z jiné finanční instituce než </w:t>
                            </w:r>
                            <w:r w:rsidR="0097319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té</w:t>
                            </w: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vykazující. Bez ohledu na výši refinancované částky a bez ohledu na výši případného navýšení se celková výše nově vzniklého úvěru vykazuje do této kategorie. </w:t>
                            </w:r>
                          </w:p>
                          <w:p w14:paraId="7566D2D6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4B36444" w14:textId="4F20B25F" w:rsidR="0001227F" w:rsidRPr="000C045B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3. </w:t>
                            </w:r>
                            <w:r w:rsidR="0001227F" w:rsidRPr="000122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Navý</w:t>
                            </w:r>
                            <w:r w:rsidR="0001227F" w:rsidRPr="000C045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šené anebo interně refinancované úvěry</w:t>
                            </w:r>
                          </w:p>
                          <w:p w14:paraId="711A3661" w14:textId="2A271010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C045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již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byly </w:t>
                            </w:r>
                            <w:r w:rsidR="00647A7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v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předchozí</w:t>
                            </w:r>
                            <w:r w:rsidR="007903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vykazované</w:t>
                            </w:r>
                            <w:r w:rsidR="007903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období součástí portfolia</w:t>
                            </w:r>
                            <w:r w:rsidRPr="000C045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vykazujícího</w:t>
                            </w: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subjektu, a ve vykazovaném období u nich došlo k některé z následujících změn:</w:t>
                            </w:r>
                          </w:p>
                          <w:p w14:paraId="4A6B00C0" w14:textId="77777777" w:rsidR="00E818C3" w:rsidRDefault="0001227F" w:rsidP="0001227F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navýšení sjednané částky </w:t>
                            </w:r>
                          </w:p>
                          <w:p w14:paraId="44682079" w14:textId="72C23671" w:rsidR="0001227F" w:rsidRDefault="0001227F" w:rsidP="0001227F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došlo k takovým změnám, že původní úvěr byl v rámci vykazujícího subjektu refinancován/převeden na nový úvěr. </w:t>
                            </w:r>
                            <w:r w:rsidR="00E7422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de</w:t>
                            </w:r>
                            <w:r w:rsidR="00CD28E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tak o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skutečně </w:t>
                            </w:r>
                            <w:r w:rsidR="00E7422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novou smlouvu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nikoli např. jen </w:t>
                            </w:r>
                            <w:r w:rsidR="007B79F6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nové ujednání v rámci refi</w:t>
                            </w:r>
                            <w:r w:rsidR="000F02C1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xace 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stávající smlouvy. Proto je objem takových úvěru ve statistice ČBA nižší oproti „ostatním novým ujednáním“ ve statistice České </w:t>
                            </w:r>
                            <w:r w:rsidR="002D3F9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árodní </w:t>
                            </w:r>
                            <w:r w:rsidR="002D3F9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anky.</w:t>
                            </w:r>
                          </w:p>
                          <w:p w14:paraId="1FAF8B9B" w14:textId="4C474A58" w:rsidR="006F08E1" w:rsidRDefault="006F08E1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5FC0189" w14:textId="014392A6" w:rsidR="006F08E1" w:rsidRPr="006F08E1" w:rsidRDefault="001F49EA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Data pro ČBA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Hypomonitor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poskytují následující banky a stavební spořitelny: Air Bank, Banka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Creditas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Česká spořitelna, ČSOB, ČSOB Stavební spořitelna,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Equa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bank, Fio banka, Hypoteční banka, Komerční banka, mBank, Modrá pyramida, MONETA Money Bank, MONETA Stavební spořitelna,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Oberbank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Raiffeisen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stavební spořitelna, Raiffeisenbank, Sberbank, Stavební spořitelna České spořitelny, UniCredit Bank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A6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15pt;margin-top:2pt;width:517.7pt;height:40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" fillcolor="#13576b" stroked="f">
                <v:fill opacity="54998f"/>
                <v:textbox>
                  <w:txbxContent>
                    <w:p w14:paraId="5A50287C" w14:textId="77777777" w:rsid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23681E4" w14:textId="20B4FCBA" w:rsidR="0001227F" w:rsidRPr="00E818C3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Metodika ČBA </w:t>
                      </w:r>
                      <w:proofErr w:type="spellStart"/>
                      <w:r w:rsidRPr="00E818C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Hypomonitoru</w:t>
                      </w:r>
                      <w:proofErr w:type="spellEnd"/>
                    </w:p>
                    <w:p w14:paraId="7401467C" w14:textId="77777777" w:rsidR="00414AD4" w:rsidRPr="007C6225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</w:p>
                    <w:p w14:paraId="1021EABD" w14:textId="16015784" w:rsidR="0001227F" w:rsidRPr="007C6225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ČBA </w:t>
                      </w:r>
                      <w:proofErr w:type="spellStart"/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Hypomonitor</w:t>
                      </w:r>
                      <w:proofErr w:type="spellEnd"/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  <w:r w:rsidR="00FB47DE"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rozděluje poskytnuté hypoteční úvěry </w:t>
                      </w:r>
                      <w:r w:rsidR="00810DCF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bank a stavebních spořitelen</w:t>
                      </w:r>
                      <w:r w:rsidR="00B426A2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domácnostem</w:t>
                      </w:r>
                      <w:r w:rsidR="00810DCF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do několika kategorií tak, aby byly rozlišeny nové úvěry od refinancovaných či interních refixací</w:t>
                      </w:r>
                      <w:r w:rsidR="000B70C8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Nové úvěry jsou 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pak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vykazovány v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kategoriích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dle účelu úvěru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:</w:t>
                      </w:r>
                    </w:p>
                    <w:p w14:paraId="58E707E8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227247A" w14:textId="11714118" w:rsidR="0001227F" w:rsidRPr="00E818C3" w:rsidRDefault="00E818C3" w:rsidP="00E818C3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 </w:t>
                      </w:r>
                      <w:r w:rsidR="0001227F"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Nové úvěry</w:t>
                      </w:r>
                    </w:p>
                    <w:p w14:paraId="22AF3257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>Jsou úvěry, jejichž celý objem poprvé vstupuje do ekonomiky. Do této kategorie nepatří konsolidace úvěrů anebo refinancování úvěrů. Dělí se do tří kategorií:</w:t>
                      </w:r>
                    </w:p>
                    <w:p w14:paraId="362AFB2A" w14:textId="77777777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Nákup nemovitosti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</w:p>
                    <w:p w14:paraId="29F23FA5" w14:textId="6EE96893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Výstavba nemovitosti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včetně rekonstrukce nemovitosti </w:t>
                      </w:r>
                    </w:p>
                    <w:p w14:paraId="4D80580F" w14:textId="11E0715F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Ostatní nová ujednání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podílu, atp.</w:t>
                      </w:r>
                    </w:p>
                    <w:p w14:paraId="4FBF1D5A" w14:textId="77777777" w:rsidR="0001227F" w:rsidRPr="0001227F" w:rsidRDefault="0001227F" w:rsidP="0001227F">
                      <w:pPr>
                        <w:spacing w:line="276" w:lineRule="auto"/>
                        <w:ind w:left="708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1D5E0BB" w14:textId="7D112C27" w:rsidR="0001227F" w:rsidRPr="0001227F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2. </w:t>
                      </w:r>
                      <w:r w:rsidR="0001227F" w:rsidRPr="0001227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Refinancované úvěry z jiné finanční instituce</w:t>
                      </w:r>
                    </w:p>
                    <w:p w14:paraId="351B5A60" w14:textId="0B5DCBB6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vznikly refinancováním jednoho nebo více úvěrů z jiné finanční instituce než </w:t>
                      </w:r>
                      <w:r w:rsidR="00973197">
                        <w:rPr>
                          <w:rFonts w:ascii="Calibri" w:hAnsi="Calibri" w:cs="Calibri"/>
                          <w:color w:val="FFFFFF" w:themeColor="background1"/>
                        </w:rPr>
                        <w:t>té</w:t>
                      </w: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vykazující. Bez ohledu na výši refinancované částky a bez ohledu na výši případného navýšení se celková výše nově vzniklého úvěru vykazuje do této kategorie. </w:t>
                      </w:r>
                    </w:p>
                    <w:p w14:paraId="7566D2D6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4B36444" w14:textId="4F20B25F" w:rsidR="0001227F" w:rsidRPr="000C045B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3. </w:t>
                      </w:r>
                      <w:r w:rsidR="0001227F" w:rsidRPr="0001227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Navý</w:t>
                      </w:r>
                      <w:r w:rsidR="0001227F" w:rsidRPr="000C045B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šené anebo interně refinancované úvěry</w:t>
                      </w:r>
                    </w:p>
                    <w:p w14:paraId="711A3661" w14:textId="2A271010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C045B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již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byly </w:t>
                      </w:r>
                      <w:r w:rsidR="00647A7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v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>předchozí</w:t>
                      </w:r>
                      <w:r w:rsidR="0079039B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vykazované</w:t>
                      </w:r>
                      <w:r w:rsidR="0079039B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období součástí portfolia</w:t>
                      </w:r>
                      <w:r w:rsidRPr="000C045B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vykazujícího</w:t>
                      </w: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subjektu, a ve vykazovaném období u nich došlo k některé z následujících změn:</w:t>
                      </w:r>
                    </w:p>
                    <w:p w14:paraId="4A6B00C0" w14:textId="77777777" w:rsidR="00E818C3" w:rsidRDefault="0001227F" w:rsidP="000122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navýšení sjednané částky </w:t>
                      </w:r>
                    </w:p>
                    <w:p w14:paraId="44682079" w14:textId="72C23671" w:rsidR="0001227F" w:rsidRDefault="0001227F" w:rsidP="000122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došlo k takovým změnám, že původní úvěr byl v rámci vykazujícího subjektu refinancován/převeden na nový úvěr. </w:t>
                      </w:r>
                      <w:r w:rsidR="00E74228">
                        <w:rPr>
                          <w:rFonts w:ascii="Calibri" w:hAnsi="Calibri" w:cs="Calibri"/>
                          <w:color w:val="FFFFFF" w:themeColor="background1"/>
                        </w:rPr>
                        <w:t>J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>de</w:t>
                      </w:r>
                      <w:r w:rsidR="00CD28E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tak o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skutečně </w:t>
                      </w:r>
                      <w:r w:rsidR="00E74228">
                        <w:rPr>
                          <w:rFonts w:ascii="Calibri" w:hAnsi="Calibri" w:cs="Calibri"/>
                          <w:color w:val="FFFFFF" w:themeColor="background1"/>
                        </w:rPr>
                        <w:t>novou smlouvu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nikoli např. jen </w:t>
                      </w:r>
                      <w:r w:rsidR="007B79F6">
                        <w:rPr>
                          <w:rFonts w:ascii="Calibri" w:hAnsi="Calibri" w:cs="Calibri"/>
                          <w:color w:val="FFFFFF" w:themeColor="background1"/>
                        </w:rPr>
                        <w:t>nové ujednání v rámci refi</w:t>
                      </w:r>
                      <w:r w:rsidR="000F02C1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xace 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stávající smlouvy. Proto je objem takových úvěru ve statistice ČBA nižší oproti „ostatním novým ujednáním“ ve statistice České </w:t>
                      </w:r>
                      <w:r w:rsidR="002D3F94">
                        <w:rPr>
                          <w:rFonts w:ascii="Calibri" w:hAnsi="Calibri" w:cs="Calibri"/>
                          <w:color w:val="FFFFFF" w:themeColor="background1"/>
                        </w:rPr>
                        <w:t>n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árodní </w:t>
                      </w:r>
                      <w:r w:rsidR="002D3F94">
                        <w:rPr>
                          <w:rFonts w:ascii="Calibri" w:hAnsi="Calibri" w:cs="Calibri"/>
                          <w:color w:val="FFFFFF" w:themeColor="background1"/>
                        </w:rPr>
                        <w:t>b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>anky.</w:t>
                      </w:r>
                    </w:p>
                    <w:p w14:paraId="1FAF8B9B" w14:textId="4C474A58" w:rsidR="006F08E1" w:rsidRDefault="006F08E1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5FC0189" w14:textId="014392A6" w:rsidR="006F08E1" w:rsidRPr="006F08E1" w:rsidRDefault="001F49EA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Data pro ČBA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Hypomonitor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poskytují následující banky a stavební spořitelny: Air Bank, Banka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Creditas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Česká spořitelna, ČSOB, ČSOB Stavební spořitelna,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Equa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bank, Fio banka, Hypoteční banka, Komerční banka, mBank, Modrá pyramida, MONETA Money Bank, MONETA Stavební spořitelna,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Oberbank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Raiffeisen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stavební spořitelna, Raiffeisenbank, Sberbank, Stavební spořitelna České spořitelny, UniCredit Bank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8C3">
        <w:rPr>
          <w:rFonts w:ascii="Calibri" w:hAnsi="Calibri" w:cs="Calibri"/>
          <w:i/>
          <w:iCs/>
          <w:sz w:val="20"/>
        </w:rPr>
        <w:t xml:space="preserve"> </w:t>
      </w:r>
    </w:p>
    <w:p w14:paraId="03609C5E" w14:textId="1B8DE88E" w:rsidR="00EF607A" w:rsidRPr="0001227F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2E1F4E3A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="002D4720" w:rsidRPr="002D4720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6B644300" w:rsidR="0065124E" w:rsidRPr="002D4720" w:rsidRDefault="006021B4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Markéta Dvořáčková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6FA61A64" w:rsidR="0065124E" w:rsidRPr="002D4720" w:rsidRDefault="00D83D34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marketa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dvorackova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6B644300" w:rsidR="0065124E" w:rsidRPr="002D4720" w:rsidRDefault="006021B4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Markéta Dvořáčková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6FA61A64" w:rsidR="0065124E" w:rsidRPr="002D4720" w:rsidRDefault="00D83D34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marketa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dvorackova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4084CDD3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12BEC237" w:rsidR="00C42F00" w:rsidRPr="0001227F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01227F" w:rsidSect="0001227F">
      <w:headerReference w:type="default" r:id="rId11"/>
      <w:footerReference w:type="default" r:id="rId12"/>
      <w:pgSz w:w="11906" w:h="16838"/>
      <w:pgMar w:top="2552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D83D" w14:textId="77777777" w:rsidR="00A13DB8" w:rsidRDefault="00A13DB8" w:rsidP="00F573F1">
      <w:r>
        <w:separator/>
      </w:r>
    </w:p>
  </w:endnote>
  <w:endnote w:type="continuationSeparator" w:id="0">
    <w:p w14:paraId="24D08304" w14:textId="77777777" w:rsidR="00A13DB8" w:rsidRDefault="00A13DB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5C06" w14:textId="77777777" w:rsidR="00A13DB8" w:rsidRDefault="00A13DB8" w:rsidP="00F573F1">
      <w:r>
        <w:separator/>
      </w:r>
    </w:p>
  </w:footnote>
  <w:footnote w:type="continuationSeparator" w:id="0">
    <w:p w14:paraId="76F1BF51" w14:textId="77777777" w:rsidR="00A13DB8" w:rsidRDefault="00A13DB8" w:rsidP="00F573F1">
      <w:r>
        <w:continuationSeparator/>
      </w:r>
    </w:p>
  </w:footnote>
  <w:footnote w:id="1">
    <w:p w14:paraId="012372BD" w14:textId="77777777" w:rsidR="00597DD9" w:rsidRPr="007C6225" w:rsidRDefault="00597DD9" w:rsidP="00597DD9">
      <w:pPr>
        <w:pStyle w:val="Textpoznpodarou"/>
        <w:rPr>
          <w:rFonts w:ascii="Calibri" w:hAnsi="Calibri" w:cs="Calibri"/>
          <w:sz w:val="17"/>
          <w:szCs w:val="17"/>
        </w:rPr>
      </w:pPr>
      <w:r w:rsidRPr="007C6225">
        <w:rPr>
          <w:rStyle w:val="Znakapoznpodarou"/>
          <w:rFonts w:ascii="Calibri" w:hAnsi="Calibri" w:cs="Calibri"/>
          <w:sz w:val="17"/>
          <w:szCs w:val="17"/>
        </w:rPr>
        <w:footnoteRef/>
      </w:r>
      <w:r w:rsidRPr="007C6225">
        <w:rPr>
          <w:rFonts w:ascii="Calibri" w:hAnsi="Calibri" w:cs="Calibri"/>
          <w:sz w:val="17"/>
          <w:szCs w:val="17"/>
        </w:rPr>
        <w:t xml:space="preserve"> Jedná se především o dlouholeté úrokové swapy (</w:t>
      </w:r>
      <w:proofErr w:type="spellStart"/>
      <w:r w:rsidRPr="007C6225">
        <w:rPr>
          <w:rFonts w:ascii="Calibri" w:hAnsi="Calibri" w:cs="Calibri"/>
          <w:sz w:val="17"/>
          <w:szCs w:val="17"/>
        </w:rPr>
        <w:t>interest</w:t>
      </w:r>
      <w:proofErr w:type="spellEnd"/>
      <w:r w:rsidRPr="007C6225">
        <w:rPr>
          <w:rFonts w:ascii="Calibri" w:hAnsi="Calibri" w:cs="Calibri"/>
          <w:sz w:val="17"/>
          <w:szCs w:val="17"/>
        </w:rPr>
        <w:t xml:space="preserve"> </w:t>
      </w:r>
      <w:proofErr w:type="spellStart"/>
      <w:r w:rsidRPr="007C6225">
        <w:rPr>
          <w:rFonts w:ascii="Calibri" w:hAnsi="Calibri" w:cs="Calibri"/>
          <w:sz w:val="17"/>
          <w:szCs w:val="17"/>
        </w:rPr>
        <w:t>rate</w:t>
      </w:r>
      <w:proofErr w:type="spellEnd"/>
      <w:r w:rsidRPr="007C6225">
        <w:rPr>
          <w:rFonts w:ascii="Calibri" w:hAnsi="Calibri" w:cs="Calibri"/>
          <w:sz w:val="17"/>
          <w:szCs w:val="17"/>
        </w:rPr>
        <w:t xml:space="preserve"> swap, IRS), které odráží cenu peněz v delších splatnostech, například 5 až 10 let. </w:t>
      </w:r>
      <w:r>
        <w:rPr>
          <w:rFonts w:ascii="Calibri" w:hAnsi="Calibri" w:cs="Calibri"/>
          <w:sz w:val="17"/>
          <w:szCs w:val="17"/>
        </w:rPr>
        <w:t>Téměř polovina hypoték se totiž v posledních letech poskytne s fixací úrokové sazby mezi 5 až 10 lety.</w:t>
      </w:r>
    </w:p>
  </w:footnote>
  <w:footnote w:id="2">
    <w:p w14:paraId="2560422B" w14:textId="6BF1ABEF" w:rsidR="009D3067" w:rsidRDefault="009D3067" w:rsidP="009D30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815BB">
        <w:rPr>
          <w:rFonts w:asciiTheme="majorHAnsi" w:hAnsiTheme="majorHAnsi" w:cstheme="majorHAnsi"/>
          <w:sz w:val="17"/>
          <w:szCs w:val="17"/>
        </w:rPr>
        <w:t xml:space="preserve">Tabulka je k dispozici v souboru </w:t>
      </w:r>
      <w:proofErr w:type="spellStart"/>
      <w:r w:rsidRPr="00F815BB">
        <w:rPr>
          <w:rFonts w:asciiTheme="majorHAnsi" w:hAnsiTheme="majorHAnsi" w:cstheme="majorHAnsi"/>
          <w:sz w:val="17"/>
          <w:szCs w:val="17"/>
        </w:rPr>
        <w:t>xls</w:t>
      </w:r>
      <w:proofErr w:type="spellEnd"/>
      <w:r w:rsidRPr="00F815BB">
        <w:rPr>
          <w:rFonts w:asciiTheme="majorHAnsi" w:hAnsiTheme="majorHAnsi" w:cstheme="majorHAnsi"/>
          <w:sz w:val="17"/>
          <w:szCs w:val="17"/>
        </w:rPr>
        <w:t xml:space="preserve"> přiloženém na webových stránkách </w:t>
      </w:r>
      <w:r w:rsidR="00B472C9">
        <w:rPr>
          <w:rFonts w:asciiTheme="majorHAnsi" w:hAnsiTheme="majorHAnsi" w:cstheme="majorHAnsi"/>
          <w:sz w:val="17"/>
          <w:szCs w:val="17"/>
        </w:rPr>
        <w:t>prosincového</w:t>
      </w:r>
      <w:r w:rsidRPr="00F815BB">
        <w:rPr>
          <w:rFonts w:asciiTheme="majorHAnsi" w:hAnsiTheme="majorHAnsi" w:cstheme="majorHAnsi"/>
          <w:sz w:val="17"/>
          <w:szCs w:val="17"/>
        </w:rPr>
        <w:t xml:space="preserve"> </w:t>
      </w:r>
      <w:r w:rsidRPr="00A811D6">
        <w:rPr>
          <w:rFonts w:asciiTheme="majorHAnsi" w:hAnsiTheme="majorHAnsi" w:cstheme="majorHAnsi"/>
          <w:sz w:val="17"/>
          <w:szCs w:val="17"/>
        </w:rPr>
        <w:t>ČBA</w:t>
      </w:r>
      <w:r w:rsidRPr="00F815BB">
        <w:rPr>
          <w:rFonts w:asciiTheme="majorHAnsi" w:hAnsiTheme="majorHAnsi" w:cstheme="majorHAnsi"/>
          <w:sz w:val="17"/>
          <w:szCs w:val="17"/>
        </w:rPr>
        <w:t xml:space="preserve"> </w:t>
      </w:r>
      <w:proofErr w:type="spellStart"/>
      <w:r w:rsidRPr="00F815BB">
        <w:rPr>
          <w:rFonts w:asciiTheme="majorHAnsi" w:hAnsiTheme="majorHAnsi" w:cstheme="majorHAnsi"/>
          <w:sz w:val="17"/>
          <w:szCs w:val="17"/>
        </w:rPr>
        <w:t>Hypomonitoru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01858377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111583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1B67A9B9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FC2710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3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</w:t>
                          </w:r>
                          <w:r w:rsidR="00BC5A14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6DE097" id="_x0000_s1030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1B67A9B9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FC2710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3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</w:t>
                    </w:r>
                    <w:r w:rsidR="00BC5A14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76"/>
    <w:multiLevelType w:val="hybridMultilevel"/>
    <w:tmpl w:val="6D52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083"/>
    <w:multiLevelType w:val="hybridMultilevel"/>
    <w:tmpl w:val="3C58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06843DC"/>
    <w:multiLevelType w:val="hybridMultilevel"/>
    <w:tmpl w:val="3E4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4"/>
  </w:num>
  <w:num w:numId="5">
    <w:abstractNumId w:val="4"/>
  </w:num>
  <w:num w:numId="6">
    <w:abstractNumId w:val="23"/>
  </w:num>
  <w:num w:numId="7">
    <w:abstractNumId w:val="6"/>
  </w:num>
  <w:num w:numId="8">
    <w:abstractNumId w:val="28"/>
  </w:num>
  <w:num w:numId="9">
    <w:abstractNumId w:val="5"/>
  </w:num>
  <w:num w:numId="10">
    <w:abstractNumId w:val="24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20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21"/>
  </w:num>
  <w:num w:numId="25">
    <w:abstractNumId w:val="16"/>
  </w:num>
  <w:num w:numId="26">
    <w:abstractNumId w:val="13"/>
  </w:num>
  <w:num w:numId="27">
    <w:abstractNumId w:val="26"/>
  </w:num>
  <w:num w:numId="28">
    <w:abstractNumId w:val="7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1E72"/>
    <w:rsid w:val="0000363D"/>
    <w:rsid w:val="000054D2"/>
    <w:rsid w:val="00006C79"/>
    <w:rsid w:val="00010564"/>
    <w:rsid w:val="000118C2"/>
    <w:rsid w:val="0001227F"/>
    <w:rsid w:val="00015933"/>
    <w:rsid w:val="000159E5"/>
    <w:rsid w:val="000176E6"/>
    <w:rsid w:val="00020581"/>
    <w:rsid w:val="00020ED0"/>
    <w:rsid w:val="00020FE5"/>
    <w:rsid w:val="000213CC"/>
    <w:rsid w:val="00023E9F"/>
    <w:rsid w:val="0002473E"/>
    <w:rsid w:val="000264B4"/>
    <w:rsid w:val="00027B22"/>
    <w:rsid w:val="00027BAD"/>
    <w:rsid w:val="00031478"/>
    <w:rsid w:val="00037707"/>
    <w:rsid w:val="00043889"/>
    <w:rsid w:val="00044002"/>
    <w:rsid w:val="000444EA"/>
    <w:rsid w:val="0004612A"/>
    <w:rsid w:val="00047DF1"/>
    <w:rsid w:val="000509DD"/>
    <w:rsid w:val="00050AF7"/>
    <w:rsid w:val="00051A5B"/>
    <w:rsid w:val="00052C6A"/>
    <w:rsid w:val="00053780"/>
    <w:rsid w:val="00053EE4"/>
    <w:rsid w:val="000559DE"/>
    <w:rsid w:val="000563EB"/>
    <w:rsid w:val="00056A4F"/>
    <w:rsid w:val="00057396"/>
    <w:rsid w:val="000606C6"/>
    <w:rsid w:val="00060D7F"/>
    <w:rsid w:val="00072447"/>
    <w:rsid w:val="000733AD"/>
    <w:rsid w:val="0007445A"/>
    <w:rsid w:val="0007638A"/>
    <w:rsid w:val="00081E35"/>
    <w:rsid w:val="000842AE"/>
    <w:rsid w:val="00086094"/>
    <w:rsid w:val="00091B3B"/>
    <w:rsid w:val="0009491E"/>
    <w:rsid w:val="00097293"/>
    <w:rsid w:val="000A2C3B"/>
    <w:rsid w:val="000A3ECF"/>
    <w:rsid w:val="000A4D59"/>
    <w:rsid w:val="000A664C"/>
    <w:rsid w:val="000B2005"/>
    <w:rsid w:val="000B4C8F"/>
    <w:rsid w:val="000B51A4"/>
    <w:rsid w:val="000B70C8"/>
    <w:rsid w:val="000B79A4"/>
    <w:rsid w:val="000C045B"/>
    <w:rsid w:val="000C12F1"/>
    <w:rsid w:val="000C234E"/>
    <w:rsid w:val="000C4910"/>
    <w:rsid w:val="000C502F"/>
    <w:rsid w:val="000C5651"/>
    <w:rsid w:val="000D1749"/>
    <w:rsid w:val="000D1D61"/>
    <w:rsid w:val="000D32BB"/>
    <w:rsid w:val="000D4F26"/>
    <w:rsid w:val="000D56F1"/>
    <w:rsid w:val="000D5D2B"/>
    <w:rsid w:val="000D684D"/>
    <w:rsid w:val="000E0B50"/>
    <w:rsid w:val="000E0C43"/>
    <w:rsid w:val="000E2B4E"/>
    <w:rsid w:val="000E4ABC"/>
    <w:rsid w:val="000E563F"/>
    <w:rsid w:val="000E59CE"/>
    <w:rsid w:val="000F02C1"/>
    <w:rsid w:val="000F02FD"/>
    <w:rsid w:val="000F4318"/>
    <w:rsid w:val="000F61F5"/>
    <w:rsid w:val="000F70CA"/>
    <w:rsid w:val="0010268F"/>
    <w:rsid w:val="0010277A"/>
    <w:rsid w:val="00103662"/>
    <w:rsid w:val="00105ACC"/>
    <w:rsid w:val="00107915"/>
    <w:rsid w:val="00110C31"/>
    <w:rsid w:val="001126B2"/>
    <w:rsid w:val="00112AA1"/>
    <w:rsid w:val="0011443F"/>
    <w:rsid w:val="00115D53"/>
    <w:rsid w:val="00116F4B"/>
    <w:rsid w:val="00117860"/>
    <w:rsid w:val="00122810"/>
    <w:rsid w:val="00122CC4"/>
    <w:rsid w:val="0012351B"/>
    <w:rsid w:val="00123FF9"/>
    <w:rsid w:val="001253CC"/>
    <w:rsid w:val="00131E94"/>
    <w:rsid w:val="00132EE9"/>
    <w:rsid w:val="001348D9"/>
    <w:rsid w:val="001361CA"/>
    <w:rsid w:val="00136D3A"/>
    <w:rsid w:val="00136FC5"/>
    <w:rsid w:val="0013716D"/>
    <w:rsid w:val="00140E10"/>
    <w:rsid w:val="001438F4"/>
    <w:rsid w:val="00143DCC"/>
    <w:rsid w:val="00144D53"/>
    <w:rsid w:val="00145E7A"/>
    <w:rsid w:val="00146F46"/>
    <w:rsid w:val="0015125A"/>
    <w:rsid w:val="0015295E"/>
    <w:rsid w:val="00152A73"/>
    <w:rsid w:val="00157080"/>
    <w:rsid w:val="001622C2"/>
    <w:rsid w:val="001633ED"/>
    <w:rsid w:val="00163F5F"/>
    <w:rsid w:val="00165DDC"/>
    <w:rsid w:val="0017388B"/>
    <w:rsid w:val="0017441E"/>
    <w:rsid w:val="00175A85"/>
    <w:rsid w:val="00175E6C"/>
    <w:rsid w:val="00176C20"/>
    <w:rsid w:val="0018097B"/>
    <w:rsid w:val="00180A13"/>
    <w:rsid w:val="00182C97"/>
    <w:rsid w:val="00183066"/>
    <w:rsid w:val="00183FB4"/>
    <w:rsid w:val="00184412"/>
    <w:rsid w:val="001906F3"/>
    <w:rsid w:val="00195C6D"/>
    <w:rsid w:val="00196F95"/>
    <w:rsid w:val="0019772B"/>
    <w:rsid w:val="001A05A9"/>
    <w:rsid w:val="001A2623"/>
    <w:rsid w:val="001A46CC"/>
    <w:rsid w:val="001A6304"/>
    <w:rsid w:val="001B1060"/>
    <w:rsid w:val="001B5F14"/>
    <w:rsid w:val="001B7154"/>
    <w:rsid w:val="001C091C"/>
    <w:rsid w:val="001C2261"/>
    <w:rsid w:val="001C266E"/>
    <w:rsid w:val="001C49DC"/>
    <w:rsid w:val="001C6945"/>
    <w:rsid w:val="001C7200"/>
    <w:rsid w:val="001C7F88"/>
    <w:rsid w:val="001D169B"/>
    <w:rsid w:val="001D2ECE"/>
    <w:rsid w:val="001D39E5"/>
    <w:rsid w:val="001D3C90"/>
    <w:rsid w:val="001D5BB9"/>
    <w:rsid w:val="001D6B1A"/>
    <w:rsid w:val="001D7365"/>
    <w:rsid w:val="001E15FD"/>
    <w:rsid w:val="001E27B8"/>
    <w:rsid w:val="001E31AB"/>
    <w:rsid w:val="001E4032"/>
    <w:rsid w:val="001E432A"/>
    <w:rsid w:val="001E5169"/>
    <w:rsid w:val="001E6F5D"/>
    <w:rsid w:val="001F3DF4"/>
    <w:rsid w:val="001F49EA"/>
    <w:rsid w:val="001F5CF7"/>
    <w:rsid w:val="001F6A78"/>
    <w:rsid w:val="001F7B28"/>
    <w:rsid w:val="00201DDA"/>
    <w:rsid w:val="00203021"/>
    <w:rsid w:val="00203A7B"/>
    <w:rsid w:val="002045A5"/>
    <w:rsid w:val="0020667A"/>
    <w:rsid w:val="00207AE7"/>
    <w:rsid w:val="002105A2"/>
    <w:rsid w:val="002137B0"/>
    <w:rsid w:val="00216187"/>
    <w:rsid w:val="00217881"/>
    <w:rsid w:val="0022075B"/>
    <w:rsid w:val="00221F77"/>
    <w:rsid w:val="00221FF5"/>
    <w:rsid w:val="00222917"/>
    <w:rsid w:val="00224E2B"/>
    <w:rsid w:val="00225F51"/>
    <w:rsid w:val="0022648E"/>
    <w:rsid w:val="00226F32"/>
    <w:rsid w:val="00227ACD"/>
    <w:rsid w:val="00227C82"/>
    <w:rsid w:val="002375B2"/>
    <w:rsid w:val="00237A71"/>
    <w:rsid w:val="00242D73"/>
    <w:rsid w:val="002443DF"/>
    <w:rsid w:val="00244923"/>
    <w:rsid w:val="002472A6"/>
    <w:rsid w:val="00247512"/>
    <w:rsid w:val="00247A4D"/>
    <w:rsid w:val="0025305E"/>
    <w:rsid w:val="00253D09"/>
    <w:rsid w:val="00254CA2"/>
    <w:rsid w:val="00256268"/>
    <w:rsid w:val="002567A3"/>
    <w:rsid w:val="00260B2C"/>
    <w:rsid w:val="0026106F"/>
    <w:rsid w:val="00262B7F"/>
    <w:rsid w:val="00264C92"/>
    <w:rsid w:val="00266980"/>
    <w:rsid w:val="00267ACA"/>
    <w:rsid w:val="00270A4E"/>
    <w:rsid w:val="00272177"/>
    <w:rsid w:val="00275209"/>
    <w:rsid w:val="00280D31"/>
    <w:rsid w:val="00283681"/>
    <w:rsid w:val="00290498"/>
    <w:rsid w:val="00291656"/>
    <w:rsid w:val="00296021"/>
    <w:rsid w:val="0029774E"/>
    <w:rsid w:val="00297B85"/>
    <w:rsid w:val="002A02A1"/>
    <w:rsid w:val="002A04EB"/>
    <w:rsid w:val="002A07F7"/>
    <w:rsid w:val="002A2CE3"/>
    <w:rsid w:val="002A31A1"/>
    <w:rsid w:val="002A3CF3"/>
    <w:rsid w:val="002A3F7E"/>
    <w:rsid w:val="002A4191"/>
    <w:rsid w:val="002A6290"/>
    <w:rsid w:val="002B4617"/>
    <w:rsid w:val="002B4641"/>
    <w:rsid w:val="002B5069"/>
    <w:rsid w:val="002B724C"/>
    <w:rsid w:val="002C0719"/>
    <w:rsid w:val="002C2C2B"/>
    <w:rsid w:val="002C30D4"/>
    <w:rsid w:val="002C513E"/>
    <w:rsid w:val="002D1376"/>
    <w:rsid w:val="002D2A30"/>
    <w:rsid w:val="002D3F94"/>
    <w:rsid w:val="002D4720"/>
    <w:rsid w:val="002D49FB"/>
    <w:rsid w:val="002D4A25"/>
    <w:rsid w:val="002D4DF8"/>
    <w:rsid w:val="002E0041"/>
    <w:rsid w:val="002E1390"/>
    <w:rsid w:val="002E2498"/>
    <w:rsid w:val="002E4CA1"/>
    <w:rsid w:val="002E5E57"/>
    <w:rsid w:val="002E6312"/>
    <w:rsid w:val="002E6C7C"/>
    <w:rsid w:val="002F1752"/>
    <w:rsid w:val="002F2FAA"/>
    <w:rsid w:val="002F477C"/>
    <w:rsid w:val="002F4CDA"/>
    <w:rsid w:val="002F557F"/>
    <w:rsid w:val="003028DC"/>
    <w:rsid w:val="003077DD"/>
    <w:rsid w:val="003111F3"/>
    <w:rsid w:val="003142AD"/>
    <w:rsid w:val="00314CF6"/>
    <w:rsid w:val="00315F32"/>
    <w:rsid w:val="00316BAA"/>
    <w:rsid w:val="00320811"/>
    <w:rsid w:val="00324743"/>
    <w:rsid w:val="00324769"/>
    <w:rsid w:val="003253AF"/>
    <w:rsid w:val="00327407"/>
    <w:rsid w:val="00327CB6"/>
    <w:rsid w:val="0033298A"/>
    <w:rsid w:val="00335341"/>
    <w:rsid w:val="00336412"/>
    <w:rsid w:val="00337157"/>
    <w:rsid w:val="003411DB"/>
    <w:rsid w:val="00341D86"/>
    <w:rsid w:val="003444F4"/>
    <w:rsid w:val="00345842"/>
    <w:rsid w:val="00346684"/>
    <w:rsid w:val="003472AF"/>
    <w:rsid w:val="003508FE"/>
    <w:rsid w:val="00351369"/>
    <w:rsid w:val="00356FF7"/>
    <w:rsid w:val="0035718C"/>
    <w:rsid w:val="003608A1"/>
    <w:rsid w:val="003608FD"/>
    <w:rsid w:val="0036420C"/>
    <w:rsid w:val="00366057"/>
    <w:rsid w:val="003677E2"/>
    <w:rsid w:val="0037051F"/>
    <w:rsid w:val="003707E0"/>
    <w:rsid w:val="00370F35"/>
    <w:rsid w:val="003725F0"/>
    <w:rsid w:val="003732C7"/>
    <w:rsid w:val="003739F0"/>
    <w:rsid w:val="003742A8"/>
    <w:rsid w:val="003749A5"/>
    <w:rsid w:val="00376918"/>
    <w:rsid w:val="00376F07"/>
    <w:rsid w:val="00380502"/>
    <w:rsid w:val="00380788"/>
    <w:rsid w:val="00381524"/>
    <w:rsid w:val="00383D10"/>
    <w:rsid w:val="00384170"/>
    <w:rsid w:val="003847A3"/>
    <w:rsid w:val="00386E7F"/>
    <w:rsid w:val="00391C4B"/>
    <w:rsid w:val="00391FA6"/>
    <w:rsid w:val="003952ED"/>
    <w:rsid w:val="00396DEC"/>
    <w:rsid w:val="00396F9D"/>
    <w:rsid w:val="00397430"/>
    <w:rsid w:val="003A0443"/>
    <w:rsid w:val="003A0F5E"/>
    <w:rsid w:val="003A424B"/>
    <w:rsid w:val="003A5636"/>
    <w:rsid w:val="003A623D"/>
    <w:rsid w:val="003A76ED"/>
    <w:rsid w:val="003B0433"/>
    <w:rsid w:val="003B04C1"/>
    <w:rsid w:val="003B2C84"/>
    <w:rsid w:val="003B3074"/>
    <w:rsid w:val="003B4F01"/>
    <w:rsid w:val="003B519E"/>
    <w:rsid w:val="003B5E6F"/>
    <w:rsid w:val="003C0B1B"/>
    <w:rsid w:val="003C1195"/>
    <w:rsid w:val="003C12B6"/>
    <w:rsid w:val="003C373E"/>
    <w:rsid w:val="003C3D7F"/>
    <w:rsid w:val="003C6326"/>
    <w:rsid w:val="003C6D87"/>
    <w:rsid w:val="003D079C"/>
    <w:rsid w:val="003D224C"/>
    <w:rsid w:val="003D45D4"/>
    <w:rsid w:val="003E14DF"/>
    <w:rsid w:val="003E382B"/>
    <w:rsid w:val="003E3DCB"/>
    <w:rsid w:val="003E4312"/>
    <w:rsid w:val="003E4ADE"/>
    <w:rsid w:val="003E5891"/>
    <w:rsid w:val="003F021E"/>
    <w:rsid w:val="003F03DF"/>
    <w:rsid w:val="003F12D5"/>
    <w:rsid w:val="003F1CB9"/>
    <w:rsid w:val="003F2050"/>
    <w:rsid w:val="003F37CA"/>
    <w:rsid w:val="003F7F31"/>
    <w:rsid w:val="004009B6"/>
    <w:rsid w:val="00401CD3"/>
    <w:rsid w:val="00401F79"/>
    <w:rsid w:val="00402778"/>
    <w:rsid w:val="00402FA1"/>
    <w:rsid w:val="00403744"/>
    <w:rsid w:val="0040474A"/>
    <w:rsid w:val="00412186"/>
    <w:rsid w:val="00412763"/>
    <w:rsid w:val="00413258"/>
    <w:rsid w:val="0041355F"/>
    <w:rsid w:val="00414181"/>
    <w:rsid w:val="0041427D"/>
    <w:rsid w:val="00414AD4"/>
    <w:rsid w:val="0041521E"/>
    <w:rsid w:val="00416763"/>
    <w:rsid w:val="0041745A"/>
    <w:rsid w:val="00422B81"/>
    <w:rsid w:val="00423E0D"/>
    <w:rsid w:val="004257BB"/>
    <w:rsid w:val="00425B3B"/>
    <w:rsid w:val="004279BD"/>
    <w:rsid w:val="004325D3"/>
    <w:rsid w:val="00435176"/>
    <w:rsid w:val="004371EE"/>
    <w:rsid w:val="00437589"/>
    <w:rsid w:val="00442170"/>
    <w:rsid w:val="004444EE"/>
    <w:rsid w:val="00444BDA"/>
    <w:rsid w:val="00445609"/>
    <w:rsid w:val="004464CF"/>
    <w:rsid w:val="004476C2"/>
    <w:rsid w:val="00451368"/>
    <w:rsid w:val="004555E6"/>
    <w:rsid w:val="00460772"/>
    <w:rsid w:val="00461E79"/>
    <w:rsid w:val="00462717"/>
    <w:rsid w:val="004641CC"/>
    <w:rsid w:val="0046651A"/>
    <w:rsid w:val="004714FB"/>
    <w:rsid w:val="00471B86"/>
    <w:rsid w:val="00471D6F"/>
    <w:rsid w:val="00472210"/>
    <w:rsid w:val="00475D5E"/>
    <w:rsid w:val="00475F13"/>
    <w:rsid w:val="00476A2A"/>
    <w:rsid w:val="0047757F"/>
    <w:rsid w:val="00477AF5"/>
    <w:rsid w:val="00477CEB"/>
    <w:rsid w:val="0048354D"/>
    <w:rsid w:val="0048489E"/>
    <w:rsid w:val="00486858"/>
    <w:rsid w:val="00490E1A"/>
    <w:rsid w:val="00492636"/>
    <w:rsid w:val="00495C6A"/>
    <w:rsid w:val="004979BF"/>
    <w:rsid w:val="004A1724"/>
    <w:rsid w:val="004A2349"/>
    <w:rsid w:val="004A435C"/>
    <w:rsid w:val="004A53BB"/>
    <w:rsid w:val="004A5D84"/>
    <w:rsid w:val="004A6CE0"/>
    <w:rsid w:val="004A74F4"/>
    <w:rsid w:val="004B1175"/>
    <w:rsid w:val="004B1766"/>
    <w:rsid w:val="004B19DD"/>
    <w:rsid w:val="004B3889"/>
    <w:rsid w:val="004B564F"/>
    <w:rsid w:val="004B6A7C"/>
    <w:rsid w:val="004B7ECE"/>
    <w:rsid w:val="004C0A56"/>
    <w:rsid w:val="004C4C1F"/>
    <w:rsid w:val="004C50BF"/>
    <w:rsid w:val="004C629B"/>
    <w:rsid w:val="004C693B"/>
    <w:rsid w:val="004C751A"/>
    <w:rsid w:val="004C7E8B"/>
    <w:rsid w:val="004D0B15"/>
    <w:rsid w:val="004D3E58"/>
    <w:rsid w:val="004D4333"/>
    <w:rsid w:val="004D6531"/>
    <w:rsid w:val="004E011D"/>
    <w:rsid w:val="004E1AC6"/>
    <w:rsid w:val="004E26E2"/>
    <w:rsid w:val="004E3070"/>
    <w:rsid w:val="004E4B5B"/>
    <w:rsid w:val="004E5E51"/>
    <w:rsid w:val="004E668A"/>
    <w:rsid w:val="004F4632"/>
    <w:rsid w:val="004F5C1C"/>
    <w:rsid w:val="004F6CFB"/>
    <w:rsid w:val="004F6EA8"/>
    <w:rsid w:val="004F70A7"/>
    <w:rsid w:val="005019FE"/>
    <w:rsid w:val="005069C2"/>
    <w:rsid w:val="00510EB1"/>
    <w:rsid w:val="0051164C"/>
    <w:rsid w:val="00512176"/>
    <w:rsid w:val="0051437A"/>
    <w:rsid w:val="0051449F"/>
    <w:rsid w:val="0051508B"/>
    <w:rsid w:val="0051570C"/>
    <w:rsid w:val="00517111"/>
    <w:rsid w:val="005208BD"/>
    <w:rsid w:val="00521FF6"/>
    <w:rsid w:val="00527681"/>
    <w:rsid w:val="00530967"/>
    <w:rsid w:val="00530DE6"/>
    <w:rsid w:val="00531FAE"/>
    <w:rsid w:val="0053589B"/>
    <w:rsid w:val="0053659F"/>
    <w:rsid w:val="00537D95"/>
    <w:rsid w:val="00543780"/>
    <w:rsid w:val="0054574A"/>
    <w:rsid w:val="00546646"/>
    <w:rsid w:val="0054665C"/>
    <w:rsid w:val="00552694"/>
    <w:rsid w:val="0055377C"/>
    <w:rsid w:val="00554717"/>
    <w:rsid w:val="00555261"/>
    <w:rsid w:val="00556DE6"/>
    <w:rsid w:val="00557A53"/>
    <w:rsid w:val="00561ED7"/>
    <w:rsid w:val="00563855"/>
    <w:rsid w:val="005642DD"/>
    <w:rsid w:val="00564453"/>
    <w:rsid w:val="0056611F"/>
    <w:rsid w:val="005666D7"/>
    <w:rsid w:val="00571BEE"/>
    <w:rsid w:val="00571C08"/>
    <w:rsid w:val="00571C69"/>
    <w:rsid w:val="00573F62"/>
    <w:rsid w:val="00576C13"/>
    <w:rsid w:val="00576CF4"/>
    <w:rsid w:val="00577164"/>
    <w:rsid w:val="00577D9F"/>
    <w:rsid w:val="00580391"/>
    <w:rsid w:val="005818DE"/>
    <w:rsid w:val="00581CC1"/>
    <w:rsid w:val="00584718"/>
    <w:rsid w:val="00584D4C"/>
    <w:rsid w:val="00587350"/>
    <w:rsid w:val="00587BA9"/>
    <w:rsid w:val="0059007C"/>
    <w:rsid w:val="00591A31"/>
    <w:rsid w:val="0059556C"/>
    <w:rsid w:val="00597DD9"/>
    <w:rsid w:val="005A0ACF"/>
    <w:rsid w:val="005A0C34"/>
    <w:rsid w:val="005A2501"/>
    <w:rsid w:val="005A34B6"/>
    <w:rsid w:val="005A3E34"/>
    <w:rsid w:val="005A44FF"/>
    <w:rsid w:val="005A51C6"/>
    <w:rsid w:val="005A576D"/>
    <w:rsid w:val="005A5BAB"/>
    <w:rsid w:val="005A7E09"/>
    <w:rsid w:val="005B08A6"/>
    <w:rsid w:val="005B0F27"/>
    <w:rsid w:val="005B2CB5"/>
    <w:rsid w:val="005B3439"/>
    <w:rsid w:val="005B5E17"/>
    <w:rsid w:val="005C1943"/>
    <w:rsid w:val="005C22C2"/>
    <w:rsid w:val="005C501A"/>
    <w:rsid w:val="005C6D52"/>
    <w:rsid w:val="005C7858"/>
    <w:rsid w:val="005C7A9A"/>
    <w:rsid w:val="005C7FCE"/>
    <w:rsid w:val="005D11A5"/>
    <w:rsid w:val="005D4BC8"/>
    <w:rsid w:val="005D55D6"/>
    <w:rsid w:val="005D593D"/>
    <w:rsid w:val="005D6E43"/>
    <w:rsid w:val="005D769A"/>
    <w:rsid w:val="005E092E"/>
    <w:rsid w:val="005E1DD8"/>
    <w:rsid w:val="005E1EA0"/>
    <w:rsid w:val="005E1F6F"/>
    <w:rsid w:val="005E4132"/>
    <w:rsid w:val="005E58E1"/>
    <w:rsid w:val="005E5F8B"/>
    <w:rsid w:val="005F0EC7"/>
    <w:rsid w:val="005F4B41"/>
    <w:rsid w:val="005F4F2A"/>
    <w:rsid w:val="005F5099"/>
    <w:rsid w:val="005F73A6"/>
    <w:rsid w:val="00600D9B"/>
    <w:rsid w:val="0060128D"/>
    <w:rsid w:val="006021B4"/>
    <w:rsid w:val="00602BDA"/>
    <w:rsid w:val="0060305B"/>
    <w:rsid w:val="0060308F"/>
    <w:rsid w:val="0060552B"/>
    <w:rsid w:val="00606E04"/>
    <w:rsid w:val="00611C5C"/>
    <w:rsid w:val="006131E9"/>
    <w:rsid w:val="0061392C"/>
    <w:rsid w:val="00617E42"/>
    <w:rsid w:val="006203EC"/>
    <w:rsid w:val="00622191"/>
    <w:rsid w:val="00622D62"/>
    <w:rsid w:val="0062336F"/>
    <w:rsid w:val="00623D41"/>
    <w:rsid w:val="00624A28"/>
    <w:rsid w:val="006264F1"/>
    <w:rsid w:val="00626AF4"/>
    <w:rsid w:val="00626CB1"/>
    <w:rsid w:val="00627894"/>
    <w:rsid w:val="00627FF6"/>
    <w:rsid w:val="0063314F"/>
    <w:rsid w:val="00636E18"/>
    <w:rsid w:val="00637228"/>
    <w:rsid w:val="0064225E"/>
    <w:rsid w:val="0064298D"/>
    <w:rsid w:val="0064364F"/>
    <w:rsid w:val="006445A3"/>
    <w:rsid w:val="00647A7A"/>
    <w:rsid w:val="00650724"/>
    <w:rsid w:val="0065124E"/>
    <w:rsid w:val="006513A0"/>
    <w:rsid w:val="00652C4F"/>
    <w:rsid w:val="00654F37"/>
    <w:rsid w:val="00656ABE"/>
    <w:rsid w:val="0066000B"/>
    <w:rsid w:val="00661C43"/>
    <w:rsid w:val="00662C23"/>
    <w:rsid w:val="0066473E"/>
    <w:rsid w:val="00665069"/>
    <w:rsid w:val="0066537B"/>
    <w:rsid w:val="00665718"/>
    <w:rsid w:val="00676079"/>
    <w:rsid w:val="00676326"/>
    <w:rsid w:val="006777C7"/>
    <w:rsid w:val="006839E8"/>
    <w:rsid w:val="00683D65"/>
    <w:rsid w:val="00685F12"/>
    <w:rsid w:val="0069373F"/>
    <w:rsid w:val="006963D2"/>
    <w:rsid w:val="006A02C9"/>
    <w:rsid w:val="006A0B4A"/>
    <w:rsid w:val="006A0F4A"/>
    <w:rsid w:val="006A1D16"/>
    <w:rsid w:val="006A4300"/>
    <w:rsid w:val="006A4428"/>
    <w:rsid w:val="006A7BEA"/>
    <w:rsid w:val="006B120F"/>
    <w:rsid w:val="006B2EBD"/>
    <w:rsid w:val="006B2F86"/>
    <w:rsid w:val="006B37A6"/>
    <w:rsid w:val="006B3C0D"/>
    <w:rsid w:val="006C0355"/>
    <w:rsid w:val="006C090C"/>
    <w:rsid w:val="006C13D5"/>
    <w:rsid w:val="006C3A40"/>
    <w:rsid w:val="006C3F79"/>
    <w:rsid w:val="006C74D6"/>
    <w:rsid w:val="006D0EE8"/>
    <w:rsid w:val="006D12C7"/>
    <w:rsid w:val="006D175B"/>
    <w:rsid w:val="006D1BF7"/>
    <w:rsid w:val="006D23EF"/>
    <w:rsid w:val="006D59F8"/>
    <w:rsid w:val="006D61DA"/>
    <w:rsid w:val="006D6AF7"/>
    <w:rsid w:val="006D6EBB"/>
    <w:rsid w:val="006D7FC7"/>
    <w:rsid w:val="006E0941"/>
    <w:rsid w:val="006E1DC5"/>
    <w:rsid w:val="006E3420"/>
    <w:rsid w:val="006E3BD0"/>
    <w:rsid w:val="006E3FA9"/>
    <w:rsid w:val="006E4444"/>
    <w:rsid w:val="006E4D14"/>
    <w:rsid w:val="006E702B"/>
    <w:rsid w:val="006E7DC6"/>
    <w:rsid w:val="006F01FC"/>
    <w:rsid w:val="006F08E1"/>
    <w:rsid w:val="006F1A53"/>
    <w:rsid w:val="006F2196"/>
    <w:rsid w:val="006F2B29"/>
    <w:rsid w:val="006F3D73"/>
    <w:rsid w:val="006F5A87"/>
    <w:rsid w:val="006F7BDA"/>
    <w:rsid w:val="00701FC8"/>
    <w:rsid w:val="00702D07"/>
    <w:rsid w:val="00703676"/>
    <w:rsid w:val="007078D6"/>
    <w:rsid w:val="007133E9"/>
    <w:rsid w:val="00714837"/>
    <w:rsid w:val="00715087"/>
    <w:rsid w:val="00716F27"/>
    <w:rsid w:val="00717B00"/>
    <w:rsid w:val="00720DE3"/>
    <w:rsid w:val="00721C6A"/>
    <w:rsid w:val="00722F2C"/>
    <w:rsid w:val="00723293"/>
    <w:rsid w:val="00724D46"/>
    <w:rsid w:val="00727012"/>
    <w:rsid w:val="0072723A"/>
    <w:rsid w:val="007330A4"/>
    <w:rsid w:val="00733C05"/>
    <w:rsid w:val="0073460E"/>
    <w:rsid w:val="007402C2"/>
    <w:rsid w:val="00742174"/>
    <w:rsid w:val="00743577"/>
    <w:rsid w:val="00744C66"/>
    <w:rsid w:val="007464CC"/>
    <w:rsid w:val="00747B4B"/>
    <w:rsid w:val="00750679"/>
    <w:rsid w:val="00754851"/>
    <w:rsid w:val="00757649"/>
    <w:rsid w:val="007609D5"/>
    <w:rsid w:val="00762FBA"/>
    <w:rsid w:val="00764748"/>
    <w:rsid w:val="00765515"/>
    <w:rsid w:val="00771967"/>
    <w:rsid w:val="00771AA1"/>
    <w:rsid w:val="00774999"/>
    <w:rsid w:val="007813D1"/>
    <w:rsid w:val="007821BC"/>
    <w:rsid w:val="00783455"/>
    <w:rsid w:val="0078383A"/>
    <w:rsid w:val="007853F8"/>
    <w:rsid w:val="0078687A"/>
    <w:rsid w:val="00786BB9"/>
    <w:rsid w:val="00786FE5"/>
    <w:rsid w:val="007870B3"/>
    <w:rsid w:val="0079039B"/>
    <w:rsid w:val="00793842"/>
    <w:rsid w:val="007953B5"/>
    <w:rsid w:val="007964DC"/>
    <w:rsid w:val="00797EC1"/>
    <w:rsid w:val="007A06C5"/>
    <w:rsid w:val="007A2635"/>
    <w:rsid w:val="007A3BFB"/>
    <w:rsid w:val="007A6B52"/>
    <w:rsid w:val="007A7B10"/>
    <w:rsid w:val="007B02A8"/>
    <w:rsid w:val="007B0B30"/>
    <w:rsid w:val="007B129D"/>
    <w:rsid w:val="007B219A"/>
    <w:rsid w:val="007B31A6"/>
    <w:rsid w:val="007B5E3D"/>
    <w:rsid w:val="007B6B28"/>
    <w:rsid w:val="007B79F6"/>
    <w:rsid w:val="007B7B44"/>
    <w:rsid w:val="007C4C83"/>
    <w:rsid w:val="007C6225"/>
    <w:rsid w:val="007C64E2"/>
    <w:rsid w:val="007D1E88"/>
    <w:rsid w:val="007D275E"/>
    <w:rsid w:val="007D3F75"/>
    <w:rsid w:val="007D4025"/>
    <w:rsid w:val="007D66F0"/>
    <w:rsid w:val="007E1035"/>
    <w:rsid w:val="007E18D1"/>
    <w:rsid w:val="007E4D07"/>
    <w:rsid w:val="007E770A"/>
    <w:rsid w:val="007E7968"/>
    <w:rsid w:val="007F1600"/>
    <w:rsid w:val="007F166D"/>
    <w:rsid w:val="007F1EDF"/>
    <w:rsid w:val="007F299B"/>
    <w:rsid w:val="007F365B"/>
    <w:rsid w:val="007F40D6"/>
    <w:rsid w:val="007F742B"/>
    <w:rsid w:val="007F7CBC"/>
    <w:rsid w:val="0080130F"/>
    <w:rsid w:val="008026FE"/>
    <w:rsid w:val="00802F9F"/>
    <w:rsid w:val="00803E55"/>
    <w:rsid w:val="00804358"/>
    <w:rsid w:val="00804F92"/>
    <w:rsid w:val="00807F85"/>
    <w:rsid w:val="0081060D"/>
    <w:rsid w:val="00810A52"/>
    <w:rsid w:val="00810DCF"/>
    <w:rsid w:val="00811527"/>
    <w:rsid w:val="00811F2C"/>
    <w:rsid w:val="00811FE2"/>
    <w:rsid w:val="00820A66"/>
    <w:rsid w:val="00820F38"/>
    <w:rsid w:val="00822D27"/>
    <w:rsid w:val="008242DA"/>
    <w:rsid w:val="00824A84"/>
    <w:rsid w:val="00826371"/>
    <w:rsid w:val="0082668B"/>
    <w:rsid w:val="00830214"/>
    <w:rsid w:val="00830902"/>
    <w:rsid w:val="00832118"/>
    <w:rsid w:val="00833EC7"/>
    <w:rsid w:val="00834366"/>
    <w:rsid w:val="008363D1"/>
    <w:rsid w:val="00840749"/>
    <w:rsid w:val="008412E1"/>
    <w:rsid w:val="00842443"/>
    <w:rsid w:val="00843285"/>
    <w:rsid w:val="00843386"/>
    <w:rsid w:val="00844479"/>
    <w:rsid w:val="00844C79"/>
    <w:rsid w:val="00846122"/>
    <w:rsid w:val="008466C4"/>
    <w:rsid w:val="00850FDB"/>
    <w:rsid w:val="008522B5"/>
    <w:rsid w:val="00853C4A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619E"/>
    <w:rsid w:val="00877706"/>
    <w:rsid w:val="00881D54"/>
    <w:rsid w:val="008825CE"/>
    <w:rsid w:val="0088460D"/>
    <w:rsid w:val="008857AA"/>
    <w:rsid w:val="00885FA2"/>
    <w:rsid w:val="00887608"/>
    <w:rsid w:val="008900AF"/>
    <w:rsid w:val="00890B66"/>
    <w:rsid w:val="00893E72"/>
    <w:rsid w:val="00896BC2"/>
    <w:rsid w:val="008A3889"/>
    <w:rsid w:val="008A6398"/>
    <w:rsid w:val="008B08D3"/>
    <w:rsid w:val="008B19B7"/>
    <w:rsid w:val="008B1C16"/>
    <w:rsid w:val="008B2E9A"/>
    <w:rsid w:val="008B44C3"/>
    <w:rsid w:val="008B7050"/>
    <w:rsid w:val="008C1507"/>
    <w:rsid w:val="008C2501"/>
    <w:rsid w:val="008C383B"/>
    <w:rsid w:val="008C3A5F"/>
    <w:rsid w:val="008C5671"/>
    <w:rsid w:val="008C5D4D"/>
    <w:rsid w:val="008C7707"/>
    <w:rsid w:val="008D3273"/>
    <w:rsid w:val="008D6CA8"/>
    <w:rsid w:val="008E2336"/>
    <w:rsid w:val="008E34AE"/>
    <w:rsid w:val="008E78B4"/>
    <w:rsid w:val="008F047E"/>
    <w:rsid w:val="008F2841"/>
    <w:rsid w:val="008F2959"/>
    <w:rsid w:val="008F399F"/>
    <w:rsid w:val="008F432C"/>
    <w:rsid w:val="0090288E"/>
    <w:rsid w:val="009038F9"/>
    <w:rsid w:val="00905AAB"/>
    <w:rsid w:val="009068C3"/>
    <w:rsid w:val="009139AF"/>
    <w:rsid w:val="00921BFB"/>
    <w:rsid w:val="00922AFA"/>
    <w:rsid w:val="009234FD"/>
    <w:rsid w:val="00923665"/>
    <w:rsid w:val="00924258"/>
    <w:rsid w:val="00924973"/>
    <w:rsid w:val="0092631A"/>
    <w:rsid w:val="0093152E"/>
    <w:rsid w:val="00931779"/>
    <w:rsid w:val="00931E42"/>
    <w:rsid w:val="0093252C"/>
    <w:rsid w:val="0093283A"/>
    <w:rsid w:val="00935EAC"/>
    <w:rsid w:val="00937529"/>
    <w:rsid w:val="00944371"/>
    <w:rsid w:val="00944529"/>
    <w:rsid w:val="00944D10"/>
    <w:rsid w:val="009454B6"/>
    <w:rsid w:val="00946929"/>
    <w:rsid w:val="009474F2"/>
    <w:rsid w:val="00950E7E"/>
    <w:rsid w:val="00956446"/>
    <w:rsid w:val="0096172B"/>
    <w:rsid w:val="00962CB7"/>
    <w:rsid w:val="00963AA3"/>
    <w:rsid w:val="00963B80"/>
    <w:rsid w:val="00966080"/>
    <w:rsid w:val="009664DD"/>
    <w:rsid w:val="00966F48"/>
    <w:rsid w:val="009704A0"/>
    <w:rsid w:val="00971E1A"/>
    <w:rsid w:val="00973197"/>
    <w:rsid w:val="00973E14"/>
    <w:rsid w:val="009753FB"/>
    <w:rsid w:val="00975439"/>
    <w:rsid w:val="009756E8"/>
    <w:rsid w:val="00977317"/>
    <w:rsid w:val="00980C11"/>
    <w:rsid w:val="0098257D"/>
    <w:rsid w:val="0098302F"/>
    <w:rsid w:val="009831C8"/>
    <w:rsid w:val="00986110"/>
    <w:rsid w:val="00987232"/>
    <w:rsid w:val="00990EC7"/>
    <w:rsid w:val="00991B95"/>
    <w:rsid w:val="00992840"/>
    <w:rsid w:val="00994CC4"/>
    <w:rsid w:val="00995379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5F1"/>
    <w:rsid w:val="009D089E"/>
    <w:rsid w:val="009D0BF3"/>
    <w:rsid w:val="009D0E88"/>
    <w:rsid w:val="009D24D7"/>
    <w:rsid w:val="009D256E"/>
    <w:rsid w:val="009D2DB6"/>
    <w:rsid w:val="009D2F47"/>
    <w:rsid w:val="009D3067"/>
    <w:rsid w:val="009D39EE"/>
    <w:rsid w:val="009D7835"/>
    <w:rsid w:val="009E172B"/>
    <w:rsid w:val="009E253A"/>
    <w:rsid w:val="009E39C0"/>
    <w:rsid w:val="009E4CE0"/>
    <w:rsid w:val="009E5367"/>
    <w:rsid w:val="009E7B93"/>
    <w:rsid w:val="009F0349"/>
    <w:rsid w:val="009F1E76"/>
    <w:rsid w:val="009F3268"/>
    <w:rsid w:val="009F4860"/>
    <w:rsid w:val="009F5F2C"/>
    <w:rsid w:val="009F6749"/>
    <w:rsid w:val="009F6C56"/>
    <w:rsid w:val="00A031CC"/>
    <w:rsid w:val="00A0323B"/>
    <w:rsid w:val="00A04192"/>
    <w:rsid w:val="00A0762A"/>
    <w:rsid w:val="00A0776D"/>
    <w:rsid w:val="00A1182A"/>
    <w:rsid w:val="00A13DB8"/>
    <w:rsid w:val="00A13F1D"/>
    <w:rsid w:val="00A155ED"/>
    <w:rsid w:val="00A15F37"/>
    <w:rsid w:val="00A16191"/>
    <w:rsid w:val="00A163E3"/>
    <w:rsid w:val="00A22A52"/>
    <w:rsid w:val="00A24A2E"/>
    <w:rsid w:val="00A25889"/>
    <w:rsid w:val="00A3034C"/>
    <w:rsid w:val="00A338A1"/>
    <w:rsid w:val="00A349CB"/>
    <w:rsid w:val="00A34E5A"/>
    <w:rsid w:val="00A378ED"/>
    <w:rsid w:val="00A425BA"/>
    <w:rsid w:val="00A430E2"/>
    <w:rsid w:val="00A4316F"/>
    <w:rsid w:val="00A454B6"/>
    <w:rsid w:val="00A45FC0"/>
    <w:rsid w:val="00A472F8"/>
    <w:rsid w:val="00A50571"/>
    <w:rsid w:val="00A5314F"/>
    <w:rsid w:val="00A54B25"/>
    <w:rsid w:val="00A569E0"/>
    <w:rsid w:val="00A60311"/>
    <w:rsid w:val="00A60546"/>
    <w:rsid w:val="00A66F1E"/>
    <w:rsid w:val="00A6760A"/>
    <w:rsid w:val="00A676D3"/>
    <w:rsid w:val="00A7149F"/>
    <w:rsid w:val="00A72C93"/>
    <w:rsid w:val="00A72FF3"/>
    <w:rsid w:val="00A7410C"/>
    <w:rsid w:val="00A7784F"/>
    <w:rsid w:val="00A811D6"/>
    <w:rsid w:val="00A832BA"/>
    <w:rsid w:val="00A85048"/>
    <w:rsid w:val="00A86552"/>
    <w:rsid w:val="00A8750A"/>
    <w:rsid w:val="00A90878"/>
    <w:rsid w:val="00A91266"/>
    <w:rsid w:val="00A950F4"/>
    <w:rsid w:val="00A96783"/>
    <w:rsid w:val="00A97B08"/>
    <w:rsid w:val="00A97F5A"/>
    <w:rsid w:val="00AA2D58"/>
    <w:rsid w:val="00AB0ED1"/>
    <w:rsid w:val="00AB23B0"/>
    <w:rsid w:val="00AB365A"/>
    <w:rsid w:val="00AB3A63"/>
    <w:rsid w:val="00AB4201"/>
    <w:rsid w:val="00AB4CFC"/>
    <w:rsid w:val="00AB58F2"/>
    <w:rsid w:val="00AB689B"/>
    <w:rsid w:val="00AB7CDE"/>
    <w:rsid w:val="00AC0AAA"/>
    <w:rsid w:val="00AC1934"/>
    <w:rsid w:val="00AC41F9"/>
    <w:rsid w:val="00AC4EEC"/>
    <w:rsid w:val="00AC6C46"/>
    <w:rsid w:val="00AC6D5D"/>
    <w:rsid w:val="00AC7B00"/>
    <w:rsid w:val="00AD03D9"/>
    <w:rsid w:val="00AD20AF"/>
    <w:rsid w:val="00AD3A59"/>
    <w:rsid w:val="00AD3BBF"/>
    <w:rsid w:val="00AE079E"/>
    <w:rsid w:val="00AE2387"/>
    <w:rsid w:val="00AE6E19"/>
    <w:rsid w:val="00AF09A0"/>
    <w:rsid w:val="00AF18A6"/>
    <w:rsid w:val="00AF18CA"/>
    <w:rsid w:val="00AF2AE5"/>
    <w:rsid w:val="00AF3AD9"/>
    <w:rsid w:val="00AF4640"/>
    <w:rsid w:val="00AF58F3"/>
    <w:rsid w:val="00B05126"/>
    <w:rsid w:val="00B05777"/>
    <w:rsid w:val="00B11271"/>
    <w:rsid w:val="00B112A5"/>
    <w:rsid w:val="00B118CF"/>
    <w:rsid w:val="00B12833"/>
    <w:rsid w:val="00B15438"/>
    <w:rsid w:val="00B2131B"/>
    <w:rsid w:val="00B21BF3"/>
    <w:rsid w:val="00B222E2"/>
    <w:rsid w:val="00B2310C"/>
    <w:rsid w:val="00B242B1"/>
    <w:rsid w:val="00B24E54"/>
    <w:rsid w:val="00B27646"/>
    <w:rsid w:val="00B33037"/>
    <w:rsid w:val="00B33732"/>
    <w:rsid w:val="00B377F6"/>
    <w:rsid w:val="00B426A2"/>
    <w:rsid w:val="00B44CCC"/>
    <w:rsid w:val="00B44EAC"/>
    <w:rsid w:val="00B465C8"/>
    <w:rsid w:val="00B472C9"/>
    <w:rsid w:val="00B506AC"/>
    <w:rsid w:val="00B50E2C"/>
    <w:rsid w:val="00B51364"/>
    <w:rsid w:val="00B53170"/>
    <w:rsid w:val="00B536A8"/>
    <w:rsid w:val="00B54AE6"/>
    <w:rsid w:val="00B54F8C"/>
    <w:rsid w:val="00B56D06"/>
    <w:rsid w:val="00B5765A"/>
    <w:rsid w:val="00B60C22"/>
    <w:rsid w:val="00B620CA"/>
    <w:rsid w:val="00B6232A"/>
    <w:rsid w:val="00B67ADB"/>
    <w:rsid w:val="00B73636"/>
    <w:rsid w:val="00B7657E"/>
    <w:rsid w:val="00B76793"/>
    <w:rsid w:val="00B76C42"/>
    <w:rsid w:val="00B8390E"/>
    <w:rsid w:val="00B84219"/>
    <w:rsid w:val="00B85068"/>
    <w:rsid w:val="00B85154"/>
    <w:rsid w:val="00B85546"/>
    <w:rsid w:val="00B87377"/>
    <w:rsid w:val="00B87EA2"/>
    <w:rsid w:val="00B913AA"/>
    <w:rsid w:val="00B91481"/>
    <w:rsid w:val="00B925BA"/>
    <w:rsid w:val="00B95673"/>
    <w:rsid w:val="00BA04E1"/>
    <w:rsid w:val="00BA18D1"/>
    <w:rsid w:val="00BA19E0"/>
    <w:rsid w:val="00BA1F8A"/>
    <w:rsid w:val="00BA258C"/>
    <w:rsid w:val="00BA4441"/>
    <w:rsid w:val="00BA46B0"/>
    <w:rsid w:val="00BA47DA"/>
    <w:rsid w:val="00BA4E91"/>
    <w:rsid w:val="00BB1A4D"/>
    <w:rsid w:val="00BB36ED"/>
    <w:rsid w:val="00BB50DE"/>
    <w:rsid w:val="00BB7A89"/>
    <w:rsid w:val="00BB7CBB"/>
    <w:rsid w:val="00BC08D4"/>
    <w:rsid w:val="00BC0CB8"/>
    <w:rsid w:val="00BC0EE4"/>
    <w:rsid w:val="00BC1B82"/>
    <w:rsid w:val="00BC4A61"/>
    <w:rsid w:val="00BC5978"/>
    <w:rsid w:val="00BC5A14"/>
    <w:rsid w:val="00BD0100"/>
    <w:rsid w:val="00BD297C"/>
    <w:rsid w:val="00BD483C"/>
    <w:rsid w:val="00BD6F03"/>
    <w:rsid w:val="00BD6FDA"/>
    <w:rsid w:val="00BD77B5"/>
    <w:rsid w:val="00BD7A55"/>
    <w:rsid w:val="00BE00E4"/>
    <w:rsid w:val="00BE0270"/>
    <w:rsid w:val="00BE0DD9"/>
    <w:rsid w:val="00BE180E"/>
    <w:rsid w:val="00BE21A8"/>
    <w:rsid w:val="00BE2827"/>
    <w:rsid w:val="00BE2CB6"/>
    <w:rsid w:val="00BE331A"/>
    <w:rsid w:val="00BE48B7"/>
    <w:rsid w:val="00BE53BC"/>
    <w:rsid w:val="00BE5574"/>
    <w:rsid w:val="00BE74B4"/>
    <w:rsid w:val="00BF0B84"/>
    <w:rsid w:val="00BF4843"/>
    <w:rsid w:val="00BF4B69"/>
    <w:rsid w:val="00BF5F81"/>
    <w:rsid w:val="00BF6F8D"/>
    <w:rsid w:val="00BF7738"/>
    <w:rsid w:val="00C014C6"/>
    <w:rsid w:val="00C04F50"/>
    <w:rsid w:val="00C05E06"/>
    <w:rsid w:val="00C06FED"/>
    <w:rsid w:val="00C1233D"/>
    <w:rsid w:val="00C12AFA"/>
    <w:rsid w:val="00C17244"/>
    <w:rsid w:val="00C2020E"/>
    <w:rsid w:val="00C20265"/>
    <w:rsid w:val="00C21CA1"/>
    <w:rsid w:val="00C24142"/>
    <w:rsid w:val="00C25B6F"/>
    <w:rsid w:val="00C2648E"/>
    <w:rsid w:val="00C30194"/>
    <w:rsid w:val="00C31129"/>
    <w:rsid w:val="00C313E7"/>
    <w:rsid w:val="00C34EEE"/>
    <w:rsid w:val="00C3561D"/>
    <w:rsid w:val="00C3654D"/>
    <w:rsid w:val="00C41E47"/>
    <w:rsid w:val="00C42F00"/>
    <w:rsid w:val="00C44924"/>
    <w:rsid w:val="00C461EB"/>
    <w:rsid w:val="00C50077"/>
    <w:rsid w:val="00C520D7"/>
    <w:rsid w:val="00C5372C"/>
    <w:rsid w:val="00C53769"/>
    <w:rsid w:val="00C57869"/>
    <w:rsid w:val="00C627A3"/>
    <w:rsid w:val="00C64C2F"/>
    <w:rsid w:val="00C6528A"/>
    <w:rsid w:val="00C665F2"/>
    <w:rsid w:val="00C6749F"/>
    <w:rsid w:val="00C7375A"/>
    <w:rsid w:val="00C74048"/>
    <w:rsid w:val="00C74654"/>
    <w:rsid w:val="00C74775"/>
    <w:rsid w:val="00C74F0F"/>
    <w:rsid w:val="00C75F55"/>
    <w:rsid w:val="00C84C3A"/>
    <w:rsid w:val="00C86300"/>
    <w:rsid w:val="00C8685C"/>
    <w:rsid w:val="00C87795"/>
    <w:rsid w:val="00C93936"/>
    <w:rsid w:val="00C948E7"/>
    <w:rsid w:val="00C963E5"/>
    <w:rsid w:val="00C967BE"/>
    <w:rsid w:val="00C96E4A"/>
    <w:rsid w:val="00C975A8"/>
    <w:rsid w:val="00C97688"/>
    <w:rsid w:val="00C9786B"/>
    <w:rsid w:val="00CA1482"/>
    <w:rsid w:val="00CA1957"/>
    <w:rsid w:val="00CA3BA7"/>
    <w:rsid w:val="00CA7866"/>
    <w:rsid w:val="00CA7F24"/>
    <w:rsid w:val="00CB1580"/>
    <w:rsid w:val="00CB21B3"/>
    <w:rsid w:val="00CB4072"/>
    <w:rsid w:val="00CB517A"/>
    <w:rsid w:val="00CC22B1"/>
    <w:rsid w:val="00CC2DC4"/>
    <w:rsid w:val="00CC3988"/>
    <w:rsid w:val="00CC5AF3"/>
    <w:rsid w:val="00CC68BF"/>
    <w:rsid w:val="00CC7C45"/>
    <w:rsid w:val="00CD13B1"/>
    <w:rsid w:val="00CD28EC"/>
    <w:rsid w:val="00CD2DC8"/>
    <w:rsid w:val="00CD561D"/>
    <w:rsid w:val="00CE20E9"/>
    <w:rsid w:val="00CE4053"/>
    <w:rsid w:val="00CE596E"/>
    <w:rsid w:val="00CF3482"/>
    <w:rsid w:val="00CF4940"/>
    <w:rsid w:val="00CF4CD4"/>
    <w:rsid w:val="00CF72AC"/>
    <w:rsid w:val="00D004E5"/>
    <w:rsid w:val="00D0142A"/>
    <w:rsid w:val="00D0150B"/>
    <w:rsid w:val="00D038D7"/>
    <w:rsid w:val="00D052E6"/>
    <w:rsid w:val="00D073F9"/>
    <w:rsid w:val="00D07DD7"/>
    <w:rsid w:val="00D10717"/>
    <w:rsid w:val="00D13DF1"/>
    <w:rsid w:val="00D13EDA"/>
    <w:rsid w:val="00D2261D"/>
    <w:rsid w:val="00D24515"/>
    <w:rsid w:val="00D2526B"/>
    <w:rsid w:val="00D266A9"/>
    <w:rsid w:val="00D30E94"/>
    <w:rsid w:val="00D31401"/>
    <w:rsid w:val="00D324DA"/>
    <w:rsid w:val="00D32A14"/>
    <w:rsid w:val="00D32B43"/>
    <w:rsid w:val="00D344F3"/>
    <w:rsid w:val="00D357A4"/>
    <w:rsid w:val="00D36238"/>
    <w:rsid w:val="00D4029D"/>
    <w:rsid w:val="00D451A5"/>
    <w:rsid w:val="00D45283"/>
    <w:rsid w:val="00D477C3"/>
    <w:rsid w:val="00D47DE7"/>
    <w:rsid w:val="00D53DC5"/>
    <w:rsid w:val="00D55406"/>
    <w:rsid w:val="00D60759"/>
    <w:rsid w:val="00D6293F"/>
    <w:rsid w:val="00D662E4"/>
    <w:rsid w:val="00D670D3"/>
    <w:rsid w:val="00D67470"/>
    <w:rsid w:val="00D67FC9"/>
    <w:rsid w:val="00D709B5"/>
    <w:rsid w:val="00D73B35"/>
    <w:rsid w:val="00D75B0B"/>
    <w:rsid w:val="00D775D2"/>
    <w:rsid w:val="00D8118D"/>
    <w:rsid w:val="00D83D34"/>
    <w:rsid w:val="00D85155"/>
    <w:rsid w:val="00D86169"/>
    <w:rsid w:val="00D8652F"/>
    <w:rsid w:val="00D91CBD"/>
    <w:rsid w:val="00D926E9"/>
    <w:rsid w:val="00D92B66"/>
    <w:rsid w:val="00D93CC1"/>
    <w:rsid w:val="00D93EB9"/>
    <w:rsid w:val="00D942A3"/>
    <w:rsid w:val="00D97E49"/>
    <w:rsid w:val="00DA1419"/>
    <w:rsid w:val="00DA2603"/>
    <w:rsid w:val="00DA2818"/>
    <w:rsid w:val="00DA2876"/>
    <w:rsid w:val="00DA4875"/>
    <w:rsid w:val="00DA4917"/>
    <w:rsid w:val="00DB35F8"/>
    <w:rsid w:val="00DB57B7"/>
    <w:rsid w:val="00DB67E5"/>
    <w:rsid w:val="00DC13F9"/>
    <w:rsid w:val="00DC1D72"/>
    <w:rsid w:val="00DC545A"/>
    <w:rsid w:val="00DC585F"/>
    <w:rsid w:val="00DC77F2"/>
    <w:rsid w:val="00DC78DB"/>
    <w:rsid w:val="00DD08C1"/>
    <w:rsid w:val="00DD2278"/>
    <w:rsid w:val="00DD4F3E"/>
    <w:rsid w:val="00DD67A9"/>
    <w:rsid w:val="00DE2574"/>
    <w:rsid w:val="00DE58C9"/>
    <w:rsid w:val="00DE62BC"/>
    <w:rsid w:val="00DF19F6"/>
    <w:rsid w:val="00DF431A"/>
    <w:rsid w:val="00DF6D21"/>
    <w:rsid w:val="00E01F2F"/>
    <w:rsid w:val="00E02136"/>
    <w:rsid w:val="00E02392"/>
    <w:rsid w:val="00E03E17"/>
    <w:rsid w:val="00E042FF"/>
    <w:rsid w:val="00E05C1A"/>
    <w:rsid w:val="00E064CA"/>
    <w:rsid w:val="00E06813"/>
    <w:rsid w:val="00E10053"/>
    <w:rsid w:val="00E15B99"/>
    <w:rsid w:val="00E20664"/>
    <w:rsid w:val="00E2580D"/>
    <w:rsid w:val="00E27F2F"/>
    <w:rsid w:val="00E315D6"/>
    <w:rsid w:val="00E330AB"/>
    <w:rsid w:val="00E3317B"/>
    <w:rsid w:val="00E3386F"/>
    <w:rsid w:val="00E350BD"/>
    <w:rsid w:val="00E36335"/>
    <w:rsid w:val="00E373B4"/>
    <w:rsid w:val="00E37B5C"/>
    <w:rsid w:val="00E37CF8"/>
    <w:rsid w:val="00E43380"/>
    <w:rsid w:val="00E455B4"/>
    <w:rsid w:val="00E46FA7"/>
    <w:rsid w:val="00E47328"/>
    <w:rsid w:val="00E479DF"/>
    <w:rsid w:val="00E505D8"/>
    <w:rsid w:val="00E50B83"/>
    <w:rsid w:val="00E528C6"/>
    <w:rsid w:val="00E535BD"/>
    <w:rsid w:val="00E54596"/>
    <w:rsid w:val="00E56000"/>
    <w:rsid w:val="00E56378"/>
    <w:rsid w:val="00E60175"/>
    <w:rsid w:val="00E6160E"/>
    <w:rsid w:val="00E63F00"/>
    <w:rsid w:val="00E642DC"/>
    <w:rsid w:val="00E64F71"/>
    <w:rsid w:val="00E67590"/>
    <w:rsid w:val="00E67A1A"/>
    <w:rsid w:val="00E703B1"/>
    <w:rsid w:val="00E7045C"/>
    <w:rsid w:val="00E718EA"/>
    <w:rsid w:val="00E71A6E"/>
    <w:rsid w:val="00E72E55"/>
    <w:rsid w:val="00E74228"/>
    <w:rsid w:val="00E74A24"/>
    <w:rsid w:val="00E76BBE"/>
    <w:rsid w:val="00E77101"/>
    <w:rsid w:val="00E808C9"/>
    <w:rsid w:val="00E80943"/>
    <w:rsid w:val="00E8148D"/>
    <w:rsid w:val="00E818C3"/>
    <w:rsid w:val="00E82DCF"/>
    <w:rsid w:val="00E8561A"/>
    <w:rsid w:val="00E85DE8"/>
    <w:rsid w:val="00E900CF"/>
    <w:rsid w:val="00E9372A"/>
    <w:rsid w:val="00E95441"/>
    <w:rsid w:val="00E979A5"/>
    <w:rsid w:val="00EA03D8"/>
    <w:rsid w:val="00EA0DB1"/>
    <w:rsid w:val="00EA5747"/>
    <w:rsid w:val="00EA7745"/>
    <w:rsid w:val="00EB0F28"/>
    <w:rsid w:val="00EB3F96"/>
    <w:rsid w:val="00EB3FA2"/>
    <w:rsid w:val="00EB4281"/>
    <w:rsid w:val="00EB4A81"/>
    <w:rsid w:val="00EB60D0"/>
    <w:rsid w:val="00EC03D2"/>
    <w:rsid w:val="00EC0719"/>
    <w:rsid w:val="00EC09D5"/>
    <w:rsid w:val="00EC202F"/>
    <w:rsid w:val="00EC3DF9"/>
    <w:rsid w:val="00EC4F93"/>
    <w:rsid w:val="00EC5679"/>
    <w:rsid w:val="00EC5DE6"/>
    <w:rsid w:val="00ED2264"/>
    <w:rsid w:val="00ED412E"/>
    <w:rsid w:val="00ED41A8"/>
    <w:rsid w:val="00ED452D"/>
    <w:rsid w:val="00ED5035"/>
    <w:rsid w:val="00ED5703"/>
    <w:rsid w:val="00ED5DD6"/>
    <w:rsid w:val="00ED6AF2"/>
    <w:rsid w:val="00EE29BE"/>
    <w:rsid w:val="00EE3CDA"/>
    <w:rsid w:val="00EF038F"/>
    <w:rsid w:val="00EF07C3"/>
    <w:rsid w:val="00EF493E"/>
    <w:rsid w:val="00EF607A"/>
    <w:rsid w:val="00EF6331"/>
    <w:rsid w:val="00F00241"/>
    <w:rsid w:val="00F01AED"/>
    <w:rsid w:val="00F02876"/>
    <w:rsid w:val="00F064C3"/>
    <w:rsid w:val="00F109A7"/>
    <w:rsid w:val="00F10BFD"/>
    <w:rsid w:val="00F10D7E"/>
    <w:rsid w:val="00F11D60"/>
    <w:rsid w:val="00F1303C"/>
    <w:rsid w:val="00F132E8"/>
    <w:rsid w:val="00F15550"/>
    <w:rsid w:val="00F15E8D"/>
    <w:rsid w:val="00F175AF"/>
    <w:rsid w:val="00F21CF8"/>
    <w:rsid w:val="00F22A61"/>
    <w:rsid w:val="00F236DC"/>
    <w:rsid w:val="00F2464A"/>
    <w:rsid w:val="00F247BC"/>
    <w:rsid w:val="00F25233"/>
    <w:rsid w:val="00F2719D"/>
    <w:rsid w:val="00F3032E"/>
    <w:rsid w:val="00F3124A"/>
    <w:rsid w:val="00F313E8"/>
    <w:rsid w:val="00F31EFE"/>
    <w:rsid w:val="00F3277D"/>
    <w:rsid w:val="00F33D35"/>
    <w:rsid w:val="00F34F38"/>
    <w:rsid w:val="00F35253"/>
    <w:rsid w:val="00F36405"/>
    <w:rsid w:val="00F37625"/>
    <w:rsid w:val="00F41E87"/>
    <w:rsid w:val="00F42120"/>
    <w:rsid w:val="00F428F8"/>
    <w:rsid w:val="00F517F3"/>
    <w:rsid w:val="00F53132"/>
    <w:rsid w:val="00F53F88"/>
    <w:rsid w:val="00F5456A"/>
    <w:rsid w:val="00F545FC"/>
    <w:rsid w:val="00F56446"/>
    <w:rsid w:val="00F573F1"/>
    <w:rsid w:val="00F57CAC"/>
    <w:rsid w:val="00F62A93"/>
    <w:rsid w:val="00F62F06"/>
    <w:rsid w:val="00F644AD"/>
    <w:rsid w:val="00F66320"/>
    <w:rsid w:val="00F663A8"/>
    <w:rsid w:val="00F66A76"/>
    <w:rsid w:val="00F674BA"/>
    <w:rsid w:val="00F6767A"/>
    <w:rsid w:val="00F67E6A"/>
    <w:rsid w:val="00F70A48"/>
    <w:rsid w:val="00F70BAD"/>
    <w:rsid w:val="00F71668"/>
    <w:rsid w:val="00F73140"/>
    <w:rsid w:val="00F74364"/>
    <w:rsid w:val="00F74666"/>
    <w:rsid w:val="00F7568A"/>
    <w:rsid w:val="00F77C1A"/>
    <w:rsid w:val="00F81073"/>
    <w:rsid w:val="00F812E4"/>
    <w:rsid w:val="00F815BB"/>
    <w:rsid w:val="00F825C9"/>
    <w:rsid w:val="00F83EEA"/>
    <w:rsid w:val="00F8461A"/>
    <w:rsid w:val="00F84BEC"/>
    <w:rsid w:val="00F87FA4"/>
    <w:rsid w:val="00F90063"/>
    <w:rsid w:val="00F90A3D"/>
    <w:rsid w:val="00F91222"/>
    <w:rsid w:val="00F92352"/>
    <w:rsid w:val="00F9267B"/>
    <w:rsid w:val="00F94AE5"/>
    <w:rsid w:val="00F96AF2"/>
    <w:rsid w:val="00F96F50"/>
    <w:rsid w:val="00F970A7"/>
    <w:rsid w:val="00F9738D"/>
    <w:rsid w:val="00FA2228"/>
    <w:rsid w:val="00FA2A03"/>
    <w:rsid w:val="00FA59C6"/>
    <w:rsid w:val="00FA5A3F"/>
    <w:rsid w:val="00FB0EBB"/>
    <w:rsid w:val="00FB13A2"/>
    <w:rsid w:val="00FB15EB"/>
    <w:rsid w:val="00FB47DE"/>
    <w:rsid w:val="00FB4A1C"/>
    <w:rsid w:val="00FB60CC"/>
    <w:rsid w:val="00FB60FB"/>
    <w:rsid w:val="00FC111B"/>
    <w:rsid w:val="00FC206B"/>
    <w:rsid w:val="00FC23C7"/>
    <w:rsid w:val="00FC2710"/>
    <w:rsid w:val="00FC4378"/>
    <w:rsid w:val="00FC52C1"/>
    <w:rsid w:val="00FC5A6D"/>
    <w:rsid w:val="00FC5B2A"/>
    <w:rsid w:val="00FD12DB"/>
    <w:rsid w:val="00FD1306"/>
    <w:rsid w:val="00FD3713"/>
    <w:rsid w:val="00FD4587"/>
    <w:rsid w:val="00FD57E2"/>
    <w:rsid w:val="00FD77C2"/>
    <w:rsid w:val="00FE2ED7"/>
    <w:rsid w:val="00FE34B0"/>
    <w:rsid w:val="00FE3E6F"/>
    <w:rsid w:val="00FE58C5"/>
    <w:rsid w:val="00FE797F"/>
    <w:rsid w:val="00FF052C"/>
    <w:rsid w:val="00FF05CB"/>
    <w:rsid w:val="00FF1B26"/>
    <w:rsid w:val="00FF211E"/>
    <w:rsid w:val="00FF27FB"/>
    <w:rsid w:val="00FF4658"/>
    <w:rsid w:val="00FF609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BD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D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F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1167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Marketa Dvorackova</cp:lastModifiedBy>
  <cp:revision>3</cp:revision>
  <cp:lastPrinted>2020-09-16T06:48:00Z</cp:lastPrinted>
  <dcterms:created xsi:type="dcterms:W3CDTF">2022-01-12T15:14:00Z</dcterms:created>
  <dcterms:modified xsi:type="dcterms:W3CDTF">2022-01-13T06:34:00Z</dcterms:modified>
</cp:coreProperties>
</file>