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2549" w14:textId="46688451" w:rsidR="0001227F" w:rsidRPr="0001227F" w:rsidRDefault="0001227F" w:rsidP="0001227F">
      <w:pPr>
        <w:rPr>
          <w:rFonts w:ascii="Calibri" w:hAnsi="Calibri" w:cs="Calibri"/>
          <w:b/>
          <w:color w:val="13576B"/>
          <w:sz w:val="32"/>
          <w:szCs w:val="32"/>
        </w:rPr>
      </w:pP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ČBA </w:t>
      </w:r>
      <w:proofErr w:type="spellStart"/>
      <w:r w:rsidRPr="0001227F">
        <w:rPr>
          <w:rFonts w:ascii="Calibri" w:hAnsi="Calibri" w:cs="Calibri"/>
          <w:b/>
          <w:color w:val="13576B"/>
          <w:sz w:val="32"/>
          <w:szCs w:val="32"/>
        </w:rPr>
        <w:t>Hypomonitor</w:t>
      </w:r>
      <w:proofErr w:type="spellEnd"/>
      <w:r w:rsidR="005E4132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C24142">
        <w:rPr>
          <w:rFonts w:ascii="Calibri" w:hAnsi="Calibri" w:cs="Calibri"/>
          <w:b/>
          <w:color w:val="13576B"/>
          <w:sz w:val="32"/>
          <w:szCs w:val="32"/>
        </w:rPr>
        <w:t>říjen</w:t>
      </w: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 2021: Úrokové sazby</w:t>
      </w:r>
      <w:r w:rsidR="00C06FED">
        <w:rPr>
          <w:rFonts w:ascii="Calibri" w:hAnsi="Calibri" w:cs="Calibri"/>
          <w:b/>
          <w:color w:val="13576B"/>
          <w:sz w:val="32"/>
          <w:szCs w:val="32"/>
        </w:rPr>
        <w:t xml:space="preserve"> u hypoték pokračují </w:t>
      </w:r>
      <w:r w:rsidR="00A16191">
        <w:rPr>
          <w:rFonts w:ascii="Calibri" w:hAnsi="Calibri" w:cs="Calibri"/>
          <w:b/>
          <w:color w:val="13576B"/>
          <w:sz w:val="32"/>
          <w:szCs w:val="32"/>
        </w:rPr>
        <w:t xml:space="preserve">v </w:t>
      </w:r>
      <w:r w:rsidR="00C06FED">
        <w:rPr>
          <w:rFonts w:ascii="Calibri" w:hAnsi="Calibri" w:cs="Calibri"/>
          <w:b/>
          <w:color w:val="13576B"/>
          <w:sz w:val="32"/>
          <w:szCs w:val="32"/>
        </w:rPr>
        <w:t>růstu</w:t>
      </w: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, zájem o hypotéky </w:t>
      </w:r>
      <w:r w:rsidR="00C06FED">
        <w:rPr>
          <w:rFonts w:ascii="Calibri" w:hAnsi="Calibri" w:cs="Calibri"/>
          <w:b/>
          <w:color w:val="13576B"/>
          <w:sz w:val="32"/>
          <w:szCs w:val="32"/>
        </w:rPr>
        <w:t>přetrvává</w:t>
      </w:r>
    </w:p>
    <w:p w14:paraId="5E7258BB" w14:textId="77777777" w:rsidR="0001227F" w:rsidRPr="0001227F" w:rsidRDefault="0001227F" w:rsidP="0001227F">
      <w:pPr>
        <w:rPr>
          <w:rFonts w:ascii="Calibri" w:hAnsi="Calibri" w:cs="Calibri"/>
          <w:b/>
          <w:bCs/>
        </w:rPr>
      </w:pPr>
    </w:p>
    <w:p w14:paraId="63C2D765" w14:textId="21ED71B8" w:rsidR="0001227F" w:rsidRPr="0001227F" w:rsidRDefault="000C12F1" w:rsidP="0001227F">
      <w:pPr>
        <w:rPr>
          <w:rFonts w:ascii="Calibri" w:hAnsi="Calibri" w:cs="Calibri"/>
          <w:b/>
          <w:color w:val="13576B"/>
          <w:sz w:val="22"/>
          <w:szCs w:val="22"/>
        </w:rPr>
      </w:pPr>
      <w:r w:rsidRPr="000C12F1">
        <w:rPr>
          <w:rFonts w:ascii="Calibri" w:hAnsi="Calibri" w:cs="Calibri"/>
          <w:b/>
          <w:color w:val="13576B"/>
          <w:sz w:val="22"/>
          <w:szCs w:val="22"/>
        </w:rPr>
        <w:t>Praha, 1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6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. listopadu 2021 – </w:t>
      </w:r>
      <w:bookmarkStart w:id="0" w:name="_Hlk87944134"/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Zájem o hypotéky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přetrvává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, a to i navzdory postupnému zvyšování úrokových sazeb. Banky v říjnu poskytly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hypoteční úvěry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v celkovém objemu přes 40 mld. Kč., což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je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nepatrně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více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než v září. Z</w:t>
      </w:r>
      <w:r w:rsidR="00701FC8">
        <w:rPr>
          <w:rFonts w:ascii="Calibri" w:hAnsi="Calibri" w:cs="Calibri"/>
          <w:b/>
          <w:color w:val="13576B"/>
          <w:sz w:val="22"/>
          <w:szCs w:val="22"/>
        </w:rPr>
        <w:t> 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tohoto objemu tvoří přes 31 mld. Kč hypotéky nové a přes 9 mld. Kč pak hypotéky refinancované. Úroková sazba u nově poskytnutých hypoték v říjnu vzrostla na 2,54 % z 2,43 % v září. U refinancovaných úvěrů byla však o zhruba desetinu procentního bodu nižší. Vzhledem k růstu úrokových sazeb na trhu je zřejmé, že i hypoteční úrokové sazby začnou v příštích měsících zdražovat významněji. Dosavadní pomalejší růst je brzděn postupným uzavíráním smluv, které začaly být řešeny několik měsíců nazpět ještě s nižší úrokovou sazb</w:t>
      </w:r>
      <w:r>
        <w:rPr>
          <w:rFonts w:ascii="Calibri" w:hAnsi="Calibri" w:cs="Calibri"/>
          <w:b/>
          <w:color w:val="13576B"/>
          <w:sz w:val="22"/>
          <w:szCs w:val="22"/>
        </w:rPr>
        <w:t>ou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bookmarkEnd w:id="0"/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Vyplývá to z dat ČBA </w:t>
      </w:r>
      <w:proofErr w:type="spellStart"/>
      <w:r w:rsidRPr="001C7200">
        <w:rPr>
          <w:rFonts w:ascii="Calibri" w:hAnsi="Calibri" w:cs="Calibri"/>
          <w:b/>
          <w:color w:val="13576B"/>
          <w:sz w:val="22"/>
          <w:szCs w:val="22"/>
        </w:rPr>
        <w:t>Hypomonitoru</w:t>
      </w:r>
      <w:proofErr w:type="spellEnd"/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747B4B" w:rsidRPr="001C7200">
        <w:rPr>
          <w:rFonts w:ascii="Calibri" w:hAnsi="Calibri" w:cs="Calibri"/>
          <w:b/>
          <w:color w:val="13576B"/>
          <w:sz w:val="22"/>
          <w:szCs w:val="22"/>
        </w:rPr>
        <w:t xml:space="preserve">Kromě oficiálních statistik ČNB jde o </w:t>
      </w:r>
      <w:r w:rsidR="001C7200" w:rsidRPr="001C7200">
        <w:rPr>
          <w:rFonts w:ascii="Calibri" w:hAnsi="Calibri" w:cs="Calibri"/>
          <w:b/>
          <w:color w:val="13576B"/>
          <w:sz w:val="22"/>
          <w:szCs w:val="22"/>
        </w:rPr>
        <w:t>jediný</w:t>
      </w:r>
      <w:r w:rsidR="00747B4B" w:rsidRPr="001C7200">
        <w:rPr>
          <w:rFonts w:ascii="Calibri" w:hAnsi="Calibri" w:cs="Calibri"/>
          <w:b/>
          <w:color w:val="13576B"/>
          <w:sz w:val="22"/>
          <w:szCs w:val="22"/>
        </w:rPr>
        <w:t xml:space="preserve"> indikátor</w:t>
      </w:r>
      <w:r w:rsidR="001C7200" w:rsidRPr="001C7200">
        <w:rPr>
          <w:rFonts w:ascii="Calibri" w:hAnsi="Calibri" w:cs="Calibri"/>
          <w:b/>
          <w:color w:val="13576B"/>
          <w:sz w:val="22"/>
          <w:szCs w:val="22"/>
        </w:rPr>
        <w:t xml:space="preserve"> na trhu</w:t>
      </w:r>
      <w:r w:rsidR="00747B4B" w:rsidRPr="001C7200">
        <w:rPr>
          <w:rFonts w:ascii="Calibri" w:hAnsi="Calibri" w:cs="Calibri"/>
          <w:b/>
          <w:color w:val="13576B"/>
          <w:sz w:val="22"/>
          <w:szCs w:val="22"/>
        </w:rPr>
        <w:t xml:space="preserve">, který </w:t>
      </w:r>
      <w:r w:rsidR="001C7200" w:rsidRPr="001C7200">
        <w:rPr>
          <w:rFonts w:ascii="Calibri" w:hAnsi="Calibri" w:cs="Calibri"/>
          <w:b/>
          <w:color w:val="13576B"/>
          <w:sz w:val="22"/>
          <w:szCs w:val="22"/>
        </w:rPr>
        <w:t xml:space="preserve">obsahuje data všech tuzemských </w:t>
      </w:r>
      <w:r w:rsidR="001C7200">
        <w:rPr>
          <w:rFonts w:ascii="Calibri" w:hAnsi="Calibri" w:cs="Calibri"/>
          <w:b/>
          <w:color w:val="13576B"/>
          <w:sz w:val="22"/>
          <w:szCs w:val="22"/>
        </w:rPr>
        <w:t>bank</w:t>
      </w:r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 a stavebních spořitelen</w:t>
      </w:r>
      <w:r w:rsidR="001C7200">
        <w:rPr>
          <w:rFonts w:ascii="Calibri" w:hAnsi="Calibri" w:cs="Calibri"/>
          <w:b/>
          <w:color w:val="13576B"/>
          <w:sz w:val="22"/>
          <w:szCs w:val="22"/>
        </w:rPr>
        <w:t xml:space="preserve"> poskytujících hypoteční úvěry</w:t>
      </w:r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 na domácím trhu.</w:t>
      </w:r>
    </w:p>
    <w:p w14:paraId="44CE3940" w14:textId="77777777" w:rsidR="0001227F" w:rsidRPr="0001227F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</w:p>
    <w:p w14:paraId="367713E2" w14:textId="32C3ED52" w:rsidR="0001227F" w:rsidRPr="00477CEB" w:rsidRDefault="002E6C7C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>O</w:t>
      </w:r>
      <w:r w:rsidR="0001227F" w:rsidRPr="00477CEB">
        <w:rPr>
          <w:rFonts w:ascii="Calibri" w:hAnsi="Calibri" w:cs="Calibri"/>
          <w:b/>
          <w:color w:val="13576B"/>
          <w:sz w:val="23"/>
          <w:szCs w:val="23"/>
        </w:rPr>
        <w:t xml:space="preserve">bjemy </w:t>
      </w:r>
      <w:r>
        <w:rPr>
          <w:rFonts w:ascii="Calibri" w:hAnsi="Calibri" w:cs="Calibri"/>
          <w:b/>
          <w:color w:val="13576B"/>
          <w:sz w:val="23"/>
          <w:szCs w:val="23"/>
        </w:rPr>
        <w:t xml:space="preserve">poskytnutých </w:t>
      </w:r>
      <w:r w:rsidR="005C7FCE">
        <w:rPr>
          <w:rFonts w:ascii="Calibri" w:hAnsi="Calibri" w:cs="Calibri"/>
          <w:b/>
          <w:color w:val="13576B"/>
          <w:sz w:val="23"/>
          <w:szCs w:val="23"/>
        </w:rPr>
        <w:t>hypoték zůstávají</w:t>
      </w:r>
      <w:r>
        <w:rPr>
          <w:rFonts w:ascii="Calibri" w:hAnsi="Calibri" w:cs="Calibri"/>
          <w:b/>
          <w:color w:val="13576B"/>
          <w:sz w:val="23"/>
          <w:szCs w:val="23"/>
        </w:rPr>
        <w:t xml:space="preserve"> silné i v říjnu</w:t>
      </w:r>
    </w:p>
    <w:p w14:paraId="77A68D0B" w14:textId="5370B27B" w:rsidR="00D07DD7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 xml:space="preserve">Zájem o hypotéky dle ČBA </w:t>
      </w:r>
      <w:proofErr w:type="spellStart"/>
      <w:r w:rsidRPr="0001227F">
        <w:rPr>
          <w:rFonts w:ascii="Calibri" w:hAnsi="Calibri" w:cs="Calibri"/>
          <w:sz w:val="22"/>
          <w:szCs w:val="22"/>
        </w:rPr>
        <w:t>Hypomonitoru</w:t>
      </w:r>
      <w:proofErr w:type="spellEnd"/>
      <w:r w:rsidRPr="0001227F">
        <w:rPr>
          <w:rFonts w:ascii="Calibri" w:hAnsi="Calibri" w:cs="Calibri"/>
          <w:sz w:val="22"/>
          <w:szCs w:val="22"/>
        </w:rPr>
        <w:t xml:space="preserve"> pokračoval i v </w:t>
      </w:r>
      <w:r w:rsidR="006C74D6">
        <w:rPr>
          <w:rFonts w:ascii="Calibri" w:hAnsi="Calibri" w:cs="Calibri"/>
          <w:sz w:val="22"/>
          <w:szCs w:val="22"/>
        </w:rPr>
        <w:t>říjnu</w:t>
      </w:r>
      <w:r w:rsidRPr="0001227F">
        <w:rPr>
          <w:rFonts w:ascii="Calibri" w:hAnsi="Calibri" w:cs="Calibri"/>
          <w:sz w:val="22"/>
          <w:szCs w:val="22"/>
        </w:rPr>
        <w:t xml:space="preserve">, kdy banky a stavební spořitelny (dále jen </w:t>
      </w:r>
      <w:r w:rsidR="00477CEB">
        <w:rPr>
          <w:rFonts w:ascii="Calibri" w:hAnsi="Calibri" w:cs="Calibri"/>
          <w:sz w:val="22"/>
          <w:szCs w:val="22"/>
        </w:rPr>
        <w:t>„</w:t>
      </w:r>
      <w:r w:rsidRPr="0001227F">
        <w:rPr>
          <w:rFonts w:ascii="Calibri" w:hAnsi="Calibri" w:cs="Calibri"/>
          <w:sz w:val="22"/>
          <w:szCs w:val="22"/>
        </w:rPr>
        <w:t>banky“) poskytly hypotéky v</w:t>
      </w:r>
      <w:r w:rsidR="005C7FCE">
        <w:rPr>
          <w:rFonts w:ascii="Calibri" w:hAnsi="Calibri" w:cs="Calibri"/>
          <w:sz w:val="22"/>
          <w:szCs w:val="22"/>
        </w:rPr>
        <w:t xml:space="preserve"> celkovém </w:t>
      </w:r>
      <w:r w:rsidRPr="0001227F">
        <w:rPr>
          <w:rFonts w:ascii="Calibri" w:hAnsi="Calibri" w:cs="Calibri"/>
          <w:sz w:val="22"/>
          <w:szCs w:val="22"/>
        </w:rPr>
        <w:t xml:space="preserve">objemu </w:t>
      </w:r>
      <w:r w:rsidR="00F70A48">
        <w:rPr>
          <w:rFonts w:ascii="Calibri" w:hAnsi="Calibri" w:cs="Calibri"/>
          <w:sz w:val="22"/>
          <w:szCs w:val="22"/>
        </w:rPr>
        <w:t>40,4</w:t>
      </w:r>
      <w:r w:rsidRPr="0001227F">
        <w:rPr>
          <w:rFonts w:ascii="Calibri" w:hAnsi="Calibri" w:cs="Calibri"/>
          <w:sz w:val="22"/>
          <w:szCs w:val="22"/>
        </w:rPr>
        <w:t xml:space="preserve"> mld. Kč. Jde </w:t>
      </w:r>
      <w:r w:rsidR="00F70A48">
        <w:rPr>
          <w:rFonts w:ascii="Calibri" w:hAnsi="Calibri" w:cs="Calibri"/>
          <w:sz w:val="22"/>
          <w:szCs w:val="22"/>
        </w:rPr>
        <w:t xml:space="preserve">dokonce </w:t>
      </w:r>
      <w:r w:rsidRPr="0001227F">
        <w:rPr>
          <w:rFonts w:ascii="Calibri" w:hAnsi="Calibri" w:cs="Calibri"/>
          <w:sz w:val="22"/>
          <w:szCs w:val="22"/>
        </w:rPr>
        <w:t>o hodnotu nepatrně</w:t>
      </w:r>
      <w:r w:rsidR="00F70A48">
        <w:rPr>
          <w:rFonts w:ascii="Calibri" w:hAnsi="Calibri" w:cs="Calibri"/>
          <w:sz w:val="22"/>
          <w:szCs w:val="22"/>
        </w:rPr>
        <w:t xml:space="preserve"> vyšší</w:t>
      </w:r>
      <w:r w:rsidRPr="0001227F">
        <w:rPr>
          <w:rFonts w:ascii="Calibri" w:hAnsi="Calibri" w:cs="Calibri"/>
          <w:sz w:val="22"/>
          <w:szCs w:val="22"/>
        </w:rPr>
        <w:t xml:space="preserve"> než v</w:t>
      </w:r>
      <w:r w:rsidR="00F70A48">
        <w:rPr>
          <w:rFonts w:ascii="Calibri" w:hAnsi="Calibri" w:cs="Calibri"/>
          <w:sz w:val="22"/>
          <w:szCs w:val="22"/>
        </w:rPr>
        <w:t xml:space="preserve"> září. </w:t>
      </w:r>
      <w:r w:rsidR="00F70A48" w:rsidRPr="006D7FC7">
        <w:rPr>
          <w:rFonts w:ascii="Calibri" w:hAnsi="Calibri" w:cs="Calibri"/>
          <w:b/>
          <w:bCs/>
          <w:sz w:val="22"/>
          <w:szCs w:val="22"/>
        </w:rPr>
        <w:t xml:space="preserve">Z celkového objemu 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>poskytnutých hypoték převyšující 40 mld. Kč činily nov</w:t>
      </w:r>
      <w:r w:rsidR="006A4300" w:rsidRPr="006D7FC7">
        <w:rPr>
          <w:rFonts w:ascii="Calibri" w:hAnsi="Calibri" w:cs="Calibri"/>
          <w:b/>
          <w:bCs/>
          <w:sz w:val="22"/>
          <w:szCs w:val="22"/>
        </w:rPr>
        <w:t>é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 xml:space="preserve"> hypotéky </w:t>
      </w:r>
      <w:r w:rsidR="008C383B" w:rsidRPr="006D7FC7">
        <w:rPr>
          <w:rFonts w:ascii="Calibri" w:hAnsi="Calibri" w:cs="Calibri"/>
          <w:b/>
          <w:bCs/>
          <w:sz w:val="22"/>
          <w:szCs w:val="22"/>
        </w:rPr>
        <w:t>31,2 mld. Kč</w:t>
      </w:r>
      <w:r w:rsidR="008C383B">
        <w:rPr>
          <w:rFonts w:ascii="Calibri" w:hAnsi="Calibri" w:cs="Calibri"/>
          <w:sz w:val="22"/>
          <w:szCs w:val="22"/>
        </w:rPr>
        <w:t>, což je oproti září nárůst o více než 1 mld. Kč. Objem refinancovaných</w:t>
      </w:r>
      <w:r w:rsidR="006A4300">
        <w:rPr>
          <w:rFonts w:ascii="Calibri" w:hAnsi="Calibri" w:cs="Calibri"/>
          <w:sz w:val="22"/>
          <w:szCs w:val="22"/>
        </w:rPr>
        <w:t xml:space="preserve"> hypoteč</w:t>
      </w:r>
      <w:r w:rsidR="008900AF">
        <w:rPr>
          <w:rFonts w:ascii="Calibri" w:hAnsi="Calibri" w:cs="Calibri"/>
          <w:sz w:val="22"/>
          <w:szCs w:val="22"/>
        </w:rPr>
        <w:t>n</w:t>
      </w:r>
      <w:r w:rsidR="006A4300">
        <w:rPr>
          <w:rFonts w:ascii="Calibri" w:hAnsi="Calibri" w:cs="Calibri"/>
          <w:sz w:val="22"/>
          <w:szCs w:val="22"/>
        </w:rPr>
        <w:t>ích</w:t>
      </w:r>
      <w:r w:rsidR="008C383B">
        <w:rPr>
          <w:rFonts w:ascii="Calibri" w:hAnsi="Calibri" w:cs="Calibri"/>
          <w:sz w:val="22"/>
          <w:szCs w:val="22"/>
        </w:rPr>
        <w:t xml:space="preserve"> úvěrů</w:t>
      </w:r>
      <w:r w:rsidR="00531FAE">
        <w:rPr>
          <w:rFonts w:ascii="Calibri" w:hAnsi="Calibri" w:cs="Calibri"/>
          <w:sz w:val="22"/>
          <w:szCs w:val="22"/>
        </w:rPr>
        <w:t xml:space="preserve"> pak </w:t>
      </w:r>
      <w:r w:rsidR="001348D9">
        <w:rPr>
          <w:rFonts w:ascii="Calibri" w:hAnsi="Calibri" w:cs="Calibri"/>
          <w:sz w:val="22"/>
          <w:szCs w:val="22"/>
        </w:rPr>
        <w:t xml:space="preserve">dosáhl </w:t>
      </w:r>
      <w:r w:rsidR="00442170">
        <w:rPr>
          <w:rFonts w:ascii="Calibri" w:hAnsi="Calibri" w:cs="Calibri"/>
          <w:sz w:val="22"/>
          <w:szCs w:val="22"/>
        </w:rPr>
        <w:t>9</w:t>
      </w:r>
      <w:r w:rsidR="001348D9">
        <w:rPr>
          <w:rFonts w:ascii="Calibri" w:hAnsi="Calibri" w:cs="Calibri"/>
          <w:sz w:val="22"/>
          <w:szCs w:val="22"/>
        </w:rPr>
        <w:t>,2</w:t>
      </w:r>
      <w:r w:rsidR="00442170">
        <w:rPr>
          <w:rFonts w:ascii="Calibri" w:hAnsi="Calibri" w:cs="Calibri"/>
          <w:sz w:val="22"/>
          <w:szCs w:val="22"/>
        </w:rPr>
        <w:t xml:space="preserve"> mld. Kč</w:t>
      </w:r>
      <w:r w:rsidR="00EC4F93">
        <w:rPr>
          <w:rFonts w:ascii="Calibri" w:hAnsi="Calibri" w:cs="Calibri"/>
          <w:sz w:val="22"/>
          <w:szCs w:val="22"/>
        </w:rPr>
        <w:t>, z toho necelých 7 mld. Kč byly refinancované úvěry z jiných finančních institucí</w:t>
      </w:r>
      <w:r w:rsidR="006D7FC7">
        <w:rPr>
          <w:rFonts w:ascii="Calibri" w:hAnsi="Calibri" w:cs="Calibri"/>
          <w:sz w:val="22"/>
          <w:szCs w:val="22"/>
        </w:rPr>
        <w:t xml:space="preserve"> a</w:t>
      </w:r>
      <w:r w:rsidR="00EC4F93">
        <w:rPr>
          <w:rFonts w:ascii="Calibri" w:hAnsi="Calibri" w:cs="Calibri"/>
          <w:sz w:val="22"/>
          <w:szCs w:val="22"/>
        </w:rPr>
        <w:t xml:space="preserve"> </w:t>
      </w:r>
      <w:r w:rsidR="00D07DD7">
        <w:rPr>
          <w:rFonts w:ascii="Calibri" w:hAnsi="Calibri" w:cs="Calibri"/>
          <w:sz w:val="22"/>
          <w:szCs w:val="22"/>
        </w:rPr>
        <w:t xml:space="preserve">2 mld. Kč </w:t>
      </w:r>
      <w:r w:rsidR="006A4300">
        <w:rPr>
          <w:rFonts w:ascii="Calibri" w:hAnsi="Calibri" w:cs="Calibri"/>
          <w:sz w:val="22"/>
          <w:szCs w:val="22"/>
        </w:rPr>
        <w:t xml:space="preserve">úvěry </w:t>
      </w:r>
      <w:r w:rsidR="00D07DD7">
        <w:rPr>
          <w:rFonts w:ascii="Calibri" w:hAnsi="Calibri" w:cs="Calibri"/>
          <w:sz w:val="22"/>
          <w:szCs w:val="22"/>
        </w:rPr>
        <w:t xml:space="preserve">refinancované </w:t>
      </w:r>
      <w:r w:rsidR="006A4300">
        <w:rPr>
          <w:rFonts w:ascii="Calibri" w:hAnsi="Calibri" w:cs="Calibri"/>
          <w:sz w:val="22"/>
          <w:szCs w:val="22"/>
        </w:rPr>
        <w:t>interně</w:t>
      </w:r>
      <w:r w:rsidR="00D07DD7">
        <w:rPr>
          <w:rFonts w:ascii="Calibri" w:hAnsi="Calibri" w:cs="Calibri"/>
          <w:sz w:val="22"/>
          <w:szCs w:val="22"/>
        </w:rPr>
        <w:t>.</w:t>
      </w:r>
      <w:r w:rsidR="001348D9">
        <w:rPr>
          <w:rFonts w:ascii="Calibri" w:hAnsi="Calibri" w:cs="Calibri"/>
          <w:sz w:val="22"/>
          <w:szCs w:val="22"/>
        </w:rPr>
        <w:t xml:space="preserve"> Oproti září byl naopak objem refinancovaných úvěr</w:t>
      </w:r>
      <w:r w:rsidR="006D7FC7">
        <w:rPr>
          <w:rFonts w:ascii="Calibri" w:hAnsi="Calibri" w:cs="Calibri"/>
          <w:sz w:val="22"/>
          <w:szCs w:val="22"/>
        </w:rPr>
        <w:t>ů</w:t>
      </w:r>
      <w:r w:rsidR="001348D9">
        <w:rPr>
          <w:rFonts w:ascii="Calibri" w:hAnsi="Calibri" w:cs="Calibri"/>
          <w:sz w:val="22"/>
          <w:szCs w:val="22"/>
        </w:rPr>
        <w:t xml:space="preserve"> </w:t>
      </w:r>
      <w:r w:rsidR="00E80943">
        <w:rPr>
          <w:rFonts w:ascii="Calibri" w:hAnsi="Calibri" w:cs="Calibri"/>
          <w:sz w:val="22"/>
          <w:szCs w:val="22"/>
        </w:rPr>
        <w:t xml:space="preserve">o 1 mld. </w:t>
      </w:r>
      <w:r w:rsidR="006D7FC7">
        <w:rPr>
          <w:rFonts w:ascii="Calibri" w:hAnsi="Calibri" w:cs="Calibri"/>
          <w:sz w:val="22"/>
          <w:szCs w:val="22"/>
        </w:rPr>
        <w:t xml:space="preserve">Kč </w:t>
      </w:r>
      <w:r w:rsidR="00E80943">
        <w:rPr>
          <w:rFonts w:ascii="Calibri" w:hAnsi="Calibri" w:cs="Calibri"/>
          <w:sz w:val="22"/>
          <w:szCs w:val="22"/>
        </w:rPr>
        <w:t xml:space="preserve">nižší. </w:t>
      </w:r>
      <w:r w:rsidR="00D07DD7">
        <w:rPr>
          <w:rFonts w:ascii="Calibri" w:hAnsi="Calibri" w:cs="Calibri"/>
          <w:sz w:val="22"/>
          <w:szCs w:val="22"/>
        </w:rPr>
        <w:t xml:space="preserve"> </w:t>
      </w:r>
    </w:p>
    <w:p w14:paraId="292E3577" w14:textId="77777777" w:rsidR="002E6C7C" w:rsidRDefault="002E6C7C" w:rsidP="0001227F">
      <w:pPr>
        <w:rPr>
          <w:rFonts w:ascii="Calibri" w:hAnsi="Calibri" w:cs="Calibri"/>
          <w:sz w:val="22"/>
          <w:szCs w:val="22"/>
        </w:rPr>
      </w:pPr>
    </w:p>
    <w:p w14:paraId="6CC5EDE5" w14:textId="6730D97B" w:rsidR="002E6C7C" w:rsidRPr="00477CEB" w:rsidRDefault="00386E7F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>Počet i objem nově poskytnutých hypoték v říjnu dále vzrostl</w:t>
      </w:r>
    </w:p>
    <w:p w14:paraId="6F998B6E" w14:textId="12F0E880" w:rsidR="00D07DD7" w:rsidRDefault="00D07DD7" w:rsidP="000122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pohledu na nově poskytnuté hypotéky</w:t>
      </w:r>
      <w:r w:rsidR="003C1195">
        <w:rPr>
          <w:rFonts w:ascii="Calibri" w:hAnsi="Calibri" w:cs="Calibri"/>
          <w:sz w:val="22"/>
          <w:szCs w:val="22"/>
        </w:rPr>
        <w:t xml:space="preserve"> bez refinancování</w:t>
      </w:r>
      <w:r w:rsidR="00386E7F">
        <w:rPr>
          <w:rFonts w:ascii="Calibri" w:hAnsi="Calibri" w:cs="Calibri"/>
          <w:sz w:val="22"/>
          <w:szCs w:val="22"/>
        </w:rPr>
        <w:t xml:space="preserve"> banky </w:t>
      </w:r>
      <w:r w:rsidR="00986110">
        <w:rPr>
          <w:rFonts w:ascii="Calibri" w:hAnsi="Calibri" w:cs="Calibri"/>
          <w:sz w:val="22"/>
          <w:szCs w:val="22"/>
        </w:rPr>
        <w:t xml:space="preserve">v říjnu </w:t>
      </w:r>
      <w:r w:rsidR="00386E7F">
        <w:rPr>
          <w:rFonts w:ascii="Calibri" w:hAnsi="Calibri" w:cs="Calibri"/>
          <w:sz w:val="22"/>
          <w:szCs w:val="22"/>
        </w:rPr>
        <w:t xml:space="preserve">poskytly </w:t>
      </w:r>
      <w:r w:rsidR="00E67A1A">
        <w:rPr>
          <w:rFonts w:ascii="Calibri" w:hAnsi="Calibri" w:cs="Calibri"/>
          <w:sz w:val="22"/>
          <w:szCs w:val="22"/>
        </w:rPr>
        <w:t xml:space="preserve">9 318 hypoték, </w:t>
      </w:r>
      <w:r w:rsidR="00F10D7E">
        <w:rPr>
          <w:rFonts w:ascii="Calibri" w:hAnsi="Calibri" w:cs="Calibri"/>
          <w:sz w:val="22"/>
          <w:szCs w:val="22"/>
        </w:rPr>
        <w:t>o</w:t>
      </w:r>
      <w:r w:rsidR="00E67A1A">
        <w:rPr>
          <w:rFonts w:ascii="Calibri" w:hAnsi="Calibri" w:cs="Calibri"/>
          <w:sz w:val="22"/>
          <w:szCs w:val="22"/>
        </w:rPr>
        <w:t>p</w:t>
      </w:r>
      <w:r w:rsidR="00F10D7E">
        <w:rPr>
          <w:rFonts w:ascii="Calibri" w:hAnsi="Calibri" w:cs="Calibri"/>
          <w:sz w:val="22"/>
          <w:szCs w:val="22"/>
        </w:rPr>
        <w:t>ro</w:t>
      </w:r>
      <w:r w:rsidR="00E67A1A">
        <w:rPr>
          <w:rFonts w:ascii="Calibri" w:hAnsi="Calibri" w:cs="Calibri"/>
          <w:sz w:val="22"/>
          <w:szCs w:val="22"/>
        </w:rPr>
        <w:t>t</w:t>
      </w:r>
      <w:r w:rsidR="00F10D7E">
        <w:rPr>
          <w:rFonts w:ascii="Calibri" w:hAnsi="Calibri" w:cs="Calibri"/>
          <w:sz w:val="22"/>
          <w:szCs w:val="22"/>
        </w:rPr>
        <w:t>i</w:t>
      </w:r>
      <w:r w:rsidR="00E67A1A">
        <w:rPr>
          <w:rFonts w:ascii="Calibri" w:hAnsi="Calibri" w:cs="Calibri"/>
          <w:sz w:val="22"/>
          <w:szCs w:val="22"/>
        </w:rPr>
        <w:t xml:space="preserve"> září se tak p</w:t>
      </w:r>
      <w:r w:rsidR="000F61F5">
        <w:rPr>
          <w:rFonts w:ascii="Calibri" w:hAnsi="Calibri" w:cs="Calibri"/>
          <w:sz w:val="22"/>
          <w:szCs w:val="22"/>
        </w:rPr>
        <w:t xml:space="preserve">očet </w:t>
      </w:r>
      <w:r w:rsidR="00824A84">
        <w:rPr>
          <w:rFonts w:ascii="Calibri" w:hAnsi="Calibri" w:cs="Calibri"/>
          <w:sz w:val="22"/>
          <w:szCs w:val="22"/>
        </w:rPr>
        <w:t xml:space="preserve">nově </w:t>
      </w:r>
      <w:r w:rsidR="000F61F5">
        <w:rPr>
          <w:rFonts w:ascii="Calibri" w:hAnsi="Calibri" w:cs="Calibri"/>
          <w:sz w:val="22"/>
          <w:szCs w:val="22"/>
        </w:rPr>
        <w:t>poskytnutých hypoték zvýšil</w:t>
      </w:r>
      <w:r w:rsidR="00F53F88">
        <w:rPr>
          <w:rFonts w:ascii="Calibri" w:hAnsi="Calibri" w:cs="Calibri"/>
          <w:sz w:val="22"/>
          <w:szCs w:val="22"/>
        </w:rPr>
        <w:t xml:space="preserve"> (z 9 064 v září)</w:t>
      </w:r>
      <w:r w:rsidR="000F61F5">
        <w:rPr>
          <w:rFonts w:ascii="Calibri" w:hAnsi="Calibri" w:cs="Calibri"/>
          <w:sz w:val="22"/>
          <w:szCs w:val="22"/>
        </w:rPr>
        <w:t>. Průměrná hypotéka v</w:t>
      </w:r>
      <w:r w:rsidR="00580391">
        <w:rPr>
          <w:rFonts w:ascii="Calibri" w:hAnsi="Calibri" w:cs="Calibri"/>
          <w:sz w:val="22"/>
          <w:szCs w:val="22"/>
        </w:rPr>
        <w:t> </w:t>
      </w:r>
      <w:r w:rsidR="000F61F5">
        <w:rPr>
          <w:rFonts w:ascii="Calibri" w:hAnsi="Calibri" w:cs="Calibri"/>
          <w:sz w:val="22"/>
          <w:szCs w:val="22"/>
        </w:rPr>
        <w:t>říjnu</w:t>
      </w:r>
      <w:r w:rsidR="00580391">
        <w:rPr>
          <w:rFonts w:ascii="Calibri" w:hAnsi="Calibri" w:cs="Calibri"/>
          <w:sz w:val="22"/>
          <w:szCs w:val="22"/>
        </w:rPr>
        <w:t xml:space="preserve"> dále mírně rostla</w:t>
      </w:r>
      <w:r w:rsidR="000F61F5">
        <w:rPr>
          <w:rFonts w:ascii="Calibri" w:hAnsi="Calibri" w:cs="Calibri"/>
          <w:sz w:val="22"/>
          <w:szCs w:val="22"/>
        </w:rPr>
        <w:t>, a to na 3</w:t>
      </w:r>
      <w:r w:rsidR="00F10D7E">
        <w:rPr>
          <w:rFonts w:ascii="Calibri" w:hAnsi="Calibri" w:cs="Calibri"/>
          <w:sz w:val="22"/>
          <w:szCs w:val="22"/>
        </w:rPr>
        <w:t>,35 mil</w:t>
      </w:r>
      <w:r w:rsidR="00824A84">
        <w:rPr>
          <w:rFonts w:ascii="Calibri" w:hAnsi="Calibri" w:cs="Calibri"/>
          <w:sz w:val="22"/>
          <w:szCs w:val="22"/>
        </w:rPr>
        <w:t>.</w:t>
      </w:r>
      <w:r w:rsidR="00F10D7E">
        <w:rPr>
          <w:rFonts w:ascii="Calibri" w:hAnsi="Calibri" w:cs="Calibri"/>
          <w:sz w:val="22"/>
          <w:szCs w:val="22"/>
        </w:rPr>
        <w:t xml:space="preserve"> Kč.</w:t>
      </w:r>
      <w:r w:rsidR="00580391">
        <w:rPr>
          <w:rFonts w:ascii="Calibri" w:hAnsi="Calibri" w:cs="Calibri"/>
          <w:sz w:val="22"/>
          <w:szCs w:val="22"/>
        </w:rPr>
        <w:t xml:space="preserve"> </w:t>
      </w:r>
      <w:r w:rsidR="000E0B50">
        <w:rPr>
          <w:rFonts w:ascii="Calibri" w:hAnsi="Calibri" w:cs="Calibri"/>
          <w:sz w:val="22"/>
          <w:szCs w:val="22"/>
        </w:rPr>
        <w:t xml:space="preserve">V případě </w:t>
      </w:r>
      <w:r w:rsidR="00A34E5A">
        <w:rPr>
          <w:rFonts w:ascii="Calibri" w:hAnsi="Calibri" w:cs="Calibri"/>
          <w:sz w:val="22"/>
          <w:szCs w:val="22"/>
        </w:rPr>
        <w:t xml:space="preserve">refinancování </w:t>
      </w:r>
      <w:r w:rsidR="008A3889">
        <w:rPr>
          <w:rFonts w:ascii="Calibri" w:hAnsi="Calibri" w:cs="Calibri"/>
          <w:sz w:val="22"/>
          <w:szCs w:val="22"/>
        </w:rPr>
        <w:t xml:space="preserve">úvěru je objem </w:t>
      </w:r>
      <w:r w:rsidR="00A34E5A">
        <w:rPr>
          <w:rFonts w:ascii="Calibri" w:hAnsi="Calibri" w:cs="Calibri"/>
          <w:sz w:val="22"/>
          <w:szCs w:val="22"/>
        </w:rPr>
        <w:t xml:space="preserve">hypotéky </w:t>
      </w:r>
      <w:r w:rsidR="008A3889">
        <w:rPr>
          <w:rFonts w:ascii="Calibri" w:hAnsi="Calibri" w:cs="Calibri"/>
          <w:sz w:val="22"/>
          <w:szCs w:val="22"/>
        </w:rPr>
        <w:t xml:space="preserve">v průměru </w:t>
      </w:r>
      <w:r w:rsidR="0051449F">
        <w:rPr>
          <w:rFonts w:ascii="Calibri" w:hAnsi="Calibri" w:cs="Calibri"/>
          <w:sz w:val="22"/>
          <w:szCs w:val="22"/>
        </w:rPr>
        <w:t>o 800</w:t>
      </w:r>
      <w:r w:rsidR="00F62A93">
        <w:rPr>
          <w:rFonts w:ascii="Calibri" w:hAnsi="Calibri" w:cs="Calibri"/>
          <w:sz w:val="22"/>
          <w:szCs w:val="22"/>
        </w:rPr>
        <w:t>–</w:t>
      </w:r>
      <w:r w:rsidR="0051449F">
        <w:rPr>
          <w:rFonts w:ascii="Calibri" w:hAnsi="Calibri" w:cs="Calibri"/>
          <w:sz w:val="22"/>
          <w:szCs w:val="22"/>
        </w:rPr>
        <w:t>900 tis.</w:t>
      </w:r>
      <w:r w:rsidR="008A3889">
        <w:rPr>
          <w:rFonts w:ascii="Calibri" w:hAnsi="Calibri" w:cs="Calibri"/>
          <w:sz w:val="22"/>
          <w:szCs w:val="22"/>
        </w:rPr>
        <w:t xml:space="preserve"> Kč nižší.</w:t>
      </w:r>
      <w:r w:rsidR="0051449F">
        <w:rPr>
          <w:rFonts w:ascii="Calibri" w:hAnsi="Calibri" w:cs="Calibri"/>
          <w:sz w:val="22"/>
          <w:szCs w:val="22"/>
        </w:rPr>
        <w:t xml:space="preserve"> </w:t>
      </w:r>
      <w:r w:rsidR="00F10D7E">
        <w:rPr>
          <w:rFonts w:ascii="Calibri" w:hAnsi="Calibri" w:cs="Calibri"/>
          <w:sz w:val="22"/>
          <w:szCs w:val="22"/>
        </w:rPr>
        <w:t xml:space="preserve"> </w:t>
      </w:r>
      <w:r w:rsidR="009D39EE">
        <w:rPr>
          <w:rFonts w:ascii="Calibri" w:hAnsi="Calibri" w:cs="Calibri"/>
          <w:sz w:val="22"/>
          <w:szCs w:val="22"/>
        </w:rPr>
        <w:t xml:space="preserve">Nové hypotéky </w:t>
      </w:r>
      <w:r w:rsidR="00896BC2">
        <w:rPr>
          <w:rFonts w:ascii="Calibri" w:hAnsi="Calibri" w:cs="Calibri"/>
          <w:sz w:val="22"/>
          <w:szCs w:val="22"/>
        </w:rPr>
        <w:t>jsou nejvíce poskytovány za účelem koupě nemovitostí,</w:t>
      </w:r>
      <w:r w:rsidR="001906F3">
        <w:rPr>
          <w:rFonts w:ascii="Calibri" w:hAnsi="Calibri" w:cs="Calibri"/>
          <w:sz w:val="22"/>
          <w:szCs w:val="22"/>
        </w:rPr>
        <w:t xml:space="preserve"> ty</w:t>
      </w:r>
      <w:r w:rsidR="00117860">
        <w:rPr>
          <w:rFonts w:ascii="Calibri" w:hAnsi="Calibri" w:cs="Calibri"/>
          <w:sz w:val="22"/>
          <w:szCs w:val="22"/>
        </w:rPr>
        <w:t xml:space="preserve"> tvoří necelých 70 % objemu </w:t>
      </w:r>
      <w:r w:rsidR="001906F3">
        <w:rPr>
          <w:rFonts w:ascii="Calibri" w:hAnsi="Calibri" w:cs="Calibri"/>
          <w:sz w:val="22"/>
          <w:szCs w:val="22"/>
        </w:rPr>
        <w:t>nově poskytnutých hypoték.</w:t>
      </w:r>
    </w:p>
    <w:p w14:paraId="359DE813" w14:textId="00EA6374" w:rsidR="00D07DD7" w:rsidRDefault="00D07DD7" w:rsidP="0001227F">
      <w:pPr>
        <w:rPr>
          <w:rFonts w:ascii="Calibri" w:hAnsi="Calibri" w:cs="Calibri"/>
          <w:sz w:val="22"/>
          <w:szCs w:val="22"/>
        </w:rPr>
      </w:pPr>
    </w:p>
    <w:p w14:paraId="3AF604F9" w14:textId="77777777" w:rsidR="005C7FCE" w:rsidRDefault="005C7FCE" w:rsidP="0001227F">
      <w:pPr>
        <w:rPr>
          <w:rFonts w:ascii="Calibri" w:hAnsi="Calibri" w:cs="Calibri"/>
          <w:sz w:val="22"/>
          <w:szCs w:val="22"/>
        </w:rPr>
      </w:pPr>
    </w:p>
    <w:p w14:paraId="11B8840B" w14:textId="322F818F" w:rsidR="00D8652F" w:rsidRPr="00C014C6" w:rsidRDefault="00D8652F" w:rsidP="00D8652F">
      <w:pPr>
        <w:rPr>
          <w:rFonts w:ascii="Calibri" w:hAnsi="Calibri" w:cs="Calibri"/>
          <w:b/>
          <w:bCs/>
          <w:sz w:val="22"/>
          <w:szCs w:val="22"/>
        </w:rPr>
      </w:pPr>
      <w:r w:rsidRPr="00C014C6">
        <w:rPr>
          <w:rFonts w:ascii="Calibri" w:hAnsi="Calibri" w:cs="Calibri"/>
          <w:b/>
          <w:bCs/>
          <w:sz w:val="22"/>
          <w:szCs w:val="22"/>
        </w:rPr>
        <w:t xml:space="preserve">Tabulka č. 1: Shrnutí </w:t>
      </w:r>
      <w:r w:rsidR="00C014C6" w:rsidRPr="00C014C6">
        <w:rPr>
          <w:rFonts w:ascii="Calibri" w:hAnsi="Calibri" w:cs="Calibri"/>
          <w:b/>
          <w:bCs/>
          <w:sz w:val="22"/>
          <w:szCs w:val="22"/>
        </w:rPr>
        <w:t>objemu poskytnutých hypoték a průměrných úrokových sazeb za říjen 2021</w:t>
      </w:r>
    </w:p>
    <w:p w14:paraId="23032F8C" w14:textId="0F17BD59" w:rsidR="007F79F0" w:rsidRDefault="007F79F0" w:rsidP="005C7F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1154"/>
        <w:gridCol w:w="1006"/>
        <w:gridCol w:w="1006"/>
      </w:tblGrid>
      <w:tr w:rsidR="007F79F0" w:rsidRPr="007F79F0" w14:paraId="56D6F9BD" w14:textId="77777777" w:rsidTr="007F79F0">
        <w:trPr>
          <w:divId w:val="237249572"/>
          <w:trHeight w:val="452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3D12" w14:textId="06631AAE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3"/>
                <w:szCs w:val="23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3"/>
                <w:szCs w:val="23"/>
              </w:rPr>
              <w:t xml:space="preserve">ČBA </w:t>
            </w:r>
            <w:proofErr w:type="spellStart"/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3"/>
                <w:szCs w:val="23"/>
              </w:rPr>
              <w:t>Hypomonitor</w:t>
            </w:r>
            <w:proofErr w:type="spellEnd"/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3"/>
                <w:szCs w:val="23"/>
              </w:rPr>
              <w:t xml:space="preserve"> říjen 2021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20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EE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7F79F0" w:rsidRPr="007F79F0" w14:paraId="1FAA53B0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13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220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Objem</w:t>
            </w: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>(mld. Kč)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76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Počet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92DAE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Sazba</w:t>
            </w: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 xml:space="preserve"> (%)</w:t>
            </w:r>
          </w:p>
        </w:tc>
      </w:tr>
      <w:tr w:rsidR="007F79F0" w:rsidRPr="007F79F0" w14:paraId="229AC362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5AEE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4E0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30A7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4C27AC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</w:tr>
      <w:tr w:rsidR="007F79F0" w:rsidRPr="007F79F0" w14:paraId="5F133080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4E8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9FA1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6BB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13 027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857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2,52</w:t>
            </w:r>
          </w:p>
        </w:tc>
      </w:tr>
      <w:tr w:rsidR="007F79F0" w:rsidRPr="007F79F0" w14:paraId="464F1E8A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96C2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Nové úvěry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EC5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33CC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9 318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BF9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2,54</w:t>
            </w:r>
          </w:p>
        </w:tc>
      </w:tr>
      <w:tr w:rsidR="007F79F0" w:rsidRPr="007F79F0" w14:paraId="77DB9F7F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906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200" w:firstLine="44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 toho: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3A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6D98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3C27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F79F0" w:rsidRPr="007F79F0" w14:paraId="2691E6FA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ABD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koupi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B6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FEE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5 937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491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2,54</w:t>
            </w:r>
          </w:p>
        </w:tc>
      </w:tr>
      <w:tr w:rsidR="007F79F0" w:rsidRPr="007F79F0" w14:paraId="7032C826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8AA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výstavbu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56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0D50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2 436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8CA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2,46</w:t>
            </w:r>
          </w:p>
        </w:tc>
      </w:tr>
      <w:tr w:rsidR="007F79F0" w:rsidRPr="007F79F0" w14:paraId="20FDBDBD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4B05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EA58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82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4EFB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2,78</w:t>
            </w:r>
          </w:p>
        </w:tc>
      </w:tr>
      <w:tr w:rsidR="007F79F0" w:rsidRPr="007F79F0" w14:paraId="7979DAA4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4CB3C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z jiné instituce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92E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35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2 782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7B5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2,44</w:t>
            </w:r>
          </w:p>
        </w:tc>
      </w:tr>
      <w:tr w:rsidR="007F79F0" w:rsidRPr="007F79F0" w14:paraId="1A4A7740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5CE52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interně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0CA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64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798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2,42</w:t>
            </w:r>
          </w:p>
        </w:tc>
      </w:tr>
      <w:tr w:rsidR="007F79F0" w:rsidRPr="007F79F0" w14:paraId="73F49B53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1D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Cs w:val="18"/>
              </w:rPr>
            </w:pPr>
            <w:r w:rsidRPr="007F79F0">
              <w:rPr>
                <w:rFonts w:ascii="Calibri Light" w:hAnsi="Calibri Light" w:cs="Calibri Light"/>
                <w:color w:val="13576B"/>
                <w:szCs w:val="18"/>
              </w:rPr>
              <w:t xml:space="preserve">Pramen: ČBA </w:t>
            </w:r>
            <w:proofErr w:type="spellStart"/>
            <w:r w:rsidRPr="007F79F0">
              <w:rPr>
                <w:rFonts w:ascii="Calibri Light" w:hAnsi="Calibri Light" w:cs="Calibri Light"/>
                <w:color w:val="13576B"/>
                <w:szCs w:val="18"/>
              </w:rPr>
              <w:t>Hypomonitor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D4B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03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91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</w:tr>
    </w:tbl>
    <w:p w14:paraId="0F22B9E7" w14:textId="64C906D3" w:rsidR="005C7FCE" w:rsidRDefault="005C7FCE" w:rsidP="005C7FCE"/>
    <w:p w14:paraId="3911F4D5" w14:textId="77777777" w:rsidR="005C7FCE" w:rsidRDefault="005C7FCE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681D6433" w14:textId="77777777" w:rsidR="0081060D" w:rsidRPr="0001227F" w:rsidRDefault="0081060D" w:rsidP="0081060D">
      <w:pPr>
        <w:rPr>
          <w:rFonts w:ascii="Calibri" w:hAnsi="Calibri" w:cs="Calibri"/>
          <w:b/>
          <w:bCs/>
          <w:sz w:val="22"/>
          <w:szCs w:val="22"/>
        </w:rPr>
      </w:pPr>
      <w:r w:rsidRPr="0001227F">
        <w:rPr>
          <w:rFonts w:ascii="Calibri" w:hAnsi="Calibri" w:cs="Calibri"/>
          <w:b/>
          <w:bCs/>
          <w:sz w:val="22"/>
          <w:szCs w:val="22"/>
        </w:rPr>
        <w:lastRenderedPageBreak/>
        <w:t xml:space="preserve">Komentář Jakuba Seidlera, hlavního ekonoma ČBA: </w:t>
      </w:r>
    </w:p>
    <w:p w14:paraId="4A99D9B6" w14:textId="77777777" w:rsidR="0081060D" w:rsidRDefault="0081060D" w:rsidP="0081060D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Objem poskytnutých hypoték zůstává silný i v říjnu. Růst úrokových sazeb na trhu sice patrně </w:t>
      </w:r>
      <w:r w:rsidRPr="00FC206B">
        <w:rPr>
          <w:rFonts w:ascii="Calibri" w:hAnsi="Calibri" w:cs="Calibri"/>
          <w:i/>
          <w:iCs/>
          <w:sz w:val="22"/>
          <w:szCs w:val="22"/>
        </w:rPr>
        <w:t>ztlumí poptávku po hypotečních úvěrech,</w:t>
      </w:r>
      <w:r>
        <w:rPr>
          <w:rFonts w:ascii="Calibri" w:hAnsi="Calibri" w:cs="Calibri"/>
          <w:i/>
          <w:iCs/>
          <w:sz w:val="22"/>
          <w:szCs w:val="22"/>
        </w:rPr>
        <w:t xml:space="preserve"> v</w:t>
      </w:r>
      <w:r w:rsidRPr="00FC206B">
        <w:rPr>
          <w:rFonts w:ascii="Calibri" w:hAnsi="Calibri" w:cs="Calibri"/>
          <w:i/>
          <w:iCs/>
          <w:sz w:val="22"/>
          <w:szCs w:val="22"/>
        </w:rPr>
        <w:t xml:space="preserve"> krátkém období však může obava z růstu sazeb přimět některé domácnosti uspíšit žádost o hypotéku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FC206B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O</w:t>
      </w:r>
      <w:r w:rsidRPr="00FC206B">
        <w:rPr>
          <w:rFonts w:ascii="Calibri" w:hAnsi="Calibri" w:cs="Calibri"/>
          <w:i/>
          <w:iCs/>
          <w:sz w:val="22"/>
          <w:szCs w:val="22"/>
        </w:rPr>
        <w:t>bjemy poskytnutých hypoték tak mohou zůstat</w:t>
      </w:r>
      <w:r>
        <w:rPr>
          <w:rFonts w:ascii="Calibri" w:hAnsi="Calibri" w:cs="Calibri"/>
          <w:i/>
          <w:iCs/>
          <w:sz w:val="22"/>
          <w:szCs w:val="22"/>
        </w:rPr>
        <w:t xml:space="preserve"> v příštích měsících</w:t>
      </w:r>
      <w:r w:rsidRPr="00FC206B">
        <w:rPr>
          <w:rFonts w:ascii="Calibri" w:hAnsi="Calibri" w:cs="Calibri"/>
          <w:i/>
          <w:iCs/>
          <w:sz w:val="22"/>
          <w:szCs w:val="22"/>
        </w:rPr>
        <w:t xml:space="preserve"> nadstandartní navzdory rostoucím sazbám.</w:t>
      </w:r>
    </w:p>
    <w:p w14:paraId="37476374" w14:textId="249F6B2A" w:rsidR="0081060D" w:rsidRDefault="0081060D" w:rsidP="00F10D7E"/>
    <w:p w14:paraId="12DEED79" w14:textId="77777777" w:rsidR="00824A84" w:rsidRDefault="00824A84" w:rsidP="00F10D7E"/>
    <w:p w14:paraId="7AE0CCC0" w14:textId="0354AAA8" w:rsidR="00A72C93" w:rsidRPr="00477CEB" w:rsidRDefault="0000363D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 xml:space="preserve">Průměrná hypoteční sazba </w:t>
      </w:r>
      <w:r w:rsidR="00E36335">
        <w:rPr>
          <w:rFonts w:ascii="Calibri" w:hAnsi="Calibri" w:cs="Calibri"/>
          <w:b/>
          <w:color w:val="13576B"/>
          <w:sz w:val="23"/>
          <w:szCs w:val="23"/>
        </w:rPr>
        <w:t>se začne zvyšovat rychleji</w:t>
      </w:r>
    </w:p>
    <w:p w14:paraId="566E3DDB" w14:textId="296CD28B" w:rsidR="00FF211E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  <w:r w:rsidRPr="006C090C">
        <w:rPr>
          <w:rFonts w:ascii="Calibri" w:hAnsi="Calibri" w:cs="Calibri"/>
          <w:b/>
          <w:bCs/>
          <w:sz w:val="22"/>
          <w:szCs w:val="22"/>
        </w:rPr>
        <w:t>Úroková sazba u nově poskytnutých hypotečních úvěrů</w:t>
      </w:r>
      <w:r w:rsidR="006C3F79"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090C">
        <w:rPr>
          <w:rFonts w:ascii="Calibri" w:hAnsi="Calibri" w:cs="Calibri"/>
          <w:b/>
          <w:bCs/>
          <w:sz w:val="22"/>
          <w:szCs w:val="22"/>
        </w:rPr>
        <w:t>v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 xml:space="preserve"> říjnu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3F79" w:rsidRPr="006C090C">
        <w:rPr>
          <w:rFonts w:ascii="Calibri" w:hAnsi="Calibri" w:cs="Calibri"/>
          <w:b/>
          <w:bCs/>
          <w:sz w:val="22"/>
          <w:szCs w:val="22"/>
        </w:rPr>
        <w:t>vzrostla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na 2,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>54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% ze srpnových 2,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>43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%.</w:t>
      </w:r>
      <w:r w:rsidR="004444EE">
        <w:rPr>
          <w:rFonts w:ascii="Calibri" w:hAnsi="Calibri" w:cs="Calibri"/>
          <w:sz w:val="22"/>
          <w:szCs w:val="22"/>
        </w:rPr>
        <w:t xml:space="preserve"> </w:t>
      </w:r>
      <w:r w:rsidR="00D926E9">
        <w:rPr>
          <w:rFonts w:ascii="Calibri" w:hAnsi="Calibri" w:cs="Calibri"/>
          <w:sz w:val="22"/>
          <w:szCs w:val="22"/>
        </w:rPr>
        <w:t xml:space="preserve">Růst sazeb tak pokračuje v obdobném tempu jako v předešlých měsících, </w:t>
      </w:r>
      <w:r w:rsidR="004B1175">
        <w:rPr>
          <w:rFonts w:ascii="Calibri" w:hAnsi="Calibri" w:cs="Calibri"/>
          <w:sz w:val="22"/>
          <w:szCs w:val="22"/>
        </w:rPr>
        <w:t xml:space="preserve">a to </w:t>
      </w:r>
      <w:r w:rsidR="00D926E9">
        <w:rPr>
          <w:rFonts w:ascii="Calibri" w:hAnsi="Calibri" w:cs="Calibri"/>
          <w:sz w:val="22"/>
          <w:szCs w:val="22"/>
        </w:rPr>
        <w:t>navzdory tomu, že centrální banka</w:t>
      </w:r>
      <w:r w:rsidR="001D2ECE">
        <w:rPr>
          <w:rFonts w:ascii="Calibri" w:hAnsi="Calibri" w:cs="Calibri"/>
          <w:sz w:val="22"/>
          <w:szCs w:val="22"/>
        </w:rPr>
        <w:t xml:space="preserve"> citelně urychlila</w:t>
      </w:r>
      <w:r w:rsidR="00D926E9">
        <w:rPr>
          <w:rFonts w:ascii="Calibri" w:hAnsi="Calibri" w:cs="Calibri"/>
          <w:sz w:val="22"/>
          <w:szCs w:val="22"/>
        </w:rPr>
        <w:t xml:space="preserve"> </w:t>
      </w:r>
      <w:r w:rsidR="00A24A2E">
        <w:rPr>
          <w:rFonts w:ascii="Calibri" w:hAnsi="Calibri" w:cs="Calibri"/>
          <w:sz w:val="22"/>
          <w:szCs w:val="22"/>
        </w:rPr>
        <w:t>růst svých základních sazeb</w:t>
      </w:r>
      <w:r w:rsidR="004B1175">
        <w:rPr>
          <w:rFonts w:ascii="Calibri" w:hAnsi="Calibri" w:cs="Calibri"/>
          <w:sz w:val="22"/>
          <w:szCs w:val="22"/>
        </w:rPr>
        <w:t xml:space="preserve">. </w:t>
      </w:r>
      <w:r w:rsidR="004D0B15" w:rsidRPr="006C090C">
        <w:rPr>
          <w:rFonts w:ascii="Calibri" w:hAnsi="Calibri" w:cs="Calibri"/>
          <w:b/>
          <w:bCs/>
          <w:sz w:val="22"/>
          <w:szCs w:val="22"/>
        </w:rPr>
        <w:t>P</w:t>
      </w:r>
      <w:r w:rsidR="00B2131B" w:rsidRPr="006C090C">
        <w:rPr>
          <w:rFonts w:ascii="Calibri" w:hAnsi="Calibri" w:cs="Calibri"/>
          <w:b/>
          <w:bCs/>
          <w:sz w:val="22"/>
          <w:szCs w:val="22"/>
        </w:rPr>
        <w:t>omalejší růst realizovaných hypotečních sazeb souvisí s tím</w:t>
      </w:r>
      <w:r w:rsidR="00B2131B">
        <w:rPr>
          <w:rFonts w:ascii="Calibri" w:hAnsi="Calibri" w:cs="Calibri"/>
          <w:sz w:val="22"/>
          <w:szCs w:val="22"/>
        </w:rPr>
        <w:t xml:space="preserve">, že se postupně uzavírají smlouvy, které začaly banky s klienty rozjednávat v předešlých měsících </w:t>
      </w:r>
      <w:r w:rsidR="004D0B15">
        <w:rPr>
          <w:rFonts w:ascii="Calibri" w:hAnsi="Calibri" w:cs="Calibri"/>
          <w:sz w:val="22"/>
          <w:szCs w:val="22"/>
        </w:rPr>
        <w:t xml:space="preserve">ještě s příznivější </w:t>
      </w:r>
      <w:r w:rsidR="00E76BBE">
        <w:rPr>
          <w:rFonts w:ascii="Calibri" w:hAnsi="Calibri" w:cs="Calibri"/>
          <w:sz w:val="22"/>
          <w:szCs w:val="22"/>
        </w:rPr>
        <w:t>úrokovo</w:t>
      </w:r>
      <w:r w:rsidR="004D0B15">
        <w:rPr>
          <w:rFonts w:ascii="Calibri" w:hAnsi="Calibri" w:cs="Calibri"/>
          <w:sz w:val="22"/>
          <w:szCs w:val="22"/>
        </w:rPr>
        <w:t>u</w:t>
      </w:r>
      <w:r w:rsidR="00E76BBE">
        <w:rPr>
          <w:rFonts w:ascii="Calibri" w:hAnsi="Calibri" w:cs="Calibri"/>
          <w:sz w:val="22"/>
          <w:szCs w:val="22"/>
        </w:rPr>
        <w:t xml:space="preserve"> sazb</w:t>
      </w:r>
      <w:r w:rsidR="004D0B15">
        <w:rPr>
          <w:rFonts w:ascii="Calibri" w:hAnsi="Calibri" w:cs="Calibri"/>
          <w:sz w:val="22"/>
          <w:szCs w:val="22"/>
        </w:rPr>
        <w:t>ou</w:t>
      </w:r>
      <w:r w:rsidR="00E76BBE">
        <w:rPr>
          <w:rFonts w:ascii="Calibri" w:hAnsi="Calibri" w:cs="Calibri"/>
          <w:sz w:val="22"/>
          <w:szCs w:val="22"/>
        </w:rPr>
        <w:t>.</w:t>
      </w:r>
      <w:r w:rsidR="004D0B15">
        <w:rPr>
          <w:rFonts w:ascii="Calibri" w:hAnsi="Calibri" w:cs="Calibri"/>
          <w:sz w:val="22"/>
          <w:szCs w:val="22"/>
        </w:rPr>
        <w:t xml:space="preserve"> </w:t>
      </w:r>
      <w:r w:rsidR="00E76BBE">
        <w:rPr>
          <w:rFonts w:ascii="Calibri" w:hAnsi="Calibri" w:cs="Calibri"/>
          <w:sz w:val="22"/>
          <w:szCs w:val="22"/>
        </w:rPr>
        <w:t xml:space="preserve"> </w:t>
      </w:r>
    </w:p>
    <w:p w14:paraId="7FF76024" w14:textId="77777777" w:rsidR="00597DD9" w:rsidRDefault="00597DD9" w:rsidP="0001227F">
      <w:pPr>
        <w:rPr>
          <w:rFonts w:ascii="Calibri" w:hAnsi="Calibri" w:cs="Calibri"/>
          <w:i/>
          <w:iCs/>
          <w:sz w:val="22"/>
          <w:szCs w:val="22"/>
        </w:rPr>
      </w:pPr>
    </w:p>
    <w:p w14:paraId="58DF54AA" w14:textId="03C173C8" w:rsidR="00FF211E" w:rsidRDefault="00597DD9" w:rsidP="0001227F">
      <w:pPr>
        <w:rPr>
          <w:rFonts w:ascii="Calibri" w:hAnsi="Calibri" w:cs="Calibri"/>
          <w:sz w:val="22"/>
          <w:szCs w:val="22"/>
        </w:rPr>
      </w:pPr>
      <w:r w:rsidRPr="00597DD9">
        <w:rPr>
          <w:rFonts w:ascii="Calibri" w:hAnsi="Calibri" w:cs="Calibri"/>
          <w:sz w:val="22"/>
          <w:szCs w:val="22"/>
        </w:rPr>
        <w:t>Hypoteční sazby se nemusí vyvíjet v tandemu se sazbami centrální banky, jelikož reagují především na tržní úrokové sazby delších splatností. V nich se promítá řada faktorů</w:t>
      </w:r>
      <w:r w:rsidR="00824A84">
        <w:rPr>
          <w:rFonts w:ascii="Calibri" w:hAnsi="Calibri" w:cs="Calibri"/>
          <w:sz w:val="22"/>
          <w:szCs w:val="22"/>
        </w:rPr>
        <w:t xml:space="preserve"> </w:t>
      </w:r>
      <w:r w:rsidR="00922AFA" w:rsidRPr="00922AFA">
        <w:rPr>
          <w:rFonts w:ascii="Calibri" w:hAnsi="Calibri" w:cs="Calibri"/>
        </w:rPr>
        <w:t>–</w:t>
      </w:r>
      <w:r w:rsidRPr="00597DD9">
        <w:rPr>
          <w:rFonts w:ascii="Calibri" w:hAnsi="Calibri" w:cs="Calibri"/>
          <w:sz w:val="22"/>
          <w:szCs w:val="22"/>
        </w:rPr>
        <w:t xml:space="preserve"> nejen očekáváný vývoj základních sazeb ČNB, ale i výhled na inflaci, ekonomický vývoj či dynamiku obdobných úrokových sazeb v zahraničí. Zmíněné tržní úrokové sazby delších splatností</w:t>
      </w:r>
      <w:r>
        <w:rPr>
          <w:rStyle w:val="FootnoteReference"/>
          <w:rFonts w:ascii="Calibri" w:hAnsi="Calibri" w:cs="Calibri"/>
          <w:i/>
          <w:iCs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</w:t>
      </w:r>
      <w:r w:rsidR="007E7968">
        <w:rPr>
          <w:rFonts w:ascii="Calibri" w:hAnsi="Calibri" w:cs="Calibri"/>
          <w:sz w:val="22"/>
          <w:szCs w:val="22"/>
        </w:rPr>
        <w:t xml:space="preserve">postupně rostou již od druhé poloviny minulého roku, </w:t>
      </w:r>
      <w:r w:rsidRPr="00597DD9">
        <w:rPr>
          <w:rFonts w:ascii="Calibri" w:hAnsi="Calibri" w:cs="Calibri"/>
          <w:sz w:val="22"/>
          <w:szCs w:val="22"/>
        </w:rPr>
        <w:t xml:space="preserve">v posledních </w:t>
      </w:r>
      <w:r w:rsidR="007E7968">
        <w:rPr>
          <w:rFonts w:ascii="Calibri" w:hAnsi="Calibri" w:cs="Calibri"/>
          <w:sz w:val="22"/>
          <w:szCs w:val="22"/>
        </w:rPr>
        <w:t>měsících</w:t>
      </w:r>
      <w:r w:rsidRPr="00597DD9">
        <w:rPr>
          <w:rFonts w:ascii="Calibri" w:hAnsi="Calibri" w:cs="Calibri"/>
          <w:sz w:val="22"/>
          <w:szCs w:val="22"/>
        </w:rPr>
        <w:t xml:space="preserve"> však </w:t>
      </w:r>
      <w:r w:rsidR="007E7968">
        <w:rPr>
          <w:rFonts w:ascii="Calibri" w:hAnsi="Calibri" w:cs="Calibri"/>
          <w:sz w:val="22"/>
          <w:szCs w:val="22"/>
        </w:rPr>
        <w:t xml:space="preserve">jejich růst zrychlil a </w:t>
      </w:r>
      <w:r w:rsidR="00180A13">
        <w:rPr>
          <w:rFonts w:ascii="Calibri" w:hAnsi="Calibri" w:cs="Calibri"/>
          <w:sz w:val="22"/>
          <w:szCs w:val="22"/>
        </w:rPr>
        <w:t xml:space="preserve">nyní jsou </w:t>
      </w:r>
      <w:r w:rsidR="00C30194">
        <w:rPr>
          <w:rFonts w:ascii="Calibri" w:hAnsi="Calibri" w:cs="Calibri"/>
          <w:sz w:val="22"/>
          <w:szCs w:val="22"/>
        </w:rPr>
        <w:t>nejvyšší za</w:t>
      </w:r>
      <w:r w:rsidR="0060128D">
        <w:rPr>
          <w:rFonts w:ascii="Calibri" w:hAnsi="Calibri" w:cs="Calibri"/>
          <w:sz w:val="22"/>
          <w:szCs w:val="22"/>
        </w:rPr>
        <w:t xml:space="preserve"> zhruba</w:t>
      </w:r>
      <w:r w:rsidR="00C30194">
        <w:rPr>
          <w:rFonts w:ascii="Calibri" w:hAnsi="Calibri" w:cs="Calibri"/>
          <w:sz w:val="22"/>
          <w:szCs w:val="22"/>
        </w:rPr>
        <w:t xml:space="preserve"> posledních deset let. </w:t>
      </w:r>
      <w:r w:rsidRPr="00597DD9">
        <w:rPr>
          <w:rFonts w:ascii="Calibri" w:hAnsi="Calibri" w:cs="Calibri"/>
          <w:sz w:val="22"/>
          <w:szCs w:val="22"/>
        </w:rPr>
        <w:t xml:space="preserve">To naznačuje, že i růst hypotečních sazeb </w:t>
      </w:r>
      <w:r w:rsidR="002A07F7">
        <w:rPr>
          <w:rFonts w:ascii="Calibri" w:hAnsi="Calibri" w:cs="Calibri"/>
          <w:sz w:val="22"/>
          <w:szCs w:val="22"/>
        </w:rPr>
        <w:t xml:space="preserve">bude v příštích </w:t>
      </w:r>
      <w:r w:rsidRPr="00597DD9">
        <w:rPr>
          <w:rFonts w:ascii="Calibri" w:hAnsi="Calibri" w:cs="Calibri"/>
          <w:sz w:val="22"/>
          <w:szCs w:val="22"/>
        </w:rPr>
        <w:t>měsících</w:t>
      </w:r>
      <w:r w:rsidR="002A07F7">
        <w:rPr>
          <w:rFonts w:ascii="Calibri" w:hAnsi="Calibri" w:cs="Calibri"/>
          <w:sz w:val="22"/>
          <w:szCs w:val="22"/>
        </w:rPr>
        <w:t xml:space="preserve"> postupně dohánět růst tržních úrokových sazeb. Dle oficiálních statistik České národní banky se hypoteční </w:t>
      </w:r>
      <w:r w:rsidR="00850FDB">
        <w:rPr>
          <w:rFonts w:ascii="Calibri" w:hAnsi="Calibri" w:cs="Calibri"/>
          <w:sz w:val="22"/>
          <w:szCs w:val="22"/>
        </w:rPr>
        <w:t>sazba v říjnu roku 2011 pohybovala</w:t>
      </w:r>
      <w:r w:rsidR="00EA03D8">
        <w:rPr>
          <w:rFonts w:ascii="Calibri" w:hAnsi="Calibri" w:cs="Calibri"/>
          <w:sz w:val="22"/>
          <w:szCs w:val="22"/>
        </w:rPr>
        <w:t xml:space="preserve"> na úrovni 3,9 %.</w:t>
      </w:r>
    </w:p>
    <w:p w14:paraId="0F6E6F0C" w14:textId="77777777" w:rsidR="003707E0" w:rsidRPr="00597DD9" w:rsidRDefault="003707E0" w:rsidP="0001227F">
      <w:pPr>
        <w:rPr>
          <w:rFonts w:ascii="Calibri" w:hAnsi="Calibri" w:cs="Calibri"/>
          <w:b/>
          <w:bCs/>
          <w:sz w:val="22"/>
          <w:szCs w:val="22"/>
        </w:rPr>
      </w:pPr>
    </w:p>
    <w:p w14:paraId="53C7D0C7" w14:textId="77777777" w:rsidR="0001227F" w:rsidRPr="0001227F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  <w:r w:rsidRPr="0001227F">
        <w:rPr>
          <w:rFonts w:ascii="Calibri" w:hAnsi="Calibri" w:cs="Calibri"/>
          <w:b/>
          <w:bCs/>
          <w:sz w:val="22"/>
          <w:szCs w:val="22"/>
        </w:rPr>
        <w:t xml:space="preserve">Komentář Jakuba Seidlera, hlavního ekonoma ČBA: </w:t>
      </w:r>
    </w:p>
    <w:p w14:paraId="33A139CF" w14:textId="00904FA4" w:rsidR="0001227F" w:rsidRDefault="0001227F" w:rsidP="0001227F">
      <w:pPr>
        <w:rPr>
          <w:rFonts w:ascii="Calibri" w:hAnsi="Calibri" w:cs="Calibri"/>
          <w:i/>
          <w:iCs/>
          <w:sz w:val="22"/>
          <w:szCs w:val="22"/>
        </w:rPr>
      </w:pPr>
      <w:r w:rsidRPr="0001227F">
        <w:rPr>
          <w:rFonts w:ascii="Calibri" w:hAnsi="Calibri" w:cs="Calibri"/>
          <w:i/>
          <w:iCs/>
          <w:sz w:val="22"/>
          <w:szCs w:val="22"/>
        </w:rPr>
        <w:t>Trend zvyšování sazeb v</w:t>
      </w:r>
      <w:r w:rsidR="00ED5703">
        <w:rPr>
          <w:rFonts w:ascii="Calibri" w:hAnsi="Calibri" w:cs="Calibri"/>
          <w:i/>
          <w:iCs/>
          <w:sz w:val="22"/>
          <w:szCs w:val="22"/>
        </w:rPr>
        <w:t xml:space="preserve"> říjnu</w:t>
      </w:r>
      <w:r w:rsidRPr="0001227F">
        <w:rPr>
          <w:rFonts w:ascii="Calibri" w:hAnsi="Calibri" w:cs="Calibri"/>
          <w:i/>
          <w:iCs/>
          <w:sz w:val="22"/>
          <w:szCs w:val="22"/>
        </w:rPr>
        <w:t xml:space="preserve"> pokračoval v obdobné rychlosti jako v předchozích měsících, </w:t>
      </w:r>
      <w:r w:rsidR="00ED5703">
        <w:rPr>
          <w:rFonts w:ascii="Calibri" w:hAnsi="Calibri" w:cs="Calibri"/>
          <w:i/>
          <w:iCs/>
          <w:sz w:val="22"/>
          <w:szCs w:val="22"/>
        </w:rPr>
        <w:t xml:space="preserve">jelikož se stále </w:t>
      </w:r>
      <w:r w:rsidR="001E432A">
        <w:rPr>
          <w:rFonts w:ascii="Calibri" w:hAnsi="Calibri" w:cs="Calibri"/>
          <w:i/>
          <w:iCs/>
          <w:sz w:val="22"/>
          <w:szCs w:val="22"/>
        </w:rPr>
        <w:t xml:space="preserve">postupně </w:t>
      </w:r>
      <w:r w:rsidR="004F5C1C">
        <w:rPr>
          <w:rFonts w:ascii="Calibri" w:hAnsi="Calibri" w:cs="Calibri"/>
          <w:i/>
          <w:iCs/>
          <w:sz w:val="22"/>
          <w:szCs w:val="22"/>
        </w:rPr>
        <w:t xml:space="preserve">uzavírají </w:t>
      </w:r>
      <w:r w:rsidR="00ED5703">
        <w:rPr>
          <w:rFonts w:ascii="Calibri" w:hAnsi="Calibri" w:cs="Calibri"/>
          <w:i/>
          <w:iCs/>
          <w:sz w:val="22"/>
          <w:szCs w:val="22"/>
        </w:rPr>
        <w:t>rozjednané smlouvy</w:t>
      </w:r>
      <w:r w:rsidR="004F5C1C">
        <w:rPr>
          <w:rFonts w:ascii="Calibri" w:hAnsi="Calibri" w:cs="Calibri"/>
          <w:i/>
          <w:iCs/>
          <w:sz w:val="22"/>
          <w:szCs w:val="22"/>
        </w:rPr>
        <w:t>. V příštích měsících však začne průměrn</w:t>
      </w:r>
      <w:r w:rsidR="00471B86">
        <w:rPr>
          <w:rFonts w:ascii="Calibri" w:hAnsi="Calibri" w:cs="Calibri"/>
          <w:i/>
          <w:iCs/>
          <w:sz w:val="22"/>
          <w:szCs w:val="22"/>
        </w:rPr>
        <w:t>á</w:t>
      </w:r>
      <w:r w:rsidR="004F5C1C">
        <w:rPr>
          <w:rFonts w:ascii="Calibri" w:hAnsi="Calibri" w:cs="Calibri"/>
          <w:i/>
          <w:iCs/>
          <w:sz w:val="22"/>
          <w:szCs w:val="22"/>
        </w:rPr>
        <w:t xml:space="preserve"> realizované sazba růst rychleji, jelikož nové hypotéky budou již reflektovat aktuální situaci na trhu. Tržní úrokové sazby delších splatností jsou n</w:t>
      </w:r>
      <w:r w:rsidR="00A811D6">
        <w:rPr>
          <w:rFonts w:ascii="Calibri" w:hAnsi="Calibri" w:cs="Calibri"/>
          <w:i/>
          <w:iCs/>
          <w:sz w:val="22"/>
          <w:szCs w:val="22"/>
        </w:rPr>
        <w:t>y</w:t>
      </w:r>
      <w:r w:rsidR="004F5C1C">
        <w:rPr>
          <w:rFonts w:ascii="Calibri" w:hAnsi="Calibri" w:cs="Calibri"/>
          <w:i/>
          <w:iCs/>
          <w:sz w:val="22"/>
          <w:szCs w:val="22"/>
        </w:rPr>
        <w:t xml:space="preserve">ní nejvyšší za poslední dekádu, </w:t>
      </w:r>
      <w:r w:rsidR="00AB7CDE">
        <w:rPr>
          <w:rFonts w:ascii="Calibri" w:hAnsi="Calibri" w:cs="Calibri"/>
          <w:i/>
          <w:iCs/>
          <w:sz w:val="22"/>
          <w:szCs w:val="22"/>
        </w:rPr>
        <w:t>v té době se průměrná hypoteční sazba pohybovala kolem 4 %.</w:t>
      </w:r>
    </w:p>
    <w:p w14:paraId="3E218066" w14:textId="77777777" w:rsidR="0060305B" w:rsidRPr="007C6225" w:rsidRDefault="0060305B" w:rsidP="0001227F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D6446CD" w14:textId="1F3C3BA6" w:rsidR="007F79F0" w:rsidRDefault="00824A84" w:rsidP="000122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0EB1">
        <w:rPr>
          <w:noProof/>
        </w:rPr>
        <w:drawing>
          <wp:anchor distT="0" distB="0" distL="114300" distR="114300" simplePos="0" relativeHeight="251683840" behindDoc="1" locked="0" layoutInCell="1" allowOverlap="1" wp14:anchorId="14E8EC6B" wp14:editId="5C7C8CA2">
            <wp:simplePos x="0" y="0"/>
            <wp:positionH relativeFrom="column">
              <wp:posOffset>95885</wp:posOffset>
            </wp:positionH>
            <wp:positionV relativeFrom="paragraph">
              <wp:posOffset>334645</wp:posOffset>
            </wp:positionV>
            <wp:extent cx="3933825" cy="2459990"/>
            <wp:effectExtent l="0" t="0" r="9525" b="0"/>
            <wp:wrapTight wrapText="bothSides">
              <wp:wrapPolygon edited="0">
                <wp:start x="0" y="167"/>
                <wp:lineTo x="0" y="21076"/>
                <wp:lineTo x="3347" y="21410"/>
                <wp:lineTo x="3766" y="21410"/>
                <wp:lineTo x="9519" y="21076"/>
                <wp:lineTo x="21548" y="19905"/>
                <wp:lineTo x="21548" y="167"/>
                <wp:lineTo x="0" y="16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05B">
        <w:rPr>
          <w:rFonts w:ascii="Calibri" w:hAnsi="Calibri" w:cs="Calibri"/>
          <w:b/>
          <w:bCs/>
          <w:sz w:val="22"/>
          <w:szCs w:val="22"/>
        </w:rPr>
        <w:t>Graf</w:t>
      </w:r>
      <w:r w:rsidR="0060305B" w:rsidRPr="00C014C6">
        <w:rPr>
          <w:rFonts w:ascii="Calibri" w:hAnsi="Calibri" w:cs="Calibri"/>
          <w:b/>
          <w:bCs/>
          <w:sz w:val="22"/>
          <w:szCs w:val="22"/>
        </w:rPr>
        <w:t xml:space="preserve"> č. 1: </w:t>
      </w:r>
      <w:r w:rsidR="0060305B">
        <w:rPr>
          <w:rFonts w:ascii="Calibri" w:hAnsi="Calibri" w:cs="Calibri"/>
          <w:b/>
          <w:bCs/>
          <w:sz w:val="22"/>
          <w:szCs w:val="22"/>
        </w:rPr>
        <w:t xml:space="preserve">Průměrná hypoteční sazba u nových obchodů dle oficiálních dat ČNB a ČBA </w:t>
      </w:r>
      <w:proofErr w:type="spellStart"/>
      <w:r w:rsidR="0060305B">
        <w:rPr>
          <w:rFonts w:ascii="Calibri" w:hAnsi="Calibri" w:cs="Calibri"/>
          <w:b/>
          <w:bCs/>
          <w:sz w:val="22"/>
          <w:szCs w:val="22"/>
        </w:rPr>
        <w:t>Hypomonitoru</w:t>
      </w:r>
      <w:proofErr w:type="spellEnd"/>
    </w:p>
    <w:p w14:paraId="546E7A85" w14:textId="0C89D850" w:rsidR="00F517F3" w:rsidRDefault="00510EB1" w:rsidP="0001227F">
      <w:pPr>
        <w:rPr>
          <w:rFonts w:ascii="Calibri" w:hAnsi="Calibri" w:cs="Calibri"/>
          <w:i/>
          <w:iCs/>
          <w:sz w:val="22"/>
          <w:szCs w:val="22"/>
        </w:rPr>
      </w:pPr>
      <w:r w:rsidRPr="00510EB1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A39EB87" w14:textId="040C5B48" w:rsidR="00264C92" w:rsidRDefault="00264C92" w:rsidP="0001227F">
      <w:pPr>
        <w:rPr>
          <w:rFonts w:ascii="Calibri" w:hAnsi="Calibri" w:cs="Calibri"/>
          <w:i/>
          <w:iCs/>
          <w:sz w:val="22"/>
          <w:szCs w:val="22"/>
        </w:rPr>
      </w:pPr>
    </w:p>
    <w:p w14:paraId="357CF09C" w14:textId="77777777" w:rsidR="00824A84" w:rsidRDefault="00824A8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br w:type="page"/>
      </w:r>
    </w:p>
    <w:p w14:paraId="111641FB" w14:textId="74568017" w:rsidR="0001227F" w:rsidRPr="00824A84" w:rsidRDefault="0001227F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 w:rsidRPr="00824A84">
        <w:rPr>
          <w:rFonts w:ascii="Calibri" w:hAnsi="Calibri" w:cs="Calibri"/>
          <w:b/>
          <w:color w:val="13576B"/>
          <w:sz w:val="23"/>
          <w:szCs w:val="23"/>
        </w:rPr>
        <w:lastRenderedPageBreak/>
        <w:t xml:space="preserve">Průměrná </w:t>
      </w:r>
      <w:r w:rsidR="00175E6C" w:rsidRPr="00824A84">
        <w:rPr>
          <w:rFonts w:ascii="Calibri" w:hAnsi="Calibri" w:cs="Calibri"/>
          <w:b/>
          <w:color w:val="13576B"/>
          <w:sz w:val="23"/>
          <w:szCs w:val="23"/>
        </w:rPr>
        <w:t xml:space="preserve">splátka hypotéky bude postupně růst </w:t>
      </w:r>
    </w:p>
    <w:p w14:paraId="6915F79C" w14:textId="33F7066A" w:rsidR="00715087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>Průměrná výše hypotéky v</w:t>
      </w:r>
      <w:r w:rsidR="00175E6C">
        <w:rPr>
          <w:rFonts w:ascii="Calibri" w:hAnsi="Calibri" w:cs="Calibri"/>
          <w:sz w:val="22"/>
          <w:szCs w:val="22"/>
        </w:rPr>
        <w:t xml:space="preserve"> říjnu </w:t>
      </w:r>
      <w:r w:rsidRPr="0001227F">
        <w:rPr>
          <w:rFonts w:ascii="Calibri" w:hAnsi="Calibri" w:cs="Calibri"/>
          <w:sz w:val="22"/>
          <w:szCs w:val="22"/>
        </w:rPr>
        <w:t>dosáhla 3,3</w:t>
      </w:r>
      <w:r w:rsidR="003C0B1B">
        <w:rPr>
          <w:rFonts w:ascii="Calibri" w:hAnsi="Calibri" w:cs="Calibri"/>
          <w:sz w:val="22"/>
          <w:szCs w:val="22"/>
        </w:rPr>
        <w:t>46</w:t>
      </w:r>
      <w:r w:rsidRPr="0001227F">
        <w:rPr>
          <w:rFonts w:ascii="Calibri" w:hAnsi="Calibri" w:cs="Calibri"/>
          <w:sz w:val="22"/>
          <w:szCs w:val="22"/>
        </w:rPr>
        <w:t xml:space="preserve"> mil. Kč. </w:t>
      </w:r>
      <w:r w:rsidR="002A04EB">
        <w:rPr>
          <w:rFonts w:ascii="Calibri" w:hAnsi="Calibri" w:cs="Calibri"/>
          <w:sz w:val="22"/>
          <w:szCs w:val="22"/>
        </w:rPr>
        <w:t xml:space="preserve">S očekávaným růstem úrokových sazeb je tak patrné, že se bude navyšovat i měsíční splátka </w:t>
      </w:r>
      <w:r w:rsidR="003742A8">
        <w:rPr>
          <w:rFonts w:ascii="Calibri" w:hAnsi="Calibri" w:cs="Calibri"/>
          <w:sz w:val="22"/>
          <w:szCs w:val="22"/>
        </w:rPr>
        <w:t>u</w:t>
      </w:r>
      <w:r w:rsidR="002A04EB">
        <w:rPr>
          <w:rFonts w:ascii="Calibri" w:hAnsi="Calibri" w:cs="Calibri"/>
          <w:sz w:val="22"/>
          <w:szCs w:val="22"/>
        </w:rPr>
        <w:t xml:space="preserve"> nov</w:t>
      </w:r>
      <w:r w:rsidR="00F644AD">
        <w:rPr>
          <w:rFonts w:ascii="Calibri" w:hAnsi="Calibri" w:cs="Calibri"/>
          <w:sz w:val="22"/>
          <w:szCs w:val="22"/>
        </w:rPr>
        <w:t xml:space="preserve">ých či brzy </w:t>
      </w:r>
      <w:proofErr w:type="spellStart"/>
      <w:r w:rsidR="00F644AD">
        <w:rPr>
          <w:rFonts w:ascii="Calibri" w:hAnsi="Calibri" w:cs="Calibri"/>
          <w:sz w:val="22"/>
          <w:szCs w:val="22"/>
        </w:rPr>
        <w:t>refixovaných</w:t>
      </w:r>
      <w:proofErr w:type="spellEnd"/>
      <w:r w:rsidR="00F644AD">
        <w:rPr>
          <w:rFonts w:ascii="Calibri" w:hAnsi="Calibri" w:cs="Calibri"/>
          <w:sz w:val="22"/>
          <w:szCs w:val="22"/>
        </w:rPr>
        <w:t xml:space="preserve"> úvěrů. </w:t>
      </w:r>
      <w:r w:rsidR="004257BB">
        <w:rPr>
          <w:rFonts w:ascii="Calibri" w:hAnsi="Calibri" w:cs="Calibri"/>
          <w:sz w:val="22"/>
          <w:szCs w:val="22"/>
        </w:rPr>
        <w:t xml:space="preserve">Nárůst měsíční splátky se odvíjí nejen od velikosti hypotéky a </w:t>
      </w:r>
      <w:r w:rsidR="00FF05CB">
        <w:rPr>
          <w:rFonts w:ascii="Calibri" w:hAnsi="Calibri" w:cs="Calibri"/>
          <w:sz w:val="22"/>
          <w:szCs w:val="22"/>
        </w:rPr>
        <w:t>úrokové sazby</w:t>
      </w:r>
      <w:r w:rsidR="004257BB">
        <w:rPr>
          <w:rFonts w:ascii="Calibri" w:hAnsi="Calibri" w:cs="Calibri"/>
          <w:sz w:val="22"/>
          <w:szCs w:val="22"/>
        </w:rPr>
        <w:t>, ale také délky splatnosti hypotéky</w:t>
      </w:r>
      <w:r w:rsidR="00FF05CB">
        <w:rPr>
          <w:rFonts w:ascii="Calibri" w:hAnsi="Calibri" w:cs="Calibri"/>
          <w:sz w:val="22"/>
          <w:szCs w:val="22"/>
        </w:rPr>
        <w:t>. Scénáře vývoje měsíční splátky pro</w:t>
      </w:r>
      <w:r w:rsidR="00B536A8">
        <w:rPr>
          <w:rFonts w:ascii="Calibri" w:hAnsi="Calibri" w:cs="Calibri"/>
          <w:sz w:val="22"/>
          <w:szCs w:val="22"/>
        </w:rPr>
        <w:t xml:space="preserve"> různé </w:t>
      </w:r>
      <w:r w:rsidR="00383D10">
        <w:rPr>
          <w:rFonts w:ascii="Calibri" w:hAnsi="Calibri" w:cs="Calibri"/>
          <w:sz w:val="22"/>
          <w:szCs w:val="22"/>
        </w:rPr>
        <w:t>délky splatnosti hypotéky</w:t>
      </w:r>
      <w:r w:rsidR="00B536A8">
        <w:rPr>
          <w:rFonts w:ascii="Calibri" w:hAnsi="Calibri" w:cs="Calibri"/>
          <w:sz w:val="22"/>
          <w:szCs w:val="22"/>
        </w:rPr>
        <w:t xml:space="preserve"> tak udává tabulka č. </w:t>
      </w:r>
      <w:r w:rsidR="00383D10">
        <w:rPr>
          <w:rFonts w:ascii="Calibri" w:hAnsi="Calibri" w:cs="Calibri"/>
          <w:sz w:val="22"/>
          <w:szCs w:val="22"/>
        </w:rPr>
        <w:t>2</w:t>
      </w:r>
      <w:r w:rsidR="00B536A8">
        <w:rPr>
          <w:rFonts w:ascii="Calibri" w:hAnsi="Calibri" w:cs="Calibri"/>
          <w:sz w:val="22"/>
          <w:szCs w:val="22"/>
        </w:rPr>
        <w:t>. Z ní je patrné, že</w:t>
      </w:r>
      <w:r w:rsidR="003742A8">
        <w:rPr>
          <w:rFonts w:ascii="Calibri" w:hAnsi="Calibri" w:cs="Calibri"/>
          <w:sz w:val="22"/>
          <w:szCs w:val="22"/>
        </w:rPr>
        <w:t xml:space="preserve"> pokud se průměrná hypoteční sazba v příštím roce přiblíží hranici 4 %, bude to pro </w:t>
      </w:r>
      <w:r w:rsidR="00750679">
        <w:rPr>
          <w:rFonts w:ascii="Calibri" w:hAnsi="Calibri" w:cs="Calibri"/>
          <w:sz w:val="22"/>
          <w:szCs w:val="22"/>
        </w:rPr>
        <w:t>p</w:t>
      </w:r>
      <w:r w:rsidR="00CF3482">
        <w:rPr>
          <w:rFonts w:ascii="Calibri" w:hAnsi="Calibri" w:cs="Calibri"/>
          <w:sz w:val="22"/>
          <w:szCs w:val="22"/>
        </w:rPr>
        <w:t>rů</w:t>
      </w:r>
      <w:r w:rsidR="00750679">
        <w:rPr>
          <w:rFonts w:ascii="Calibri" w:hAnsi="Calibri" w:cs="Calibri"/>
          <w:sz w:val="22"/>
          <w:szCs w:val="22"/>
        </w:rPr>
        <w:t>měrnou</w:t>
      </w:r>
      <w:r w:rsidR="003742A8">
        <w:rPr>
          <w:rFonts w:ascii="Calibri" w:hAnsi="Calibri" w:cs="Calibri"/>
          <w:sz w:val="22"/>
          <w:szCs w:val="22"/>
        </w:rPr>
        <w:t xml:space="preserve"> velikost hypotéky znamenat oproti </w:t>
      </w:r>
      <w:r w:rsidR="00D2526B">
        <w:rPr>
          <w:rFonts w:ascii="Calibri" w:hAnsi="Calibri" w:cs="Calibri"/>
          <w:sz w:val="22"/>
          <w:szCs w:val="22"/>
        </w:rPr>
        <w:t xml:space="preserve">současnosti nárůst měsíční splátky zhruba o 2,5 tisíce Kč. </w:t>
      </w:r>
      <w:r w:rsidR="00F25233">
        <w:rPr>
          <w:rStyle w:val="FootnoteReference"/>
          <w:rFonts w:ascii="Calibri" w:hAnsi="Calibri" w:cs="Calibri"/>
          <w:sz w:val="22"/>
          <w:szCs w:val="22"/>
        </w:rPr>
        <w:footnoteReference w:id="2"/>
      </w:r>
    </w:p>
    <w:p w14:paraId="5C961C35" w14:textId="46E40125" w:rsidR="00715087" w:rsidRDefault="00715087" w:rsidP="0001227F">
      <w:pPr>
        <w:rPr>
          <w:rFonts w:ascii="Calibri" w:hAnsi="Calibri" w:cs="Calibri"/>
          <w:sz w:val="22"/>
          <w:szCs w:val="22"/>
        </w:rPr>
      </w:pPr>
    </w:p>
    <w:p w14:paraId="340CB611" w14:textId="77777777" w:rsidR="00A811D6" w:rsidRDefault="00A811D6" w:rsidP="0001227F">
      <w:pPr>
        <w:rPr>
          <w:rFonts w:ascii="Calibri" w:hAnsi="Calibri" w:cs="Calibri"/>
          <w:sz w:val="22"/>
          <w:szCs w:val="22"/>
        </w:rPr>
      </w:pPr>
    </w:p>
    <w:p w14:paraId="7053A4DF" w14:textId="1A7E8A4E" w:rsidR="00715087" w:rsidRPr="00383D10" w:rsidRDefault="00715087" w:rsidP="0001227F">
      <w:pPr>
        <w:rPr>
          <w:rFonts w:ascii="Calibri" w:hAnsi="Calibri" w:cs="Calibri"/>
          <w:b/>
          <w:bCs/>
          <w:sz w:val="22"/>
          <w:szCs w:val="22"/>
        </w:rPr>
      </w:pPr>
      <w:r w:rsidRPr="00383D10">
        <w:rPr>
          <w:rFonts w:ascii="Calibri" w:hAnsi="Calibri" w:cs="Calibri"/>
          <w:b/>
          <w:bCs/>
          <w:sz w:val="22"/>
          <w:szCs w:val="22"/>
        </w:rPr>
        <w:t xml:space="preserve">Tabulka č. </w:t>
      </w:r>
      <w:r w:rsidR="00383D10">
        <w:rPr>
          <w:rFonts w:ascii="Calibri" w:hAnsi="Calibri" w:cs="Calibri"/>
          <w:b/>
          <w:bCs/>
          <w:sz w:val="22"/>
          <w:szCs w:val="22"/>
        </w:rPr>
        <w:t>2</w:t>
      </w:r>
      <w:r w:rsidRPr="00383D10">
        <w:rPr>
          <w:rFonts w:ascii="Calibri" w:hAnsi="Calibri" w:cs="Calibri"/>
          <w:b/>
          <w:bCs/>
          <w:sz w:val="22"/>
          <w:szCs w:val="22"/>
        </w:rPr>
        <w:t>: Měsíční splátka průměrné hypotéky v závislosti na délce splatnosti a úrokové sazbě</w:t>
      </w:r>
    </w:p>
    <w:p w14:paraId="05A06797" w14:textId="35377475" w:rsidR="007F79F0" w:rsidRDefault="007F79F0" w:rsidP="000122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59DB21" w14:textId="77777777" w:rsidR="00CE50DF" w:rsidRDefault="00CE50DF" w:rsidP="000122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"\\\\dc01\\zona3\\__HypomonitorWEB\\CBA-Hypomonitor-2021-10.xlsx" "Tabulka Splátky!R5C2:R13C8" \a \f 4 \h </w:instrText>
      </w:r>
      <w:r>
        <w:fldChar w:fldCharType="separate"/>
      </w: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31"/>
        <w:gridCol w:w="1460"/>
        <w:gridCol w:w="1045"/>
        <w:gridCol w:w="1045"/>
        <w:gridCol w:w="1045"/>
        <w:gridCol w:w="1045"/>
      </w:tblGrid>
      <w:tr w:rsidR="00CE50DF" w:rsidRPr="00CE50DF" w14:paraId="706BD7F3" w14:textId="77777777" w:rsidTr="00CE50DF">
        <w:trPr>
          <w:trHeight w:val="555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8201" w14:textId="7F7CDDE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velikost nové hypotéky v Kč: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5C4B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0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93B8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3,345,880</w:t>
            </w:r>
          </w:p>
        </w:tc>
      </w:tr>
      <w:tr w:rsidR="00CE50DF" w:rsidRPr="00CE50DF" w14:paraId="1577C686" w14:textId="77777777" w:rsidTr="00CE50DF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8ADF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úroková sazba v %: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881F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D186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6800C75C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11C8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FD4B7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26A8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4.0</w:t>
            </w:r>
          </w:p>
        </w:tc>
      </w:tr>
      <w:tr w:rsidR="00CE50DF" w:rsidRPr="00CE50DF" w14:paraId="6062532F" w14:textId="77777777" w:rsidTr="00CE50DF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C96A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CF7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682E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50D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8E7F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Měsíční splátka:</w:t>
            </w:r>
          </w:p>
        </w:tc>
      </w:tr>
      <w:tr w:rsidR="00CE50DF" w:rsidRPr="00CE50DF" w14:paraId="62F069EA" w14:textId="77777777" w:rsidTr="00CE50DF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2FE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Splatnost hypotéky v letech: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9DA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0FEC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21,531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24C0C5A0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22,377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4C64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23,106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53D3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23,919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81AC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24,749</w:t>
            </w:r>
          </w:p>
        </w:tc>
      </w:tr>
      <w:tr w:rsidR="00CE50DF" w:rsidRPr="00CE50DF" w14:paraId="09E62010" w14:textId="77777777" w:rsidTr="00CE50DF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2C52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185D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1B3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16,926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103D1FE5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17,799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3E14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18,556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4D58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19,405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1F22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20,275</w:t>
            </w:r>
          </w:p>
        </w:tc>
      </w:tr>
      <w:tr w:rsidR="00CE50DF" w:rsidRPr="00CE50DF" w14:paraId="7B6A4D1F" w14:textId="77777777" w:rsidTr="00CE50DF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CEF1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82E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460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14,182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5E1F34A5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15,082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7BC0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15,867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5E79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2D2F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17,661</w:t>
            </w:r>
          </w:p>
        </w:tc>
      </w:tr>
      <w:tr w:rsidR="00CE50DF" w:rsidRPr="00CE50DF" w14:paraId="6F51778C" w14:textId="77777777" w:rsidTr="00CE50DF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9194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A338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08DFC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12,367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79A3D2F0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13,294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2B97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14,106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F0A2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15,024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5A34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E50DF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15,974</w:t>
            </w:r>
          </w:p>
        </w:tc>
      </w:tr>
      <w:tr w:rsidR="00CE50DF" w:rsidRPr="00CE50DF" w14:paraId="527B906D" w14:textId="77777777" w:rsidTr="00CE50DF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D0A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  <w:r w:rsidRPr="00CE50DF">
              <w:rPr>
                <w:rFonts w:ascii="Calibri" w:hAnsi="Calibri" w:cs="Calibri"/>
                <w:color w:val="13576B"/>
                <w:sz w:val="22"/>
                <w:szCs w:val="22"/>
              </w:rPr>
              <w:t>Zdroj: ČBA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0C1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7D3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9014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4B7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E70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F34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CE50DF" w:rsidRPr="00CE50DF" w14:paraId="37BAA9B4" w14:textId="77777777" w:rsidTr="00CE50DF">
        <w:trPr>
          <w:trHeight w:val="30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AD3" w14:textId="77777777" w:rsidR="00CE50DF" w:rsidRPr="00CE50DF" w:rsidRDefault="00CE50DF" w:rsidP="00CE50D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  <w:r w:rsidRPr="00CE50DF">
              <w:rPr>
                <w:rFonts w:ascii="Calibri" w:hAnsi="Calibri" w:cs="Calibri"/>
                <w:color w:val="13576B"/>
                <w:sz w:val="22"/>
                <w:szCs w:val="22"/>
              </w:rPr>
              <w:t xml:space="preserve">Pozn.: barevný sloupec odpovídá úrokové sazbě posledního ČBA </w:t>
            </w:r>
            <w:proofErr w:type="spellStart"/>
            <w:r w:rsidRPr="00CE50DF">
              <w:rPr>
                <w:rFonts w:ascii="Calibri" w:hAnsi="Calibri" w:cs="Calibri"/>
                <w:color w:val="13576B"/>
                <w:sz w:val="22"/>
                <w:szCs w:val="22"/>
              </w:rPr>
              <w:t>Hypomonitoru</w:t>
            </w:r>
            <w:proofErr w:type="spellEnd"/>
            <w:r w:rsidRPr="00CE50DF">
              <w:rPr>
                <w:rFonts w:ascii="Calibri" w:hAnsi="Calibri" w:cs="Calibri"/>
                <w:color w:val="13576B"/>
                <w:sz w:val="22"/>
                <w:szCs w:val="22"/>
              </w:rPr>
              <w:t>, ostatní úrokové sazby jsou ilustrační</w:t>
            </w:r>
          </w:p>
        </w:tc>
      </w:tr>
    </w:tbl>
    <w:p w14:paraId="7F41D3BA" w14:textId="0F0D2B32" w:rsidR="00715087" w:rsidRDefault="00CE50DF" w:rsidP="0001227F">
      <w:pPr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fldChar w:fldCharType="end"/>
      </w:r>
    </w:p>
    <w:p w14:paraId="226BE1E4" w14:textId="06BC2719" w:rsidR="0054574A" w:rsidRDefault="0054574A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7B348B7F" w14:textId="77777777" w:rsidR="00B73BF6" w:rsidRDefault="00B73BF6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77C568AB" w14:textId="52E39116" w:rsidR="0001227F" w:rsidRPr="004B6A7C" w:rsidRDefault="0001227F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 w:rsidRPr="004B6A7C">
        <w:rPr>
          <w:rFonts w:ascii="Calibri" w:hAnsi="Calibri" w:cs="Calibri"/>
          <w:b/>
          <w:color w:val="13576B"/>
          <w:sz w:val="23"/>
          <w:szCs w:val="23"/>
        </w:rPr>
        <w:t>ČBA spouští nové souhrnné statistiky za celý bankovní trh</w:t>
      </w:r>
    </w:p>
    <w:p w14:paraId="6B4D5EA8" w14:textId="5D1D2A54" w:rsidR="0001227F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 xml:space="preserve">Česká bankovní asociace spouští ve spolupráci s členskými bankami nové souhrnné statistiky z trhu bydlení. Jde především o objemy a počty nově poskytnutých a refinancovaných hypoték a příslušnou úrokovou sazbu. Tyto statistiky bude ČBA zveřejňovat v agregované podobě za celý bankovní sektor na pravidelné bázi vždy </w:t>
      </w:r>
      <w:r w:rsidR="006E7DC6">
        <w:rPr>
          <w:rFonts w:ascii="Calibri" w:hAnsi="Calibri" w:cs="Calibri"/>
          <w:sz w:val="22"/>
          <w:szCs w:val="22"/>
        </w:rPr>
        <w:t xml:space="preserve">zhruba </w:t>
      </w:r>
      <w:r w:rsidRPr="0001227F">
        <w:rPr>
          <w:rFonts w:ascii="Calibri" w:hAnsi="Calibri" w:cs="Calibri"/>
          <w:sz w:val="22"/>
          <w:szCs w:val="22"/>
        </w:rPr>
        <w:t xml:space="preserve">v polovině měsíce. Šetření se účastní všechny tuzemské banky a stavební spořitelny poskytující v ČR hypotéky. </w:t>
      </w:r>
    </w:p>
    <w:p w14:paraId="27450794" w14:textId="1E408EB6" w:rsidR="0001227F" w:rsidRDefault="0001227F" w:rsidP="0001227F">
      <w:pPr>
        <w:rPr>
          <w:rFonts w:ascii="Calibri" w:hAnsi="Calibri" w:cs="Calibri"/>
          <w:sz w:val="22"/>
          <w:szCs w:val="22"/>
        </w:rPr>
      </w:pPr>
    </w:p>
    <w:p w14:paraId="2DAF9CB5" w14:textId="451B9542" w:rsidR="0001227F" w:rsidRDefault="0001227F" w:rsidP="0001227F">
      <w:pPr>
        <w:rPr>
          <w:rFonts w:ascii="Calibri" w:hAnsi="Calibri" w:cs="Calibri"/>
          <w:sz w:val="22"/>
          <w:szCs w:val="22"/>
        </w:rPr>
      </w:pPr>
    </w:p>
    <w:p w14:paraId="4E39E615" w14:textId="1E3C9D0E" w:rsidR="0001227F" w:rsidRDefault="0001227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B9C4AA3" w14:textId="02D575E5" w:rsidR="00C42F00" w:rsidRPr="0001227F" w:rsidRDefault="0001227F" w:rsidP="0001227F">
      <w:pPr>
        <w:rPr>
          <w:rFonts w:ascii="Calibri" w:hAnsi="Calibri" w:cs="Calibri"/>
          <w:i/>
          <w:iCs/>
          <w:sz w:val="20"/>
        </w:rPr>
      </w:pPr>
      <w:r w:rsidRPr="0001227F">
        <w:rPr>
          <w:rFonts w:ascii="Calibri" w:hAnsi="Calibri" w:cs="Calibri"/>
          <w:i/>
          <w:iCs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5DA650" wp14:editId="757BC2D9">
                <wp:simplePos x="0" y="0"/>
                <wp:positionH relativeFrom="column">
                  <wp:posOffset>-52705</wp:posOffset>
                </wp:positionH>
                <wp:positionV relativeFrom="paragraph">
                  <wp:posOffset>25400</wp:posOffset>
                </wp:positionV>
                <wp:extent cx="6574790" cy="51892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518922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287C" w14:textId="77777777" w:rsid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23681E4" w14:textId="20B4FCBA" w:rsidR="0001227F" w:rsidRPr="00E818C3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Metodika ČBA </w:t>
                            </w:r>
                            <w:proofErr w:type="spellStart"/>
                            <w:r w:rsidRPr="00E818C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Hypomonitoru</w:t>
                            </w:r>
                            <w:proofErr w:type="spellEnd"/>
                          </w:p>
                          <w:p w14:paraId="7401467C" w14:textId="77777777" w:rsidR="00414AD4" w:rsidRPr="007C6225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1021EABD" w14:textId="21BBB2A7" w:rsidR="0001227F" w:rsidRPr="007C6225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ČBA </w:t>
                            </w:r>
                            <w:proofErr w:type="spellStart"/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Hypomonitor</w:t>
                            </w:r>
                            <w:proofErr w:type="spellEnd"/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  <w:r w:rsidR="00FB47DE"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rozděluje poskytnuté hypoteční úvěry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do několika kategorií tak, aby byly rozlišeny nové úvěry od refinancovaných či interních refixací</w:t>
                            </w:r>
                            <w:r w:rsidR="000B70C8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Nové úvěry jsou 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pak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vykazovány v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kategoriích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dle účelu úvěru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:</w:t>
                            </w:r>
                          </w:p>
                          <w:p w14:paraId="58E707E8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227247A" w14:textId="11714118" w:rsidR="0001227F" w:rsidRPr="00E818C3" w:rsidRDefault="00E818C3" w:rsidP="00E818C3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1227F"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Nové úvěry</w:t>
                            </w:r>
                          </w:p>
                          <w:p w14:paraId="22AF3257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Jsou úvěry, jejichž celý objem poprvé vstupuje do ekonomiky. Do této kategorie nepatří konsolidace úvěrů anebo refinancování úvěrů. Dělí se do tří kategorií:</w:t>
                            </w:r>
                          </w:p>
                          <w:p w14:paraId="362AFB2A" w14:textId="77777777" w:rsidR="0001227F" w:rsidRPr="00E818C3" w:rsidRDefault="0001227F" w:rsidP="00E818C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Nákup nemovitosti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9F23FA5" w14:textId="6EE96893" w:rsidR="0001227F" w:rsidRPr="00E818C3" w:rsidRDefault="0001227F" w:rsidP="00E818C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Výstavba nemovitosti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včetně rekonstrukce nemovitosti </w:t>
                            </w:r>
                          </w:p>
                          <w:p w14:paraId="4D80580F" w14:textId="11E0715F" w:rsidR="0001227F" w:rsidRPr="00E818C3" w:rsidRDefault="0001227F" w:rsidP="00E818C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Ostatní nová ujednání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podílu, atp.</w:t>
                            </w:r>
                          </w:p>
                          <w:p w14:paraId="4FBF1D5A" w14:textId="77777777" w:rsidR="0001227F" w:rsidRPr="0001227F" w:rsidRDefault="0001227F" w:rsidP="0001227F">
                            <w:pPr>
                              <w:spacing w:line="276" w:lineRule="auto"/>
                              <w:ind w:left="708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1D5E0BB" w14:textId="7D112C27" w:rsidR="0001227F" w:rsidRPr="0001227F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01227F" w:rsidRPr="000122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Refinancované úvěry z jiné finanční instituce</w:t>
                            </w:r>
                          </w:p>
                          <w:p w14:paraId="351B5A60" w14:textId="0B5DCBB6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vznikly refinancováním jednoho nebo více úvěrů z jiné finanční instituce než </w:t>
                            </w:r>
                            <w:r w:rsidR="0097319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té</w:t>
                            </w: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vykazující. Bez ohledu na výši refinancované částky a bez ohledu na výši případného navýšení se celková výše nově vzniklého úvěru vykazuje do této kategorie. </w:t>
                            </w:r>
                          </w:p>
                          <w:p w14:paraId="7566D2D6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4B36444" w14:textId="4F20B25F" w:rsidR="0001227F" w:rsidRPr="000C045B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3. </w:t>
                            </w:r>
                            <w:r w:rsidR="0001227F" w:rsidRPr="000122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Navý</w:t>
                            </w:r>
                            <w:r w:rsidR="0001227F" w:rsidRPr="000C045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šené anebo interně refinancované úvěry</w:t>
                            </w:r>
                          </w:p>
                          <w:p w14:paraId="711A3661" w14:textId="2A271010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C045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již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byly </w:t>
                            </w:r>
                            <w:r w:rsidR="00647A7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v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předchozí</w:t>
                            </w:r>
                            <w:r w:rsidR="007903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vykazované</w:t>
                            </w:r>
                            <w:r w:rsidR="007903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období součástí portfolia</w:t>
                            </w:r>
                            <w:r w:rsidRPr="000C045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vykazujícího</w:t>
                            </w: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subjektu, a ve vykazovaném období u nich došlo k některé z následujících změn:</w:t>
                            </w:r>
                          </w:p>
                          <w:p w14:paraId="4A6B00C0" w14:textId="77777777" w:rsidR="00E818C3" w:rsidRDefault="0001227F" w:rsidP="0001227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navýšení sjednané částky </w:t>
                            </w:r>
                          </w:p>
                          <w:p w14:paraId="44682079" w14:textId="72C23671" w:rsidR="0001227F" w:rsidRDefault="0001227F" w:rsidP="0001227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došlo k takovým změnám, že původní úvěr byl v rámci vykazujícího subjektu refinancován/převeden na nový úvěr. </w:t>
                            </w:r>
                            <w:r w:rsidR="00E7422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de</w:t>
                            </w:r>
                            <w:r w:rsidR="00CD28E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tak o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skutečně </w:t>
                            </w:r>
                            <w:r w:rsidR="00E7422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novou smlouvu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nikoli např. jen </w:t>
                            </w:r>
                            <w:r w:rsidR="007B79F6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nové ujednání v rámci refi</w:t>
                            </w:r>
                            <w:r w:rsidR="000F02C1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xace 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stávající smlouvy. Proto je objem takových úvěru ve statistice ČBA nižší oproti „ostatním novým ujednáním“ ve statistice České </w:t>
                            </w:r>
                            <w:r w:rsidR="002D3F9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árodní </w:t>
                            </w:r>
                            <w:r w:rsidR="002D3F9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anky.</w:t>
                            </w:r>
                          </w:p>
                          <w:p w14:paraId="1FAF8B9B" w14:textId="4C474A58" w:rsidR="006F08E1" w:rsidRDefault="006F08E1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5FC0189" w14:textId="014392A6" w:rsidR="006F08E1" w:rsidRPr="006F08E1" w:rsidRDefault="001F49EA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Data pro ČBA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Hypomonitor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poskytují následující banky a stavební spořitelny: Air Bank, Banka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Creditas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Česká spořitelna, ČSOB, ČSOB Stavební spořitelna,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Equa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bank, Fio banka, Hypoteční banka, Komerční banka, mBank, Modrá pyramida, MONETA Money Bank, MONETA Stavební spořitelna,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Oberbank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Raiffeisen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stavební spořitelna, Raiffeisenbank, Sberbank, Stavební spořitelna České spořitelny, UniCredit Bank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A6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15pt;margin-top:2pt;width:517.7pt;height:40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" fillcolor="#13576b" stroked="f">
                <v:fill opacity="54998f"/>
                <v:textbox>
                  <w:txbxContent>
                    <w:p w14:paraId="5A50287C" w14:textId="77777777" w:rsid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23681E4" w14:textId="20B4FCBA" w:rsidR="0001227F" w:rsidRPr="00E818C3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Metodika ČBA </w:t>
                      </w:r>
                      <w:proofErr w:type="spellStart"/>
                      <w:r w:rsidRPr="00E818C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Hypomonitoru</w:t>
                      </w:r>
                      <w:proofErr w:type="spellEnd"/>
                    </w:p>
                    <w:p w14:paraId="7401467C" w14:textId="77777777" w:rsidR="00414AD4" w:rsidRPr="007C6225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</w:p>
                    <w:p w14:paraId="1021EABD" w14:textId="21BBB2A7" w:rsidR="0001227F" w:rsidRPr="007C6225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ČBA </w:t>
                      </w:r>
                      <w:proofErr w:type="spellStart"/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Hypomonitor</w:t>
                      </w:r>
                      <w:proofErr w:type="spellEnd"/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  <w:r w:rsidR="00FB47DE"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rozděluje poskytnuté hypoteční úvěry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do několika kategorií tak, aby byly rozlišeny nové úvěry od refinancovaných či interních refixací</w:t>
                      </w:r>
                      <w:r w:rsidR="000B70C8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Nové úvěry jsou 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pak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vykazovány v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kategoriích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dle účelu úvěru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:</w:t>
                      </w:r>
                    </w:p>
                    <w:p w14:paraId="58E707E8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227247A" w14:textId="11714118" w:rsidR="0001227F" w:rsidRPr="00E818C3" w:rsidRDefault="00E818C3" w:rsidP="00E818C3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 </w:t>
                      </w:r>
                      <w:r w:rsidR="0001227F"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Nové úvěry</w:t>
                      </w:r>
                    </w:p>
                    <w:p w14:paraId="22AF3257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>Jsou úvěry, jejichž celý objem poprvé vstupuje do ekonomiky. Do této kategorie nepatří konsolidace úvěrů anebo refinancování úvěrů. Dělí se do tří kategorií:</w:t>
                      </w:r>
                    </w:p>
                    <w:p w14:paraId="362AFB2A" w14:textId="77777777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Nákup nemovitosti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</w:p>
                    <w:p w14:paraId="29F23FA5" w14:textId="6EE96893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Výstavba nemovitosti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včetně rekonstrukce nemovitosti </w:t>
                      </w:r>
                    </w:p>
                    <w:p w14:paraId="4D80580F" w14:textId="11E0715F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Ostatní nová ujednání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</w:t>
                      </w:r>
                      <w:proofErr w:type="gramStart"/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>podílu,</w:t>
                      </w:r>
                      <w:proofErr w:type="gramEnd"/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atp.</w:t>
                      </w:r>
                    </w:p>
                    <w:p w14:paraId="4FBF1D5A" w14:textId="77777777" w:rsidR="0001227F" w:rsidRPr="0001227F" w:rsidRDefault="0001227F" w:rsidP="0001227F">
                      <w:pPr>
                        <w:spacing w:line="276" w:lineRule="auto"/>
                        <w:ind w:left="708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1D5E0BB" w14:textId="7D112C27" w:rsidR="0001227F" w:rsidRPr="0001227F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2. </w:t>
                      </w:r>
                      <w:r w:rsidR="0001227F" w:rsidRPr="0001227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Refinancované úvěry z jiné finanční instituce</w:t>
                      </w:r>
                    </w:p>
                    <w:p w14:paraId="351B5A60" w14:textId="0B5DCBB6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vznikly refinancováním jednoho nebo více úvěrů z jiné finanční instituce než </w:t>
                      </w:r>
                      <w:r w:rsidR="00973197">
                        <w:rPr>
                          <w:rFonts w:ascii="Calibri" w:hAnsi="Calibri" w:cs="Calibri"/>
                          <w:color w:val="FFFFFF" w:themeColor="background1"/>
                        </w:rPr>
                        <w:t>té</w:t>
                      </w: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vykazující. Bez ohledu na výši refinancované částky a bez ohledu na výši případného navýšení se celková výše nově vzniklého úvěru vykazuje do této kategorie. </w:t>
                      </w:r>
                    </w:p>
                    <w:p w14:paraId="7566D2D6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4B36444" w14:textId="4F20B25F" w:rsidR="0001227F" w:rsidRPr="000C045B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3. </w:t>
                      </w:r>
                      <w:r w:rsidR="0001227F" w:rsidRPr="0001227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Navý</w:t>
                      </w:r>
                      <w:r w:rsidR="0001227F" w:rsidRPr="000C045B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šené anebo interně refinancované úvěry</w:t>
                      </w:r>
                    </w:p>
                    <w:p w14:paraId="711A3661" w14:textId="2A271010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C045B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již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byly </w:t>
                      </w:r>
                      <w:r w:rsidR="00647A7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v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>předchozí</w:t>
                      </w:r>
                      <w:r w:rsidR="0079039B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vykazované</w:t>
                      </w:r>
                      <w:r w:rsidR="0079039B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období součástí portfolia</w:t>
                      </w:r>
                      <w:r w:rsidRPr="000C045B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vykazujícího</w:t>
                      </w: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subjektu, a ve vykazovaném období u nich došlo k některé z následujících změn:</w:t>
                      </w:r>
                    </w:p>
                    <w:p w14:paraId="4A6B00C0" w14:textId="77777777" w:rsidR="00E818C3" w:rsidRDefault="0001227F" w:rsidP="000122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navýšení sjednané částky </w:t>
                      </w:r>
                    </w:p>
                    <w:p w14:paraId="44682079" w14:textId="72C23671" w:rsidR="0001227F" w:rsidRDefault="0001227F" w:rsidP="000122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došlo k takovým změnám, že původní úvěr byl v rámci vykazujícího subjektu refinancován/převeden na nový úvěr. </w:t>
                      </w:r>
                      <w:r w:rsidR="00E74228">
                        <w:rPr>
                          <w:rFonts w:ascii="Calibri" w:hAnsi="Calibri" w:cs="Calibri"/>
                          <w:color w:val="FFFFFF" w:themeColor="background1"/>
                        </w:rPr>
                        <w:t>J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>de</w:t>
                      </w:r>
                      <w:r w:rsidR="00CD28E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tak o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skutečně </w:t>
                      </w:r>
                      <w:r w:rsidR="00E74228">
                        <w:rPr>
                          <w:rFonts w:ascii="Calibri" w:hAnsi="Calibri" w:cs="Calibri"/>
                          <w:color w:val="FFFFFF" w:themeColor="background1"/>
                        </w:rPr>
                        <w:t>novou smlouvu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nikoli např. jen </w:t>
                      </w:r>
                      <w:r w:rsidR="007B79F6">
                        <w:rPr>
                          <w:rFonts w:ascii="Calibri" w:hAnsi="Calibri" w:cs="Calibri"/>
                          <w:color w:val="FFFFFF" w:themeColor="background1"/>
                        </w:rPr>
                        <w:t>nové ujednání v rámci refi</w:t>
                      </w:r>
                      <w:r w:rsidR="000F02C1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xace 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stávající smlouvy. Proto je objem takových úvěru ve statistice ČBA nižší oproti „ostatním novým ujednáním“ ve statistice České </w:t>
                      </w:r>
                      <w:r w:rsidR="002D3F94">
                        <w:rPr>
                          <w:rFonts w:ascii="Calibri" w:hAnsi="Calibri" w:cs="Calibri"/>
                          <w:color w:val="FFFFFF" w:themeColor="background1"/>
                        </w:rPr>
                        <w:t>n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árodní </w:t>
                      </w:r>
                      <w:r w:rsidR="002D3F94">
                        <w:rPr>
                          <w:rFonts w:ascii="Calibri" w:hAnsi="Calibri" w:cs="Calibri"/>
                          <w:color w:val="FFFFFF" w:themeColor="background1"/>
                        </w:rPr>
                        <w:t>b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>anky.</w:t>
                      </w:r>
                    </w:p>
                    <w:p w14:paraId="1FAF8B9B" w14:textId="4C474A58" w:rsidR="006F08E1" w:rsidRDefault="006F08E1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5FC0189" w14:textId="014392A6" w:rsidR="006F08E1" w:rsidRPr="006F08E1" w:rsidRDefault="001F49EA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Data pro ČBA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Hypomonitor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poskytují následující banky a stavební spořitelny: Air Bank, Banka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Creditas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Česká spořitelna, ČSOB, ČSOB Stavební spořitelna,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Equa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bank, Fio banka, Hypoteční banka, Komerční banka, mBank, Modrá pyramida, MONETA Money Bank, MONETA Stavební spořitelna,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Oberbank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Raiffeisen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stavební spořitelna, Raiffeisenbank, Sberbank, Stavební spořitelna České spořitelny, UniCredit Bank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8C3">
        <w:rPr>
          <w:rFonts w:ascii="Calibri" w:hAnsi="Calibri" w:cs="Calibri"/>
          <w:i/>
          <w:iCs/>
          <w:sz w:val="20"/>
        </w:rPr>
        <w:t xml:space="preserve"> </w:t>
      </w:r>
    </w:p>
    <w:p w14:paraId="03609C5E" w14:textId="1B8DE88E" w:rsidR="00EF607A" w:rsidRPr="0001227F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2E1F4E3A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="002D4720" w:rsidRPr="002D4720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="002D4720" w:rsidRPr="002D4720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340D5696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UH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dn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I16lQc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340D5696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4084CDD3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12BEC237" w:rsidR="00C42F00" w:rsidRPr="0001227F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01227F" w:rsidSect="0001227F">
      <w:headerReference w:type="default" r:id="rId11"/>
      <w:footerReference w:type="default" r:id="rId12"/>
      <w:pgSz w:w="11906" w:h="16838"/>
      <w:pgMar w:top="2552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35E9" w14:textId="77777777" w:rsidR="00EE0AE0" w:rsidRDefault="00EE0AE0" w:rsidP="00F573F1">
      <w:r>
        <w:separator/>
      </w:r>
    </w:p>
  </w:endnote>
  <w:endnote w:type="continuationSeparator" w:id="0">
    <w:p w14:paraId="57FE4D80" w14:textId="77777777" w:rsidR="00EE0AE0" w:rsidRDefault="00EE0AE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Footer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Footer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0D33" w14:textId="77777777" w:rsidR="00EE0AE0" w:rsidRDefault="00EE0AE0" w:rsidP="00F573F1">
      <w:r>
        <w:separator/>
      </w:r>
    </w:p>
  </w:footnote>
  <w:footnote w:type="continuationSeparator" w:id="0">
    <w:p w14:paraId="106F7F55" w14:textId="77777777" w:rsidR="00EE0AE0" w:rsidRDefault="00EE0AE0" w:rsidP="00F573F1">
      <w:r>
        <w:continuationSeparator/>
      </w:r>
    </w:p>
  </w:footnote>
  <w:footnote w:id="1">
    <w:p w14:paraId="012372BD" w14:textId="77777777" w:rsidR="00597DD9" w:rsidRPr="007C6225" w:rsidRDefault="00597DD9" w:rsidP="00597DD9">
      <w:pPr>
        <w:pStyle w:val="FootnoteText"/>
        <w:rPr>
          <w:rFonts w:ascii="Calibri" w:hAnsi="Calibri" w:cs="Calibri"/>
          <w:sz w:val="17"/>
          <w:szCs w:val="17"/>
        </w:rPr>
      </w:pPr>
      <w:r w:rsidRPr="007C6225">
        <w:rPr>
          <w:rStyle w:val="FootnoteReference"/>
          <w:rFonts w:ascii="Calibri" w:hAnsi="Calibri" w:cs="Calibri"/>
          <w:sz w:val="17"/>
          <w:szCs w:val="17"/>
        </w:rPr>
        <w:footnoteRef/>
      </w:r>
      <w:r w:rsidRPr="007C6225">
        <w:rPr>
          <w:rFonts w:ascii="Calibri" w:hAnsi="Calibri" w:cs="Calibri"/>
          <w:sz w:val="17"/>
          <w:szCs w:val="17"/>
        </w:rPr>
        <w:t xml:space="preserve"> Jedná se především o dlouholeté úrokové swapy (</w:t>
      </w:r>
      <w:proofErr w:type="spellStart"/>
      <w:r w:rsidRPr="007C6225">
        <w:rPr>
          <w:rFonts w:ascii="Calibri" w:hAnsi="Calibri" w:cs="Calibri"/>
          <w:sz w:val="17"/>
          <w:szCs w:val="17"/>
        </w:rPr>
        <w:t>interest</w:t>
      </w:r>
      <w:proofErr w:type="spellEnd"/>
      <w:r w:rsidRPr="007C6225">
        <w:rPr>
          <w:rFonts w:ascii="Calibri" w:hAnsi="Calibri" w:cs="Calibri"/>
          <w:sz w:val="17"/>
          <w:szCs w:val="17"/>
        </w:rPr>
        <w:t xml:space="preserve"> </w:t>
      </w:r>
      <w:proofErr w:type="spellStart"/>
      <w:r w:rsidRPr="007C6225">
        <w:rPr>
          <w:rFonts w:ascii="Calibri" w:hAnsi="Calibri" w:cs="Calibri"/>
          <w:sz w:val="17"/>
          <w:szCs w:val="17"/>
        </w:rPr>
        <w:t>rate</w:t>
      </w:r>
      <w:proofErr w:type="spellEnd"/>
      <w:r w:rsidRPr="007C6225">
        <w:rPr>
          <w:rFonts w:ascii="Calibri" w:hAnsi="Calibri" w:cs="Calibri"/>
          <w:sz w:val="17"/>
          <w:szCs w:val="17"/>
        </w:rPr>
        <w:t xml:space="preserve"> swap, IRS), které odráží cenu peněz v delších splatnostech, například 5 až 10 let. </w:t>
      </w:r>
      <w:r>
        <w:rPr>
          <w:rFonts w:ascii="Calibri" w:hAnsi="Calibri" w:cs="Calibri"/>
          <w:sz w:val="17"/>
          <w:szCs w:val="17"/>
        </w:rPr>
        <w:t>Téměř polovina hypoték se totiž v posledních letech poskytne s fixací úrokové sazby mezi 5 až 10 lety.</w:t>
      </w:r>
    </w:p>
  </w:footnote>
  <w:footnote w:id="2">
    <w:p w14:paraId="761EB135" w14:textId="10762BFA" w:rsidR="00F25233" w:rsidRDefault="00F25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15BB">
        <w:rPr>
          <w:rFonts w:asciiTheme="majorHAnsi" w:hAnsiTheme="majorHAnsi" w:cstheme="majorHAnsi"/>
          <w:sz w:val="17"/>
          <w:szCs w:val="17"/>
        </w:rPr>
        <w:t>Tabulka je</w:t>
      </w:r>
      <w:r w:rsidR="00F815BB" w:rsidRPr="00F815BB">
        <w:rPr>
          <w:rFonts w:asciiTheme="majorHAnsi" w:hAnsiTheme="majorHAnsi" w:cstheme="majorHAnsi"/>
          <w:sz w:val="17"/>
          <w:szCs w:val="17"/>
        </w:rPr>
        <w:t xml:space="preserve"> k dispozici v souboru </w:t>
      </w:r>
      <w:proofErr w:type="spellStart"/>
      <w:r w:rsidR="00F815BB" w:rsidRPr="00F815BB">
        <w:rPr>
          <w:rFonts w:asciiTheme="majorHAnsi" w:hAnsiTheme="majorHAnsi" w:cstheme="majorHAnsi"/>
          <w:sz w:val="17"/>
          <w:szCs w:val="17"/>
        </w:rPr>
        <w:t>xls</w:t>
      </w:r>
      <w:proofErr w:type="spellEnd"/>
      <w:r w:rsidR="00F815BB" w:rsidRPr="00F815BB">
        <w:rPr>
          <w:rFonts w:asciiTheme="majorHAnsi" w:hAnsiTheme="majorHAnsi" w:cstheme="majorHAnsi"/>
          <w:sz w:val="17"/>
          <w:szCs w:val="17"/>
        </w:rPr>
        <w:t xml:space="preserve"> přiloženém na webových stránkách říjnového </w:t>
      </w:r>
      <w:r w:rsidR="00A811D6" w:rsidRPr="00A811D6">
        <w:rPr>
          <w:rFonts w:asciiTheme="majorHAnsi" w:hAnsiTheme="majorHAnsi" w:cstheme="majorHAnsi"/>
          <w:sz w:val="17"/>
          <w:szCs w:val="17"/>
        </w:rPr>
        <w:t>ČBA</w:t>
      </w:r>
      <w:r w:rsidR="00A811D6" w:rsidRPr="00F815BB">
        <w:rPr>
          <w:rFonts w:asciiTheme="majorHAnsi" w:hAnsiTheme="majorHAnsi" w:cstheme="majorHAnsi"/>
          <w:sz w:val="17"/>
          <w:szCs w:val="17"/>
        </w:rPr>
        <w:t xml:space="preserve"> </w:t>
      </w:r>
      <w:proofErr w:type="spellStart"/>
      <w:r w:rsidR="00F815BB" w:rsidRPr="00F815BB">
        <w:rPr>
          <w:rFonts w:asciiTheme="majorHAnsi" w:hAnsiTheme="majorHAnsi" w:cstheme="majorHAnsi"/>
          <w:sz w:val="17"/>
          <w:szCs w:val="17"/>
        </w:rPr>
        <w:t>Hypomonitoru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4B7F8093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5C7FCE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6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820F38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4B7F8093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5C7FCE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6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820F38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76"/>
    <w:multiLevelType w:val="hybridMultilevel"/>
    <w:tmpl w:val="6D52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083"/>
    <w:multiLevelType w:val="hybridMultilevel"/>
    <w:tmpl w:val="3C58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06843DC"/>
    <w:multiLevelType w:val="hybridMultilevel"/>
    <w:tmpl w:val="3E4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4"/>
  </w:num>
  <w:num w:numId="5">
    <w:abstractNumId w:val="4"/>
  </w:num>
  <w:num w:numId="6">
    <w:abstractNumId w:val="23"/>
  </w:num>
  <w:num w:numId="7">
    <w:abstractNumId w:val="6"/>
  </w:num>
  <w:num w:numId="8">
    <w:abstractNumId w:val="28"/>
  </w:num>
  <w:num w:numId="9">
    <w:abstractNumId w:val="5"/>
  </w:num>
  <w:num w:numId="10">
    <w:abstractNumId w:val="24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20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21"/>
  </w:num>
  <w:num w:numId="25">
    <w:abstractNumId w:val="16"/>
  </w:num>
  <w:num w:numId="26">
    <w:abstractNumId w:val="13"/>
  </w:num>
  <w:num w:numId="27">
    <w:abstractNumId w:val="26"/>
  </w:num>
  <w:num w:numId="28">
    <w:abstractNumId w:val="7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363D"/>
    <w:rsid w:val="000054D2"/>
    <w:rsid w:val="00010564"/>
    <w:rsid w:val="000118C2"/>
    <w:rsid w:val="0001227F"/>
    <w:rsid w:val="00015933"/>
    <w:rsid w:val="000159E5"/>
    <w:rsid w:val="000176E6"/>
    <w:rsid w:val="00020581"/>
    <w:rsid w:val="00020FE5"/>
    <w:rsid w:val="000213CC"/>
    <w:rsid w:val="00023E9F"/>
    <w:rsid w:val="0002473E"/>
    <w:rsid w:val="00027B22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70C8"/>
    <w:rsid w:val="000B79A4"/>
    <w:rsid w:val="000C045B"/>
    <w:rsid w:val="000C12F1"/>
    <w:rsid w:val="000C234E"/>
    <w:rsid w:val="000C4910"/>
    <w:rsid w:val="000D1D61"/>
    <w:rsid w:val="000D32BB"/>
    <w:rsid w:val="000D4F26"/>
    <w:rsid w:val="000D56F1"/>
    <w:rsid w:val="000D5D2B"/>
    <w:rsid w:val="000D684D"/>
    <w:rsid w:val="000E0B50"/>
    <w:rsid w:val="000E0C43"/>
    <w:rsid w:val="000E2B4E"/>
    <w:rsid w:val="000E4ABC"/>
    <w:rsid w:val="000E563F"/>
    <w:rsid w:val="000F02C1"/>
    <w:rsid w:val="000F02FD"/>
    <w:rsid w:val="000F4318"/>
    <w:rsid w:val="000F61F5"/>
    <w:rsid w:val="000F70CA"/>
    <w:rsid w:val="0010268F"/>
    <w:rsid w:val="0010277A"/>
    <w:rsid w:val="00103662"/>
    <w:rsid w:val="00107915"/>
    <w:rsid w:val="001126B2"/>
    <w:rsid w:val="0011443F"/>
    <w:rsid w:val="00115D53"/>
    <w:rsid w:val="00116F4B"/>
    <w:rsid w:val="00117860"/>
    <w:rsid w:val="00122810"/>
    <w:rsid w:val="00122CC4"/>
    <w:rsid w:val="0012351B"/>
    <w:rsid w:val="00123FF9"/>
    <w:rsid w:val="001253CC"/>
    <w:rsid w:val="00131E94"/>
    <w:rsid w:val="00132EE9"/>
    <w:rsid w:val="001348D9"/>
    <w:rsid w:val="001361CA"/>
    <w:rsid w:val="00136FC5"/>
    <w:rsid w:val="0013716D"/>
    <w:rsid w:val="00140E10"/>
    <w:rsid w:val="00143DCC"/>
    <w:rsid w:val="00144D53"/>
    <w:rsid w:val="00145E7A"/>
    <w:rsid w:val="00146F46"/>
    <w:rsid w:val="0015125A"/>
    <w:rsid w:val="0015295E"/>
    <w:rsid w:val="00152A73"/>
    <w:rsid w:val="00157080"/>
    <w:rsid w:val="001622C2"/>
    <w:rsid w:val="001633ED"/>
    <w:rsid w:val="00163F5F"/>
    <w:rsid w:val="00165DDC"/>
    <w:rsid w:val="0017388B"/>
    <w:rsid w:val="0017441E"/>
    <w:rsid w:val="00175A85"/>
    <w:rsid w:val="00175E6C"/>
    <w:rsid w:val="00176C20"/>
    <w:rsid w:val="00180A13"/>
    <w:rsid w:val="00182C97"/>
    <w:rsid w:val="00183066"/>
    <w:rsid w:val="00184412"/>
    <w:rsid w:val="001906F3"/>
    <w:rsid w:val="00195C6D"/>
    <w:rsid w:val="00196F95"/>
    <w:rsid w:val="0019772B"/>
    <w:rsid w:val="001A2623"/>
    <w:rsid w:val="001A46CC"/>
    <w:rsid w:val="001A6304"/>
    <w:rsid w:val="001B1060"/>
    <w:rsid w:val="001C091C"/>
    <w:rsid w:val="001C2261"/>
    <w:rsid w:val="001C49DC"/>
    <w:rsid w:val="001C6945"/>
    <w:rsid w:val="001C7200"/>
    <w:rsid w:val="001C7F88"/>
    <w:rsid w:val="001D169B"/>
    <w:rsid w:val="001D2ECE"/>
    <w:rsid w:val="001D39E5"/>
    <w:rsid w:val="001D3C90"/>
    <w:rsid w:val="001D5BB9"/>
    <w:rsid w:val="001D6B1A"/>
    <w:rsid w:val="001D7365"/>
    <w:rsid w:val="001E15FD"/>
    <w:rsid w:val="001E27B8"/>
    <w:rsid w:val="001E31AB"/>
    <w:rsid w:val="001E432A"/>
    <w:rsid w:val="001E5169"/>
    <w:rsid w:val="001E6F5D"/>
    <w:rsid w:val="001F3DF4"/>
    <w:rsid w:val="001F49EA"/>
    <w:rsid w:val="001F5CF7"/>
    <w:rsid w:val="001F7B28"/>
    <w:rsid w:val="00201DDA"/>
    <w:rsid w:val="00203021"/>
    <w:rsid w:val="002045A5"/>
    <w:rsid w:val="0020667A"/>
    <w:rsid w:val="00207AE7"/>
    <w:rsid w:val="002105A2"/>
    <w:rsid w:val="002137B0"/>
    <w:rsid w:val="00216187"/>
    <w:rsid w:val="00217881"/>
    <w:rsid w:val="0022075B"/>
    <w:rsid w:val="00221F77"/>
    <w:rsid w:val="00221FF5"/>
    <w:rsid w:val="00222917"/>
    <w:rsid w:val="00224E2B"/>
    <w:rsid w:val="00225F51"/>
    <w:rsid w:val="0022648E"/>
    <w:rsid w:val="00226F32"/>
    <w:rsid w:val="00227ACD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0B2C"/>
    <w:rsid w:val="00262B7F"/>
    <w:rsid w:val="00264C92"/>
    <w:rsid w:val="00266980"/>
    <w:rsid w:val="00267ACA"/>
    <w:rsid w:val="00270A4E"/>
    <w:rsid w:val="00272177"/>
    <w:rsid w:val="00275209"/>
    <w:rsid w:val="00280D31"/>
    <w:rsid w:val="00283681"/>
    <w:rsid w:val="00290498"/>
    <w:rsid w:val="00291656"/>
    <w:rsid w:val="0029774E"/>
    <w:rsid w:val="002A02A1"/>
    <w:rsid w:val="002A04EB"/>
    <w:rsid w:val="002A07F7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0719"/>
    <w:rsid w:val="002C2C2B"/>
    <w:rsid w:val="002C30D4"/>
    <w:rsid w:val="002C513E"/>
    <w:rsid w:val="002D1376"/>
    <w:rsid w:val="002D2A30"/>
    <w:rsid w:val="002D3F94"/>
    <w:rsid w:val="002D4720"/>
    <w:rsid w:val="002D49FB"/>
    <w:rsid w:val="002D4A25"/>
    <w:rsid w:val="002E1390"/>
    <w:rsid w:val="002E4CA1"/>
    <w:rsid w:val="002E5E57"/>
    <w:rsid w:val="002E6C7C"/>
    <w:rsid w:val="002F1752"/>
    <w:rsid w:val="002F2FAA"/>
    <w:rsid w:val="002F477C"/>
    <w:rsid w:val="002F557F"/>
    <w:rsid w:val="003028DC"/>
    <w:rsid w:val="00314CF6"/>
    <w:rsid w:val="00315F32"/>
    <w:rsid w:val="00320811"/>
    <w:rsid w:val="00324743"/>
    <w:rsid w:val="003253AF"/>
    <w:rsid w:val="00327407"/>
    <w:rsid w:val="00327CB6"/>
    <w:rsid w:val="00335341"/>
    <w:rsid w:val="00337157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51F"/>
    <w:rsid w:val="003707E0"/>
    <w:rsid w:val="00370F35"/>
    <w:rsid w:val="003732C7"/>
    <w:rsid w:val="003739F0"/>
    <w:rsid w:val="003742A8"/>
    <w:rsid w:val="003749A5"/>
    <w:rsid w:val="00376918"/>
    <w:rsid w:val="00376F07"/>
    <w:rsid w:val="00380502"/>
    <w:rsid w:val="00380788"/>
    <w:rsid w:val="00383D10"/>
    <w:rsid w:val="00384170"/>
    <w:rsid w:val="003847A3"/>
    <w:rsid w:val="00386E7F"/>
    <w:rsid w:val="00391C4B"/>
    <w:rsid w:val="00391FA6"/>
    <w:rsid w:val="003952ED"/>
    <w:rsid w:val="00396DEC"/>
    <w:rsid w:val="00396F9D"/>
    <w:rsid w:val="00397430"/>
    <w:rsid w:val="003A0F5E"/>
    <w:rsid w:val="003A424B"/>
    <w:rsid w:val="003A5636"/>
    <w:rsid w:val="003A623D"/>
    <w:rsid w:val="003B0433"/>
    <w:rsid w:val="003B04C1"/>
    <w:rsid w:val="003B2C84"/>
    <w:rsid w:val="003B4F01"/>
    <w:rsid w:val="003B5E6F"/>
    <w:rsid w:val="003B6F4A"/>
    <w:rsid w:val="003C0B1B"/>
    <w:rsid w:val="003C1195"/>
    <w:rsid w:val="003C12B6"/>
    <w:rsid w:val="003C373E"/>
    <w:rsid w:val="003C3D7F"/>
    <w:rsid w:val="003C6326"/>
    <w:rsid w:val="003C6D87"/>
    <w:rsid w:val="003D079C"/>
    <w:rsid w:val="003D224C"/>
    <w:rsid w:val="003D45D4"/>
    <w:rsid w:val="003E14DF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1CD3"/>
    <w:rsid w:val="00401F79"/>
    <w:rsid w:val="00402FA1"/>
    <w:rsid w:val="00403744"/>
    <w:rsid w:val="0041427D"/>
    <w:rsid w:val="00414AD4"/>
    <w:rsid w:val="0041521E"/>
    <w:rsid w:val="00416763"/>
    <w:rsid w:val="00422B81"/>
    <w:rsid w:val="004257BB"/>
    <w:rsid w:val="00425B3B"/>
    <w:rsid w:val="004325D3"/>
    <w:rsid w:val="004371EE"/>
    <w:rsid w:val="00437589"/>
    <w:rsid w:val="00442170"/>
    <w:rsid w:val="004444EE"/>
    <w:rsid w:val="00444BDA"/>
    <w:rsid w:val="00445609"/>
    <w:rsid w:val="004476C2"/>
    <w:rsid w:val="00451368"/>
    <w:rsid w:val="004555E6"/>
    <w:rsid w:val="00460772"/>
    <w:rsid w:val="00462717"/>
    <w:rsid w:val="004641CC"/>
    <w:rsid w:val="0046651A"/>
    <w:rsid w:val="004714FB"/>
    <w:rsid w:val="00471B86"/>
    <w:rsid w:val="00471D6F"/>
    <w:rsid w:val="00472210"/>
    <w:rsid w:val="00475F13"/>
    <w:rsid w:val="0047757F"/>
    <w:rsid w:val="00477AF5"/>
    <w:rsid w:val="00477CEB"/>
    <w:rsid w:val="0048354D"/>
    <w:rsid w:val="0048489E"/>
    <w:rsid w:val="00490E1A"/>
    <w:rsid w:val="00492636"/>
    <w:rsid w:val="00495C6A"/>
    <w:rsid w:val="004979BF"/>
    <w:rsid w:val="004A1724"/>
    <w:rsid w:val="004A2349"/>
    <w:rsid w:val="004A435C"/>
    <w:rsid w:val="004A53BB"/>
    <w:rsid w:val="004A6CE0"/>
    <w:rsid w:val="004A74F4"/>
    <w:rsid w:val="004B1175"/>
    <w:rsid w:val="004B1766"/>
    <w:rsid w:val="004B19DD"/>
    <w:rsid w:val="004B3889"/>
    <w:rsid w:val="004B564F"/>
    <w:rsid w:val="004B6A7C"/>
    <w:rsid w:val="004B7ECE"/>
    <w:rsid w:val="004C0A56"/>
    <w:rsid w:val="004C4C1F"/>
    <w:rsid w:val="004C50BF"/>
    <w:rsid w:val="004C629B"/>
    <w:rsid w:val="004C751A"/>
    <w:rsid w:val="004C7E8B"/>
    <w:rsid w:val="004D0B15"/>
    <w:rsid w:val="004D3E58"/>
    <w:rsid w:val="004D4333"/>
    <w:rsid w:val="004D6531"/>
    <w:rsid w:val="004E011D"/>
    <w:rsid w:val="004E1AC6"/>
    <w:rsid w:val="004E26E2"/>
    <w:rsid w:val="004E3070"/>
    <w:rsid w:val="004E4B5B"/>
    <w:rsid w:val="004E5E51"/>
    <w:rsid w:val="004F4632"/>
    <w:rsid w:val="004F5C1C"/>
    <w:rsid w:val="004F6CFB"/>
    <w:rsid w:val="004F6EA8"/>
    <w:rsid w:val="004F70A7"/>
    <w:rsid w:val="005019FE"/>
    <w:rsid w:val="005069C2"/>
    <w:rsid w:val="00510EB1"/>
    <w:rsid w:val="0051164C"/>
    <w:rsid w:val="00512176"/>
    <w:rsid w:val="0051437A"/>
    <w:rsid w:val="0051449F"/>
    <w:rsid w:val="00517111"/>
    <w:rsid w:val="005208BD"/>
    <w:rsid w:val="00521FF6"/>
    <w:rsid w:val="00527681"/>
    <w:rsid w:val="00530967"/>
    <w:rsid w:val="00531FAE"/>
    <w:rsid w:val="0053589B"/>
    <w:rsid w:val="00537D95"/>
    <w:rsid w:val="0054574A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164"/>
    <w:rsid w:val="00577D9F"/>
    <w:rsid w:val="00580391"/>
    <w:rsid w:val="00581CC1"/>
    <w:rsid w:val="00584718"/>
    <w:rsid w:val="00584D4C"/>
    <w:rsid w:val="00587350"/>
    <w:rsid w:val="00587BA9"/>
    <w:rsid w:val="0059556C"/>
    <w:rsid w:val="00597DD9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0F27"/>
    <w:rsid w:val="005B3439"/>
    <w:rsid w:val="005B5E17"/>
    <w:rsid w:val="005C1943"/>
    <w:rsid w:val="005C22C2"/>
    <w:rsid w:val="005C501A"/>
    <w:rsid w:val="005C6D52"/>
    <w:rsid w:val="005C7858"/>
    <w:rsid w:val="005C7A9A"/>
    <w:rsid w:val="005C7FCE"/>
    <w:rsid w:val="005D11A5"/>
    <w:rsid w:val="005D4BC8"/>
    <w:rsid w:val="005D55D6"/>
    <w:rsid w:val="005D593D"/>
    <w:rsid w:val="005D6E43"/>
    <w:rsid w:val="005D769A"/>
    <w:rsid w:val="005E092E"/>
    <w:rsid w:val="005E1DD8"/>
    <w:rsid w:val="005E1F6F"/>
    <w:rsid w:val="005E4132"/>
    <w:rsid w:val="005E58E1"/>
    <w:rsid w:val="005E5F8B"/>
    <w:rsid w:val="005F0EC7"/>
    <w:rsid w:val="005F4B41"/>
    <w:rsid w:val="005F4F2A"/>
    <w:rsid w:val="005F73A6"/>
    <w:rsid w:val="00600D9B"/>
    <w:rsid w:val="0060128D"/>
    <w:rsid w:val="00602BDA"/>
    <w:rsid w:val="0060305B"/>
    <w:rsid w:val="0060308F"/>
    <w:rsid w:val="0060552B"/>
    <w:rsid w:val="00606E04"/>
    <w:rsid w:val="00611C5C"/>
    <w:rsid w:val="006131E9"/>
    <w:rsid w:val="0061392C"/>
    <w:rsid w:val="00617E42"/>
    <w:rsid w:val="006203EC"/>
    <w:rsid w:val="00622191"/>
    <w:rsid w:val="00622D62"/>
    <w:rsid w:val="0062336F"/>
    <w:rsid w:val="00624A28"/>
    <w:rsid w:val="006264F1"/>
    <w:rsid w:val="00626CB1"/>
    <w:rsid w:val="00627FF6"/>
    <w:rsid w:val="0063314F"/>
    <w:rsid w:val="00636E18"/>
    <w:rsid w:val="00637228"/>
    <w:rsid w:val="0064298D"/>
    <w:rsid w:val="0064364F"/>
    <w:rsid w:val="006445A3"/>
    <w:rsid w:val="00647A7A"/>
    <w:rsid w:val="00650724"/>
    <w:rsid w:val="0065124E"/>
    <w:rsid w:val="006513A0"/>
    <w:rsid w:val="00652C4F"/>
    <w:rsid w:val="00654F37"/>
    <w:rsid w:val="00661C43"/>
    <w:rsid w:val="00662C23"/>
    <w:rsid w:val="0066473E"/>
    <w:rsid w:val="00665069"/>
    <w:rsid w:val="00665718"/>
    <w:rsid w:val="00676326"/>
    <w:rsid w:val="006777C7"/>
    <w:rsid w:val="006839E8"/>
    <w:rsid w:val="00685F12"/>
    <w:rsid w:val="0069373F"/>
    <w:rsid w:val="006963D2"/>
    <w:rsid w:val="006A02C9"/>
    <w:rsid w:val="006A0B4A"/>
    <w:rsid w:val="006A0F4A"/>
    <w:rsid w:val="006A1D16"/>
    <w:rsid w:val="006A4300"/>
    <w:rsid w:val="006A7BEA"/>
    <w:rsid w:val="006B120F"/>
    <w:rsid w:val="006B2EBD"/>
    <w:rsid w:val="006B2F86"/>
    <w:rsid w:val="006B37A6"/>
    <w:rsid w:val="006C0355"/>
    <w:rsid w:val="006C090C"/>
    <w:rsid w:val="006C13D5"/>
    <w:rsid w:val="006C3A40"/>
    <w:rsid w:val="006C3F79"/>
    <w:rsid w:val="006C74D6"/>
    <w:rsid w:val="006D0EE8"/>
    <w:rsid w:val="006D12C7"/>
    <w:rsid w:val="006D175B"/>
    <w:rsid w:val="006D1BF7"/>
    <w:rsid w:val="006D23EF"/>
    <w:rsid w:val="006D59F8"/>
    <w:rsid w:val="006D61DA"/>
    <w:rsid w:val="006D6AF7"/>
    <w:rsid w:val="006D7FC7"/>
    <w:rsid w:val="006E0941"/>
    <w:rsid w:val="006E1DC5"/>
    <w:rsid w:val="006E3420"/>
    <w:rsid w:val="006E3BD0"/>
    <w:rsid w:val="006E3FA9"/>
    <w:rsid w:val="006E4D14"/>
    <w:rsid w:val="006E702B"/>
    <w:rsid w:val="006E7DC6"/>
    <w:rsid w:val="006F08E1"/>
    <w:rsid w:val="006F1A53"/>
    <w:rsid w:val="006F2196"/>
    <w:rsid w:val="006F2B29"/>
    <w:rsid w:val="006F3D73"/>
    <w:rsid w:val="006F5A87"/>
    <w:rsid w:val="006F7BDA"/>
    <w:rsid w:val="00701FC8"/>
    <w:rsid w:val="00702D07"/>
    <w:rsid w:val="007078D6"/>
    <w:rsid w:val="007133E9"/>
    <w:rsid w:val="00714837"/>
    <w:rsid w:val="00715087"/>
    <w:rsid w:val="00717B00"/>
    <w:rsid w:val="00720DE3"/>
    <w:rsid w:val="00722F2C"/>
    <w:rsid w:val="00723293"/>
    <w:rsid w:val="00724D46"/>
    <w:rsid w:val="00727012"/>
    <w:rsid w:val="0072723A"/>
    <w:rsid w:val="00733C05"/>
    <w:rsid w:val="0073460E"/>
    <w:rsid w:val="007402C2"/>
    <w:rsid w:val="00743577"/>
    <w:rsid w:val="00744C66"/>
    <w:rsid w:val="007464CC"/>
    <w:rsid w:val="00747B4B"/>
    <w:rsid w:val="00750679"/>
    <w:rsid w:val="00754851"/>
    <w:rsid w:val="007609D5"/>
    <w:rsid w:val="00762FBA"/>
    <w:rsid w:val="00764748"/>
    <w:rsid w:val="00765515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039B"/>
    <w:rsid w:val="007953B5"/>
    <w:rsid w:val="007964DC"/>
    <w:rsid w:val="007A2635"/>
    <w:rsid w:val="007A3BFB"/>
    <w:rsid w:val="007A7B10"/>
    <w:rsid w:val="007B02A8"/>
    <w:rsid w:val="007B0B30"/>
    <w:rsid w:val="007B219A"/>
    <w:rsid w:val="007B5E3D"/>
    <w:rsid w:val="007B6B28"/>
    <w:rsid w:val="007B79F6"/>
    <w:rsid w:val="007B7B44"/>
    <w:rsid w:val="007C4C83"/>
    <w:rsid w:val="007C6225"/>
    <w:rsid w:val="007D1E88"/>
    <w:rsid w:val="007D275E"/>
    <w:rsid w:val="007D3F75"/>
    <w:rsid w:val="007D4025"/>
    <w:rsid w:val="007E1035"/>
    <w:rsid w:val="007E18D1"/>
    <w:rsid w:val="007E4D07"/>
    <w:rsid w:val="007E770A"/>
    <w:rsid w:val="007E7968"/>
    <w:rsid w:val="007F1600"/>
    <w:rsid w:val="007F166D"/>
    <w:rsid w:val="007F1EDF"/>
    <w:rsid w:val="007F365B"/>
    <w:rsid w:val="007F40D6"/>
    <w:rsid w:val="007F742B"/>
    <w:rsid w:val="007F79F0"/>
    <w:rsid w:val="007F7CBC"/>
    <w:rsid w:val="00802F9F"/>
    <w:rsid w:val="00803E55"/>
    <w:rsid w:val="00804F92"/>
    <w:rsid w:val="00807F85"/>
    <w:rsid w:val="0081060D"/>
    <w:rsid w:val="00810A52"/>
    <w:rsid w:val="00811527"/>
    <w:rsid w:val="00811F2C"/>
    <w:rsid w:val="00811FE2"/>
    <w:rsid w:val="00820A66"/>
    <w:rsid w:val="00820F38"/>
    <w:rsid w:val="00822D27"/>
    <w:rsid w:val="008242DA"/>
    <w:rsid w:val="00824A84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0FDB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0AF"/>
    <w:rsid w:val="00890B66"/>
    <w:rsid w:val="00893E72"/>
    <w:rsid w:val="00896BC2"/>
    <w:rsid w:val="008A3889"/>
    <w:rsid w:val="008A6398"/>
    <w:rsid w:val="008B19B7"/>
    <w:rsid w:val="008B1C16"/>
    <w:rsid w:val="008B2E9A"/>
    <w:rsid w:val="008B44C3"/>
    <w:rsid w:val="008B7050"/>
    <w:rsid w:val="008C1507"/>
    <w:rsid w:val="008C2501"/>
    <w:rsid w:val="008C383B"/>
    <w:rsid w:val="008C3A5F"/>
    <w:rsid w:val="008C5671"/>
    <w:rsid w:val="008C5D4D"/>
    <w:rsid w:val="008C7707"/>
    <w:rsid w:val="008D6CA8"/>
    <w:rsid w:val="008E2336"/>
    <w:rsid w:val="008E78B4"/>
    <w:rsid w:val="008F047E"/>
    <w:rsid w:val="008F2959"/>
    <w:rsid w:val="008F399F"/>
    <w:rsid w:val="008F432C"/>
    <w:rsid w:val="009038F9"/>
    <w:rsid w:val="00905AAB"/>
    <w:rsid w:val="009068C3"/>
    <w:rsid w:val="009139AF"/>
    <w:rsid w:val="00921BFB"/>
    <w:rsid w:val="00922AFA"/>
    <w:rsid w:val="009234FD"/>
    <w:rsid w:val="00923665"/>
    <w:rsid w:val="00924258"/>
    <w:rsid w:val="00924973"/>
    <w:rsid w:val="0092631A"/>
    <w:rsid w:val="0093152E"/>
    <w:rsid w:val="00931779"/>
    <w:rsid w:val="00931E42"/>
    <w:rsid w:val="0093283A"/>
    <w:rsid w:val="00935EAC"/>
    <w:rsid w:val="00944371"/>
    <w:rsid w:val="00944529"/>
    <w:rsid w:val="00944D10"/>
    <w:rsid w:val="009454B6"/>
    <w:rsid w:val="00946929"/>
    <w:rsid w:val="009474F2"/>
    <w:rsid w:val="00950E7E"/>
    <w:rsid w:val="00952D52"/>
    <w:rsid w:val="00956446"/>
    <w:rsid w:val="00962CB7"/>
    <w:rsid w:val="00963AA3"/>
    <w:rsid w:val="00963B80"/>
    <w:rsid w:val="00966080"/>
    <w:rsid w:val="009664DD"/>
    <w:rsid w:val="00966F48"/>
    <w:rsid w:val="009704A0"/>
    <w:rsid w:val="00971E1A"/>
    <w:rsid w:val="00973197"/>
    <w:rsid w:val="009753FB"/>
    <w:rsid w:val="00975439"/>
    <w:rsid w:val="009756E8"/>
    <w:rsid w:val="00977317"/>
    <w:rsid w:val="00980C11"/>
    <w:rsid w:val="0098257D"/>
    <w:rsid w:val="0098302F"/>
    <w:rsid w:val="009831C8"/>
    <w:rsid w:val="00986110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39EE"/>
    <w:rsid w:val="009D7835"/>
    <w:rsid w:val="009E172B"/>
    <w:rsid w:val="009E253A"/>
    <w:rsid w:val="009E39C0"/>
    <w:rsid w:val="009E5367"/>
    <w:rsid w:val="009E7B93"/>
    <w:rsid w:val="009F1E76"/>
    <w:rsid w:val="009F3268"/>
    <w:rsid w:val="009F5F2C"/>
    <w:rsid w:val="009F6749"/>
    <w:rsid w:val="009F6C56"/>
    <w:rsid w:val="00A031CC"/>
    <w:rsid w:val="00A0323B"/>
    <w:rsid w:val="00A04192"/>
    <w:rsid w:val="00A0762A"/>
    <w:rsid w:val="00A0776D"/>
    <w:rsid w:val="00A1182A"/>
    <w:rsid w:val="00A13F1D"/>
    <w:rsid w:val="00A155ED"/>
    <w:rsid w:val="00A15F37"/>
    <w:rsid w:val="00A16191"/>
    <w:rsid w:val="00A163E3"/>
    <w:rsid w:val="00A22A52"/>
    <w:rsid w:val="00A24A2E"/>
    <w:rsid w:val="00A25889"/>
    <w:rsid w:val="00A3034C"/>
    <w:rsid w:val="00A338A1"/>
    <w:rsid w:val="00A349CB"/>
    <w:rsid w:val="00A34E5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760A"/>
    <w:rsid w:val="00A676D3"/>
    <w:rsid w:val="00A7149F"/>
    <w:rsid w:val="00A72C93"/>
    <w:rsid w:val="00A72FF3"/>
    <w:rsid w:val="00A7410C"/>
    <w:rsid w:val="00A811D6"/>
    <w:rsid w:val="00A832BA"/>
    <w:rsid w:val="00A85048"/>
    <w:rsid w:val="00A8750A"/>
    <w:rsid w:val="00A90878"/>
    <w:rsid w:val="00A91266"/>
    <w:rsid w:val="00A950F4"/>
    <w:rsid w:val="00A96783"/>
    <w:rsid w:val="00A97B08"/>
    <w:rsid w:val="00A97F5A"/>
    <w:rsid w:val="00AA2D58"/>
    <w:rsid w:val="00AB0ED1"/>
    <w:rsid w:val="00AB23B0"/>
    <w:rsid w:val="00AB365A"/>
    <w:rsid w:val="00AB3A63"/>
    <w:rsid w:val="00AB4201"/>
    <w:rsid w:val="00AB4CFC"/>
    <w:rsid w:val="00AB58F2"/>
    <w:rsid w:val="00AB7CDE"/>
    <w:rsid w:val="00AC0AAA"/>
    <w:rsid w:val="00AC41F9"/>
    <w:rsid w:val="00AC4EEC"/>
    <w:rsid w:val="00AC6C46"/>
    <w:rsid w:val="00AC6D5D"/>
    <w:rsid w:val="00AC7B00"/>
    <w:rsid w:val="00AD03D9"/>
    <w:rsid w:val="00AD20AF"/>
    <w:rsid w:val="00AD3BBF"/>
    <w:rsid w:val="00AE079E"/>
    <w:rsid w:val="00AE2387"/>
    <w:rsid w:val="00AE6E19"/>
    <w:rsid w:val="00AF09A0"/>
    <w:rsid w:val="00AF18A6"/>
    <w:rsid w:val="00AF18CA"/>
    <w:rsid w:val="00AF2AE5"/>
    <w:rsid w:val="00AF3AD9"/>
    <w:rsid w:val="00AF58F3"/>
    <w:rsid w:val="00B05126"/>
    <w:rsid w:val="00B05777"/>
    <w:rsid w:val="00B11271"/>
    <w:rsid w:val="00B112A5"/>
    <w:rsid w:val="00B118CF"/>
    <w:rsid w:val="00B12833"/>
    <w:rsid w:val="00B15438"/>
    <w:rsid w:val="00B2131B"/>
    <w:rsid w:val="00B21BF3"/>
    <w:rsid w:val="00B222E2"/>
    <w:rsid w:val="00B2310C"/>
    <w:rsid w:val="00B242B1"/>
    <w:rsid w:val="00B24E54"/>
    <w:rsid w:val="00B27646"/>
    <w:rsid w:val="00B33037"/>
    <w:rsid w:val="00B33732"/>
    <w:rsid w:val="00B377F6"/>
    <w:rsid w:val="00B44CCC"/>
    <w:rsid w:val="00B44EAC"/>
    <w:rsid w:val="00B465C8"/>
    <w:rsid w:val="00B506AC"/>
    <w:rsid w:val="00B50E2C"/>
    <w:rsid w:val="00B51364"/>
    <w:rsid w:val="00B536A8"/>
    <w:rsid w:val="00B54F8C"/>
    <w:rsid w:val="00B56D06"/>
    <w:rsid w:val="00B60C22"/>
    <w:rsid w:val="00B67ADB"/>
    <w:rsid w:val="00B73636"/>
    <w:rsid w:val="00B73BF6"/>
    <w:rsid w:val="00B7657E"/>
    <w:rsid w:val="00B76793"/>
    <w:rsid w:val="00B76C42"/>
    <w:rsid w:val="00B81C99"/>
    <w:rsid w:val="00B8390E"/>
    <w:rsid w:val="00B84219"/>
    <w:rsid w:val="00B85068"/>
    <w:rsid w:val="00B85546"/>
    <w:rsid w:val="00B87377"/>
    <w:rsid w:val="00B87EA2"/>
    <w:rsid w:val="00B913AA"/>
    <w:rsid w:val="00B95673"/>
    <w:rsid w:val="00BA04E1"/>
    <w:rsid w:val="00BA18D1"/>
    <w:rsid w:val="00BA19E0"/>
    <w:rsid w:val="00BA1F8A"/>
    <w:rsid w:val="00BA258C"/>
    <w:rsid w:val="00BA46B0"/>
    <w:rsid w:val="00BA47DA"/>
    <w:rsid w:val="00BA4E91"/>
    <w:rsid w:val="00BB1A4D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7B5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BF7738"/>
    <w:rsid w:val="00C014C6"/>
    <w:rsid w:val="00C04F50"/>
    <w:rsid w:val="00C05E06"/>
    <w:rsid w:val="00C06FED"/>
    <w:rsid w:val="00C1233D"/>
    <w:rsid w:val="00C12AFA"/>
    <w:rsid w:val="00C16070"/>
    <w:rsid w:val="00C17244"/>
    <w:rsid w:val="00C2020E"/>
    <w:rsid w:val="00C21CA1"/>
    <w:rsid w:val="00C24142"/>
    <w:rsid w:val="00C2648E"/>
    <w:rsid w:val="00C30194"/>
    <w:rsid w:val="00C313E7"/>
    <w:rsid w:val="00C34EEE"/>
    <w:rsid w:val="00C3561D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65F2"/>
    <w:rsid w:val="00C6749F"/>
    <w:rsid w:val="00C7375A"/>
    <w:rsid w:val="00C74048"/>
    <w:rsid w:val="00C74654"/>
    <w:rsid w:val="00C74775"/>
    <w:rsid w:val="00C74F0F"/>
    <w:rsid w:val="00C75F55"/>
    <w:rsid w:val="00C84C3A"/>
    <w:rsid w:val="00C8685C"/>
    <w:rsid w:val="00C87795"/>
    <w:rsid w:val="00C948E7"/>
    <w:rsid w:val="00C967BE"/>
    <w:rsid w:val="00C97688"/>
    <w:rsid w:val="00C9786B"/>
    <w:rsid w:val="00CA1957"/>
    <w:rsid w:val="00CA3BA7"/>
    <w:rsid w:val="00CA7866"/>
    <w:rsid w:val="00CA7F24"/>
    <w:rsid w:val="00CB1580"/>
    <w:rsid w:val="00CB4072"/>
    <w:rsid w:val="00CB517A"/>
    <w:rsid w:val="00CC22B1"/>
    <w:rsid w:val="00CC2DC4"/>
    <w:rsid w:val="00CC3988"/>
    <w:rsid w:val="00CC5AF3"/>
    <w:rsid w:val="00CC68BF"/>
    <w:rsid w:val="00CC7C45"/>
    <w:rsid w:val="00CD13B1"/>
    <w:rsid w:val="00CD28EC"/>
    <w:rsid w:val="00CD2DC8"/>
    <w:rsid w:val="00CD561D"/>
    <w:rsid w:val="00CE4053"/>
    <w:rsid w:val="00CE50DF"/>
    <w:rsid w:val="00CF3482"/>
    <w:rsid w:val="00CF4CD4"/>
    <w:rsid w:val="00CF72AC"/>
    <w:rsid w:val="00D004E5"/>
    <w:rsid w:val="00D0142A"/>
    <w:rsid w:val="00D0150B"/>
    <w:rsid w:val="00D038D7"/>
    <w:rsid w:val="00D052E6"/>
    <w:rsid w:val="00D073F9"/>
    <w:rsid w:val="00D07DD7"/>
    <w:rsid w:val="00D10717"/>
    <w:rsid w:val="00D13DF1"/>
    <w:rsid w:val="00D13EDA"/>
    <w:rsid w:val="00D17DBF"/>
    <w:rsid w:val="00D2261D"/>
    <w:rsid w:val="00D24515"/>
    <w:rsid w:val="00D2526B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09B5"/>
    <w:rsid w:val="00D75B0B"/>
    <w:rsid w:val="00D775D2"/>
    <w:rsid w:val="00D8118D"/>
    <w:rsid w:val="00D85155"/>
    <w:rsid w:val="00D8652F"/>
    <w:rsid w:val="00D91CBD"/>
    <w:rsid w:val="00D926E9"/>
    <w:rsid w:val="00D92B66"/>
    <w:rsid w:val="00D93CC1"/>
    <w:rsid w:val="00D93EB9"/>
    <w:rsid w:val="00D942A3"/>
    <w:rsid w:val="00D97E49"/>
    <w:rsid w:val="00DA1419"/>
    <w:rsid w:val="00DA2603"/>
    <w:rsid w:val="00DA2818"/>
    <w:rsid w:val="00DA4875"/>
    <w:rsid w:val="00DA4917"/>
    <w:rsid w:val="00DB35F8"/>
    <w:rsid w:val="00DB57B7"/>
    <w:rsid w:val="00DB67E5"/>
    <w:rsid w:val="00DC0F79"/>
    <w:rsid w:val="00DC13F9"/>
    <w:rsid w:val="00DC1D72"/>
    <w:rsid w:val="00DC545A"/>
    <w:rsid w:val="00DC585F"/>
    <w:rsid w:val="00DC77F2"/>
    <w:rsid w:val="00DC78DB"/>
    <w:rsid w:val="00DD4F3E"/>
    <w:rsid w:val="00DD67A9"/>
    <w:rsid w:val="00DF19F6"/>
    <w:rsid w:val="00DF431A"/>
    <w:rsid w:val="00DF6D21"/>
    <w:rsid w:val="00E01F2F"/>
    <w:rsid w:val="00E02136"/>
    <w:rsid w:val="00E03E17"/>
    <w:rsid w:val="00E064CA"/>
    <w:rsid w:val="00E06813"/>
    <w:rsid w:val="00E10053"/>
    <w:rsid w:val="00E15B99"/>
    <w:rsid w:val="00E20664"/>
    <w:rsid w:val="00E2580D"/>
    <w:rsid w:val="00E27F2F"/>
    <w:rsid w:val="00E315D6"/>
    <w:rsid w:val="00E330AB"/>
    <w:rsid w:val="00E3317B"/>
    <w:rsid w:val="00E3386F"/>
    <w:rsid w:val="00E350BD"/>
    <w:rsid w:val="00E36335"/>
    <w:rsid w:val="00E373B4"/>
    <w:rsid w:val="00E37CF8"/>
    <w:rsid w:val="00E455B4"/>
    <w:rsid w:val="00E46FA7"/>
    <w:rsid w:val="00E479DF"/>
    <w:rsid w:val="00E50B83"/>
    <w:rsid w:val="00E528C6"/>
    <w:rsid w:val="00E54596"/>
    <w:rsid w:val="00E56000"/>
    <w:rsid w:val="00E56378"/>
    <w:rsid w:val="00E642DC"/>
    <w:rsid w:val="00E64F71"/>
    <w:rsid w:val="00E67590"/>
    <w:rsid w:val="00E67A1A"/>
    <w:rsid w:val="00E703B1"/>
    <w:rsid w:val="00E7045C"/>
    <w:rsid w:val="00E718EA"/>
    <w:rsid w:val="00E71A6E"/>
    <w:rsid w:val="00E72E55"/>
    <w:rsid w:val="00E74228"/>
    <w:rsid w:val="00E76BBE"/>
    <w:rsid w:val="00E77101"/>
    <w:rsid w:val="00E808C9"/>
    <w:rsid w:val="00E80943"/>
    <w:rsid w:val="00E8148D"/>
    <w:rsid w:val="00E818C3"/>
    <w:rsid w:val="00E82DCF"/>
    <w:rsid w:val="00E8561A"/>
    <w:rsid w:val="00E85DE8"/>
    <w:rsid w:val="00E900CF"/>
    <w:rsid w:val="00E9372A"/>
    <w:rsid w:val="00E979A5"/>
    <w:rsid w:val="00EA03D8"/>
    <w:rsid w:val="00EA0DB1"/>
    <w:rsid w:val="00EA5747"/>
    <w:rsid w:val="00EA7745"/>
    <w:rsid w:val="00EB0F28"/>
    <w:rsid w:val="00EB3F96"/>
    <w:rsid w:val="00EB3FA2"/>
    <w:rsid w:val="00EB4281"/>
    <w:rsid w:val="00EB4A81"/>
    <w:rsid w:val="00EC03D2"/>
    <w:rsid w:val="00EC0719"/>
    <w:rsid w:val="00EC09D5"/>
    <w:rsid w:val="00EC202F"/>
    <w:rsid w:val="00EC4F93"/>
    <w:rsid w:val="00EC5679"/>
    <w:rsid w:val="00EC5DE6"/>
    <w:rsid w:val="00ED2264"/>
    <w:rsid w:val="00ED412E"/>
    <w:rsid w:val="00ED41A8"/>
    <w:rsid w:val="00ED452D"/>
    <w:rsid w:val="00ED5703"/>
    <w:rsid w:val="00ED5DD6"/>
    <w:rsid w:val="00EE0AE0"/>
    <w:rsid w:val="00EE29BE"/>
    <w:rsid w:val="00EE3CDA"/>
    <w:rsid w:val="00EF038F"/>
    <w:rsid w:val="00EF07C3"/>
    <w:rsid w:val="00EF607A"/>
    <w:rsid w:val="00EF6331"/>
    <w:rsid w:val="00F00241"/>
    <w:rsid w:val="00F01AED"/>
    <w:rsid w:val="00F109A7"/>
    <w:rsid w:val="00F10D7E"/>
    <w:rsid w:val="00F1303C"/>
    <w:rsid w:val="00F15E8D"/>
    <w:rsid w:val="00F175AF"/>
    <w:rsid w:val="00F22A61"/>
    <w:rsid w:val="00F236DC"/>
    <w:rsid w:val="00F2464A"/>
    <w:rsid w:val="00F247BC"/>
    <w:rsid w:val="00F25233"/>
    <w:rsid w:val="00F2719D"/>
    <w:rsid w:val="00F313E8"/>
    <w:rsid w:val="00F31EFE"/>
    <w:rsid w:val="00F3277D"/>
    <w:rsid w:val="00F33D35"/>
    <w:rsid w:val="00F34F38"/>
    <w:rsid w:val="00F35253"/>
    <w:rsid w:val="00F36405"/>
    <w:rsid w:val="00F37625"/>
    <w:rsid w:val="00F41E87"/>
    <w:rsid w:val="00F42120"/>
    <w:rsid w:val="00F428F8"/>
    <w:rsid w:val="00F517F3"/>
    <w:rsid w:val="00F53132"/>
    <w:rsid w:val="00F53F88"/>
    <w:rsid w:val="00F5456A"/>
    <w:rsid w:val="00F545FC"/>
    <w:rsid w:val="00F573F1"/>
    <w:rsid w:val="00F57CAC"/>
    <w:rsid w:val="00F62A93"/>
    <w:rsid w:val="00F644AD"/>
    <w:rsid w:val="00F66320"/>
    <w:rsid w:val="00F663A8"/>
    <w:rsid w:val="00F6767A"/>
    <w:rsid w:val="00F67E6A"/>
    <w:rsid w:val="00F70A48"/>
    <w:rsid w:val="00F70BAD"/>
    <w:rsid w:val="00F71668"/>
    <w:rsid w:val="00F73140"/>
    <w:rsid w:val="00F74666"/>
    <w:rsid w:val="00F7568A"/>
    <w:rsid w:val="00F81073"/>
    <w:rsid w:val="00F815BB"/>
    <w:rsid w:val="00F825C9"/>
    <w:rsid w:val="00F83EEA"/>
    <w:rsid w:val="00F8461A"/>
    <w:rsid w:val="00F87FA4"/>
    <w:rsid w:val="00F90063"/>
    <w:rsid w:val="00F90A3D"/>
    <w:rsid w:val="00F91222"/>
    <w:rsid w:val="00F92352"/>
    <w:rsid w:val="00F9267B"/>
    <w:rsid w:val="00F94AE5"/>
    <w:rsid w:val="00F96AF2"/>
    <w:rsid w:val="00F96F50"/>
    <w:rsid w:val="00F970A7"/>
    <w:rsid w:val="00F9738D"/>
    <w:rsid w:val="00FA2228"/>
    <w:rsid w:val="00FA2A03"/>
    <w:rsid w:val="00FA59C6"/>
    <w:rsid w:val="00FA5A3F"/>
    <w:rsid w:val="00FB0EBB"/>
    <w:rsid w:val="00FB15EB"/>
    <w:rsid w:val="00FB47DE"/>
    <w:rsid w:val="00FB4A1C"/>
    <w:rsid w:val="00FB60CC"/>
    <w:rsid w:val="00FB60FB"/>
    <w:rsid w:val="00FC111B"/>
    <w:rsid w:val="00FC206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05CB"/>
    <w:rsid w:val="00FF1B26"/>
    <w:rsid w:val="00FF211E"/>
    <w:rsid w:val="00FF27FB"/>
    <w:rsid w:val="00FF4658"/>
    <w:rsid w:val="00FF609F"/>
    <w:rsid w:val="00FF6B5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F1"/>
  </w:style>
  <w:style w:type="paragraph" w:styleId="Footer">
    <w:name w:val="footer"/>
    <w:basedOn w:val="Normal"/>
    <w:link w:val="Footer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link">
    <w:name w:val="Hyperlink"/>
    <w:basedOn w:val="DefaultParagraphFont"/>
    <w:uiPriority w:val="99"/>
    <w:rsid w:val="005A25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AF"/>
    <w:rPr>
      <w:rFonts w:cs="Arial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A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C12AFA"/>
    <w:rPr>
      <w:b/>
      <w:bCs/>
    </w:rPr>
  </w:style>
  <w:style w:type="paragraph" w:customStyle="1" w:styleId="THnorm">
    <w:name w:val="TH norm"/>
    <w:basedOn w:val="Normal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19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7BD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BDA"/>
    <w:rPr>
      <w:rFonts w:ascii="Arial" w:eastAsia="Times New Roman" w:hAnsi="Arial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6F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5735</Characters>
  <Application>Microsoft Office Word</Application>
  <DocSecurity>4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Jakub Seidler</cp:lastModifiedBy>
  <cp:revision>2</cp:revision>
  <cp:lastPrinted>2020-09-16T06:48:00Z</cp:lastPrinted>
  <dcterms:created xsi:type="dcterms:W3CDTF">2021-11-29T12:49:00Z</dcterms:created>
  <dcterms:modified xsi:type="dcterms:W3CDTF">2021-11-29T12:49:00Z</dcterms:modified>
</cp:coreProperties>
</file>