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630E" w14:textId="7308A2C3" w:rsidR="003F7F54" w:rsidRDefault="003F7F54" w:rsidP="003F7F54">
      <w:pPr>
        <w:autoSpaceDE w:val="0"/>
        <w:autoSpaceDN w:val="0"/>
        <w:jc w:val="both"/>
        <w:rPr>
          <w:rFonts w:ascii="Arial" w:hAnsi="Arial" w:cs="Arial"/>
          <w:b/>
          <w:sz w:val="20"/>
          <w:szCs w:val="20"/>
        </w:rPr>
      </w:pPr>
      <w:bookmarkStart w:id="0" w:name="_Hlk523478891"/>
      <w:r>
        <w:rPr>
          <w:rFonts w:ascii="Arial" w:hAnsi="Arial" w:cs="Arial"/>
          <w:b/>
          <w:sz w:val="20"/>
          <w:szCs w:val="20"/>
        </w:rPr>
        <w:t>Bankovní statistika za červenec 2018</w:t>
      </w:r>
    </w:p>
    <w:p w14:paraId="06FACD4E" w14:textId="77777777" w:rsidR="003F7F54" w:rsidRDefault="003F7F54" w:rsidP="003F7F54">
      <w:pPr>
        <w:autoSpaceDE w:val="0"/>
        <w:autoSpaceDN w:val="0"/>
        <w:jc w:val="both"/>
        <w:rPr>
          <w:rFonts w:ascii="Arial" w:hAnsi="Arial" w:cs="Arial"/>
          <w:b/>
          <w:sz w:val="20"/>
          <w:szCs w:val="20"/>
        </w:rPr>
      </w:pPr>
      <w:r>
        <w:rPr>
          <w:rFonts w:ascii="Arial" w:hAnsi="Arial" w:cs="Arial"/>
          <w:b/>
          <w:sz w:val="20"/>
          <w:szCs w:val="20"/>
        </w:rPr>
        <w:t>Komentář Miroslava Zámečníka, ekonomického analytika ČBA</w:t>
      </w:r>
    </w:p>
    <w:p w14:paraId="74FED7C0" w14:textId="77777777" w:rsidR="003F7F54" w:rsidRDefault="003F7F54" w:rsidP="00094F61">
      <w:pPr>
        <w:autoSpaceDE w:val="0"/>
        <w:autoSpaceDN w:val="0"/>
        <w:jc w:val="both"/>
        <w:rPr>
          <w:rFonts w:ascii="Arial" w:hAnsi="Arial" w:cs="Arial"/>
          <w:sz w:val="20"/>
          <w:szCs w:val="20"/>
        </w:rPr>
      </w:pPr>
    </w:p>
    <w:p w14:paraId="69FE46E5" w14:textId="4205D666" w:rsidR="00254A29" w:rsidRDefault="00094F61" w:rsidP="00094F61">
      <w:pPr>
        <w:autoSpaceDE w:val="0"/>
        <w:autoSpaceDN w:val="0"/>
        <w:jc w:val="both"/>
        <w:rPr>
          <w:rFonts w:ascii="Arial" w:hAnsi="Arial" w:cs="Arial"/>
          <w:sz w:val="20"/>
          <w:szCs w:val="20"/>
        </w:rPr>
      </w:pPr>
      <w:r w:rsidRPr="00094F61">
        <w:rPr>
          <w:rFonts w:ascii="Arial" w:hAnsi="Arial" w:cs="Arial"/>
          <w:sz w:val="20"/>
          <w:szCs w:val="20"/>
        </w:rPr>
        <w:t xml:space="preserve">Objem bankovních úvěrů ke konci července 2018 činil 3,279 bilionu korun, o 5,3 procenta více než před rokem. Od počátku letošního roku je růst úvěrů mírně rychlejší, než byl ve srovnatelném období </w:t>
      </w:r>
      <w:r w:rsidR="00CE25BC">
        <w:rPr>
          <w:rFonts w:ascii="Arial" w:hAnsi="Arial" w:cs="Arial"/>
          <w:sz w:val="20"/>
          <w:szCs w:val="20"/>
        </w:rPr>
        <w:t>loňského roku</w:t>
      </w:r>
      <w:r w:rsidRPr="00094F61">
        <w:rPr>
          <w:rFonts w:ascii="Arial" w:hAnsi="Arial" w:cs="Arial"/>
          <w:sz w:val="20"/>
          <w:szCs w:val="20"/>
        </w:rPr>
        <w:t xml:space="preserve"> (v loňském roce </w:t>
      </w:r>
      <w:r w:rsidR="00CE25BC">
        <w:rPr>
          <w:rFonts w:ascii="Arial" w:hAnsi="Arial" w:cs="Arial"/>
          <w:sz w:val="20"/>
          <w:szCs w:val="20"/>
        </w:rPr>
        <w:t>činil růst</w:t>
      </w:r>
      <w:r w:rsidRPr="00094F61">
        <w:rPr>
          <w:rFonts w:ascii="Arial" w:hAnsi="Arial" w:cs="Arial"/>
          <w:sz w:val="20"/>
          <w:szCs w:val="20"/>
        </w:rPr>
        <w:t xml:space="preserve"> 3,8 %</w:t>
      </w:r>
      <w:r w:rsidR="00CE25BC">
        <w:rPr>
          <w:rFonts w:ascii="Arial" w:hAnsi="Arial" w:cs="Arial"/>
          <w:sz w:val="20"/>
          <w:szCs w:val="20"/>
        </w:rPr>
        <w:t xml:space="preserve">, </w:t>
      </w:r>
      <w:r w:rsidRPr="00094F61">
        <w:rPr>
          <w:rFonts w:ascii="Arial" w:hAnsi="Arial" w:cs="Arial"/>
          <w:sz w:val="20"/>
          <w:szCs w:val="20"/>
        </w:rPr>
        <w:t>letos</w:t>
      </w:r>
      <w:r w:rsidR="00CE25BC">
        <w:rPr>
          <w:rFonts w:ascii="Arial" w:hAnsi="Arial" w:cs="Arial"/>
          <w:sz w:val="20"/>
          <w:szCs w:val="20"/>
        </w:rPr>
        <w:t xml:space="preserve"> je</w:t>
      </w:r>
      <w:r w:rsidRPr="00094F61">
        <w:rPr>
          <w:rFonts w:ascii="Arial" w:hAnsi="Arial" w:cs="Arial"/>
          <w:sz w:val="20"/>
          <w:szCs w:val="20"/>
        </w:rPr>
        <w:t xml:space="preserve"> 5,0 %). </w:t>
      </w:r>
    </w:p>
    <w:p w14:paraId="5AF2B341" w14:textId="77777777" w:rsidR="00254A29" w:rsidRDefault="00254A29" w:rsidP="00094F61">
      <w:pPr>
        <w:autoSpaceDE w:val="0"/>
        <w:autoSpaceDN w:val="0"/>
        <w:jc w:val="both"/>
        <w:rPr>
          <w:rFonts w:ascii="Arial" w:hAnsi="Arial" w:cs="Arial"/>
          <w:iCs/>
          <w:sz w:val="20"/>
          <w:szCs w:val="20"/>
        </w:rPr>
      </w:pPr>
    </w:p>
    <w:p w14:paraId="2BD3AC51" w14:textId="77777777" w:rsidR="00CE3427" w:rsidRPr="00094F61" w:rsidRDefault="00094F61" w:rsidP="00094F61">
      <w:pPr>
        <w:autoSpaceDE w:val="0"/>
        <w:autoSpaceDN w:val="0"/>
        <w:jc w:val="both"/>
        <w:rPr>
          <w:rFonts w:ascii="Arial" w:hAnsi="Arial" w:cs="Arial"/>
          <w:iCs/>
          <w:sz w:val="20"/>
          <w:szCs w:val="20"/>
        </w:rPr>
      </w:pPr>
      <w:r w:rsidRPr="00094F61">
        <w:rPr>
          <w:rFonts w:ascii="Arial" w:hAnsi="Arial" w:cs="Arial"/>
          <w:iCs/>
          <w:sz w:val="20"/>
          <w:szCs w:val="20"/>
        </w:rPr>
        <w:t xml:space="preserve">Meziročně </w:t>
      </w:r>
      <w:r>
        <w:rPr>
          <w:rFonts w:ascii="Arial" w:hAnsi="Arial" w:cs="Arial"/>
          <w:iCs/>
          <w:sz w:val="20"/>
          <w:szCs w:val="20"/>
        </w:rPr>
        <w:t>ú</w:t>
      </w:r>
      <w:r w:rsidRPr="00094F61">
        <w:rPr>
          <w:rFonts w:ascii="Arial" w:hAnsi="Arial" w:cs="Arial"/>
          <w:iCs/>
          <w:sz w:val="20"/>
          <w:szCs w:val="20"/>
        </w:rPr>
        <w:t xml:space="preserve">věry českým podnikům a domácnostem stouply. </w:t>
      </w:r>
      <w:r w:rsidR="00BB6624" w:rsidRPr="00CE25BC">
        <w:rPr>
          <w:rFonts w:ascii="Arial" w:hAnsi="Arial" w:cs="Arial"/>
          <w:b/>
          <w:iCs/>
          <w:sz w:val="20"/>
          <w:szCs w:val="20"/>
        </w:rPr>
        <w:t>Domácnosti</w:t>
      </w:r>
      <w:r w:rsidR="00BB6624" w:rsidRPr="00094F61">
        <w:rPr>
          <w:rFonts w:ascii="Arial" w:hAnsi="Arial" w:cs="Arial"/>
          <w:iCs/>
          <w:sz w:val="20"/>
          <w:szCs w:val="20"/>
        </w:rPr>
        <w:t xml:space="preserve"> načerpaly o 1,3 % půjček meziročně více, zatímco o</w:t>
      </w:r>
      <w:r w:rsidR="00CE3427" w:rsidRPr="00094F61">
        <w:rPr>
          <w:rFonts w:ascii="Arial" w:hAnsi="Arial" w:cs="Arial"/>
          <w:iCs/>
          <w:sz w:val="20"/>
          <w:szCs w:val="20"/>
        </w:rPr>
        <w:t xml:space="preserve">bjem firemních úvěrů </w:t>
      </w:r>
      <w:r w:rsidR="007511DA" w:rsidRPr="00094F61">
        <w:rPr>
          <w:rFonts w:ascii="Arial" w:hAnsi="Arial" w:cs="Arial"/>
          <w:iCs/>
          <w:sz w:val="20"/>
          <w:szCs w:val="20"/>
        </w:rPr>
        <w:t>vzrostl o</w:t>
      </w:r>
      <w:r w:rsidR="00CE3427" w:rsidRPr="00094F61">
        <w:rPr>
          <w:rFonts w:ascii="Arial" w:hAnsi="Arial" w:cs="Arial"/>
          <w:iCs/>
          <w:sz w:val="20"/>
          <w:szCs w:val="20"/>
        </w:rPr>
        <w:t xml:space="preserve"> </w:t>
      </w:r>
      <w:r w:rsidR="00BB6624" w:rsidRPr="00094F61">
        <w:rPr>
          <w:rFonts w:ascii="Arial" w:hAnsi="Arial" w:cs="Arial"/>
          <w:iCs/>
          <w:sz w:val="20"/>
          <w:szCs w:val="20"/>
        </w:rPr>
        <w:t xml:space="preserve">4,3 </w:t>
      </w:r>
      <w:r w:rsidR="00CE3427" w:rsidRPr="00094F61">
        <w:rPr>
          <w:rFonts w:ascii="Arial" w:hAnsi="Arial" w:cs="Arial"/>
          <w:iCs/>
          <w:sz w:val="20"/>
          <w:szCs w:val="20"/>
        </w:rPr>
        <w:t xml:space="preserve">procenta. Vyplývá to z informací České národní banky. </w:t>
      </w:r>
      <w:r w:rsidR="00CE3427" w:rsidRPr="00CE25BC">
        <w:rPr>
          <w:rFonts w:ascii="Arial" w:hAnsi="Arial" w:cs="Arial"/>
          <w:b/>
          <w:iCs/>
          <w:sz w:val="20"/>
          <w:szCs w:val="20"/>
        </w:rPr>
        <w:t>Podnikové úvěry</w:t>
      </w:r>
      <w:r w:rsidR="00CE3427" w:rsidRPr="00094F61">
        <w:rPr>
          <w:rFonts w:ascii="Arial" w:hAnsi="Arial" w:cs="Arial"/>
          <w:iCs/>
          <w:sz w:val="20"/>
          <w:szCs w:val="20"/>
        </w:rPr>
        <w:t xml:space="preserve"> přesáhly </w:t>
      </w:r>
      <w:r w:rsidR="00BB6624" w:rsidRPr="00094F61">
        <w:rPr>
          <w:rFonts w:ascii="Arial" w:hAnsi="Arial" w:cs="Arial"/>
          <w:iCs/>
          <w:sz w:val="20"/>
          <w:szCs w:val="20"/>
        </w:rPr>
        <w:t xml:space="preserve">o 77 miliard </w:t>
      </w:r>
      <w:proofErr w:type="spellStart"/>
      <w:r w:rsidR="00BB6624" w:rsidRPr="00094F61">
        <w:rPr>
          <w:rFonts w:ascii="Arial" w:hAnsi="Arial" w:cs="Arial"/>
          <w:iCs/>
          <w:sz w:val="20"/>
          <w:szCs w:val="20"/>
        </w:rPr>
        <w:t>bilionovou</w:t>
      </w:r>
      <w:proofErr w:type="spellEnd"/>
      <w:r w:rsidR="00BB6624" w:rsidRPr="00094F61">
        <w:rPr>
          <w:rFonts w:ascii="Arial" w:hAnsi="Arial" w:cs="Arial"/>
          <w:iCs/>
          <w:sz w:val="20"/>
          <w:szCs w:val="20"/>
        </w:rPr>
        <w:t xml:space="preserve"> hranici</w:t>
      </w:r>
      <w:r w:rsidR="00CE3427" w:rsidRPr="00094F61">
        <w:rPr>
          <w:rFonts w:ascii="Arial" w:hAnsi="Arial" w:cs="Arial"/>
          <w:iCs/>
          <w:sz w:val="20"/>
          <w:szCs w:val="20"/>
        </w:rPr>
        <w:t xml:space="preserve">, což představuje proti předchozímu měsíci </w:t>
      </w:r>
      <w:r w:rsidR="00BB6624" w:rsidRPr="00094F61">
        <w:rPr>
          <w:rFonts w:ascii="Arial" w:hAnsi="Arial" w:cs="Arial"/>
          <w:iCs/>
          <w:sz w:val="20"/>
          <w:szCs w:val="20"/>
        </w:rPr>
        <w:t>navýšení o téměř 12,5 miliardy korun</w:t>
      </w:r>
      <w:r w:rsidR="00CE3427" w:rsidRPr="00094F61">
        <w:rPr>
          <w:rFonts w:ascii="Arial" w:hAnsi="Arial" w:cs="Arial"/>
          <w:iCs/>
          <w:sz w:val="20"/>
          <w:szCs w:val="20"/>
        </w:rPr>
        <w:t xml:space="preserve">. </w:t>
      </w:r>
      <w:r w:rsidR="00CE3427" w:rsidRPr="00CE25BC">
        <w:rPr>
          <w:rFonts w:ascii="Arial" w:hAnsi="Arial" w:cs="Arial"/>
          <w:b/>
          <w:iCs/>
          <w:sz w:val="20"/>
          <w:szCs w:val="20"/>
        </w:rPr>
        <w:t>Úvěry domácnostem</w:t>
      </w:r>
      <w:r w:rsidR="00CE3427" w:rsidRPr="00094F61">
        <w:rPr>
          <w:rFonts w:ascii="Arial" w:hAnsi="Arial" w:cs="Arial"/>
          <w:iCs/>
          <w:sz w:val="20"/>
          <w:szCs w:val="20"/>
        </w:rPr>
        <w:t xml:space="preserve"> </w:t>
      </w:r>
      <w:r w:rsidR="00BB6624" w:rsidRPr="00094F61">
        <w:rPr>
          <w:rFonts w:ascii="Arial" w:hAnsi="Arial" w:cs="Arial"/>
          <w:iCs/>
          <w:sz w:val="20"/>
          <w:szCs w:val="20"/>
        </w:rPr>
        <w:t xml:space="preserve">jsou těsně pod hranicí jeden a půl biliónu korun, meziměsíčně tak </w:t>
      </w:r>
      <w:r w:rsidR="00821CF4" w:rsidRPr="00094F61">
        <w:rPr>
          <w:rFonts w:ascii="Arial" w:hAnsi="Arial" w:cs="Arial"/>
          <w:iCs/>
          <w:sz w:val="20"/>
          <w:szCs w:val="20"/>
        </w:rPr>
        <w:t>stagnovaly</w:t>
      </w:r>
      <w:r w:rsidR="00006E64" w:rsidRPr="00094F61">
        <w:rPr>
          <w:rFonts w:ascii="Arial" w:hAnsi="Arial" w:cs="Arial"/>
          <w:iCs/>
          <w:sz w:val="20"/>
          <w:szCs w:val="20"/>
        </w:rPr>
        <w:t>,</w:t>
      </w:r>
      <w:r w:rsidR="00BB6624" w:rsidRPr="00094F61">
        <w:rPr>
          <w:rFonts w:ascii="Arial" w:hAnsi="Arial" w:cs="Arial"/>
          <w:iCs/>
          <w:sz w:val="20"/>
          <w:szCs w:val="20"/>
        </w:rPr>
        <w:t xml:space="preserve"> a meziroční nárůst představuje jen 1,3 %</w:t>
      </w:r>
      <w:r w:rsidR="00CE3427" w:rsidRPr="00094F61">
        <w:rPr>
          <w:rFonts w:ascii="Arial" w:hAnsi="Arial" w:cs="Arial"/>
          <w:iCs/>
          <w:sz w:val="20"/>
          <w:szCs w:val="20"/>
        </w:rPr>
        <w:t xml:space="preserve">. </w:t>
      </w:r>
    </w:p>
    <w:p w14:paraId="728661E2" w14:textId="77777777" w:rsidR="00CE3427" w:rsidRPr="00094F61" w:rsidRDefault="00CE3427" w:rsidP="00094F61">
      <w:pPr>
        <w:autoSpaceDE w:val="0"/>
        <w:autoSpaceDN w:val="0"/>
        <w:ind w:left="660"/>
        <w:jc w:val="both"/>
        <w:rPr>
          <w:rFonts w:ascii="Arial" w:hAnsi="Arial" w:cs="Arial"/>
          <w:sz w:val="20"/>
          <w:szCs w:val="20"/>
        </w:rPr>
      </w:pPr>
    </w:p>
    <w:p w14:paraId="28661FBA" w14:textId="77777777" w:rsidR="00006E64" w:rsidRPr="00094F61" w:rsidRDefault="00006E64" w:rsidP="00094F61">
      <w:pPr>
        <w:autoSpaceDE w:val="0"/>
        <w:autoSpaceDN w:val="0"/>
        <w:jc w:val="both"/>
        <w:rPr>
          <w:rFonts w:ascii="Arial" w:hAnsi="Arial" w:cs="Arial"/>
          <w:iCs/>
          <w:sz w:val="20"/>
          <w:szCs w:val="20"/>
        </w:rPr>
      </w:pPr>
      <w:r w:rsidRPr="00CE25BC">
        <w:rPr>
          <w:rFonts w:ascii="Arial" w:hAnsi="Arial" w:cs="Arial"/>
          <w:i/>
          <w:iCs/>
          <w:sz w:val="20"/>
          <w:szCs w:val="20"/>
        </w:rPr>
        <w:t>„</w:t>
      </w:r>
      <w:r w:rsidR="00CE3427" w:rsidRPr="00CE25BC">
        <w:rPr>
          <w:rFonts w:ascii="Arial" w:hAnsi="Arial" w:cs="Arial"/>
          <w:i/>
          <w:iCs/>
          <w:sz w:val="20"/>
          <w:szCs w:val="20"/>
        </w:rPr>
        <w:t xml:space="preserve">Stále platí, že v mezinárodním srovnání jsou české domácnosti zadluženy </w:t>
      </w:r>
      <w:r w:rsidR="00581041" w:rsidRPr="00CE25BC">
        <w:rPr>
          <w:rFonts w:ascii="Arial" w:hAnsi="Arial" w:cs="Arial"/>
          <w:i/>
          <w:iCs/>
          <w:sz w:val="20"/>
          <w:szCs w:val="20"/>
        </w:rPr>
        <w:t xml:space="preserve">výrazně </w:t>
      </w:r>
      <w:r w:rsidR="00CE3427" w:rsidRPr="00CE25BC">
        <w:rPr>
          <w:rFonts w:ascii="Arial" w:hAnsi="Arial" w:cs="Arial"/>
          <w:i/>
          <w:iCs/>
          <w:sz w:val="20"/>
          <w:szCs w:val="20"/>
        </w:rPr>
        <w:t xml:space="preserve">méně, než je evropský průměr. V této </w:t>
      </w:r>
      <w:r w:rsidR="00434210" w:rsidRPr="00CE25BC">
        <w:rPr>
          <w:rFonts w:ascii="Arial" w:hAnsi="Arial" w:cs="Arial"/>
          <w:i/>
          <w:iCs/>
          <w:sz w:val="20"/>
          <w:szCs w:val="20"/>
        </w:rPr>
        <w:t xml:space="preserve">fázi konjunktury </w:t>
      </w:r>
      <w:r w:rsidR="00581041" w:rsidRPr="00CE25BC">
        <w:rPr>
          <w:rFonts w:ascii="Arial" w:hAnsi="Arial" w:cs="Arial"/>
          <w:i/>
          <w:iCs/>
          <w:sz w:val="20"/>
          <w:szCs w:val="20"/>
        </w:rPr>
        <w:t xml:space="preserve">by </w:t>
      </w:r>
      <w:r w:rsidR="00CE3427" w:rsidRPr="00CE25BC">
        <w:rPr>
          <w:rFonts w:ascii="Arial" w:hAnsi="Arial" w:cs="Arial"/>
          <w:i/>
          <w:iCs/>
          <w:sz w:val="20"/>
          <w:szCs w:val="20"/>
        </w:rPr>
        <w:t xml:space="preserve">přitom </w:t>
      </w:r>
      <w:r w:rsidR="00581041" w:rsidRPr="00CE25BC">
        <w:rPr>
          <w:rFonts w:ascii="Arial" w:hAnsi="Arial" w:cs="Arial"/>
          <w:i/>
          <w:iCs/>
          <w:sz w:val="20"/>
          <w:szCs w:val="20"/>
        </w:rPr>
        <w:t>nebylo</w:t>
      </w:r>
      <w:r w:rsidR="00CE3427" w:rsidRPr="00CE25BC">
        <w:rPr>
          <w:rFonts w:ascii="Arial" w:hAnsi="Arial" w:cs="Arial"/>
          <w:i/>
          <w:iCs/>
          <w:sz w:val="20"/>
          <w:szCs w:val="20"/>
        </w:rPr>
        <w:t xml:space="preserve"> neobvyklé, </w:t>
      </w:r>
      <w:r w:rsidR="00581041" w:rsidRPr="00CE25BC">
        <w:rPr>
          <w:rFonts w:ascii="Arial" w:hAnsi="Arial" w:cs="Arial"/>
          <w:i/>
          <w:iCs/>
          <w:sz w:val="20"/>
          <w:szCs w:val="20"/>
        </w:rPr>
        <w:t xml:space="preserve">kdyby </w:t>
      </w:r>
      <w:r w:rsidR="00FF4E23" w:rsidRPr="00CE25BC">
        <w:rPr>
          <w:rFonts w:ascii="Arial" w:hAnsi="Arial" w:cs="Arial"/>
          <w:i/>
          <w:iCs/>
          <w:sz w:val="20"/>
          <w:szCs w:val="20"/>
        </w:rPr>
        <w:t xml:space="preserve">přes </w:t>
      </w:r>
      <w:r w:rsidR="00CE3427" w:rsidRPr="00CE25BC">
        <w:rPr>
          <w:rFonts w:ascii="Arial" w:hAnsi="Arial" w:cs="Arial"/>
          <w:i/>
          <w:iCs/>
          <w:sz w:val="20"/>
          <w:szCs w:val="20"/>
        </w:rPr>
        <w:t xml:space="preserve">růst </w:t>
      </w:r>
      <w:r w:rsidR="00FF4E23" w:rsidRPr="00CE25BC">
        <w:rPr>
          <w:rFonts w:ascii="Arial" w:hAnsi="Arial" w:cs="Arial"/>
          <w:i/>
          <w:iCs/>
          <w:sz w:val="20"/>
          <w:szCs w:val="20"/>
        </w:rPr>
        <w:t>reálných příjmů</w:t>
      </w:r>
      <w:r w:rsidR="00CE3427" w:rsidRPr="00CE25BC">
        <w:rPr>
          <w:rFonts w:ascii="Arial" w:hAnsi="Arial" w:cs="Arial"/>
          <w:i/>
          <w:iCs/>
          <w:sz w:val="20"/>
          <w:szCs w:val="20"/>
        </w:rPr>
        <w:t xml:space="preserve"> </w:t>
      </w:r>
      <w:r w:rsidR="00581041" w:rsidRPr="00CE25BC">
        <w:rPr>
          <w:rFonts w:ascii="Arial" w:hAnsi="Arial" w:cs="Arial"/>
          <w:i/>
          <w:iCs/>
          <w:sz w:val="20"/>
          <w:szCs w:val="20"/>
        </w:rPr>
        <w:t>klesala míra úspor</w:t>
      </w:r>
      <w:r w:rsidR="00821CF4" w:rsidRPr="00CE25BC">
        <w:rPr>
          <w:rFonts w:ascii="Arial" w:hAnsi="Arial" w:cs="Arial"/>
          <w:i/>
          <w:iCs/>
          <w:sz w:val="20"/>
          <w:szCs w:val="20"/>
        </w:rPr>
        <w:t xml:space="preserve"> a rostla ochota k zadlužování. České domácnosti však </w:t>
      </w:r>
      <w:r w:rsidR="00BE3A2B" w:rsidRPr="00CE25BC">
        <w:rPr>
          <w:rFonts w:ascii="Arial" w:hAnsi="Arial" w:cs="Arial"/>
          <w:i/>
          <w:iCs/>
          <w:sz w:val="20"/>
          <w:szCs w:val="20"/>
        </w:rPr>
        <w:t>zůstávají jako celek konzervativní</w:t>
      </w:r>
      <w:r w:rsidR="00FF4E23" w:rsidRPr="00CE25BC">
        <w:rPr>
          <w:rFonts w:ascii="Arial" w:hAnsi="Arial" w:cs="Arial"/>
          <w:i/>
          <w:iCs/>
          <w:sz w:val="20"/>
          <w:szCs w:val="20"/>
        </w:rPr>
        <w:t>,</w:t>
      </w:r>
      <w:r w:rsidR="00BE3A2B" w:rsidRPr="00CE25BC">
        <w:rPr>
          <w:rFonts w:ascii="Arial" w:hAnsi="Arial" w:cs="Arial"/>
          <w:i/>
          <w:iCs/>
          <w:sz w:val="20"/>
          <w:szCs w:val="20"/>
        </w:rPr>
        <w:t xml:space="preserve"> což se promítá do zdrženlivého</w:t>
      </w:r>
      <w:r w:rsidR="00581041" w:rsidRPr="00CE25BC">
        <w:rPr>
          <w:rFonts w:ascii="Arial" w:hAnsi="Arial" w:cs="Arial"/>
          <w:i/>
          <w:iCs/>
          <w:sz w:val="20"/>
          <w:szCs w:val="20"/>
        </w:rPr>
        <w:t xml:space="preserve"> čerpání půjček od bankovního sektoru,</w:t>
      </w:r>
      <w:r w:rsidR="00CE3427" w:rsidRPr="00CE25BC">
        <w:rPr>
          <w:rFonts w:ascii="Arial" w:hAnsi="Arial" w:cs="Arial"/>
          <w:i/>
          <w:iCs/>
          <w:sz w:val="20"/>
          <w:szCs w:val="20"/>
        </w:rPr>
        <w:t>"</w:t>
      </w:r>
      <w:r w:rsidR="00CE3427" w:rsidRPr="00094F61">
        <w:rPr>
          <w:rFonts w:ascii="Arial" w:hAnsi="Arial" w:cs="Arial"/>
          <w:iCs/>
          <w:sz w:val="20"/>
          <w:szCs w:val="20"/>
        </w:rPr>
        <w:t xml:space="preserve"> uvedl ekonomický analytik asociace Miroslav Zámečník. </w:t>
      </w:r>
      <w:bookmarkStart w:id="1" w:name="_GoBack"/>
      <w:bookmarkEnd w:id="1"/>
    </w:p>
    <w:p w14:paraId="70DBE986" w14:textId="77777777" w:rsidR="00CE25BC" w:rsidRDefault="00CE25BC" w:rsidP="00094F61">
      <w:pPr>
        <w:autoSpaceDE w:val="0"/>
        <w:autoSpaceDN w:val="0"/>
        <w:jc w:val="both"/>
        <w:rPr>
          <w:rFonts w:ascii="Arial" w:hAnsi="Arial" w:cs="Arial"/>
          <w:iCs/>
          <w:sz w:val="20"/>
          <w:szCs w:val="20"/>
        </w:rPr>
      </w:pPr>
    </w:p>
    <w:p w14:paraId="3F9ABA68" w14:textId="77777777" w:rsidR="00006E64" w:rsidRPr="00094F61" w:rsidRDefault="00006E64" w:rsidP="00094F61">
      <w:pPr>
        <w:autoSpaceDE w:val="0"/>
        <w:autoSpaceDN w:val="0"/>
        <w:jc w:val="both"/>
        <w:rPr>
          <w:rFonts w:ascii="Arial" w:hAnsi="Arial" w:cs="Arial"/>
          <w:iCs/>
          <w:sz w:val="20"/>
          <w:szCs w:val="20"/>
        </w:rPr>
      </w:pPr>
      <w:r w:rsidRPr="00094F61">
        <w:rPr>
          <w:rFonts w:ascii="Arial" w:hAnsi="Arial" w:cs="Arial"/>
          <w:iCs/>
          <w:sz w:val="20"/>
          <w:szCs w:val="20"/>
        </w:rPr>
        <w:t>Mírný nárůst úvěrů na bydlení o 0,6</w:t>
      </w:r>
      <w:r w:rsidR="00254A29">
        <w:rPr>
          <w:rFonts w:ascii="Arial" w:hAnsi="Arial" w:cs="Arial"/>
          <w:iCs/>
          <w:sz w:val="20"/>
          <w:szCs w:val="20"/>
        </w:rPr>
        <w:t xml:space="preserve"> </w:t>
      </w:r>
      <w:r w:rsidRPr="00094F61">
        <w:rPr>
          <w:rFonts w:ascii="Arial" w:hAnsi="Arial" w:cs="Arial"/>
          <w:iCs/>
          <w:sz w:val="20"/>
          <w:szCs w:val="20"/>
        </w:rPr>
        <w:t>% meziměsíčně na 1,2 bilionu Kč nepotvrzuje podle Zámečníka vlnu uzavírání hypotečních smluv „na posledních chvíli“, aby zájemci využili existujících mírnějších podmínek před zpřísněním pravidel pro poskytování hypoték od 1. října tohoto roku.</w:t>
      </w:r>
      <w:r w:rsidR="00094F61">
        <w:rPr>
          <w:rFonts w:ascii="Arial" w:hAnsi="Arial" w:cs="Arial"/>
          <w:iCs/>
          <w:sz w:val="20"/>
          <w:szCs w:val="20"/>
        </w:rPr>
        <w:t xml:space="preserve"> </w:t>
      </w:r>
      <w:r w:rsidRPr="00094F61">
        <w:rPr>
          <w:rFonts w:ascii="Arial" w:hAnsi="Arial" w:cs="Arial"/>
          <w:i/>
          <w:iCs/>
          <w:sz w:val="20"/>
          <w:szCs w:val="20"/>
        </w:rPr>
        <w:t>„Bude velmi zajímavé sledovat, zda k tomu dojde v září, tedy už po skončení dovolených a zároveň posledním měsícem před nástupem regulace</w:t>
      </w:r>
      <w:r w:rsidR="00094F61" w:rsidRPr="00094F61">
        <w:rPr>
          <w:rFonts w:ascii="Arial" w:hAnsi="Arial" w:cs="Arial"/>
          <w:i/>
          <w:iCs/>
          <w:sz w:val="20"/>
          <w:szCs w:val="20"/>
        </w:rPr>
        <w:t>,</w:t>
      </w:r>
      <w:r w:rsidRPr="00094F61">
        <w:rPr>
          <w:rFonts w:ascii="Arial" w:hAnsi="Arial" w:cs="Arial"/>
          <w:i/>
          <w:iCs/>
          <w:sz w:val="20"/>
          <w:szCs w:val="20"/>
        </w:rPr>
        <w:t xml:space="preserve">“ </w:t>
      </w:r>
      <w:r w:rsidRPr="00094F61">
        <w:rPr>
          <w:rFonts w:ascii="Arial" w:hAnsi="Arial" w:cs="Arial"/>
          <w:iCs/>
          <w:sz w:val="20"/>
          <w:szCs w:val="20"/>
        </w:rPr>
        <w:t xml:space="preserve">podotýká Zámečník. </w:t>
      </w:r>
    </w:p>
    <w:p w14:paraId="2DEE0405" w14:textId="77777777" w:rsidR="00006E64" w:rsidRPr="00094F61" w:rsidRDefault="00006E64" w:rsidP="00094F61">
      <w:pPr>
        <w:autoSpaceDE w:val="0"/>
        <w:autoSpaceDN w:val="0"/>
        <w:ind w:firstLine="300"/>
        <w:jc w:val="both"/>
        <w:rPr>
          <w:rFonts w:ascii="Arial" w:hAnsi="Arial" w:cs="Arial"/>
          <w:iCs/>
          <w:sz w:val="20"/>
          <w:szCs w:val="20"/>
        </w:rPr>
      </w:pPr>
    </w:p>
    <w:p w14:paraId="1F1CFE4C" w14:textId="77777777" w:rsidR="008745B6" w:rsidRPr="00094F61" w:rsidRDefault="00BE3A2B" w:rsidP="00094F61">
      <w:pPr>
        <w:autoSpaceDE w:val="0"/>
        <w:autoSpaceDN w:val="0"/>
        <w:jc w:val="both"/>
        <w:rPr>
          <w:rFonts w:ascii="Arial" w:hAnsi="Arial" w:cs="Arial"/>
          <w:iCs/>
          <w:sz w:val="20"/>
          <w:szCs w:val="20"/>
        </w:rPr>
      </w:pPr>
      <w:r w:rsidRPr="00094F61">
        <w:rPr>
          <w:rFonts w:ascii="Arial" w:hAnsi="Arial" w:cs="Arial"/>
          <w:iCs/>
          <w:sz w:val="20"/>
          <w:szCs w:val="20"/>
        </w:rPr>
        <w:t>Celkově dobrá situace domácností</w:t>
      </w:r>
      <w:r w:rsidR="00CE3427" w:rsidRPr="00094F61">
        <w:rPr>
          <w:rFonts w:ascii="Arial" w:hAnsi="Arial" w:cs="Arial"/>
          <w:iCs/>
          <w:sz w:val="20"/>
          <w:szCs w:val="20"/>
        </w:rPr>
        <w:t xml:space="preserve"> se promítá i do klesajícího podílu úvěrů, kde mají dlužníci potíže se splácením, který se od léta 2013 snížil </w:t>
      </w:r>
      <w:r w:rsidRPr="00094F61">
        <w:rPr>
          <w:rFonts w:ascii="Arial" w:hAnsi="Arial" w:cs="Arial"/>
          <w:iCs/>
          <w:sz w:val="20"/>
          <w:szCs w:val="20"/>
        </w:rPr>
        <w:t>z 5,1</w:t>
      </w:r>
      <w:r w:rsidR="00CE3427" w:rsidRPr="00094F61">
        <w:rPr>
          <w:rFonts w:ascii="Arial" w:hAnsi="Arial" w:cs="Arial"/>
          <w:iCs/>
          <w:sz w:val="20"/>
          <w:szCs w:val="20"/>
        </w:rPr>
        <w:t xml:space="preserve"> na 2,</w:t>
      </w:r>
      <w:r w:rsidRPr="00094F61">
        <w:rPr>
          <w:rFonts w:ascii="Arial" w:hAnsi="Arial" w:cs="Arial"/>
          <w:iCs/>
          <w:sz w:val="20"/>
          <w:szCs w:val="20"/>
        </w:rPr>
        <w:t>3</w:t>
      </w:r>
      <w:r w:rsidR="00CE3427" w:rsidRPr="00094F61">
        <w:rPr>
          <w:rFonts w:ascii="Arial" w:hAnsi="Arial" w:cs="Arial"/>
          <w:iCs/>
          <w:sz w:val="20"/>
          <w:szCs w:val="20"/>
        </w:rPr>
        <w:t xml:space="preserve"> procenta</w:t>
      </w:r>
      <w:r w:rsidR="00006E64" w:rsidRPr="00094F61">
        <w:rPr>
          <w:rFonts w:ascii="Arial" w:hAnsi="Arial" w:cs="Arial"/>
          <w:iCs/>
          <w:sz w:val="20"/>
          <w:szCs w:val="20"/>
        </w:rPr>
        <w:t xml:space="preserve"> (u hypoték kolem 1</w:t>
      </w:r>
      <w:r w:rsidR="00CE25BC">
        <w:rPr>
          <w:rFonts w:ascii="Arial" w:hAnsi="Arial" w:cs="Arial"/>
          <w:iCs/>
          <w:sz w:val="20"/>
          <w:szCs w:val="20"/>
        </w:rPr>
        <w:t xml:space="preserve"> </w:t>
      </w:r>
      <w:r w:rsidR="00006E64" w:rsidRPr="00094F61">
        <w:rPr>
          <w:rFonts w:ascii="Arial" w:hAnsi="Arial" w:cs="Arial"/>
          <w:iCs/>
          <w:sz w:val="20"/>
          <w:szCs w:val="20"/>
        </w:rPr>
        <w:t>%)</w:t>
      </w:r>
      <w:r w:rsidR="00CE3427" w:rsidRPr="00094F61">
        <w:rPr>
          <w:rFonts w:ascii="Arial" w:hAnsi="Arial" w:cs="Arial"/>
          <w:iCs/>
          <w:sz w:val="20"/>
          <w:szCs w:val="20"/>
        </w:rPr>
        <w:t>.</w:t>
      </w:r>
      <w:r w:rsidR="008745B6" w:rsidRPr="00094F61">
        <w:rPr>
          <w:rFonts w:ascii="Arial" w:hAnsi="Arial" w:cs="Arial"/>
          <w:iCs/>
          <w:sz w:val="20"/>
          <w:szCs w:val="20"/>
        </w:rPr>
        <w:t xml:space="preserve"> V případě podnikové sféry je současný podíl úvěrů v selhání s 3,5</w:t>
      </w:r>
      <w:r w:rsidR="00094F61">
        <w:rPr>
          <w:rFonts w:ascii="Arial" w:hAnsi="Arial" w:cs="Arial"/>
          <w:iCs/>
          <w:sz w:val="20"/>
          <w:szCs w:val="20"/>
        </w:rPr>
        <w:t xml:space="preserve"> </w:t>
      </w:r>
      <w:r w:rsidR="008745B6" w:rsidRPr="00094F61">
        <w:rPr>
          <w:rFonts w:ascii="Arial" w:hAnsi="Arial" w:cs="Arial"/>
          <w:iCs/>
          <w:sz w:val="20"/>
          <w:szCs w:val="20"/>
        </w:rPr>
        <w:t>% téměř na třetině maxim evidovaných v rámci posledního dekády (9 % v roce 2010).</w:t>
      </w:r>
      <w:r w:rsidR="00094F61">
        <w:rPr>
          <w:rFonts w:ascii="Arial" w:hAnsi="Arial" w:cs="Arial"/>
          <w:iCs/>
          <w:sz w:val="20"/>
          <w:szCs w:val="20"/>
        </w:rPr>
        <w:t xml:space="preserve"> </w:t>
      </w:r>
      <w:r w:rsidR="00094F61" w:rsidRPr="00094F61">
        <w:rPr>
          <w:rFonts w:ascii="Arial" w:hAnsi="Arial" w:cs="Arial"/>
          <w:i/>
          <w:iCs/>
          <w:sz w:val="20"/>
          <w:szCs w:val="20"/>
        </w:rPr>
        <w:t>„</w:t>
      </w:r>
      <w:r w:rsidR="008745B6" w:rsidRPr="00094F61">
        <w:rPr>
          <w:rFonts w:ascii="Arial" w:hAnsi="Arial" w:cs="Arial"/>
          <w:i/>
          <w:iCs/>
          <w:sz w:val="20"/>
          <w:szCs w:val="20"/>
        </w:rPr>
        <w:t xml:space="preserve">Relativně malá zadluženost </w:t>
      </w:r>
      <w:r w:rsidR="00006E64" w:rsidRPr="00094F61">
        <w:rPr>
          <w:rFonts w:ascii="Arial" w:hAnsi="Arial" w:cs="Arial"/>
          <w:i/>
          <w:iCs/>
          <w:sz w:val="20"/>
          <w:szCs w:val="20"/>
        </w:rPr>
        <w:t>firem</w:t>
      </w:r>
      <w:r w:rsidR="008745B6" w:rsidRPr="00094F61">
        <w:rPr>
          <w:rFonts w:ascii="Arial" w:hAnsi="Arial" w:cs="Arial"/>
          <w:i/>
          <w:iCs/>
          <w:sz w:val="20"/>
          <w:szCs w:val="20"/>
        </w:rPr>
        <w:t xml:space="preserve"> i </w:t>
      </w:r>
      <w:proofErr w:type="spellStart"/>
      <w:r w:rsidR="00006E64" w:rsidRPr="00094F61">
        <w:rPr>
          <w:rFonts w:ascii="Arial" w:hAnsi="Arial" w:cs="Arial"/>
          <w:i/>
          <w:iCs/>
          <w:sz w:val="20"/>
          <w:szCs w:val="20"/>
        </w:rPr>
        <w:t>obyvatelsta</w:t>
      </w:r>
      <w:proofErr w:type="spellEnd"/>
      <w:r w:rsidR="008745B6" w:rsidRPr="00094F61">
        <w:rPr>
          <w:rFonts w:ascii="Arial" w:hAnsi="Arial" w:cs="Arial"/>
          <w:i/>
          <w:iCs/>
          <w:sz w:val="20"/>
          <w:szCs w:val="20"/>
        </w:rPr>
        <w:t xml:space="preserve"> a nízký podíl úvěrů v selhání jsou extrémně důležité předpoklady pro udržení finanční stability i v časech, až konjunktura skončí</w:t>
      </w:r>
      <w:r w:rsidR="008745B6" w:rsidRPr="00094F61">
        <w:rPr>
          <w:rFonts w:ascii="Arial" w:hAnsi="Arial" w:cs="Arial"/>
          <w:iCs/>
          <w:sz w:val="20"/>
          <w:szCs w:val="20"/>
        </w:rPr>
        <w:t>,</w:t>
      </w:r>
      <w:r w:rsidR="00CE25BC">
        <w:rPr>
          <w:rFonts w:ascii="Arial" w:hAnsi="Arial" w:cs="Arial"/>
          <w:iCs/>
          <w:sz w:val="20"/>
          <w:szCs w:val="20"/>
        </w:rPr>
        <w:t>“</w:t>
      </w:r>
      <w:r w:rsidR="00006E64" w:rsidRPr="00094F61">
        <w:rPr>
          <w:rFonts w:ascii="Arial" w:hAnsi="Arial" w:cs="Arial"/>
          <w:iCs/>
          <w:sz w:val="20"/>
          <w:szCs w:val="20"/>
        </w:rPr>
        <w:t xml:space="preserve"> zdůraznil Zámečník.</w:t>
      </w:r>
    </w:p>
    <w:bookmarkEnd w:id="0"/>
    <w:p w14:paraId="36547237" w14:textId="77777777" w:rsidR="008745B6" w:rsidRDefault="008745B6" w:rsidP="008745B6"/>
    <w:p w14:paraId="60AE8231" w14:textId="77777777" w:rsidR="00CE3427" w:rsidRDefault="00CE3427" w:rsidP="00CE3427">
      <w:pPr>
        <w:autoSpaceDE w:val="0"/>
        <w:autoSpaceDN w:val="0"/>
        <w:rPr>
          <w:rFonts w:ascii="Arial" w:hAnsi="Arial" w:cs="Arial"/>
          <w:i/>
          <w:iCs/>
          <w:sz w:val="18"/>
          <w:szCs w:val="18"/>
        </w:rPr>
      </w:pPr>
    </w:p>
    <w:p w14:paraId="21C58651" w14:textId="77777777" w:rsidR="00CE3427" w:rsidRDefault="00CE3427" w:rsidP="00CE3427">
      <w:pPr>
        <w:autoSpaceDE w:val="0"/>
        <w:autoSpaceDN w:val="0"/>
        <w:ind w:firstLine="300"/>
        <w:rPr>
          <w:rFonts w:ascii="Arial" w:hAnsi="Arial" w:cs="Arial"/>
          <w:i/>
          <w:iCs/>
          <w:sz w:val="18"/>
          <w:szCs w:val="18"/>
        </w:rPr>
      </w:pPr>
    </w:p>
    <w:p w14:paraId="31BE9636" w14:textId="77777777" w:rsidR="00CE3427" w:rsidRDefault="00CE3427" w:rsidP="00CE3427">
      <w:pPr>
        <w:autoSpaceDE w:val="0"/>
        <w:autoSpaceDN w:val="0"/>
        <w:ind w:firstLine="300"/>
        <w:rPr>
          <w:rFonts w:ascii="Arial" w:hAnsi="Arial" w:cs="Arial"/>
          <w:i/>
          <w:iCs/>
          <w:sz w:val="18"/>
          <w:szCs w:val="18"/>
        </w:rPr>
      </w:pPr>
    </w:p>
    <w:p w14:paraId="779565B6" w14:textId="77777777" w:rsidR="00CE3427" w:rsidRDefault="00CE3427" w:rsidP="00CE3427"/>
    <w:p w14:paraId="396BFDFD" w14:textId="77777777" w:rsidR="00466FE9" w:rsidRDefault="00466FE9"/>
    <w:sectPr w:rsidR="00466FE9" w:rsidSect="00466FE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62E69" w14:textId="77777777" w:rsidR="00091BD1" w:rsidRDefault="00091BD1" w:rsidP="008745B6">
      <w:r>
        <w:separator/>
      </w:r>
    </w:p>
  </w:endnote>
  <w:endnote w:type="continuationSeparator" w:id="0">
    <w:p w14:paraId="3E288FB6" w14:textId="77777777" w:rsidR="00091BD1" w:rsidRDefault="00091BD1" w:rsidP="0087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FCD3A" w14:textId="77777777" w:rsidR="008745B6" w:rsidRDefault="008745B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02EA" w14:textId="77777777" w:rsidR="008745B6" w:rsidRDefault="008745B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9AD8" w14:textId="77777777" w:rsidR="008745B6" w:rsidRDefault="008745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5C4C" w14:textId="77777777" w:rsidR="00091BD1" w:rsidRDefault="00091BD1" w:rsidP="008745B6">
      <w:r>
        <w:separator/>
      </w:r>
    </w:p>
  </w:footnote>
  <w:footnote w:type="continuationSeparator" w:id="0">
    <w:p w14:paraId="7CC6AC8E" w14:textId="77777777" w:rsidR="00091BD1" w:rsidRDefault="00091BD1" w:rsidP="00874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3F52" w14:textId="77777777" w:rsidR="008745B6" w:rsidRDefault="008745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AF29" w14:textId="77777777" w:rsidR="008745B6" w:rsidRDefault="008745B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DCC47" w14:textId="77777777" w:rsidR="008745B6" w:rsidRDefault="008745B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27"/>
    <w:rsid w:val="00006E64"/>
    <w:rsid w:val="00032700"/>
    <w:rsid w:val="00091BD1"/>
    <w:rsid w:val="00094F61"/>
    <w:rsid w:val="001702C6"/>
    <w:rsid w:val="001867B2"/>
    <w:rsid w:val="001F58C4"/>
    <w:rsid w:val="00254A29"/>
    <w:rsid w:val="00270A1E"/>
    <w:rsid w:val="002810D4"/>
    <w:rsid w:val="002943A1"/>
    <w:rsid w:val="00321EAD"/>
    <w:rsid w:val="003A7BD7"/>
    <w:rsid w:val="003D45F2"/>
    <w:rsid w:val="003F7F54"/>
    <w:rsid w:val="00432CFC"/>
    <w:rsid w:val="00434210"/>
    <w:rsid w:val="00466485"/>
    <w:rsid w:val="00466FE9"/>
    <w:rsid w:val="00581041"/>
    <w:rsid w:val="005E4AE0"/>
    <w:rsid w:val="00664D88"/>
    <w:rsid w:val="006E4277"/>
    <w:rsid w:val="007511DA"/>
    <w:rsid w:val="00821CF4"/>
    <w:rsid w:val="0085059E"/>
    <w:rsid w:val="00862E89"/>
    <w:rsid w:val="008745B6"/>
    <w:rsid w:val="008B189A"/>
    <w:rsid w:val="00980A15"/>
    <w:rsid w:val="009900D9"/>
    <w:rsid w:val="009E157F"/>
    <w:rsid w:val="00AC0394"/>
    <w:rsid w:val="00AD5995"/>
    <w:rsid w:val="00BB6624"/>
    <w:rsid w:val="00BE3A2B"/>
    <w:rsid w:val="00CB5079"/>
    <w:rsid w:val="00CE25BC"/>
    <w:rsid w:val="00CE3427"/>
    <w:rsid w:val="00D335B8"/>
    <w:rsid w:val="00E26567"/>
    <w:rsid w:val="00E3347B"/>
    <w:rsid w:val="00EE68FC"/>
    <w:rsid w:val="00F007B7"/>
    <w:rsid w:val="00FE05D1"/>
    <w:rsid w:val="00FF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8CD1"/>
  <w15:chartTrackingRefBased/>
  <w15:docId w15:val="{F2471703-18BD-4A40-B035-D12B98C1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E3427"/>
    <w:rPr>
      <w:rFonts w:cs="Calibri"/>
      <w:sz w:val="22"/>
      <w:szCs w:val="22"/>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745B6"/>
    <w:pPr>
      <w:tabs>
        <w:tab w:val="center" w:pos="4536"/>
        <w:tab w:val="right" w:pos="9072"/>
      </w:tabs>
    </w:pPr>
  </w:style>
  <w:style w:type="character" w:customStyle="1" w:styleId="ZhlavChar">
    <w:name w:val="Záhlaví Char"/>
    <w:link w:val="Zhlav"/>
    <w:uiPriority w:val="99"/>
    <w:rsid w:val="008745B6"/>
    <w:rPr>
      <w:rFonts w:cs="Calibri"/>
      <w:sz w:val="22"/>
      <w:szCs w:val="22"/>
      <w:lang w:val="cs-CZ" w:eastAsia="en-US"/>
    </w:rPr>
  </w:style>
  <w:style w:type="paragraph" w:styleId="Zpat">
    <w:name w:val="footer"/>
    <w:basedOn w:val="Normln"/>
    <w:link w:val="ZpatChar"/>
    <w:uiPriority w:val="99"/>
    <w:unhideWhenUsed/>
    <w:rsid w:val="008745B6"/>
    <w:pPr>
      <w:tabs>
        <w:tab w:val="center" w:pos="4536"/>
        <w:tab w:val="right" w:pos="9072"/>
      </w:tabs>
    </w:pPr>
  </w:style>
  <w:style w:type="character" w:customStyle="1" w:styleId="ZpatChar">
    <w:name w:val="Zápatí Char"/>
    <w:link w:val="Zpat"/>
    <w:uiPriority w:val="99"/>
    <w:rsid w:val="008745B6"/>
    <w:rPr>
      <w:rFonts w:cs="Calibri"/>
      <w:sz w:val="22"/>
      <w:szCs w:val="22"/>
      <w:lang w:val="cs-CZ" w:eastAsia="en-US"/>
    </w:rPr>
  </w:style>
  <w:style w:type="character" w:styleId="Odkaznakoment">
    <w:name w:val="annotation reference"/>
    <w:basedOn w:val="Standardnpsmoodstavce"/>
    <w:uiPriority w:val="99"/>
    <w:semiHidden/>
    <w:unhideWhenUsed/>
    <w:rsid w:val="00254A29"/>
    <w:rPr>
      <w:sz w:val="16"/>
      <w:szCs w:val="16"/>
    </w:rPr>
  </w:style>
  <w:style w:type="paragraph" w:styleId="Textkomente">
    <w:name w:val="annotation text"/>
    <w:basedOn w:val="Normln"/>
    <w:link w:val="TextkomenteChar"/>
    <w:uiPriority w:val="99"/>
    <w:semiHidden/>
    <w:unhideWhenUsed/>
    <w:rsid w:val="00254A29"/>
    <w:rPr>
      <w:sz w:val="20"/>
      <w:szCs w:val="20"/>
    </w:rPr>
  </w:style>
  <w:style w:type="character" w:customStyle="1" w:styleId="TextkomenteChar">
    <w:name w:val="Text komentáře Char"/>
    <w:basedOn w:val="Standardnpsmoodstavce"/>
    <w:link w:val="Textkomente"/>
    <w:uiPriority w:val="99"/>
    <w:semiHidden/>
    <w:rsid w:val="00254A29"/>
    <w:rPr>
      <w:rFonts w:cs="Calibri"/>
      <w:lang w:val="cs-CZ" w:eastAsia="en-US"/>
    </w:rPr>
  </w:style>
  <w:style w:type="paragraph" w:styleId="Pedmtkomente">
    <w:name w:val="annotation subject"/>
    <w:basedOn w:val="Textkomente"/>
    <w:next w:val="Textkomente"/>
    <w:link w:val="PedmtkomenteChar"/>
    <w:uiPriority w:val="99"/>
    <w:semiHidden/>
    <w:unhideWhenUsed/>
    <w:rsid w:val="00254A29"/>
    <w:rPr>
      <w:b/>
      <w:bCs/>
    </w:rPr>
  </w:style>
  <w:style w:type="character" w:customStyle="1" w:styleId="PedmtkomenteChar">
    <w:name w:val="Předmět komentáře Char"/>
    <w:basedOn w:val="TextkomenteChar"/>
    <w:link w:val="Pedmtkomente"/>
    <w:uiPriority w:val="99"/>
    <w:semiHidden/>
    <w:rsid w:val="00254A29"/>
    <w:rPr>
      <w:rFonts w:cs="Calibri"/>
      <w:b/>
      <w:bCs/>
      <w:lang w:val="cs-CZ" w:eastAsia="en-US"/>
    </w:rPr>
  </w:style>
  <w:style w:type="paragraph" w:styleId="Textbubliny">
    <w:name w:val="Balloon Text"/>
    <w:basedOn w:val="Normln"/>
    <w:link w:val="TextbublinyChar"/>
    <w:uiPriority w:val="99"/>
    <w:semiHidden/>
    <w:unhideWhenUsed/>
    <w:rsid w:val="00254A2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4A29"/>
    <w:rPr>
      <w:rFonts w:ascii="Segoe UI" w:hAnsi="Segoe UI" w:cs="Segoe UI"/>
      <w:sz w:val="18"/>
      <w:szCs w:val="18"/>
      <w:lang w:val="cs-CZ" w:eastAsia="en-US"/>
    </w:rPr>
  </w:style>
  <w:style w:type="character" w:styleId="Hypertextovodkaz">
    <w:name w:val="Hyperlink"/>
    <w:uiPriority w:val="99"/>
    <w:semiHidden/>
    <w:unhideWhenUsed/>
    <w:rsid w:val="00254A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48340">
      <w:bodyDiv w:val="1"/>
      <w:marLeft w:val="0"/>
      <w:marRight w:val="0"/>
      <w:marTop w:val="0"/>
      <w:marBottom w:val="0"/>
      <w:divBdr>
        <w:top w:val="none" w:sz="0" w:space="0" w:color="auto"/>
        <w:left w:val="none" w:sz="0" w:space="0" w:color="auto"/>
        <w:bottom w:val="none" w:sz="0" w:space="0" w:color="auto"/>
        <w:right w:val="none" w:sz="0" w:space="0" w:color="auto"/>
      </w:divBdr>
    </w:div>
    <w:div w:id="1527062588">
      <w:bodyDiv w:val="1"/>
      <w:marLeft w:val="0"/>
      <w:marRight w:val="0"/>
      <w:marTop w:val="0"/>
      <w:marBottom w:val="0"/>
      <w:divBdr>
        <w:top w:val="none" w:sz="0" w:space="0" w:color="auto"/>
        <w:left w:val="none" w:sz="0" w:space="0" w:color="auto"/>
        <w:bottom w:val="none" w:sz="0" w:space="0" w:color="auto"/>
        <w:right w:val="none" w:sz="0" w:space="0" w:color="auto"/>
      </w:divBdr>
    </w:div>
    <w:div w:id="19417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1927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zamecnik</dc:creator>
  <cp:keywords/>
  <cp:lastModifiedBy>Andrea Trudičová</cp:lastModifiedBy>
  <cp:revision>4</cp:revision>
  <dcterms:created xsi:type="dcterms:W3CDTF">2018-08-31T13:53:00Z</dcterms:created>
  <dcterms:modified xsi:type="dcterms:W3CDTF">2019-09-09T13:37:00Z</dcterms:modified>
</cp:coreProperties>
</file>