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245D2" w14:textId="4684E933" w:rsidR="00266E32" w:rsidRDefault="006F4936" w:rsidP="0085374C">
      <w:pPr>
        <w:rPr>
          <w:rFonts w:ascii="Calibri" w:hAnsi="Calibri" w:cs="Arial"/>
          <w:b/>
          <w:color w:val="13576B"/>
          <w:sz w:val="36"/>
          <w:szCs w:val="36"/>
        </w:rPr>
      </w:pPr>
      <w:r w:rsidRPr="0085374C">
        <w:rPr>
          <w:rFonts w:ascii="Calibri" w:hAnsi="Calibri" w:cs="Arial"/>
          <w:b/>
          <w:color w:val="13576B"/>
          <w:sz w:val="36"/>
          <w:szCs w:val="36"/>
        </w:rPr>
        <w:t xml:space="preserve">CBA'S MACROECONOMIC </w:t>
      </w:r>
      <w:r w:rsidR="007B48F0" w:rsidRPr="0085374C">
        <w:rPr>
          <w:rFonts w:ascii="Calibri" w:hAnsi="Calibri" w:cs="Arial"/>
          <w:b/>
          <w:color w:val="13576B"/>
          <w:sz w:val="36"/>
          <w:szCs w:val="36"/>
        </w:rPr>
        <w:t>FORECAST</w:t>
      </w:r>
    </w:p>
    <w:p w14:paraId="73F3351F" w14:textId="77777777" w:rsidR="0085374C" w:rsidRPr="0085374C" w:rsidRDefault="0085374C" w:rsidP="0085374C">
      <w:pPr>
        <w:rPr>
          <w:rFonts w:ascii="Calibri" w:hAnsi="Calibri" w:cs="Arial"/>
          <w:b/>
          <w:color w:val="13576B"/>
          <w:sz w:val="28"/>
          <w:szCs w:val="28"/>
        </w:rPr>
      </w:pPr>
    </w:p>
    <w:p w14:paraId="240C088F" w14:textId="6F47CD92" w:rsidR="00266E32" w:rsidRPr="000607E6" w:rsidRDefault="00116425" w:rsidP="00DF7FD9">
      <w:pPr>
        <w:spacing w:before="120" w:after="120"/>
        <w:rPr>
          <w:rFonts w:ascii="Calibri" w:hAnsi="Calibri" w:cs="Arial"/>
          <w:b/>
          <w:color w:val="13576B"/>
          <w:sz w:val="32"/>
          <w:szCs w:val="32"/>
          <w:lang w:val="en-US"/>
        </w:rPr>
      </w:pPr>
      <w:r w:rsidRPr="00116425">
        <w:rPr>
          <w:rFonts w:ascii="Calibri" w:hAnsi="Calibri" w:cs="Arial"/>
          <w:b/>
          <w:color w:val="13576B"/>
          <w:sz w:val="32"/>
          <w:szCs w:val="32"/>
          <w:lang w:val="en-US"/>
        </w:rPr>
        <w:t xml:space="preserve">November 2011: </w:t>
      </w:r>
      <w:r w:rsidR="00723643" w:rsidRPr="00116425">
        <w:rPr>
          <w:rFonts w:ascii="Calibri" w:hAnsi="Calibri" w:cs="Arial"/>
          <w:b/>
          <w:color w:val="13576B"/>
          <w:sz w:val="32"/>
          <w:szCs w:val="32"/>
          <w:lang w:val="en-US"/>
        </w:rPr>
        <w:t xml:space="preserve">this year, </w:t>
      </w:r>
      <w:r w:rsidRPr="00116425">
        <w:rPr>
          <w:rFonts w:ascii="Calibri" w:hAnsi="Calibri" w:cs="Arial"/>
          <w:b/>
          <w:color w:val="13576B"/>
          <w:sz w:val="32"/>
          <w:szCs w:val="32"/>
          <w:lang w:val="en-US"/>
        </w:rPr>
        <w:t xml:space="preserve">Czech economy will grow </w:t>
      </w:r>
      <w:r w:rsidR="009A3F3F">
        <w:rPr>
          <w:rFonts w:ascii="Calibri" w:hAnsi="Calibri" w:cs="Arial"/>
          <w:b/>
          <w:color w:val="13576B"/>
          <w:sz w:val="32"/>
          <w:szCs w:val="32"/>
          <w:lang w:val="en-US"/>
        </w:rPr>
        <w:t xml:space="preserve">at a slower pace </w:t>
      </w:r>
      <w:r w:rsidRPr="00116425">
        <w:rPr>
          <w:rFonts w:ascii="Calibri" w:hAnsi="Calibri" w:cs="Arial"/>
          <w:b/>
          <w:color w:val="13576B"/>
          <w:sz w:val="32"/>
          <w:szCs w:val="32"/>
          <w:lang w:val="en-US"/>
        </w:rPr>
        <w:t>than expected</w:t>
      </w:r>
      <w:r w:rsidR="00723643">
        <w:rPr>
          <w:rFonts w:ascii="Calibri" w:hAnsi="Calibri" w:cs="Arial"/>
          <w:b/>
          <w:color w:val="13576B"/>
          <w:sz w:val="32"/>
          <w:szCs w:val="32"/>
          <w:lang w:val="en-US"/>
        </w:rPr>
        <w:t>,</w:t>
      </w:r>
      <w:r w:rsidRPr="00116425">
        <w:rPr>
          <w:rFonts w:ascii="Calibri" w:hAnsi="Calibri" w:cs="Arial"/>
          <w:b/>
          <w:color w:val="13576B"/>
          <w:sz w:val="32"/>
          <w:szCs w:val="32"/>
          <w:lang w:val="en-US"/>
        </w:rPr>
        <w:t xml:space="preserve"> only </w:t>
      </w:r>
      <w:r w:rsidR="00774549">
        <w:rPr>
          <w:rFonts w:ascii="Calibri" w:hAnsi="Calibri" w:cs="Arial"/>
          <w:b/>
          <w:color w:val="13576B"/>
          <w:sz w:val="32"/>
          <w:szCs w:val="32"/>
          <w:lang w:val="en-US"/>
        </w:rPr>
        <w:t xml:space="preserve">by </w:t>
      </w:r>
      <w:r w:rsidRPr="00116425">
        <w:rPr>
          <w:rFonts w:ascii="Calibri" w:hAnsi="Calibri" w:cs="Arial"/>
          <w:b/>
          <w:color w:val="13576B"/>
          <w:sz w:val="32"/>
          <w:szCs w:val="32"/>
          <w:lang w:val="en-US"/>
        </w:rPr>
        <w:t>2.6%. It will accelerate to 3.9% next year, but inflation will be the highest since 2008.</w:t>
      </w:r>
      <w:r w:rsidR="00723643">
        <w:rPr>
          <w:rFonts w:ascii="Calibri" w:hAnsi="Calibri" w:cs="Arial"/>
          <w:b/>
          <w:color w:val="13576B"/>
          <w:sz w:val="32"/>
          <w:szCs w:val="32"/>
          <w:lang w:val="en-US"/>
        </w:rPr>
        <w:t xml:space="preserve"> </w:t>
      </w:r>
    </w:p>
    <w:p w14:paraId="47BA50B7" w14:textId="35E2FBF4" w:rsidR="008B1328" w:rsidRPr="000607E6" w:rsidRDefault="00DA282C" w:rsidP="00DF7FD9">
      <w:pPr>
        <w:pStyle w:val="NormalWeb"/>
        <w:spacing w:before="120" w:beforeAutospacing="0" w:after="120" w:afterAutospacing="0"/>
        <w:jc w:val="both"/>
        <w:rPr>
          <w:rFonts w:ascii="Calibri" w:hAnsi="Calibri" w:cs="Calibri"/>
          <w:color w:val="13576B"/>
          <w:sz w:val="20"/>
          <w:lang w:val="en-US"/>
        </w:rPr>
      </w:pPr>
      <w:r>
        <w:rPr>
          <w:rFonts w:ascii="Calibri" w:hAnsi="Calibri" w:cs="Calibri"/>
          <w:b/>
          <w:color w:val="13576B"/>
          <w:sz w:val="20"/>
          <w:lang w:val="en-US"/>
        </w:rPr>
        <w:t>P</w:t>
      </w:r>
      <w:r w:rsidR="00116425" w:rsidRPr="00116425">
        <w:rPr>
          <w:rFonts w:ascii="Calibri" w:hAnsi="Calibri" w:cs="Calibri"/>
          <w:b/>
          <w:color w:val="13576B"/>
          <w:sz w:val="20"/>
          <w:lang w:val="en-US"/>
        </w:rPr>
        <w:t xml:space="preserve">rague, November 11, 2021 - The chief economists of the banks represented in the </w:t>
      </w:r>
      <w:r w:rsidR="0076510E">
        <w:rPr>
          <w:rFonts w:ascii="Calibri" w:hAnsi="Calibri" w:cs="Calibri"/>
          <w:b/>
          <w:color w:val="13576B"/>
          <w:sz w:val="20"/>
          <w:lang w:val="en-US"/>
        </w:rPr>
        <w:t>prognostic</w:t>
      </w:r>
      <w:r w:rsidR="00116425" w:rsidRPr="00116425">
        <w:rPr>
          <w:rFonts w:ascii="Calibri" w:hAnsi="Calibri" w:cs="Calibri"/>
          <w:b/>
          <w:color w:val="13576B"/>
          <w:sz w:val="20"/>
          <w:lang w:val="en-US"/>
        </w:rPr>
        <w:t xml:space="preserve"> panel of the Czech Banking Association (</w:t>
      </w:r>
      <w:r w:rsidR="0076510E">
        <w:rPr>
          <w:rFonts w:ascii="Calibri" w:hAnsi="Calibri" w:cs="Calibri"/>
          <w:b/>
          <w:color w:val="13576B"/>
          <w:sz w:val="20"/>
          <w:lang w:val="en-US"/>
        </w:rPr>
        <w:t xml:space="preserve">the </w:t>
      </w:r>
      <w:r w:rsidR="00116425" w:rsidRPr="00116425">
        <w:rPr>
          <w:rFonts w:ascii="Calibri" w:hAnsi="Calibri" w:cs="Calibri"/>
          <w:b/>
          <w:color w:val="13576B"/>
          <w:sz w:val="20"/>
          <w:lang w:val="en-US"/>
        </w:rPr>
        <w:t xml:space="preserve">CBA) have </w:t>
      </w:r>
      <w:r w:rsidR="0076510E">
        <w:rPr>
          <w:rFonts w:ascii="Calibri" w:hAnsi="Calibri" w:cs="Calibri"/>
          <w:b/>
          <w:color w:val="13576B"/>
          <w:sz w:val="20"/>
          <w:lang w:val="en-US"/>
        </w:rPr>
        <w:t>revised</w:t>
      </w:r>
      <w:r w:rsidR="00116425" w:rsidRPr="00116425">
        <w:rPr>
          <w:rFonts w:ascii="Calibri" w:hAnsi="Calibri" w:cs="Calibri"/>
          <w:b/>
          <w:color w:val="13576B"/>
          <w:sz w:val="20"/>
          <w:lang w:val="en-US"/>
        </w:rPr>
        <w:t xml:space="preserve"> the</w:t>
      </w:r>
      <w:r w:rsidR="0076510E">
        <w:rPr>
          <w:rFonts w:ascii="Calibri" w:hAnsi="Calibri" w:cs="Calibri"/>
          <w:b/>
          <w:color w:val="13576B"/>
          <w:sz w:val="20"/>
          <w:lang w:val="en-US"/>
        </w:rPr>
        <w:t>ir</w:t>
      </w:r>
      <w:r w:rsidR="00116425" w:rsidRPr="00116425">
        <w:rPr>
          <w:rFonts w:ascii="Calibri" w:hAnsi="Calibri" w:cs="Calibri"/>
          <w:b/>
          <w:color w:val="13576B"/>
          <w:sz w:val="20"/>
          <w:lang w:val="en-US"/>
        </w:rPr>
        <w:t xml:space="preserve"> estimate of the </w:t>
      </w:r>
      <w:r w:rsidR="0076510E" w:rsidRPr="00116425">
        <w:rPr>
          <w:rFonts w:ascii="Calibri" w:hAnsi="Calibri" w:cs="Calibri"/>
          <w:b/>
          <w:color w:val="13576B"/>
          <w:sz w:val="20"/>
          <w:lang w:val="en-US"/>
        </w:rPr>
        <w:t>domestic economy</w:t>
      </w:r>
      <w:r w:rsidR="0076510E">
        <w:rPr>
          <w:rFonts w:ascii="Calibri" w:hAnsi="Calibri" w:cs="Calibri"/>
          <w:b/>
          <w:color w:val="13576B"/>
          <w:sz w:val="20"/>
          <w:lang w:val="en-US"/>
        </w:rPr>
        <w:t>'s</w:t>
      </w:r>
      <w:r w:rsidR="0076510E" w:rsidRPr="00116425">
        <w:rPr>
          <w:rFonts w:ascii="Calibri" w:hAnsi="Calibri" w:cs="Calibri"/>
          <w:b/>
          <w:color w:val="13576B"/>
          <w:sz w:val="20"/>
          <w:lang w:val="en-US"/>
        </w:rPr>
        <w:t xml:space="preserve"> growth </w:t>
      </w:r>
      <w:r w:rsidR="0076510E">
        <w:rPr>
          <w:rFonts w:ascii="Calibri" w:hAnsi="Calibri" w:cs="Calibri"/>
          <w:b/>
          <w:color w:val="13576B"/>
          <w:sz w:val="20"/>
          <w:lang w:val="en-US"/>
        </w:rPr>
        <w:t xml:space="preserve">downward </w:t>
      </w:r>
      <w:r w:rsidR="00116425" w:rsidRPr="00116425">
        <w:rPr>
          <w:rFonts w:ascii="Calibri" w:hAnsi="Calibri" w:cs="Calibri"/>
          <w:b/>
          <w:color w:val="13576B"/>
          <w:sz w:val="20"/>
          <w:lang w:val="en-US"/>
        </w:rPr>
        <w:t xml:space="preserve">for both this year and next. Given the continuing problems in subcontracting chains and </w:t>
      </w:r>
      <w:r w:rsidR="00A62EED">
        <w:rPr>
          <w:rFonts w:ascii="Calibri" w:hAnsi="Calibri" w:cs="Calibri"/>
          <w:b/>
          <w:color w:val="13576B"/>
          <w:sz w:val="20"/>
          <w:lang w:val="en-US"/>
        </w:rPr>
        <w:t xml:space="preserve">to </w:t>
      </w:r>
      <w:r w:rsidR="00116425" w:rsidRPr="00116425">
        <w:rPr>
          <w:rFonts w:ascii="Calibri" w:hAnsi="Calibri" w:cs="Calibri"/>
          <w:b/>
          <w:color w:val="13576B"/>
          <w:sz w:val="20"/>
          <w:lang w:val="en-US"/>
        </w:rPr>
        <w:t xml:space="preserve">rising inflation, the domestic economy can be expected to grow by 2.6% this year, </w:t>
      </w:r>
      <w:r w:rsidR="00B671B0">
        <w:rPr>
          <w:rFonts w:ascii="Calibri" w:hAnsi="Calibri" w:cs="Calibri"/>
          <w:b/>
          <w:color w:val="13576B"/>
          <w:sz w:val="20"/>
          <w:lang w:val="en-US"/>
        </w:rPr>
        <w:t xml:space="preserve">as </w:t>
      </w:r>
      <w:r w:rsidR="00116425" w:rsidRPr="00116425">
        <w:rPr>
          <w:rFonts w:ascii="Calibri" w:hAnsi="Calibri" w:cs="Calibri"/>
          <w:b/>
          <w:color w:val="13576B"/>
          <w:sz w:val="20"/>
          <w:lang w:val="en-US"/>
        </w:rPr>
        <w:t xml:space="preserve">compared with the August estimate of 3.4%. The estimate for 2022 has also been revised downward, from 4.5% to 3.9%. Inflation is expected to exceed 5% next year and will be the highest since 2008. However, the </w:t>
      </w:r>
      <w:r w:rsidR="00356279">
        <w:rPr>
          <w:rFonts w:ascii="Calibri" w:hAnsi="Calibri" w:cs="Calibri"/>
          <w:b/>
          <w:color w:val="13576B"/>
          <w:sz w:val="20"/>
          <w:lang w:val="en-US"/>
        </w:rPr>
        <w:t>appreciable</w:t>
      </w:r>
      <w:r w:rsidR="00356279" w:rsidRPr="00116425">
        <w:rPr>
          <w:rFonts w:ascii="Calibri" w:hAnsi="Calibri" w:cs="Calibri"/>
          <w:b/>
          <w:color w:val="13576B"/>
          <w:sz w:val="20"/>
          <w:lang w:val="en-US"/>
        </w:rPr>
        <w:t xml:space="preserve"> </w:t>
      </w:r>
      <w:r w:rsidR="00116425" w:rsidRPr="00116425">
        <w:rPr>
          <w:rFonts w:ascii="Calibri" w:hAnsi="Calibri" w:cs="Calibri"/>
          <w:b/>
          <w:color w:val="13576B"/>
          <w:sz w:val="20"/>
          <w:lang w:val="en-US"/>
        </w:rPr>
        <w:t xml:space="preserve">uncertainty of the forecast </w:t>
      </w:r>
      <w:r w:rsidR="008D6FF5">
        <w:rPr>
          <w:rFonts w:ascii="Calibri" w:hAnsi="Calibri" w:cs="Calibri"/>
          <w:b/>
          <w:color w:val="13576B"/>
          <w:sz w:val="20"/>
          <w:lang w:val="en-US"/>
        </w:rPr>
        <w:t xml:space="preserve">is also caused </w:t>
      </w:r>
      <w:r w:rsidR="00CF2B5A">
        <w:rPr>
          <w:rFonts w:ascii="Calibri" w:hAnsi="Calibri" w:cs="Calibri"/>
          <w:b/>
          <w:color w:val="13576B"/>
          <w:sz w:val="20"/>
          <w:lang w:val="en-US"/>
        </w:rPr>
        <w:t>by a</w:t>
      </w:r>
      <w:r w:rsidR="00116425" w:rsidRPr="00116425">
        <w:rPr>
          <w:rFonts w:ascii="Calibri" w:hAnsi="Calibri" w:cs="Calibri"/>
          <w:b/>
          <w:color w:val="13576B"/>
          <w:sz w:val="20"/>
          <w:lang w:val="en-US"/>
        </w:rPr>
        <w:t xml:space="preserve"> </w:t>
      </w:r>
      <w:r w:rsidR="00E1389E" w:rsidRPr="00116425">
        <w:rPr>
          <w:rFonts w:ascii="Calibri" w:hAnsi="Calibri" w:cs="Calibri"/>
          <w:b/>
          <w:color w:val="13576B"/>
          <w:sz w:val="20"/>
          <w:lang w:val="en-US"/>
        </w:rPr>
        <w:t>po</w:t>
      </w:r>
      <w:r w:rsidR="00CF2B5A">
        <w:rPr>
          <w:rFonts w:ascii="Calibri" w:hAnsi="Calibri" w:cs="Calibri"/>
          <w:b/>
          <w:color w:val="13576B"/>
          <w:sz w:val="20"/>
          <w:lang w:val="en-US"/>
        </w:rPr>
        <w:t xml:space="preserve">tential </w:t>
      </w:r>
      <w:r w:rsidR="00E1389E" w:rsidRPr="00116425">
        <w:rPr>
          <w:rFonts w:ascii="Calibri" w:hAnsi="Calibri" w:cs="Calibri"/>
          <w:b/>
          <w:color w:val="13576B"/>
          <w:sz w:val="20"/>
          <w:lang w:val="en-US"/>
        </w:rPr>
        <w:t xml:space="preserve">response </w:t>
      </w:r>
      <w:r w:rsidR="00CF2B5A">
        <w:rPr>
          <w:rFonts w:ascii="Calibri" w:hAnsi="Calibri" w:cs="Calibri"/>
          <w:b/>
          <w:color w:val="13576B"/>
          <w:sz w:val="20"/>
          <w:lang w:val="en-US"/>
        </w:rPr>
        <w:t xml:space="preserve">to </w:t>
      </w:r>
      <w:r w:rsidR="00116425" w:rsidRPr="00116425">
        <w:rPr>
          <w:rFonts w:ascii="Calibri" w:hAnsi="Calibri" w:cs="Calibri"/>
          <w:b/>
          <w:color w:val="13576B"/>
          <w:sz w:val="20"/>
          <w:lang w:val="en-US"/>
        </w:rPr>
        <w:t xml:space="preserve">the current extraordinary </w:t>
      </w:r>
      <w:r w:rsidR="00723643">
        <w:rPr>
          <w:rFonts w:ascii="Calibri" w:hAnsi="Calibri" w:cs="Calibri"/>
          <w:b/>
          <w:color w:val="13576B"/>
          <w:sz w:val="20"/>
          <w:lang w:val="en-US"/>
        </w:rPr>
        <w:t>increase of</w:t>
      </w:r>
      <w:r w:rsidR="00116425" w:rsidRPr="00116425">
        <w:rPr>
          <w:rFonts w:ascii="Calibri" w:hAnsi="Calibri" w:cs="Calibri"/>
          <w:b/>
          <w:color w:val="13576B"/>
          <w:sz w:val="20"/>
          <w:lang w:val="en-US"/>
        </w:rPr>
        <w:t xml:space="preserve"> energy prices</w:t>
      </w:r>
      <w:r w:rsidR="00CF2B5A" w:rsidRPr="00CF2B5A">
        <w:rPr>
          <w:rFonts w:ascii="Calibri" w:hAnsi="Calibri" w:cs="Calibri"/>
          <w:b/>
          <w:color w:val="13576B"/>
          <w:sz w:val="20"/>
          <w:lang w:val="en-US"/>
        </w:rPr>
        <w:t xml:space="preserve"> </w:t>
      </w:r>
      <w:r w:rsidR="00CF2B5A">
        <w:rPr>
          <w:rFonts w:ascii="Calibri" w:hAnsi="Calibri" w:cs="Calibri"/>
          <w:b/>
          <w:color w:val="13576B"/>
          <w:sz w:val="20"/>
          <w:lang w:val="en-US"/>
        </w:rPr>
        <w:t xml:space="preserve">taken by the </w:t>
      </w:r>
      <w:r w:rsidR="00CF2B5A" w:rsidRPr="00116425">
        <w:rPr>
          <w:rFonts w:ascii="Calibri" w:hAnsi="Calibri" w:cs="Calibri"/>
          <w:b/>
          <w:color w:val="13576B"/>
          <w:sz w:val="20"/>
          <w:lang w:val="en-US"/>
        </w:rPr>
        <w:t>government</w:t>
      </w:r>
      <w:r w:rsidR="00CF2B5A">
        <w:rPr>
          <w:rFonts w:ascii="Calibri" w:hAnsi="Calibri" w:cs="Calibri"/>
          <w:b/>
          <w:color w:val="13576B"/>
          <w:sz w:val="20"/>
          <w:lang w:val="en-US"/>
        </w:rPr>
        <w:t>.</w:t>
      </w:r>
      <w:r w:rsidR="00CF2B5A" w:rsidRPr="00CF2B5A">
        <w:rPr>
          <w:rFonts w:ascii="Calibri" w:hAnsi="Calibri" w:cs="Calibri"/>
          <w:b/>
          <w:color w:val="13576B"/>
          <w:sz w:val="20"/>
          <w:lang w:val="en-US"/>
        </w:rPr>
        <w:t xml:space="preserve"> </w:t>
      </w:r>
      <w:r w:rsidR="00CF2B5A">
        <w:rPr>
          <w:rFonts w:ascii="Calibri" w:hAnsi="Calibri" w:cs="Calibri"/>
          <w:b/>
          <w:color w:val="13576B"/>
          <w:sz w:val="20"/>
          <w:lang w:val="en-US"/>
        </w:rPr>
        <w:t xml:space="preserve">This </w:t>
      </w:r>
      <w:r w:rsidR="00116425" w:rsidRPr="00116425">
        <w:rPr>
          <w:rFonts w:ascii="Calibri" w:hAnsi="Calibri" w:cs="Calibri"/>
          <w:b/>
          <w:color w:val="13576B"/>
          <w:sz w:val="20"/>
          <w:lang w:val="en-US"/>
        </w:rPr>
        <w:t>should not</w:t>
      </w:r>
      <w:r w:rsidR="00CF2B5A">
        <w:rPr>
          <w:rFonts w:ascii="Calibri" w:hAnsi="Calibri" w:cs="Calibri"/>
          <w:b/>
          <w:color w:val="13576B"/>
          <w:sz w:val="20"/>
          <w:lang w:val="en-US"/>
        </w:rPr>
        <w:t>, how</w:t>
      </w:r>
      <w:r w:rsidR="00C87CCA">
        <w:rPr>
          <w:rFonts w:ascii="Calibri" w:hAnsi="Calibri" w:cs="Calibri"/>
          <w:b/>
          <w:color w:val="13576B"/>
          <w:sz w:val="20"/>
          <w:lang w:val="en-US"/>
        </w:rPr>
        <w:t>e</w:t>
      </w:r>
      <w:r w:rsidR="00CF2B5A">
        <w:rPr>
          <w:rFonts w:ascii="Calibri" w:hAnsi="Calibri" w:cs="Calibri"/>
          <w:b/>
          <w:color w:val="13576B"/>
          <w:sz w:val="20"/>
          <w:lang w:val="en-US"/>
        </w:rPr>
        <w:t>ver,</w:t>
      </w:r>
      <w:r w:rsidR="00116425" w:rsidRPr="00116425">
        <w:rPr>
          <w:rFonts w:ascii="Calibri" w:hAnsi="Calibri" w:cs="Calibri"/>
          <w:b/>
          <w:color w:val="13576B"/>
          <w:sz w:val="20"/>
          <w:lang w:val="en-US"/>
        </w:rPr>
        <w:t xml:space="preserve"> change the trajectory of the Czech National Bank's interest rate increase in the coming months. </w:t>
      </w:r>
      <w:r w:rsidR="00C87CCA">
        <w:rPr>
          <w:rFonts w:ascii="Calibri" w:hAnsi="Calibri" w:cs="Calibri"/>
          <w:b/>
          <w:color w:val="13576B"/>
          <w:sz w:val="20"/>
          <w:lang w:val="en-US"/>
        </w:rPr>
        <w:t xml:space="preserve">The </w:t>
      </w:r>
      <w:r w:rsidR="00116425" w:rsidRPr="00116425">
        <w:rPr>
          <w:rFonts w:ascii="Calibri" w:hAnsi="Calibri" w:cs="Calibri"/>
          <w:b/>
          <w:color w:val="13576B"/>
          <w:sz w:val="20"/>
          <w:lang w:val="en-US"/>
        </w:rPr>
        <w:t xml:space="preserve">koruna should </w:t>
      </w:r>
      <w:r w:rsidR="00C87CCA">
        <w:rPr>
          <w:rFonts w:ascii="Calibri" w:hAnsi="Calibri" w:cs="Calibri"/>
          <w:b/>
          <w:color w:val="13576B"/>
          <w:sz w:val="20"/>
          <w:lang w:val="en-US"/>
        </w:rPr>
        <w:t xml:space="preserve">nevertheless </w:t>
      </w:r>
      <w:r w:rsidR="00116425" w:rsidRPr="00116425">
        <w:rPr>
          <w:rFonts w:ascii="Calibri" w:hAnsi="Calibri" w:cs="Calibri"/>
          <w:b/>
          <w:color w:val="13576B"/>
          <w:sz w:val="20"/>
          <w:lang w:val="en-US"/>
        </w:rPr>
        <w:t>strengthen only slightly next year</w:t>
      </w:r>
      <w:r w:rsidR="00DA19AF">
        <w:rPr>
          <w:rFonts w:ascii="Calibri" w:hAnsi="Calibri" w:cs="Calibri"/>
          <w:b/>
          <w:color w:val="13576B"/>
          <w:sz w:val="20"/>
          <w:lang w:val="en-US"/>
        </w:rPr>
        <w:t>.</w:t>
      </w:r>
      <w:r w:rsidR="00CF2B5A">
        <w:rPr>
          <w:rFonts w:ascii="Calibri" w:hAnsi="Calibri" w:cs="Calibri"/>
          <w:b/>
          <w:color w:val="13576B"/>
          <w:sz w:val="20"/>
          <w:lang w:val="en-US"/>
        </w:rPr>
        <w:t xml:space="preserve"> </w:t>
      </w:r>
      <w:r w:rsidR="00B671B0">
        <w:rPr>
          <w:rFonts w:ascii="Calibri" w:hAnsi="Calibri" w:cs="Calibri"/>
          <w:b/>
          <w:color w:val="13576B"/>
          <w:sz w:val="20"/>
          <w:lang w:val="en-US"/>
        </w:rPr>
        <w:t xml:space="preserve"> </w:t>
      </w:r>
      <w:r w:rsidR="00356279">
        <w:rPr>
          <w:rFonts w:ascii="Calibri" w:hAnsi="Calibri" w:cs="Calibri"/>
          <w:b/>
          <w:color w:val="13576B"/>
          <w:sz w:val="20"/>
          <w:lang w:val="en-US"/>
        </w:rPr>
        <w:t xml:space="preserve">    </w:t>
      </w:r>
      <w:r w:rsidR="00DA19AF">
        <w:rPr>
          <w:rFonts w:ascii="Calibri" w:hAnsi="Calibri" w:cs="Calibri"/>
          <w:b/>
          <w:color w:val="13576B"/>
          <w:sz w:val="20"/>
          <w:lang w:val="en-US"/>
        </w:rPr>
        <w:t xml:space="preserve"> </w:t>
      </w:r>
    </w:p>
    <w:p w14:paraId="37B455EC" w14:textId="167B2026" w:rsidR="00116425" w:rsidRDefault="00DA282C" w:rsidP="00DF7FD9">
      <w:pPr>
        <w:spacing w:before="120" w:after="120"/>
        <w:rPr>
          <w:rFonts w:ascii="Calibri" w:hAnsi="Calibri" w:cs="Calibri"/>
          <w:b/>
          <w:color w:val="13576B"/>
          <w:sz w:val="22"/>
          <w:szCs w:val="22"/>
          <w:lang w:val="en-US"/>
        </w:rPr>
      </w:pPr>
      <w:r>
        <w:rPr>
          <w:rFonts w:ascii="Calibri" w:hAnsi="Calibri" w:cs="Calibri"/>
          <w:b/>
          <w:color w:val="13576B"/>
          <w:sz w:val="22"/>
          <w:szCs w:val="22"/>
          <w:lang w:val="en-US"/>
        </w:rPr>
        <w:t>T</w:t>
      </w:r>
      <w:r w:rsidR="00116425" w:rsidRPr="00116425">
        <w:rPr>
          <w:rFonts w:ascii="Calibri" w:hAnsi="Calibri" w:cs="Calibri"/>
          <w:b/>
          <w:color w:val="13576B"/>
          <w:sz w:val="22"/>
          <w:szCs w:val="22"/>
          <w:lang w:val="en-US"/>
        </w:rPr>
        <w:t xml:space="preserve">he pandemic situation continues to disrupt production and </w:t>
      </w:r>
      <w:r w:rsidR="00AB773F">
        <w:rPr>
          <w:rFonts w:ascii="Calibri" w:hAnsi="Calibri" w:cs="Calibri"/>
          <w:b/>
          <w:color w:val="13576B"/>
          <w:sz w:val="22"/>
          <w:szCs w:val="22"/>
          <w:lang w:val="en-US"/>
        </w:rPr>
        <w:t xml:space="preserve">to </w:t>
      </w:r>
      <w:r w:rsidR="00116425" w:rsidRPr="00116425">
        <w:rPr>
          <w:rFonts w:ascii="Calibri" w:hAnsi="Calibri" w:cs="Calibri"/>
          <w:b/>
          <w:color w:val="13576B"/>
          <w:sz w:val="22"/>
          <w:szCs w:val="22"/>
          <w:lang w:val="en-US"/>
        </w:rPr>
        <w:t>limit the recovery of global economy</w:t>
      </w:r>
    </w:p>
    <w:p w14:paraId="41664D2A" w14:textId="5550A077" w:rsidR="00116425" w:rsidRDefault="00082CD7" w:rsidP="00DF7FD9">
      <w:pPr>
        <w:spacing w:before="120" w:after="120"/>
        <w:rPr>
          <w:rFonts w:ascii="Calibri" w:hAnsi="Calibri" w:cs="Calibri"/>
          <w:sz w:val="20"/>
          <w:lang w:val="en-US"/>
        </w:rPr>
      </w:pPr>
      <w:r w:rsidRPr="00DA282C">
        <w:rPr>
          <w:rFonts w:ascii="Calibri" w:hAnsi="Calibri" w:cs="Calibri"/>
          <w:noProof/>
          <w:sz w:val="20"/>
          <w:lang w:val="en-US"/>
        </w:rPr>
        <mc:AlternateContent>
          <mc:Choice Requires="wps">
            <w:drawing>
              <wp:anchor distT="45720" distB="45720" distL="114300" distR="114300" simplePos="0" relativeHeight="251664384" behindDoc="0" locked="0" layoutInCell="1" allowOverlap="1" wp14:anchorId="3E7E5370" wp14:editId="7C60B0BD">
                <wp:simplePos x="0" y="0"/>
                <wp:positionH relativeFrom="margin">
                  <wp:posOffset>18415</wp:posOffset>
                </wp:positionH>
                <wp:positionV relativeFrom="paragraph">
                  <wp:posOffset>1620275</wp:posOffset>
                </wp:positionV>
                <wp:extent cx="6461760" cy="894080"/>
                <wp:effectExtent l="0" t="0" r="15240" b="20320"/>
                <wp:wrapSquare wrapText="bothSides"/>
                <wp:docPr id="2"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894080"/>
                        </a:xfrm>
                        <a:prstGeom prst="rect">
                          <a:avLst/>
                        </a:prstGeom>
                        <a:solidFill>
                          <a:srgbClr val="FFFFFF"/>
                        </a:solidFill>
                        <a:ln w="9525">
                          <a:solidFill>
                            <a:srgbClr val="000000"/>
                          </a:solidFill>
                          <a:miter lim="800000"/>
                          <a:headEnd/>
                          <a:tailEnd/>
                        </a:ln>
                      </wps:spPr>
                      <wps:txbx>
                        <w:txbxContent>
                          <w:p w14:paraId="33B02031" w14:textId="54572CE3" w:rsidR="00BF5C5A" w:rsidRPr="00FA325B" w:rsidRDefault="00BF5C5A" w:rsidP="00BF5C5A">
                            <w:pPr>
                              <w:rPr>
                                <w:rFonts w:ascii="Calibri" w:hAnsi="Calibri" w:cs="Calibri"/>
                                <w:b/>
                                <w:bCs/>
                                <w:sz w:val="20"/>
                              </w:rPr>
                            </w:pPr>
                            <w:r>
                              <w:rPr>
                                <w:rFonts w:ascii="Calibri" w:hAnsi="Calibri" w:cs="Calibri"/>
                                <w:b/>
                                <w:bCs/>
                                <w:sz w:val="20"/>
                              </w:rPr>
                              <w:t>Jakub Seidler</w:t>
                            </w:r>
                            <w:r w:rsidRPr="00FA325B">
                              <w:rPr>
                                <w:rFonts w:ascii="Calibri" w:hAnsi="Calibri" w:cs="Calibri"/>
                                <w:b/>
                                <w:bCs/>
                                <w:sz w:val="20"/>
                              </w:rPr>
                              <w:t xml:space="preserve">, </w:t>
                            </w:r>
                            <w:r w:rsidR="000A461E" w:rsidRPr="00652044">
                              <w:rPr>
                                <w:rFonts w:ascii="Calibri" w:hAnsi="Calibri" w:cs="Calibri"/>
                                <w:b/>
                                <w:bCs/>
                                <w:sz w:val="20"/>
                                <w:lang w:val="en-US"/>
                              </w:rPr>
                              <w:t>Chief Economist of the Czech banking Association:</w:t>
                            </w:r>
                            <w:r w:rsidR="000A461E">
                              <w:rPr>
                                <w:rFonts w:ascii="Calibri" w:hAnsi="Calibri" w:cs="Calibri"/>
                                <w:b/>
                                <w:bCs/>
                                <w:sz w:val="20"/>
                              </w:rPr>
                              <w:t xml:space="preserve"> </w:t>
                            </w:r>
                          </w:p>
                          <w:p w14:paraId="06CFC5A8" w14:textId="04D5C625" w:rsidR="00BF5C5A" w:rsidRPr="00652044" w:rsidRDefault="00116425" w:rsidP="00BF5C5A">
                            <w:pPr>
                              <w:rPr>
                                <w:rFonts w:ascii="Calibri" w:hAnsi="Calibri" w:cs="Calibri"/>
                                <w:i/>
                                <w:iCs/>
                                <w:lang w:val="en-US"/>
                              </w:rPr>
                            </w:pPr>
                            <w:r w:rsidRPr="00652044">
                              <w:rPr>
                                <w:rFonts w:ascii="Calibri" w:hAnsi="Calibri" w:cs="Calibri"/>
                                <w:i/>
                                <w:iCs/>
                                <w:sz w:val="20"/>
                                <w:lang w:val="en-US"/>
                              </w:rPr>
                              <w:t>"The recovery of the world economy in the second half of this year was still significantly affected by disrupted</w:t>
                            </w:r>
                            <w:r w:rsidR="00652044">
                              <w:rPr>
                                <w:rFonts w:ascii="Calibri" w:hAnsi="Calibri" w:cs="Calibri"/>
                                <w:i/>
                                <w:iCs/>
                                <w:sz w:val="20"/>
                                <w:lang w:val="en-US"/>
                              </w:rPr>
                              <w:t xml:space="preserve"> suppl</w:t>
                            </w:r>
                            <w:r w:rsidR="008961EA">
                              <w:rPr>
                                <w:rFonts w:ascii="Calibri" w:hAnsi="Calibri" w:cs="Calibri"/>
                                <w:i/>
                                <w:iCs/>
                                <w:sz w:val="20"/>
                                <w:lang w:val="en-US"/>
                              </w:rPr>
                              <w:t>y chains</w:t>
                            </w:r>
                            <w:r w:rsidRPr="00652044">
                              <w:rPr>
                                <w:rFonts w:ascii="Calibri" w:hAnsi="Calibri" w:cs="Calibri"/>
                                <w:i/>
                                <w:iCs/>
                                <w:sz w:val="20"/>
                                <w:lang w:val="en-US"/>
                              </w:rPr>
                              <w:t xml:space="preserve"> and </w:t>
                            </w:r>
                            <w:r w:rsidR="003F2C24">
                              <w:rPr>
                                <w:rFonts w:ascii="Calibri" w:hAnsi="Calibri" w:cs="Calibri"/>
                                <w:i/>
                                <w:iCs/>
                                <w:sz w:val="20"/>
                                <w:lang w:val="en-US"/>
                              </w:rPr>
                              <w:t xml:space="preserve">by </w:t>
                            </w:r>
                            <w:r w:rsidRPr="00652044">
                              <w:rPr>
                                <w:rFonts w:ascii="Calibri" w:hAnsi="Calibri" w:cs="Calibri"/>
                                <w:i/>
                                <w:iCs/>
                                <w:sz w:val="20"/>
                                <w:lang w:val="en-US"/>
                              </w:rPr>
                              <w:t xml:space="preserve">lack of materials. Although these problems </w:t>
                            </w:r>
                            <w:r w:rsidR="00652044">
                              <w:rPr>
                                <w:rFonts w:ascii="Calibri" w:hAnsi="Calibri" w:cs="Calibri"/>
                                <w:i/>
                                <w:iCs/>
                                <w:sz w:val="20"/>
                                <w:lang w:val="en-US"/>
                              </w:rPr>
                              <w:t xml:space="preserve">are </w:t>
                            </w:r>
                            <w:r w:rsidRPr="00652044">
                              <w:rPr>
                                <w:rFonts w:ascii="Calibri" w:hAnsi="Calibri" w:cs="Calibri"/>
                                <w:i/>
                                <w:iCs/>
                                <w:sz w:val="20"/>
                                <w:lang w:val="en-US"/>
                              </w:rPr>
                              <w:t>slightly</w:t>
                            </w:r>
                            <w:r w:rsidR="00652044" w:rsidRPr="00652044">
                              <w:rPr>
                                <w:rFonts w:ascii="Calibri" w:hAnsi="Calibri" w:cs="Calibri"/>
                                <w:i/>
                                <w:iCs/>
                                <w:sz w:val="20"/>
                                <w:lang w:val="en-US"/>
                              </w:rPr>
                              <w:t xml:space="preserve"> </w:t>
                            </w:r>
                            <w:r w:rsidR="003F2C24">
                              <w:rPr>
                                <w:rFonts w:ascii="Calibri" w:hAnsi="Calibri" w:cs="Calibri"/>
                                <w:i/>
                                <w:iCs/>
                                <w:sz w:val="20"/>
                                <w:lang w:val="en-US"/>
                              </w:rPr>
                              <w:t>retreating</w:t>
                            </w:r>
                            <w:r w:rsidRPr="00652044">
                              <w:rPr>
                                <w:rFonts w:ascii="Calibri" w:hAnsi="Calibri" w:cs="Calibri"/>
                                <w:i/>
                                <w:iCs/>
                                <w:sz w:val="20"/>
                                <w:lang w:val="en-US"/>
                              </w:rPr>
                              <w:t>, they will probably persist in the first half of next year</w:t>
                            </w:r>
                            <w:r w:rsidR="00652044">
                              <w:rPr>
                                <w:rFonts w:ascii="Calibri" w:hAnsi="Calibri" w:cs="Calibri"/>
                                <w:i/>
                                <w:iCs/>
                                <w:sz w:val="20"/>
                                <w:lang w:val="en-US"/>
                              </w:rPr>
                              <w:t xml:space="preserve"> as well</w:t>
                            </w:r>
                            <w:r w:rsidRPr="00652044">
                              <w:rPr>
                                <w:rFonts w:ascii="Calibri" w:hAnsi="Calibri" w:cs="Calibri"/>
                                <w:i/>
                                <w:iCs/>
                                <w:sz w:val="20"/>
                                <w:lang w:val="en-US"/>
                              </w:rPr>
                              <w:t>. Add to that the energy crisis</w:t>
                            </w:r>
                            <w:r w:rsidR="008961EA">
                              <w:rPr>
                                <w:rFonts w:ascii="Calibri" w:hAnsi="Calibri" w:cs="Calibri"/>
                                <w:i/>
                                <w:iCs/>
                                <w:sz w:val="20"/>
                                <w:lang w:val="en-US"/>
                              </w:rPr>
                              <w:t xml:space="preserve"> and surging energy costs</w:t>
                            </w:r>
                            <w:r w:rsidRPr="00652044">
                              <w:rPr>
                                <w:rFonts w:ascii="Calibri" w:hAnsi="Calibri" w:cs="Calibri"/>
                                <w:i/>
                                <w:iCs/>
                                <w:sz w:val="20"/>
                                <w:lang w:val="en-US"/>
                              </w:rPr>
                              <w:t xml:space="preserve"> will </w:t>
                            </w:r>
                            <w:r w:rsidR="008961EA">
                              <w:rPr>
                                <w:rFonts w:ascii="Calibri" w:hAnsi="Calibri" w:cs="Calibri"/>
                                <w:i/>
                                <w:iCs/>
                                <w:sz w:val="20"/>
                                <w:lang w:val="en-US"/>
                              </w:rPr>
                              <w:t xml:space="preserve">negatively </w:t>
                            </w:r>
                            <w:r w:rsidRPr="00652044">
                              <w:rPr>
                                <w:rFonts w:ascii="Calibri" w:hAnsi="Calibri" w:cs="Calibri"/>
                                <w:i/>
                                <w:iCs/>
                                <w:sz w:val="20"/>
                                <w:lang w:val="en-US"/>
                              </w:rPr>
                              <w:t xml:space="preserve">affect both </w:t>
                            </w:r>
                            <w:r w:rsidR="003F2C24">
                              <w:rPr>
                                <w:rFonts w:ascii="Calibri" w:hAnsi="Calibri" w:cs="Calibri"/>
                                <w:i/>
                                <w:iCs/>
                                <w:sz w:val="20"/>
                                <w:lang w:val="en-US"/>
                              </w:rPr>
                              <w:t>enterprises</w:t>
                            </w:r>
                            <w:r w:rsidRPr="00652044">
                              <w:rPr>
                                <w:rFonts w:ascii="Calibri" w:hAnsi="Calibri" w:cs="Calibri"/>
                                <w:i/>
                                <w:iCs/>
                                <w:sz w:val="20"/>
                                <w:lang w:val="en-US"/>
                              </w:rPr>
                              <w:t xml:space="preserve"> and household consumption.</w:t>
                            </w:r>
                            <w:r w:rsidR="003F2C24">
                              <w:rPr>
                                <w:rFonts w:ascii="Calibri" w:hAnsi="Calibri" w:cs="Calibri"/>
                                <w:i/>
                                <w:iCs/>
                                <w:sz w:val="20"/>
                                <w:lang w:val="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E7E5370" id="_x0000_t202" coordsize="21600,21600" o:spt="202" path="m,l,21600r21600,l21600,xe">
                <v:stroke joinstyle="miter"/>
                <v:path gradientshapeok="t" o:connecttype="rect"/>
              </v:shapetype>
              <v:shape id="Textové pole 2" o:spid="_x0000_s1026" type="#_x0000_t202" style="position:absolute;left:0;text-align:left;margin-left:1.45pt;margin-top:127.6pt;width:508.8pt;height:70.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">
                <v:textbox>
                  <w:txbxContent>
                    <w:p w14:paraId="33B02031" w14:textId="54572CE3" w:rsidR="00BF5C5A" w:rsidRPr="00FA325B" w:rsidRDefault="00BF5C5A" w:rsidP="00BF5C5A">
                      <w:pPr>
                        <w:rPr>
                          <w:rFonts w:ascii="Calibri" w:hAnsi="Calibri" w:cs="Calibri"/>
                          <w:b/>
                          <w:bCs/>
                          <w:sz w:val="20"/>
                        </w:rPr>
                      </w:pPr>
                      <w:r>
                        <w:rPr>
                          <w:rFonts w:ascii="Calibri" w:hAnsi="Calibri" w:cs="Calibri"/>
                          <w:b/>
                          <w:bCs/>
                          <w:sz w:val="20"/>
                        </w:rPr>
                        <w:t>Jakub Seidler</w:t>
                      </w:r>
                      <w:r w:rsidRPr="00FA325B">
                        <w:rPr>
                          <w:rFonts w:ascii="Calibri" w:hAnsi="Calibri" w:cs="Calibri"/>
                          <w:b/>
                          <w:bCs/>
                          <w:sz w:val="20"/>
                        </w:rPr>
                        <w:t xml:space="preserve">, </w:t>
                      </w:r>
                      <w:r w:rsidR="000A461E" w:rsidRPr="00652044">
                        <w:rPr>
                          <w:rFonts w:ascii="Calibri" w:hAnsi="Calibri" w:cs="Calibri"/>
                          <w:b/>
                          <w:bCs/>
                          <w:sz w:val="20"/>
                          <w:lang w:val="en-US"/>
                        </w:rPr>
                        <w:t>Chief Economist of the Czech banking Association:</w:t>
                      </w:r>
                      <w:r w:rsidR="000A461E">
                        <w:rPr>
                          <w:rFonts w:ascii="Calibri" w:hAnsi="Calibri" w:cs="Calibri"/>
                          <w:b/>
                          <w:bCs/>
                          <w:sz w:val="20"/>
                        </w:rPr>
                        <w:t xml:space="preserve"> </w:t>
                      </w:r>
                    </w:p>
                    <w:p w14:paraId="06CFC5A8" w14:textId="04D5C625" w:rsidR="00BF5C5A" w:rsidRPr="00652044" w:rsidRDefault="00116425" w:rsidP="00BF5C5A">
                      <w:pPr>
                        <w:rPr>
                          <w:rFonts w:ascii="Calibri" w:hAnsi="Calibri" w:cs="Calibri"/>
                          <w:i/>
                          <w:iCs/>
                          <w:lang w:val="en-US"/>
                        </w:rPr>
                      </w:pPr>
                      <w:r w:rsidRPr="00652044">
                        <w:rPr>
                          <w:rFonts w:ascii="Calibri" w:hAnsi="Calibri" w:cs="Calibri"/>
                          <w:i/>
                          <w:iCs/>
                          <w:sz w:val="20"/>
                          <w:lang w:val="en-US"/>
                        </w:rPr>
                        <w:t>"The recovery of the world economy in the second half of this year was still significantly affected by disrupted</w:t>
                      </w:r>
                      <w:r w:rsidR="00652044">
                        <w:rPr>
                          <w:rFonts w:ascii="Calibri" w:hAnsi="Calibri" w:cs="Calibri"/>
                          <w:i/>
                          <w:iCs/>
                          <w:sz w:val="20"/>
                          <w:lang w:val="en-US"/>
                        </w:rPr>
                        <w:t xml:space="preserve"> suppl</w:t>
                      </w:r>
                      <w:r w:rsidR="008961EA">
                        <w:rPr>
                          <w:rFonts w:ascii="Calibri" w:hAnsi="Calibri" w:cs="Calibri"/>
                          <w:i/>
                          <w:iCs/>
                          <w:sz w:val="20"/>
                          <w:lang w:val="en-US"/>
                        </w:rPr>
                        <w:t>y chains</w:t>
                      </w:r>
                      <w:r w:rsidRPr="00652044">
                        <w:rPr>
                          <w:rFonts w:ascii="Calibri" w:hAnsi="Calibri" w:cs="Calibri"/>
                          <w:i/>
                          <w:iCs/>
                          <w:sz w:val="20"/>
                          <w:lang w:val="en-US"/>
                        </w:rPr>
                        <w:t xml:space="preserve"> and </w:t>
                      </w:r>
                      <w:r w:rsidR="003F2C24">
                        <w:rPr>
                          <w:rFonts w:ascii="Calibri" w:hAnsi="Calibri" w:cs="Calibri"/>
                          <w:i/>
                          <w:iCs/>
                          <w:sz w:val="20"/>
                          <w:lang w:val="en-US"/>
                        </w:rPr>
                        <w:t xml:space="preserve">by </w:t>
                      </w:r>
                      <w:r w:rsidRPr="00652044">
                        <w:rPr>
                          <w:rFonts w:ascii="Calibri" w:hAnsi="Calibri" w:cs="Calibri"/>
                          <w:i/>
                          <w:iCs/>
                          <w:sz w:val="20"/>
                          <w:lang w:val="en-US"/>
                        </w:rPr>
                        <w:t xml:space="preserve">lack of materials. Although these problems </w:t>
                      </w:r>
                      <w:r w:rsidR="00652044">
                        <w:rPr>
                          <w:rFonts w:ascii="Calibri" w:hAnsi="Calibri" w:cs="Calibri"/>
                          <w:i/>
                          <w:iCs/>
                          <w:sz w:val="20"/>
                          <w:lang w:val="en-US"/>
                        </w:rPr>
                        <w:t xml:space="preserve">are </w:t>
                      </w:r>
                      <w:r w:rsidRPr="00652044">
                        <w:rPr>
                          <w:rFonts w:ascii="Calibri" w:hAnsi="Calibri" w:cs="Calibri"/>
                          <w:i/>
                          <w:iCs/>
                          <w:sz w:val="20"/>
                          <w:lang w:val="en-US"/>
                        </w:rPr>
                        <w:t>slightly</w:t>
                      </w:r>
                      <w:r w:rsidR="00652044" w:rsidRPr="00652044">
                        <w:rPr>
                          <w:rFonts w:ascii="Calibri" w:hAnsi="Calibri" w:cs="Calibri"/>
                          <w:i/>
                          <w:iCs/>
                          <w:sz w:val="20"/>
                          <w:lang w:val="en-US"/>
                        </w:rPr>
                        <w:t xml:space="preserve"> </w:t>
                      </w:r>
                      <w:r w:rsidR="003F2C24">
                        <w:rPr>
                          <w:rFonts w:ascii="Calibri" w:hAnsi="Calibri" w:cs="Calibri"/>
                          <w:i/>
                          <w:iCs/>
                          <w:sz w:val="20"/>
                          <w:lang w:val="en-US"/>
                        </w:rPr>
                        <w:t>retreating</w:t>
                      </w:r>
                      <w:r w:rsidRPr="00652044">
                        <w:rPr>
                          <w:rFonts w:ascii="Calibri" w:hAnsi="Calibri" w:cs="Calibri"/>
                          <w:i/>
                          <w:iCs/>
                          <w:sz w:val="20"/>
                          <w:lang w:val="en-US"/>
                        </w:rPr>
                        <w:t>, they will probably persist in the first half of next year</w:t>
                      </w:r>
                      <w:r w:rsidR="00652044">
                        <w:rPr>
                          <w:rFonts w:ascii="Calibri" w:hAnsi="Calibri" w:cs="Calibri"/>
                          <w:i/>
                          <w:iCs/>
                          <w:sz w:val="20"/>
                          <w:lang w:val="en-US"/>
                        </w:rPr>
                        <w:t xml:space="preserve"> as well</w:t>
                      </w:r>
                      <w:r w:rsidRPr="00652044">
                        <w:rPr>
                          <w:rFonts w:ascii="Calibri" w:hAnsi="Calibri" w:cs="Calibri"/>
                          <w:i/>
                          <w:iCs/>
                          <w:sz w:val="20"/>
                          <w:lang w:val="en-US"/>
                        </w:rPr>
                        <w:t>. Add to that the energy crisis</w:t>
                      </w:r>
                      <w:r w:rsidR="008961EA">
                        <w:rPr>
                          <w:rFonts w:ascii="Calibri" w:hAnsi="Calibri" w:cs="Calibri"/>
                          <w:i/>
                          <w:iCs/>
                          <w:sz w:val="20"/>
                          <w:lang w:val="en-US"/>
                        </w:rPr>
                        <w:t xml:space="preserve"> and surging energy costs</w:t>
                      </w:r>
                      <w:r w:rsidRPr="00652044">
                        <w:rPr>
                          <w:rFonts w:ascii="Calibri" w:hAnsi="Calibri" w:cs="Calibri"/>
                          <w:i/>
                          <w:iCs/>
                          <w:sz w:val="20"/>
                          <w:lang w:val="en-US"/>
                        </w:rPr>
                        <w:t xml:space="preserve"> will </w:t>
                      </w:r>
                      <w:r w:rsidR="008961EA">
                        <w:rPr>
                          <w:rFonts w:ascii="Calibri" w:hAnsi="Calibri" w:cs="Calibri"/>
                          <w:i/>
                          <w:iCs/>
                          <w:sz w:val="20"/>
                          <w:lang w:val="en-US"/>
                        </w:rPr>
                        <w:t xml:space="preserve">negatively </w:t>
                      </w:r>
                      <w:r w:rsidRPr="00652044">
                        <w:rPr>
                          <w:rFonts w:ascii="Calibri" w:hAnsi="Calibri" w:cs="Calibri"/>
                          <w:i/>
                          <w:iCs/>
                          <w:sz w:val="20"/>
                          <w:lang w:val="en-US"/>
                        </w:rPr>
                        <w:t xml:space="preserve">affect both </w:t>
                      </w:r>
                      <w:r w:rsidR="003F2C24">
                        <w:rPr>
                          <w:rFonts w:ascii="Calibri" w:hAnsi="Calibri" w:cs="Calibri"/>
                          <w:i/>
                          <w:iCs/>
                          <w:sz w:val="20"/>
                          <w:lang w:val="en-US"/>
                        </w:rPr>
                        <w:t>enterprises</w:t>
                      </w:r>
                      <w:r w:rsidRPr="00652044">
                        <w:rPr>
                          <w:rFonts w:ascii="Calibri" w:hAnsi="Calibri" w:cs="Calibri"/>
                          <w:i/>
                          <w:iCs/>
                          <w:sz w:val="20"/>
                          <w:lang w:val="en-US"/>
                        </w:rPr>
                        <w:t xml:space="preserve"> and household consumption.</w:t>
                      </w:r>
                      <w:r w:rsidR="003F2C24">
                        <w:rPr>
                          <w:rFonts w:ascii="Calibri" w:hAnsi="Calibri" w:cs="Calibri"/>
                          <w:i/>
                          <w:iCs/>
                          <w:sz w:val="20"/>
                          <w:lang w:val="en-US"/>
                        </w:rPr>
                        <w:t>”</w:t>
                      </w:r>
                    </w:p>
                  </w:txbxContent>
                </v:textbox>
                <w10:wrap type="square" anchorx="margin"/>
              </v:shape>
            </w:pict>
          </mc:Fallback>
        </mc:AlternateContent>
      </w:r>
      <w:r w:rsidR="005239F8">
        <w:rPr>
          <w:rFonts w:ascii="Calibri" w:hAnsi="Calibri" w:cs="Calibri"/>
          <w:sz w:val="20"/>
          <w:lang w:val="en-US"/>
        </w:rPr>
        <w:t>E</w:t>
      </w:r>
      <w:r w:rsidR="00116425" w:rsidRPr="00116425">
        <w:rPr>
          <w:rFonts w:ascii="Calibri" w:hAnsi="Calibri" w:cs="Calibri"/>
          <w:sz w:val="20"/>
          <w:lang w:val="en-US"/>
        </w:rPr>
        <w:t xml:space="preserve">conomic indicators in recent months </w:t>
      </w:r>
      <w:r w:rsidR="00104F4F">
        <w:rPr>
          <w:rFonts w:ascii="Calibri" w:hAnsi="Calibri" w:cs="Calibri"/>
          <w:sz w:val="20"/>
          <w:lang w:val="en-US"/>
        </w:rPr>
        <w:t xml:space="preserve">have indicated </w:t>
      </w:r>
      <w:r w:rsidR="00116425" w:rsidRPr="00116425">
        <w:rPr>
          <w:rFonts w:ascii="Calibri" w:hAnsi="Calibri" w:cs="Calibri"/>
          <w:sz w:val="20"/>
          <w:lang w:val="en-US"/>
        </w:rPr>
        <w:t xml:space="preserve">that the post-pandemic recovery is facing a number of </w:t>
      </w:r>
      <w:r w:rsidR="00F00875">
        <w:rPr>
          <w:rFonts w:ascii="Calibri" w:hAnsi="Calibri" w:cs="Calibri"/>
          <w:sz w:val="20"/>
          <w:lang w:val="en-US"/>
        </w:rPr>
        <w:t>issues</w:t>
      </w:r>
      <w:r w:rsidR="00116425" w:rsidRPr="00116425">
        <w:rPr>
          <w:rFonts w:ascii="Calibri" w:hAnsi="Calibri" w:cs="Calibri"/>
          <w:sz w:val="20"/>
          <w:lang w:val="en-US"/>
        </w:rPr>
        <w:t xml:space="preserve"> that are </w:t>
      </w:r>
      <w:r w:rsidR="00A97F2F">
        <w:rPr>
          <w:rFonts w:ascii="Calibri" w:hAnsi="Calibri" w:cs="Calibri"/>
          <w:sz w:val="20"/>
          <w:lang w:val="en-US"/>
        </w:rPr>
        <w:t>retreating</w:t>
      </w:r>
      <w:r w:rsidR="00A97F2F" w:rsidRPr="00116425">
        <w:rPr>
          <w:rFonts w:ascii="Calibri" w:hAnsi="Calibri" w:cs="Calibri"/>
          <w:sz w:val="20"/>
          <w:lang w:val="en-US"/>
        </w:rPr>
        <w:t xml:space="preserve"> </w:t>
      </w:r>
      <w:r w:rsidR="00116425" w:rsidRPr="00116425">
        <w:rPr>
          <w:rFonts w:ascii="Calibri" w:hAnsi="Calibri" w:cs="Calibri"/>
          <w:sz w:val="20"/>
          <w:lang w:val="en-US"/>
        </w:rPr>
        <w:t xml:space="preserve">more slowly than </w:t>
      </w:r>
      <w:r w:rsidR="001C0927">
        <w:rPr>
          <w:rFonts w:ascii="Calibri" w:hAnsi="Calibri" w:cs="Calibri"/>
          <w:sz w:val="20"/>
          <w:lang w:val="en-US"/>
        </w:rPr>
        <w:t xml:space="preserve">has been </w:t>
      </w:r>
      <w:r w:rsidR="00116425" w:rsidRPr="00116425">
        <w:rPr>
          <w:rFonts w:ascii="Calibri" w:hAnsi="Calibri" w:cs="Calibri"/>
          <w:sz w:val="20"/>
          <w:lang w:val="en-US"/>
        </w:rPr>
        <w:t xml:space="preserve">expected </w:t>
      </w:r>
      <w:r w:rsidR="004B16A5">
        <w:rPr>
          <w:rFonts w:ascii="Calibri" w:hAnsi="Calibri" w:cs="Calibri"/>
          <w:sz w:val="20"/>
          <w:lang w:val="en-US"/>
        </w:rPr>
        <w:t xml:space="preserve">even </w:t>
      </w:r>
      <w:r w:rsidR="00116425" w:rsidRPr="00116425">
        <w:rPr>
          <w:rFonts w:ascii="Calibri" w:hAnsi="Calibri" w:cs="Calibri"/>
          <w:sz w:val="20"/>
          <w:lang w:val="en-US"/>
        </w:rPr>
        <w:t xml:space="preserve">in the middle of the year. Disrupted </w:t>
      </w:r>
      <w:r w:rsidR="00A97F2F">
        <w:rPr>
          <w:rFonts w:ascii="Calibri" w:hAnsi="Calibri" w:cs="Calibri"/>
          <w:sz w:val="20"/>
          <w:lang w:val="en-US"/>
        </w:rPr>
        <w:t>suppl</w:t>
      </w:r>
      <w:r w:rsidR="008961EA">
        <w:rPr>
          <w:rFonts w:ascii="Calibri" w:hAnsi="Calibri" w:cs="Calibri"/>
          <w:sz w:val="20"/>
          <w:lang w:val="en-US"/>
        </w:rPr>
        <w:t xml:space="preserve">y chains </w:t>
      </w:r>
      <w:r w:rsidR="00116425" w:rsidRPr="00116425">
        <w:rPr>
          <w:rFonts w:ascii="Calibri" w:hAnsi="Calibri" w:cs="Calibri"/>
          <w:sz w:val="20"/>
          <w:lang w:val="en-US"/>
        </w:rPr>
        <w:t xml:space="preserve">remain a serious complication, making it difficult to supply the necessary parts and causing their prices to </w:t>
      </w:r>
      <w:r w:rsidR="00FD0D68">
        <w:rPr>
          <w:rFonts w:ascii="Calibri" w:hAnsi="Calibri" w:cs="Calibri"/>
          <w:sz w:val="20"/>
          <w:lang w:val="en-US"/>
        </w:rPr>
        <w:t>increase</w:t>
      </w:r>
      <w:r w:rsidR="00116425" w:rsidRPr="00116425">
        <w:rPr>
          <w:rFonts w:ascii="Calibri" w:hAnsi="Calibri" w:cs="Calibri"/>
          <w:sz w:val="20"/>
          <w:lang w:val="en-US"/>
        </w:rPr>
        <w:t xml:space="preserve"> rapidly. The </w:t>
      </w:r>
      <w:r w:rsidR="00C47EF2">
        <w:rPr>
          <w:rFonts w:ascii="Calibri" w:hAnsi="Calibri" w:cs="Calibri"/>
          <w:sz w:val="20"/>
          <w:lang w:val="en-US"/>
        </w:rPr>
        <w:t>issue</w:t>
      </w:r>
      <w:r w:rsidR="00116425" w:rsidRPr="00116425">
        <w:rPr>
          <w:rFonts w:ascii="Calibri" w:hAnsi="Calibri" w:cs="Calibri"/>
          <w:sz w:val="20"/>
          <w:lang w:val="en-US"/>
        </w:rPr>
        <w:t xml:space="preserve"> is the </w:t>
      </w:r>
      <w:r w:rsidR="00DD65C7">
        <w:rPr>
          <w:rFonts w:ascii="Calibri" w:hAnsi="Calibri" w:cs="Calibri"/>
          <w:sz w:val="20"/>
          <w:lang w:val="en-US"/>
        </w:rPr>
        <w:t xml:space="preserve">divergent </w:t>
      </w:r>
      <w:r w:rsidR="002D38E1">
        <w:rPr>
          <w:rFonts w:ascii="Calibri" w:hAnsi="Calibri" w:cs="Calibri"/>
          <w:sz w:val="20"/>
          <w:lang w:val="en-US"/>
        </w:rPr>
        <w:t xml:space="preserve">way </w:t>
      </w:r>
      <w:r w:rsidR="00A336E8">
        <w:rPr>
          <w:rFonts w:ascii="Calibri" w:hAnsi="Calibri" w:cs="Calibri"/>
          <w:sz w:val="20"/>
          <w:lang w:val="en-US"/>
        </w:rPr>
        <w:t xml:space="preserve">in which </w:t>
      </w:r>
      <w:r w:rsidR="00DD65C7">
        <w:rPr>
          <w:rFonts w:ascii="Calibri" w:hAnsi="Calibri" w:cs="Calibri"/>
          <w:sz w:val="20"/>
          <w:lang w:val="en-US"/>
        </w:rPr>
        <w:t xml:space="preserve">the </w:t>
      </w:r>
      <w:r w:rsidR="00116425" w:rsidRPr="00116425">
        <w:rPr>
          <w:rFonts w:ascii="Calibri" w:hAnsi="Calibri" w:cs="Calibri"/>
          <w:sz w:val="20"/>
          <w:lang w:val="en-US"/>
        </w:rPr>
        <w:t xml:space="preserve">pandemic situation </w:t>
      </w:r>
      <w:r w:rsidR="002D38E1">
        <w:rPr>
          <w:rFonts w:ascii="Calibri" w:hAnsi="Calibri" w:cs="Calibri"/>
          <w:sz w:val="20"/>
          <w:lang w:val="en-US"/>
        </w:rPr>
        <w:t xml:space="preserve">develops </w:t>
      </w:r>
      <w:r w:rsidR="00116425" w:rsidRPr="00116425">
        <w:rPr>
          <w:rFonts w:ascii="Calibri" w:hAnsi="Calibri" w:cs="Calibri"/>
          <w:sz w:val="20"/>
          <w:lang w:val="en-US"/>
        </w:rPr>
        <w:t xml:space="preserve">within </w:t>
      </w:r>
      <w:r w:rsidR="003C3DCB">
        <w:rPr>
          <w:rFonts w:ascii="Calibri" w:hAnsi="Calibri" w:cs="Calibri"/>
          <w:sz w:val="20"/>
          <w:lang w:val="en-US"/>
        </w:rPr>
        <w:t xml:space="preserve">the </w:t>
      </w:r>
      <w:r w:rsidR="00A037CB">
        <w:rPr>
          <w:rFonts w:ascii="Calibri" w:hAnsi="Calibri" w:cs="Calibri"/>
          <w:sz w:val="20"/>
          <w:lang w:val="en-US"/>
        </w:rPr>
        <w:t>global e</w:t>
      </w:r>
      <w:r w:rsidR="00116425" w:rsidRPr="00116425">
        <w:rPr>
          <w:rFonts w:ascii="Calibri" w:hAnsi="Calibri" w:cs="Calibri"/>
          <w:sz w:val="20"/>
          <w:lang w:val="en-US"/>
        </w:rPr>
        <w:t>conomy</w:t>
      </w:r>
      <w:r w:rsidR="00DD65C7">
        <w:rPr>
          <w:rFonts w:ascii="Calibri" w:hAnsi="Calibri" w:cs="Calibri"/>
          <w:sz w:val="20"/>
          <w:lang w:val="en-US"/>
        </w:rPr>
        <w:t xml:space="preserve">. </w:t>
      </w:r>
      <w:r w:rsidR="00116425" w:rsidRPr="00116425">
        <w:rPr>
          <w:rFonts w:ascii="Calibri" w:hAnsi="Calibri" w:cs="Calibri"/>
          <w:sz w:val="20"/>
          <w:lang w:val="en-US"/>
        </w:rPr>
        <w:t xml:space="preserve">Many countries thus struggled with the pandemic </w:t>
      </w:r>
      <w:r w:rsidR="00D46A43">
        <w:rPr>
          <w:rFonts w:ascii="Calibri" w:hAnsi="Calibri" w:cs="Calibri"/>
          <w:sz w:val="20"/>
          <w:lang w:val="en-US"/>
        </w:rPr>
        <w:t xml:space="preserve">even </w:t>
      </w:r>
      <w:r w:rsidR="00116425" w:rsidRPr="00116425">
        <w:rPr>
          <w:rFonts w:ascii="Calibri" w:hAnsi="Calibri" w:cs="Calibri"/>
          <w:sz w:val="20"/>
          <w:lang w:val="en-US"/>
        </w:rPr>
        <w:t xml:space="preserve">during the summer, which disrupted their production capacities, while in </w:t>
      </w:r>
      <w:r w:rsidR="000A461E">
        <w:rPr>
          <w:rFonts w:ascii="Calibri" w:hAnsi="Calibri" w:cs="Calibri"/>
          <w:sz w:val="20"/>
          <w:lang w:val="en-US"/>
        </w:rPr>
        <w:t>certain</w:t>
      </w:r>
      <w:r w:rsidR="00116425" w:rsidRPr="00116425">
        <w:rPr>
          <w:rFonts w:ascii="Calibri" w:hAnsi="Calibri" w:cs="Calibri"/>
          <w:sz w:val="20"/>
          <w:lang w:val="en-US"/>
        </w:rPr>
        <w:t xml:space="preserve"> economies</w:t>
      </w:r>
      <w:r w:rsidR="00686180">
        <w:rPr>
          <w:rFonts w:ascii="Calibri" w:hAnsi="Calibri" w:cs="Calibri"/>
          <w:sz w:val="20"/>
          <w:lang w:val="en-US"/>
        </w:rPr>
        <w:t>,</w:t>
      </w:r>
      <w:r w:rsidR="00116425" w:rsidRPr="00116425">
        <w:rPr>
          <w:rFonts w:ascii="Calibri" w:hAnsi="Calibri" w:cs="Calibri"/>
          <w:sz w:val="20"/>
          <w:lang w:val="en-US"/>
        </w:rPr>
        <w:t xml:space="preserve"> demand grew in the hope that the pandemic would end due to </w:t>
      </w:r>
      <w:r w:rsidR="00AB773F">
        <w:rPr>
          <w:rFonts w:ascii="Calibri" w:hAnsi="Calibri" w:cs="Calibri"/>
          <w:sz w:val="20"/>
          <w:lang w:val="en-US"/>
        </w:rPr>
        <w:t xml:space="preserve">the </w:t>
      </w:r>
      <w:r w:rsidR="00116425" w:rsidRPr="00116425">
        <w:rPr>
          <w:rFonts w:ascii="Calibri" w:hAnsi="Calibri" w:cs="Calibri"/>
          <w:sz w:val="20"/>
          <w:lang w:val="en-US"/>
        </w:rPr>
        <w:t xml:space="preserve">vaccination. The mismatch between supply and demand thus </w:t>
      </w:r>
      <w:r w:rsidR="000A461E">
        <w:rPr>
          <w:rFonts w:ascii="Calibri" w:hAnsi="Calibri" w:cs="Calibri"/>
          <w:sz w:val="20"/>
          <w:lang w:val="en-US"/>
        </w:rPr>
        <w:t>produces</w:t>
      </w:r>
      <w:r w:rsidR="00116425" w:rsidRPr="00116425">
        <w:rPr>
          <w:rFonts w:ascii="Calibri" w:hAnsi="Calibri" w:cs="Calibri"/>
          <w:sz w:val="20"/>
          <w:lang w:val="en-US"/>
        </w:rPr>
        <w:t xml:space="preserve"> a number of adverse effects, including a shortage of goods and </w:t>
      </w:r>
      <w:r w:rsidR="000A461E">
        <w:rPr>
          <w:rFonts w:ascii="Calibri" w:hAnsi="Calibri" w:cs="Calibri"/>
          <w:sz w:val="20"/>
          <w:lang w:val="en-US"/>
        </w:rPr>
        <w:t xml:space="preserve">their </w:t>
      </w:r>
      <w:r w:rsidR="00116425" w:rsidRPr="00116425">
        <w:rPr>
          <w:rFonts w:ascii="Calibri" w:hAnsi="Calibri" w:cs="Calibri"/>
          <w:sz w:val="20"/>
          <w:lang w:val="en-US"/>
        </w:rPr>
        <w:t>rising prices. In the second half of this year, a number of economies were hit by the energy crisis, which brought about a multipl</w:t>
      </w:r>
      <w:r w:rsidR="000A461E">
        <w:rPr>
          <w:rFonts w:ascii="Calibri" w:hAnsi="Calibri" w:cs="Calibri"/>
          <w:sz w:val="20"/>
          <w:lang w:val="en-US"/>
        </w:rPr>
        <w:t xml:space="preserve">e increase in </w:t>
      </w:r>
      <w:r w:rsidR="00116425" w:rsidRPr="00116425">
        <w:rPr>
          <w:rFonts w:ascii="Calibri" w:hAnsi="Calibri" w:cs="Calibri"/>
          <w:sz w:val="20"/>
          <w:lang w:val="en-US"/>
        </w:rPr>
        <w:t>energy prices</w:t>
      </w:r>
      <w:r w:rsidR="005E20CA">
        <w:rPr>
          <w:rFonts w:ascii="Calibri" w:hAnsi="Calibri" w:cs="Calibri"/>
          <w:sz w:val="20"/>
          <w:lang w:val="en-US"/>
        </w:rPr>
        <w:t xml:space="preserve">, </w:t>
      </w:r>
      <w:r w:rsidR="00116425" w:rsidRPr="00116425">
        <w:rPr>
          <w:rFonts w:ascii="Calibri" w:hAnsi="Calibri" w:cs="Calibri"/>
          <w:sz w:val="20"/>
          <w:lang w:val="en-US"/>
        </w:rPr>
        <w:t>fac</w:t>
      </w:r>
      <w:r w:rsidR="00686180">
        <w:rPr>
          <w:rFonts w:ascii="Calibri" w:hAnsi="Calibri" w:cs="Calibri"/>
          <w:sz w:val="20"/>
          <w:lang w:val="en-US"/>
        </w:rPr>
        <w:t xml:space="preserve">ed by </w:t>
      </w:r>
      <w:r w:rsidR="00116425" w:rsidRPr="00116425">
        <w:rPr>
          <w:rFonts w:ascii="Calibri" w:hAnsi="Calibri" w:cs="Calibri"/>
          <w:sz w:val="20"/>
          <w:lang w:val="en-US"/>
        </w:rPr>
        <w:t xml:space="preserve">a large part of the world economy. In Europe, the situation has reached a </w:t>
      </w:r>
      <w:r w:rsidR="00AB7EAA">
        <w:rPr>
          <w:rFonts w:ascii="Calibri" w:hAnsi="Calibri" w:cs="Calibri"/>
          <w:sz w:val="20"/>
          <w:lang w:val="en-US"/>
        </w:rPr>
        <w:t>highly</w:t>
      </w:r>
      <w:r w:rsidR="00116425" w:rsidRPr="00116425">
        <w:rPr>
          <w:rFonts w:ascii="Calibri" w:hAnsi="Calibri" w:cs="Calibri"/>
          <w:sz w:val="20"/>
          <w:lang w:val="en-US"/>
        </w:rPr>
        <w:t xml:space="preserve"> extreme level due to the concurrence of a number of adverse effects</w:t>
      </w:r>
      <w:r w:rsidR="005239F8">
        <w:rPr>
          <w:rFonts w:ascii="Calibri" w:hAnsi="Calibri" w:cs="Calibri"/>
          <w:sz w:val="20"/>
          <w:lang w:val="en-US"/>
        </w:rPr>
        <w:t xml:space="preserve">. </w:t>
      </w:r>
      <w:r w:rsidR="00116425" w:rsidRPr="00116425">
        <w:rPr>
          <w:rFonts w:ascii="Calibri" w:hAnsi="Calibri" w:cs="Calibri"/>
          <w:sz w:val="20"/>
          <w:lang w:val="en-US"/>
        </w:rPr>
        <w:t xml:space="preserve"> This factor will also disrupt the recovery of </w:t>
      </w:r>
      <w:r w:rsidR="00661D3B">
        <w:rPr>
          <w:rFonts w:ascii="Calibri" w:hAnsi="Calibri" w:cs="Calibri"/>
          <w:sz w:val="20"/>
          <w:lang w:val="en-US"/>
        </w:rPr>
        <w:t xml:space="preserve">the </w:t>
      </w:r>
      <w:r w:rsidR="00116425" w:rsidRPr="00116425">
        <w:rPr>
          <w:rFonts w:ascii="Calibri" w:hAnsi="Calibri" w:cs="Calibri"/>
          <w:sz w:val="20"/>
          <w:lang w:val="en-US"/>
        </w:rPr>
        <w:t>European economies not only this year, but also in 2022</w:t>
      </w:r>
      <w:r w:rsidR="003F2C24">
        <w:rPr>
          <w:rFonts w:ascii="Calibri" w:hAnsi="Calibri" w:cs="Calibri"/>
          <w:sz w:val="20"/>
          <w:lang w:val="en-US"/>
        </w:rPr>
        <w:t>.</w:t>
      </w:r>
    </w:p>
    <w:p w14:paraId="7306EF6D" w14:textId="1DA4C40B" w:rsidR="00F32F3A" w:rsidRPr="000607E6" w:rsidRDefault="00CF3EF5" w:rsidP="00DF7FD9">
      <w:pPr>
        <w:spacing w:before="120" w:after="120"/>
        <w:rPr>
          <w:rFonts w:ascii="Calibri" w:hAnsi="Calibri" w:cs="Calibri"/>
          <w:b/>
          <w:color w:val="13576B"/>
          <w:sz w:val="22"/>
          <w:szCs w:val="22"/>
          <w:lang w:val="en-US"/>
        </w:rPr>
      </w:pPr>
      <w:bookmarkStart w:id="0" w:name="_Hlk87441833"/>
      <w:r>
        <w:rPr>
          <w:rFonts w:ascii="Calibri" w:hAnsi="Calibri" w:cs="Calibri"/>
          <w:b/>
          <w:color w:val="13576B"/>
          <w:sz w:val="22"/>
          <w:szCs w:val="22"/>
          <w:lang w:val="en-US"/>
        </w:rPr>
        <w:t>G</w:t>
      </w:r>
      <w:r w:rsidR="00116425" w:rsidRPr="00116425">
        <w:rPr>
          <w:rFonts w:ascii="Calibri" w:hAnsi="Calibri" w:cs="Calibri"/>
          <w:b/>
          <w:color w:val="13576B"/>
          <w:sz w:val="22"/>
          <w:szCs w:val="22"/>
          <w:lang w:val="en-US"/>
        </w:rPr>
        <w:t xml:space="preserve">rowth of the domestic economy is weaker than </w:t>
      </w:r>
      <w:r>
        <w:rPr>
          <w:rFonts w:ascii="Calibri" w:hAnsi="Calibri" w:cs="Calibri"/>
          <w:b/>
          <w:color w:val="13576B"/>
          <w:sz w:val="22"/>
          <w:szCs w:val="22"/>
          <w:lang w:val="en-US"/>
        </w:rPr>
        <w:t xml:space="preserve">had been </w:t>
      </w:r>
      <w:r w:rsidR="00116425" w:rsidRPr="00116425">
        <w:rPr>
          <w:rFonts w:ascii="Calibri" w:hAnsi="Calibri" w:cs="Calibri"/>
          <w:b/>
          <w:color w:val="13576B"/>
          <w:sz w:val="22"/>
          <w:szCs w:val="22"/>
          <w:lang w:val="en-US"/>
        </w:rPr>
        <w:t>expected before the holiday months</w:t>
      </w:r>
    </w:p>
    <w:bookmarkEnd w:id="0"/>
    <w:p w14:paraId="759FE02D" w14:textId="582B9360" w:rsidR="00116425" w:rsidRPr="00116425" w:rsidRDefault="00116425" w:rsidP="00DF7FD9">
      <w:pPr>
        <w:spacing w:before="120" w:after="120"/>
        <w:rPr>
          <w:rFonts w:ascii="Calibri" w:hAnsi="Calibri" w:cs="Calibri"/>
          <w:sz w:val="20"/>
          <w:lang w:val="en-US"/>
        </w:rPr>
      </w:pPr>
      <w:r w:rsidRPr="00652044">
        <w:rPr>
          <w:rFonts w:ascii="Calibri" w:hAnsi="Calibri" w:cs="Calibri"/>
          <w:b/>
          <w:bCs/>
          <w:sz w:val="20"/>
          <w:lang w:val="en-US"/>
        </w:rPr>
        <w:t xml:space="preserve">According to the new CBA forecast, the growth of the domestic economy will reach 2.6% this year, while the August forecast expected </w:t>
      </w:r>
      <w:r w:rsidR="00976653">
        <w:rPr>
          <w:rFonts w:ascii="Calibri" w:hAnsi="Calibri" w:cs="Calibri"/>
          <w:b/>
          <w:bCs/>
          <w:sz w:val="20"/>
          <w:lang w:val="en-US"/>
        </w:rPr>
        <w:t xml:space="preserve">it to </w:t>
      </w:r>
      <w:r w:rsidRPr="00652044">
        <w:rPr>
          <w:rFonts w:ascii="Calibri" w:hAnsi="Calibri" w:cs="Calibri"/>
          <w:b/>
          <w:bCs/>
          <w:sz w:val="20"/>
          <w:lang w:val="en-US"/>
        </w:rPr>
        <w:t xml:space="preserve">growth </w:t>
      </w:r>
      <w:r w:rsidR="00976653">
        <w:rPr>
          <w:rFonts w:ascii="Calibri" w:hAnsi="Calibri" w:cs="Calibri"/>
          <w:b/>
          <w:bCs/>
          <w:sz w:val="20"/>
          <w:lang w:val="en-US"/>
        </w:rPr>
        <w:t>at</w:t>
      </w:r>
      <w:r w:rsidRPr="00652044">
        <w:rPr>
          <w:rFonts w:ascii="Calibri" w:hAnsi="Calibri" w:cs="Calibri"/>
          <w:b/>
          <w:bCs/>
          <w:sz w:val="20"/>
          <w:lang w:val="en-US"/>
        </w:rPr>
        <w:t xml:space="preserve"> 3.4%.</w:t>
      </w:r>
      <w:r w:rsidRPr="00116425">
        <w:rPr>
          <w:rFonts w:ascii="Calibri" w:hAnsi="Calibri" w:cs="Calibri"/>
          <w:sz w:val="20"/>
          <w:lang w:val="en-US"/>
        </w:rPr>
        <w:t xml:space="preserve"> The pace of recovery of the domestic economy in the second half of this year will thus be significantly below the assumptions of the previous forecast. Not only </w:t>
      </w:r>
      <w:r w:rsidR="00677AB9">
        <w:rPr>
          <w:rFonts w:ascii="Calibri" w:hAnsi="Calibri" w:cs="Calibri"/>
          <w:sz w:val="20"/>
          <w:lang w:val="en-US"/>
        </w:rPr>
        <w:t>was the</w:t>
      </w:r>
      <w:r w:rsidRPr="00116425">
        <w:rPr>
          <w:rFonts w:ascii="Calibri" w:hAnsi="Calibri" w:cs="Calibri"/>
          <w:sz w:val="20"/>
          <w:lang w:val="en-US"/>
        </w:rPr>
        <w:t xml:space="preserve"> economic growth in the third quarter slightly disappoint</w:t>
      </w:r>
      <w:r w:rsidR="00677AB9">
        <w:rPr>
          <w:rFonts w:ascii="Calibri" w:hAnsi="Calibri" w:cs="Calibri"/>
          <w:sz w:val="20"/>
          <w:lang w:val="en-US"/>
        </w:rPr>
        <w:t>ing</w:t>
      </w:r>
      <w:r w:rsidRPr="00116425">
        <w:rPr>
          <w:rFonts w:ascii="Calibri" w:hAnsi="Calibri" w:cs="Calibri"/>
          <w:sz w:val="20"/>
          <w:lang w:val="en-US"/>
        </w:rPr>
        <w:t xml:space="preserve">, but </w:t>
      </w:r>
      <w:r w:rsidR="00183BC5">
        <w:rPr>
          <w:rFonts w:ascii="Calibri" w:hAnsi="Calibri" w:cs="Calibri"/>
          <w:sz w:val="20"/>
          <w:lang w:val="en-US"/>
        </w:rPr>
        <w:t>overly</w:t>
      </w:r>
      <w:r w:rsidR="00183BC5" w:rsidRPr="00116425">
        <w:rPr>
          <w:rFonts w:ascii="Calibri" w:hAnsi="Calibri" w:cs="Calibri"/>
          <w:sz w:val="20"/>
          <w:lang w:val="en-US"/>
        </w:rPr>
        <w:t xml:space="preserve"> optimistic values cannot be expected </w:t>
      </w:r>
      <w:r w:rsidRPr="00116425">
        <w:rPr>
          <w:rFonts w:ascii="Calibri" w:hAnsi="Calibri" w:cs="Calibri"/>
          <w:sz w:val="20"/>
          <w:lang w:val="en-US"/>
        </w:rPr>
        <w:t xml:space="preserve">even at the end of this year ​​due to the persisting problems in </w:t>
      </w:r>
      <w:r w:rsidR="006600CB">
        <w:rPr>
          <w:rFonts w:ascii="Calibri" w:hAnsi="Calibri" w:cs="Calibri"/>
          <w:sz w:val="20"/>
          <w:lang w:val="en-US"/>
        </w:rPr>
        <w:t>suppl</w:t>
      </w:r>
      <w:r w:rsidR="008961EA">
        <w:rPr>
          <w:rFonts w:ascii="Calibri" w:hAnsi="Calibri" w:cs="Calibri"/>
          <w:sz w:val="20"/>
          <w:lang w:val="en-US"/>
        </w:rPr>
        <w:t>y chains</w:t>
      </w:r>
      <w:r w:rsidRPr="00116425">
        <w:rPr>
          <w:rFonts w:ascii="Calibri" w:hAnsi="Calibri" w:cs="Calibri"/>
          <w:sz w:val="20"/>
          <w:lang w:val="en-US"/>
        </w:rPr>
        <w:t xml:space="preserve"> and </w:t>
      </w:r>
      <w:r w:rsidR="00D5386B">
        <w:rPr>
          <w:rFonts w:ascii="Calibri" w:hAnsi="Calibri" w:cs="Calibri"/>
          <w:sz w:val="20"/>
          <w:lang w:val="en-US"/>
        </w:rPr>
        <w:t xml:space="preserve">to </w:t>
      </w:r>
      <w:r w:rsidRPr="00116425">
        <w:rPr>
          <w:rFonts w:ascii="Calibri" w:hAnsi="Calibri" w:cs="Calibri"/>
          <w:sz w:val="20"/>
          <w:lang w:val="en-US"/>
        </w:rPr>
        <w:t xml:space="preserve">accelerating inflation. While the August forecast estimated growth of at least one percent in the last quarter of this year, the consensus now sees quarter-on-quarter stagnation </w:t>
      </w:r>
      <w:r w:rsidR="00D5386B">
        <w:rPr>
          <w:rFonts w:ascii="Calibri" w:hAnsi="Calibri" w:cs="Calibri"/>
          <w:sz w:val="20"/>
          <w:lang w:val="en-US"/>
        </w:rPr>
        <w:t>in</w:t>
      </w:r>
      <w:r w:rsidRPr="00116425">
        <w:rPr>
          <w:rFonts w:ascii="Calibri" w:hAnsi="Calibri" w:cs="Calibri"/>
          <w:sz w:val="20"/>
          <w:lang w:val="en-US"/>
        </w:rPr>
        <w:t xml:space="preserve"> the last quarter, and some estimates </w:t>
      </w:r>
      <w:r w:rsidR="006600CB">
        <w:rPr>
          <w:rFonts w:ascii="Calibri" w:hAnsi="Calibri" w:cs="Calibri"/>
          <w:sz w:val="20"/>
          <w:lang w:val="en-US"/>
        </w:rPr>
        <w:t xml:space="preserve">even </w:t>
      </w:r>
      <w:r w:rsidRPr="00116425">
        <w:rPr>
          <w:rFonts w:ascii="Calibri" w:hAnsi="Calibri" w:cs="Calibri"/>
          <w:sz w:val="20"/>
          <w:lang w:val="en-US"/>
        </w:rPr>
        <w:t xml:space="preserve">suggest a slight economic downturn. The suspension of production </w:t>
      </w:r>
      <w:r w:rsidR="006600CB">
        <w:rPr>
          <w:rFonts w:ascii="Calibri" w:hAnsi="Calibri" w:cs="Calibri"/>
          <w:sz w:val="20"/>
          <w:lang w:val="en-US"/>
        </w:rPr>
        <w:t>by</w:t>
      </w:r>
      <w:r w:rsidRPr="00116425">
        <w:rPr>
          <w:rFonts w:ascii="Calibri" w:hAnsi="Calibri" w:cs="Calibri"/>
          <w:sz w:val="20"/>
          <w:lang w:val="en-US"/>
        </w:rPr>
        <w:t xml:space="preserve"> car manufacturers during October will have a negative effect </w:t>
      </w:r>
      <w:r w:rsidR="006600CB">
        <w:rPr>
          <w:rFonts w:ascii="Calibri" w:hAnsi="Calibri" w:cs="Calibri"/>
          <w:sz w:val="20"/>
          <w:lang w:val="en-US"/>
        </w:rPr>
        <w:t>that will be reflected in</w:t>
      </w:r>
      <w:r w:rsidRPr="00116425">
        <w:rPr>
          <w:rFonts w:ascii="Calibri" w:hAnsi="Calibri" w:cs="Calibri"/>
          <w:sz w:val="20"/>
          <w:lang w:val="en-US"/>
        </w:rPr>
        <w:t xml:space="preserve"> the last quarter.</w:t>
      </w:r>
      <w:r w:rsidR="00976653">
        <w:rPr>
          <w:rFonts w:ascii="Calibri" w:hAnsi="Calibri" w:cs="Calibri"/>
          <w:sz w:val="20"/>
          <w:lang w:val="en-US"/>
        </w:rPr>
        <w:t xml:space="preserve"> </w:t>
      </w:r>
      <w:r w:rsidR="00BD2C14">
        <w:rPr>
          <w:rFonts w:ascii="Calibri" w:hAnsi="Calibri" w:cs="Calibri"/>
          <w:sz w:val="20"/>
          <w:lang w:val="en-US"/>
        </w:rPr>
        <w:t xml:space="preserve"> </w:t>
      </w:r>
    </w:p>
    <w:p w14:paraId="7BDAE584" w14:textId="34BE53DC" w:rsidR="00116425" w:rsidRPr="000607E6" w:rsidRDefault="00116425" w:rsidP="00DF7FD9">
      <w:pPr>
        <w:spacing w:before="120" w:after="120"/>
        <w:rPr>
          <w:rFonts w:ascii="Calibri" w:hAnsi="Calibri" w:cs="Calibri"/>
          <w:sz w:val="20"/>
          <w:lang w:val="en-US"/>
        </w:rPr>
      </w:pPr>
      <w:r w:rsidRPr="006600CB">
        <w:rPr>
          <w:rFonts w:ascii="Calibri" w:hAnsi="Calibri" w:cs="Calibri"/>
          <w:b/>
          <w:bCs/>
          <w:sz w:val="20"/>
          <w:lang w:val="en-US"/>
        </w:rPr>
        <w:t xml:space="preserve">Next year, the CBA </w:t>
      </w:r>
      <w:r w:rsidR="006600CB">
        <w:rPr>
          <w:rFonts w:ascii="Calibri" w:hAnsi="Calibri" w:cs="Calibri"/>
          <w:b/>
          <w:bCs/>
          <w:sz w:val="20"/>
          <w:lang w:val="en-US"/>
        </w:rPr>
        <w:t>prognostic</w:t>
      </w:r>
      <w:r w:rsidRPr="006600CB">
        <w:rPr>
          <w:rFonts w:ascii="Calibri" w:hAnsi="Calibri" w:cs="Calibri"/>
          <w:b/>
          <w:bCs/>
          <w:sz w:val="20"/>
          <w:lang w:val="en-US"/>
        </w:rPr>
        <w:t xml:space="preserve"> panel expects economy to grow by 3.9%.</w:t>
      </w:r>
      <w:r w:rsidRPr="00116425">
        <w:rPr>
          <w:rFonts w:ascii="Calibri" w:hAnsi="Calibri" w:cs="Calibri"/>
          <w:sz w:val="20"/>
          <w:lang w:val="en-US"/>
        </w:rPr>
        <w:t xml:space="preserve"> Compared to the previous forecast, which expect</w:t>
      </w:r>
      <w:r w:rsidR="00EE0927">
        <w:rPr>
          <w:rFonts w:ascii="Calibri" w:hAnsi="Calibri" w:cs="Calibri"/>
          <w:sz w:val="20"/>
          <w:lang w:val="en-US"/>
        </w:rPr>
        <w:t>ed</w:t>
      </w:r>
      <w:r w:rsidRPr="00116425">
        <w:rPr>
          <w:rFonts w:ascii="Calibri" w:hAnsi="Calibri" w:cs="Calibri"/>
          <w:sz w:val="20"/>
          <w:lang w:val="en-US"/>
        </w:rPr>
        <w:t xml:space="preserve"> growth of 4.5%, this is a weaker value, mainly due to </w:t>
      </w:r>
      <w:r w:rsidR="002A453F">
        <w:rPr>
          <w:rFonts w:ascii="Calibri" w:hAnsi="Calibri" w:cs="Calibri"/>
          <w:sz w:val="20"/>
          <w:lang w:val="en-US"/>
        </w:rPr>
        <w:t xml:space="preserve">a </w:t>
      </w:r>
      <w:r w:rsidRPr="00116425">
        <w:rPr>
          <w:rFonts w:ascii="Calibri" w:hAnsi="Calibri" w:cs="Calibri"/>
          <w:sz w:val="20"/>
          <w:lang w:val="en-US"/>
        </w:rPr>
        <w:t xml:space="preserve">faster inflation affecting household consumption and also </w:t>
      </w:r>
      <w:r w:rsidR="005057E6">
        <w:rPr>
          <w:rFonts w:ascii="Calibri" w:hAnsi="Calibri" w:cs="Calibri"/>
          <w:sz w:val="20"/>
          <w:lang w:val="en-US"/>
        </w:rPr>
        <w:t xml:space="preserve">to the </w:t>
      </w:r>
      <w:r w:rsidRPr="00116425">
        <w:rPr>
          <w:rFonts w:ascii="Calibri" w:hAnsi="Calibri" w:cs="Calibri"/>
          <w:sz w:val="20"/>
          <w:lang w:val="en-US"/>
        </w:rPr>
        <w:t xml:space="preserve">ongoing </w:t>
      </w:r>
      <w:r w:rsidR="005057E6">
        <w:rPr>
          <w:rFonts w:ascii="Calibri" w:hAnsi="Calibri" w:cs="Calibri"/>
          <w:sz w:val="20"/>
          <w:lang w:val="en-US"/>
        </w:rPr>
        <w:t>issues</w:t>
      </w:r>
      <w:r w:rsidRPr="00116425">
        <w:rPr>
          <w:rFonts w:ascii="Calibri" w:hAnsi="Calibri" w:cs="Calibri"/>
          <w:sz w:val="20"/>
          <w:lang w:val="en-US"/>
        </w:rPr>
        <w:t xml:space="preserve"> in </w:t>
      </w:r>
      <w:r w:rsidR="008961EA">
        <w:rPr>
          <w:rFonts w:ascii="Calibri" w:hAnsi="Calibri" w:cs="Calibri"/>
          <w:sz w:val="20"/>
          <w:lang w:val="en-US"/>
        </w:rPr>
        <w:t>supply chains</w:t>
      </w:r>
      <w:r w:rsidRPr="00116425">
        <w:rPr>
          <w:rFonts w:ascii="Calibri" w:hAnsi="Calibri" w:cs="Calibri"/>
          <w:sz w:val="20"/>
          <w:lang w:val="en-US"/>
        </w:rPr>
        <w:t xml:space="preserve">. Although they are gradually improving, they will probably at least partially persist during the first half of next year. However, </w:t>
      </w:r>
      <w:r w:rsidR="00EE0927" w:rsidRPr="00116425">
        <w:rPr>
          <w:rFonts w:ascii="Calibri" w:hAnsi="Calibri" w:cs="Calibri"/>
          <w:sz w:val="20"/>
          <w:lang w:val="en-US"/>
        </w:rPr>
        <w:t xml:space="preserve">investment activity </w:t>
      </w:r>
      <w:r w:rsidR="00EE0927">
        <w:rPr>
          <w:rFonts w:ascii="Calibri" w:hAnsi="Calibri" w:cs="Calibri"/>
          <w:sz w:val="20"/>
          <w:lang w:val="en-US"/>
        </w:rPr>
        <w:t xml:space="preserve">should become an engine for </w:t>
      </w:r>
      <w:r w:rsidRPr="00116425">
        <w:rPr>
          <w:rFonts w:ascii="Calibri" w:hAnsi="Calibri" w:cs="Calibri"/>
          <w:sz w:val="20"/>
          <w:lang w:val="en-US"/>
        </w:rPr>
        <w:t xml:space="preserve">growth, which should accelerate significantly compared to this year. There are large differences between forecasts </w:t>
      </w:r>
      <w:r w:rsidR="00812D69">
        <w:rPr>
          <w:rFonts w:ascii="Calibri" w:hAnsi="Calibri" w:cs="Calibri"/>
          <w:sz w:val="20"/>
          <w:lang w:val="en-US"/>
        </w:rPr>
        <w:t>as regards</w:t>
      </w:r>
      <w:r w:rsidR="00812D69" w:rsidRPr="00116425">
        <w:rPr>
          <w:rFonts w:ascii="Calibri" w:hAnsi="Calibri" w:cs="Calibri"/>
          <w:sz w:val="20"/>
          <w:lang w:val="en-US"/>
        </w:rPr>
        <w:t xml:space="preserve"> household consumption </w:t>
      </w:r>
      <w:r w:rsidRPr="00116425">
        <w:rPr>
          <w:rFonts w:ascii="Calibri" w:hAnsi="Calibri" w:cs="Calibri"/>
          <w:sz w:val="20"/>
          <w:lang w:val="en-US"/>
        </w:rPr>
        <w:t xml:space="preserve">(growth between 2.4% </w:t>
      </w:r>
      <w:r w:rsidR="00812D69">
        <w:rPr>
          <w:rFonts w:ascii="Calibri" w:hAnsi="Calibri" w:cs="Calibri"/>
          <w:sz w:val="20"/>
          <w:lang w:val="en-US"/>
        </w:rPr>
        <w:t>up to</w:t>
      </w:r>
      <w:r w:rsidRPr="00116425">
        <w:rPr>
          <w:rFonts w:ascii="Calibri" w:hAnsi="Calibri" w:cs="Calibri"/>
          <w:sz w:val="20"/>
          <w:lang w:val="en-US"/>
        </w:rPr>
        <w:t xml:space="preserve"> 6.5%). Some estimates suggest a more pronounced slowdown in household consumption due to the impact of </w:t>
      </w:r>
      <w:r w:rsidRPr="00116425">
        <w:rPr>
          <w:rFonts w:ascii="Calibri" w:hAnsi="Calibri" w:cs="Calibri"/>
          <w:sz w:val="20"/>
          <w:lang w:val="en-US"/>
        </w:rPr>
        <w:lastRenderedPageBreak/>
        <w:t xml:space="preserve">higher inflation and a general increase in household debt, which, combined with higher interest rates, will deprive many households of </w:t>
      </w:r>
      <w:r w:rsidR="00042ECE">
        <w:rPr>
          <w:rFonts w:ascii="Calibri" w:hAnsi="Calibri" w:cs="Calibri"/>
          <w:sz w:val="20"/>
          <w:lang w:val="en-US"/>
        </w:rPr>
        <w:t xml:space="preserve">a </w:t>
      </w:r>
      <w:r w:rsidRPr="00116425">
        <w:rPr>
          <w:rFonts w:ascii="Calibri" w:hAnsi="Calibri" w:cs="Calibri"/>
          <w:sz w:val="20"/>
          <w:lang w:val="en-US"/>
        </w:rPr>
        <w:t>part of their income</w:t>
      </w:r>
      <w:r w:rsidR="00812D69">
        <w:rPr>
          <w:rFonts w:ascii="Calibri" w:hAnsi="Calibri" w:cs="Calibri"/>
          <w:sz w:val="20"/>
          <w:lang w:val="en-US"/>
        </w:rPr>
        <w:t xml:space="preserve"> </w:t>
      </w:r>
      <w:r w:rsidR="00042ECE">
        <w:rPr>
          <w:rFonts w:ascii="Calibri" w:hAnsi="Calibri" w:cs="Calibri"/>
          <w:sz w:val="20"/>
          <w:lang w:val="en-US"/>
        </w:rPr>
        <w:t xml:space="preserve">spent on </w:t>
      </w:r>
      <w:r w:rsidR="00812D69">
        <w:rPr>
          <w:rFonts w:ascii="Calibri" w:hAnsi="Calibri" w:cs="Calibri"/>
          <w:sz w:val="20"/>
          <w:lang w:val="en-US"/>
        </w:rPr>
        <w:t>consumption</w:t>
      </w:r>
      <w:r w:rsidRPr="00116425">
        <w:rPr>
          <w:rFonts w:ascii="Calibri" w:hAnsi="Calibri" w:cs="Calibri"/>
          <w:sz w:val="20"/>
          <w:lang w:val="en-US"/>
        </w:rPr>
        <w:t xml:space="preserve">. Conversely, other estimates suggest </w:t>
      </w:r>
      <w:r w:rsidR="00DB7083">
        <w:rPr>
          <w:rFonts w:ascii="Calibri" w:hAnsi="Calibri" w:cs="Calibri"/>
          <w:sz w:val="20"/>
          <w:lang w:val="en-US"/>
        </w:rPr>
        <w:t>a</w:t>
      </w:r>
      <w:r w:rsidRPr="00116425">
        <w:rPr>
          <w:rFonts w:ascii="Calibri" w:hAnsi="Calibri" w:cs="Calibri"/>
          <w:sz w:val="20"/>
          <w:lang w:val="en-US"/>
        </w:rPr>
        <w:t xml:space="preserve"> </w:t>
      </w:r>
      <w:r w:rsidR="00DB7083">
        <w:rPr>
          <w:rFonts w:ascii="Calibri" w:hAnsi="Calibri" w:cs="Calibri"/>
          <w:sz w:val="20"/>
          <w:lang w:val="en-US"/>
        </w:rPr>
        <w:t xml:space="preserve">certain </w:t>
      </w:r>
      <w:r w:rsidRPr="00116425">
        <w:rPr>
          <w:rFonts w:ascii="Calibri" w:hAnsi="Calibri" w:cs="Calibri"/>
          <w:sz w:val="20"/>
          <w:lang w:val="en-US"/>
        </w:rPr>
        <w:t xml:space="preserve">dissolution of accumulated savings and a return of consumption to </w:t>
      </w:r>
      <w:r w:rsidR="007F208D">
        <w:rPr>
          <w:rFonts w:ascii="Calibri" w:hAnsi="Calibri" w:cs="Calibri"/>
          <w:sz w:val="20"/>
          <w:lang w:val="en-US"/>
        </w:rPr>
        <w:t xml:space="preserve">the </w:t>
      </w:r>
      <w:r w:rsidRPr="00116425">
        <w:rPr>
          <w:rFonts w:ascii="Calibri" w:hAnsi="Calibri" w:cs="Calibri"/>
          <w:sz w:val="20"/>
          <w:lang w:val="en-US"/>
        </w:rPr>
        <w:t>pre-pandemic levels.</w:t>
      </w:r>
    </w:p>
    <w:p w14:paraId="2FB25880" w14:textId="466D8A0E" w:rsidR="005C60BB" w:rsidRPr="000607E6" w:rsidRDefault="00E960DA" w:rsidP="00C34E11">
      <w:pPr>
        <w:tabs>
          <w:tab w:val="left" w:pos="6700"/>
          <w:tab w:val="left" w:pos="8049"/>
        </w:tabs>
        <w:spacing w:before="120" w:after="120"/>
        <w:rPr>
          <w:rFonts w:ascii="Calibri" w:hAnsi="Calibri" w:cs="Calibri"/>
          <w:b/>
          <w:color w:val="007E79"/>
          <w:sz w:val="22"/>
          <w:szCs w:val="22"/>
          <w:lang w:val="en-US"/>
        </w:rPr>
      </w:pPr>
      <w:r w:rsidRPr="00E960DA">
        <w:rPr>
          <w:rFonts w:ascii="Calibri" w:hAnsi="Calibri" w:cs="Calibri"/>
          <w:b/>
          <w:color w:val="13576B"/>
          <w:sz w:val="22"/>
          <w:szCs w:val="22"/>
          <w:lang w:val="en-US"/>
        </w:rPr>
        <w:t>Wages will rise, but they will not compensate for the rise in inflation next year</w:t>
      </w:r>
      <w:r w:rsidR="00C34E11">
        <w:rPr>
          <w:rFonts w:ascii="Calibri" w:hAnsi="Calibri" w:cs="Calibri"/>
          <w:b/>
          <w:color w:val="13576B"/>
          <w:sz w:val="22"/>
          <w:szCs w:val="22"/>
          <w:lang w:val="en-US"/>
        </w:rPr>
        <w:tab/>
      </w:r>
    </w:p>
    <w:p w14:paraId="53A4213B" w14:textId="72030002" w:rsidR="00DF7FD9" w:rsidRDefault="00BA49C9" w:rsidP="00DF7FD9">
      <w:pPr>
        <w:spacing w:before="120" w:after="120"/>
        <w:rPr>
          <w:rFonts w:ascii="Calibri" w:hAnsi="Calibri" w:cs="Calibri"/>
          <w:sz w:val="20"/>
          <w:lang w:val="en-US"/>
        </w:rPr>
      </w:pPr>
      <w:r w:rsidRPr="000607E6">
        <w:rPr>
          <w:noProof/>
          <w:sz w:val="20"/>
          <w:lang w:val="en-US"/>
        </w:rPr>
        <mc:AlternateContent>
          <mc:Choice Requires="wps">
            <w:drawing>
              <wp:anchor distT="45720" distB="45720" distL="114300" distR="114300" simplePos="0" relativeHeight="251666432" behindDoc="0" locked="0" layoutInCell="1" allowOverlap="1" wp14:anchorId="6D58E977" wp14:editId="0F579E26">
                <wp:simplePos x="0" y="0"/>
                <wp:positionH relativeFrom="margin">
                  <wp:align>left</wp:align>
                </wp:positionH>
                <wp:positionV relativeFrom="paragraph">
                  <wp:posOffset>1533915</wp:posOffset>
                </wp:positionV>
                <wp:extent cx="6461760" cy="940435"/>
                <wp:effectExtent l="0" t="0" r="15240" b="12065"/>
                <wp:wrapSquare wrapText="bothSides"/>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940435"/>
                        </a:xfrm>
                        <a:prstGeom prst="rect">
                          <a:avLst/>
                        </a:prstGeom>
                        <a:solidFill>
                          <a:srgbClr val="FFFFFF"/>
                        </a:solidFill>
                        <a:ln w="9525">
                          <a:solidFill>
                            <a:srgbClr val="000000"/>
                          </a:solidFill>
                          <a:miter lim="800000"/>
                          <a:headEnd/>
                          <a:tailEnd/>
                        </a:ln>
                      </wps:spPr>
                      <wps:txbx>
                        <w:txbxContent>
                          <w:p w14:paraId="288979F8" w14:textId="5F7A5F12" w:rsidR="00F01F41" w:rsidRPr="001653C3" w:rsidRDefault="00D30A6F" w:rsidP="00F01F41">
                            <w:pPr>
                              <w:rPr>
                                <w:rFonts w:ascii="Calibri" w:hAnsi="Calibri" w:cs="Calibri"/>
                                <w:b/>
                                <w:bCs/>
                                <w:sz w:val="20"/>
                                <w:lang w:val="en-US"/>
                              </w:rPr>
                            </w:pPr>
                            <w:bookmarkStart w:id="1" w:name="_Hlk87475459"/>
                            <w:bookmarkStart w:id="2" w:name="_Hlk87475460"/>
                            <w:r>
                              <w:rPr>
                                <w:rFonts w:ascii="Calibri" w:hAnsi="Calibri" w:cs="Calibri"/>
                                <w:b/>
                                <w:bCs/>
                                <w:sz w:val="20"/>
                              </w:rPr>
                              <w:t xml:space="preserve">Jaromír </w:t>
                            </w:r>
                            <w:r w:rsidRPr="00895ED5">
                              <w:rPr>
                                <w:rFonts w:ascii="Calibri" w:hAnsi="Calibri" w:cs="Calibri"/>
                                <w:b/>
                                <w:bCs/>
                                <w:sz w:val="20"/>
                              </w:rPr>
                              <w:t>Šindel</w:t>
                            </w:r>
                            <w:r w:rsidR="00F01F41" w:rsidRPr="00895ED5">
                              <w:rPr>
                                <w:rFonts w:ascii="Calibri" w:hAnsi="Calibri" w:cs="Calibri"/>
                                <w:b/>
                                <w:bCs/>
                                <w:sz w:val="20"/>
                              </w:rPr>
                              <w:t xml:space="preserve">, </w:t>
                            </w:r>
                            <w:r w:rsidR="001653C3" w:rsidRPr="001653C3">
                              <w:rPr>
                                <w:rFonts w:ascii="Calibri" w:hAnsi="Calibri" w:cs="Calibri"/>
                                <w:b/>
                                <w:bCs/>
                                <w:sz w:val="20"/>
                                <w:lang w:val="en-US"/>
                              </w:rPr>
                              <w:t xml:space="preserve">the Chief Economist of </w:t>
                            </w:r>
                            <w:r w:rsidRPr="001653C3">
                              <w:rPr>
                                <w:rFonts w:ascii="Calibri" w:hAnsi="Calibri" w:cs="Calibri"/>
                                <w:b/>
                                <w:bCs/>
                                <w:sz w:val="20"/>
                                <w:lang w:val="en-US"/>
                              </w:rPr>
                              <w:t>Cit</w:t>
                            </w:r>
                            <w:r w:rsidR="006A437E" w:rsidRPr="001653C3">
                              <w:rPr>
                                <w:rFonts w:ascii="Calibri" w:hAnsi="Calibri" w:cs="Calibri"/>
                                <w:b/>
                                <w:bCs/>
                                <w:sz w:val="20"/>
                                <w:lang w:val="en-US"/>
                              </w:rPr>
                              <w:t>i</w:t>
                            </w:r>
                            <w:r w:rsidR="00082CD7" w:rsidRPr="001653C3">
                              <w:rPr>
                                <w:rFonts w:ascii="Calibri" w:hAnsi="Calibri" w:cs="Calibri"/>
                                <w:b/>
                                <w:bCs/>
                                <w:sz w:val="20"/>
                                <w:lang w:val="en-US"/>
                              </w:rPr>
                              <w:t>bank</w:t>
                            </w:r>
                            <w:r w:rsidR="00F01F41" w:rsidRPr="001653C3">
                              <w:rPr>
                                <w:rFonts w:ascii="Calibri" w:hAnsi="Calibri" w:cs="Calibri"/>
                                <w:b/>
                                <w:bCs/>
                                <w:sz w:val="20"/>
                                <w:lang w:val="en-US"/>
                              </w:rPr>
                              <w:t>:</w:t>
                            </w:r>
                          </w:p>
                          <w:p w14:paraId="3D18E4A1" w14:textId="4EA25BC2" w:rsidR="00F01F41" w:rsidRPr="00F37DC9" w:rsidRDefault="00E960DA" w:rsidP="00C93EFF">
                            <w:pPr>
                              <w:rPr>
                                <w:rFonts w:ascii="Calibri" w:hAnsi="Calibri" w:cs="Calibri"/>
                                <w:i/>
                                <w:iCs/>
                              </w:rPr>
                            </w:pPr>
                            <w:r w:rsidRPr="001653C3">
                              <w:rPr>
                                <w:rFonts w:ascii="Calibri" w:hAnsi="Calibri" w:cs="Calibri"/>
                                <w:i/>
                                <w:iCs/>
                                <w:sz w:val="20"/>
                                <w:lang w:val="en-US"/>
                              </w:rPr>
                              <w:t>"</w:t>
                            </w:r>
                            <w:r w:rsidR="00204762" w:rsidRPr="00204762">
                              <w:rPr>
                                <w:rFonts w:ascii="Calibri" w:hAnsi="Calibri" w:cs="Calibri"/>
                                <w:i/>
                                <w:iCs/>
                                <w:sz w:val="20"/>
                                <w:lang w:val="en-US"/>
                              </w:rPr>
                              <w:t>Despite the pandemic, the labor market has restored its inflationary pressures relatively quickly. This is also due to the relatively high share of foreign workers and the demand for them will increase among our regional neighbors as their demographic situation will deteriorate faster than in our case. In addition, the problems in the car industry do not seem to have a negative impact on the demand for workforce in other sectors.</w:t>
                            </w:r>
                            <w:r w:rsidRPr="001653C3">
                              <w:rPr>
                                <w:rFonts w:ascii="Calibri" w:hAnsi="Calibri" w:cs="Calibri"/>
                                <w:i/>
                                <w:iCs/>
                                <w:sz w:val="20"/>
                                <w:lang w:val="en-US"/>
                              </w:rPr>
                              <w:t>"</w:t>
                            </w:r>
                            <w:bookmarkEnd w:id="1"/>
                            <w:bookmarkEnd w:id="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58E977" id="Textové pole 1" o:spid="_x0000_s1027" type="#_x0000_t202" style="position:absolute;left:0;text-align:left;margin-left:0;margin-top:120.8pt;width:508.8pt;height:74.05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">
                <v:textbox>
                  <w:txbxContent>
                    <w:p w14:paraId="288979F8" w14:textId="5F7A5F12" w:rsidR="00F01F41" w:rsidRPr="001653C3" w:rsidRDefault="00D30A6F" w:rsidP="00F01F41">
                      <w:pPr>
                        <w:rPr>
                          <w:rFonts w:ascii="Calibri" w:hAnsi="Calibri" w:cs="Calibri"/>
                          <w:b/>
                          <w:bCs/>
                          <w:sz w:val="20"/>
                          <w:lang w:val="en-US"/>
                        </w:rPr>
                      </w:pPr>
                      <w:bookmarkStart w:id="3" w:name="_Hlk87475459"/>
                      <w:bookmarkStart w:id="4" w:name="_Hlk87475460"/>
                      <w:r>
                        <w:rPr>
                          <w:rFonts w:ascii="Calibri" w:hAnsi="Calibri" w:cs="Calibri"/>
                          <w:b/>
                          <w:bCs/>
                          <w:sz w:val="20"/>
                        </w:rPr>
                        <w:t xml:space="preserve">Jaromír </w:t>
                      </w:r>
                      <w:r w:rsidRPr="00895ED5">
                        <w:rPr>
                          <w:rFonts w:ascii="Calibri" w:hAnsi="Calibri" w:cs="Calibri"/>
                          <w:b/>
                          <w:bCs/>
                          <w:sz w:val="20"/>
                        </w:rPr>
                        <w:t>Šindel</w:t>
                      </w:r>
                      <w:r w:rsidR="00F01F41" w:rsidRPr="00895ED5">
                        <w:rPr>
                          <w:rFonts w:ascii="Calibri" w:hAnsi="Calibri" w:cs="Calibri"/>
                          <w:b/>
                          <w:bCs/>
                          <w:sz w:val="20"/>
                        </w:rPr>
                        <w:t xml:space="preserve">, </w:t>
                      </w:r>
                      <w:r w:rsidR="001653C3" w:rsidRPr="001653C3">
                        <w:rPr>
                          <w:rFonts w:ascii="Calibri" w:hAnsi="Calibri" w:cs="Calibri"/>
                          <w:b/>
                          <w:bCs/>
                          <w:sz w:val="20"/>
                          <w:lang w:val="en-US"/>
                        </w:rPr>
                        <w:t xml:space="preserve">the Chief Economist of </w:t>
                      </w:r>
                      <w:r w:rsidRPr="001653C3">
                        <w:rPr>
                          <w:rFonts w:ascii="Calibri" w:hAnsi="Calibri" w:cs="Calibri"/>
                          <w:b/>
                          <w:bCs/>
                          <w:sz w:val="20"/>
                          <w:lang w:val="en-US"/>
                        </w:rPr>
                        <w:t>Cit</w:t>
                      </w:r>
                      <w:r w:rsidR="006A437E" w:rsidRPr="001653C3">
                        <w:rPr>
                          <w:rFonts w:ascii="Calibri" w:hAnsi="Calibri" w:cs="Calibri"/>
                          <w:b/>
                          <w:bCs/>
                          <w:sz w:val="20"/>
                          <w:lang w:val="en-US"/>
                        </w:rPr>
                        <w:t>i</w:t>
                      </w:r>
                      <w:r w:rsidR="00082CD7" w:rsidRPr="001653C3">
                        <w:rPr>
                          <w:rFonts w:ascii="Calibri" w:hAnsi="Calibri" w:cs="Calibri"/>
                          <w:b/>
                          <w:bCs/>
                          <w:sz w:val="20"/>
                          <w:lang w:val="en-US"/>
                        </w:rPr>
                        <w:t>bank</w:t>
                      </w:r>
                      <w:r w:rsidR="00F01F41" w:rsidRPr="001653C3">
                        <w:rPr>
                          <w:rFonts w:ascii="Calibri" w:hAnsi="Calibri" w:cs="Calibri"/>
                          <w:b/>
                          <w:bCs/>
                          <w:sz w:val="20"/>
                          <w:lang w:val="en-US"/>
                        </w:rPr>
                        <w:t>:</w:t>
                      </w:r>
                    </w:p>
                    <w:p w14:paraId="3D18E4A1" w14:textId="4EA25BC2" w:rsidR="00F01F41" w:rsidRPr="00F37DC9" w:rsidRDefault="00E960DA" w:rsidP="00C93EFF">
                      <w:pPr>
                        <w:rPr>
                          <w:rFonts w:ascii="Calibri" w:hAnsi="Calibri" w:cs="Calibri"/>
                          <w:i/>
                          <w:iCs/>
                        </w:rPr>
                      </w:pPr>
                      <w:r w:rsidRPr="001653C3">
                        <w:rPr>
                          <w:rFonts w:ascii="Calibri" w:hAnsi="Calibri" w:cs="Calibri"/>
                          <w:i/>
                          <w:iCs/>
                          <w:sz w:val="20"/>
                          <w:lang w:val="en-US"/>
                        </w:rPr>
                        <w:t>"</w:t>
                      </w:r>
                      <w:r w:rsidR="00204762" w:rsidRPr="00204762">
                        <w:rPr>
                          <w:rFonts w:ascii="Calibri" w:hAnsi="Calibri" w:cs="Calibri"/>
                          <w:i/>
                          <w:iCs/>
                          <w:sz w:val="20"/>
                          <w:lang w:val="en-US"/>
                        </w:rPr>
                        <w:t>Despite the pandemic, the labor market has restored its inflationary pressures relatively quickly. This is also due to the relatively high share of foreign workers and the demand for them will increase among our regional neighbors as their demographic situation will deteriorate faster than in our case. In addition, the problems in the car industry do not seem to have a negative impact on the demand for workforce in other sectors.</w:t>
                      </w:r>
                      <w:r w:rsidRPr="001653C3">
                        <w:rPr>
                          <w:rFonts w:ascii="Calibri" w:hAnsi="Calibri" w:cs="Calibri"/>
                          <w:i/>
                          <w:iCs/>
                          <w:sz w:val="20"/>
                          <w:lang w:val="en-US"/>
                        </w:rPr>
                        <w:t>"</w:t>
                      </w:r>
                      <w:bookmarkEnd w:id="3"/>
                      <w:bookmarkEnd w:id="4"/>
                    </w:p>
                  </w:txbxContent>
                </v:textbox>
                <w10:wrap type="square" anchorx="margin"/>
              </v:shape>
            </w:pict>
          </mc:Fallback>
        </mc:AlternateContent>
      </w:r>
      <w:r w:rsidR="00DF7FD9" w:rsidRPr="00E960DA">
        <w:rPr>
          <w:rFonts w:ascii="Calibri" w:hAnsi="Calibri" w:cs="Calibri"/>
          <w:sz w:val="20"/>
          <w:lang w:val="en-US"/>
        </w:rPr>
        <w:t xml:space="preserve">Although the labor market has ceased to be a major barrier to growth in recent surveys </w:t>
      </w:r>
      <w:r w:rsidR="007F208D">
        <w:rPr>
          <w:rFonts w:ascii="Calibri" w:hAnsi="Calibri" w:cs="Calibri"/>
          <w:sz w:val="20"/>
          <w:lang w:val="en-US"/>
        </w:rPr>
        <w:t xml:space="preserve">performed </w:t>
      </w:r>
      <w:r w:rsidR="00DF7FD9">
        <w:rPr>
          <w:rFonts w:ascii="Calibri" w:hAnsi="Calibri" w:cs="Calibri"/>
          <w:sz w:val="20"/>
          <w:lang w:val="en-US"/>
        </w:rPr>
        <w:t xml:space="preserve">among businesses </w:t>
      </w:r>
      <w:r w:rsidR="00DF7FD9" w:rsidRPr="00E960DA">
        <w:rPr>
          <w:rFonts w:ascii="Calibri" w:hAnsi="Calibri" w:cs="Calibri"/>
          <w:sz w:val="20"/>
          <w:lang w:val="en-US"/>
        </w:rPr>
        <w:t xml:space="preserve">and </w:t>
      </w:r>
      <w:r w:rsidR="0026344C">
        <w:rPr>
          <w:rFonts w:ascii="Calibri" w:hAnsi="Calibri" w:cs="Calibri"/>
          <w:sz w:val="20"/>
          <w:lang w:val="en-US"/>
        </w:rPr>
        <w:t xml:space="preserve">it </w:t>
      </w:r>
      <w:r w:rsidR="00DF7FD9" w:rsidRPr="00E960DA">
        <w:rPr>
          <w:rFonts w:ascii="Calibri" w:hAnsi="Calibri" w:cs="Calibri"/>
          <w:sz w:val="20"/>
          <w:lang w:val="en-US"/>
        </w:rPr>
        <w:t xml:space="preserve">has been overcome by a shortage of materials, this does not mean that the availability of </w:t>
      </w:r>
      <w:r w:rsidR="0026344C">
        <w:rPr>
          <w:rFonts w:ascii="Calibri" w:hAnsi="Calibri" w:cs="Calibri"/>
          <w:sz w:val="20"/>
          <w:lang w:val="en-US"/>
        </w:rPr>
        <w:t>workforce</w:t>
      </w:r>
      <w:r w:rsidR="0026344C" w:rsidRPr="00E960DA">
        <w:rPr>
          <w:rFonts w:ascii="Calibri" w:hAnsi="Calibri" w:cs="Calibri"/>
          <w:sz w:val="20"/>
          <w:lang w:val="en-US"/>
        </w:rPr>
        <w:t xml:space="preserve"> </w:t>
      </w:r>
      <w:r w:rsidR="0026344C">
        <w:rPr>
          <w:rFonts w:ascii="Calibri" w:hAnsi="Calibri" w:cs="Calibri"/>
          <w:sz w:val="20"/>
          <w:lang w:val="en-US"/>
        </w:rPr>
        <w:t>has</w:t>
      </w:r>
      <w:r w:rsidR="00DF7FD9" w:rsidRPr="00E960DA">
        <w:rPr>
          <w:rFonts w:ascii="Calibri" w:hAnsi="Calibri" w:cs="Calibri"/>
          <w:sz w:val="20"/>
          <w:lang w:val="en-US"/>
        </w:rPr>
        <w:t xml:space="preserve"> improve</w:t>
      </w:r>
      <w:r w:rsidR="0026344C">
        <w:rPr>
          <w:rFonts w:ascii="Calibri" w:hAnsi="Calibri" w:cs="Calibri"/>
          <w:sz w:val="20"/>
          <w:lang w:val="en-US"/>
        </w:rPr>
        <w:t>d</w:t>
      </w:r>
      <w:r w:rsidR="00DF7FD9" w:rsidRPr="00E960DA">
        <w:rPr>
          <w:rFonts w:ascii="Calibri" w:hAnsi="Calibri" w:cs="Calibri"/>
          <w:sz w:val="20"/>
          <w:lang w:val="en-US"/>
        </w:rPr>
        <w:t xml:space="preserve"> - </w:t>
      </w:r>
      <w:r w:rsidR="0026344C">
        <w:rPr>
          <w:rFonts w:ascii="Calibri" w:hAnsi="Calibri" w:cs="Calibri"/>
          <w:sz w:val="20"/>
          <w:lang w:val="en-US"/>
        </w:rPr>
        <w:t>the</w:t>
      </w:r>
      <w:r w:rsidR="00DF7FD9" w:rsidRPr="00E960DA">
        <w:rPr>
          <w:rFonts w:ascii="Calibri" w:hAnsi="Calibri" w:cs="Calibri"/>
          <w:sz w:val="20"/>
          <w:lang w:val="en-US"/>
        </w:rPr>
        <w:t xml:space="preserve"> shortage of materials has </w:t>
      </w:r>
      <w:r w:rsidR="0026344C">
        <w:rPr>
          <w:rFonts w:ascii="Calibri" w:hAnsi="Calibri" w:cs="Calibri"/>
          <w:sz w:val="20"/>
          <w:lang w:val="en-US"/>
        </w:rPr>
        <w:t xml:space="preserve">only </w:t>
      </w:r>
      <w:r w:rsidR="00DF7FD9" w:rsidRPr="00E960DA">
        <w:rPr>
          <w:rFonts w:ascii="Calibri" w:hAnsi="Calibri" w:cs="Calibri"/>
          <w:sz w:val="20"/>
          <w:lang w:val="en-US"/>
        </w:rPr>
        <w:t xml:space="preserve">become a more acute </w:t>
      </w:r>
      <w:r w:rsidR="0026344C">
        <w:rPr>
          <w:rFonts w:ascii="Calibri" w:hAnsi="Calibri" w:cs="Calibri"/>
          <w:sz w:val="20"/>
          <w:lang w:val="en-US"/>
        </w:rPr>
        <w:t>issue</w:t>
      </w:r>
      <w:r w:rsidR="00DF7FD9" w:rsidRPr="00E960DA">
        <w:rPr>
          <w:rFonts w:ascii="Calibri" w:hAnsi="Calibri" w:cs="Calibri"/>
          <w:sz w:val="20"/>
          <w:lang w:val="en-US"/>
        </w:rPr>
        <w:t xml:space="preserve">. </w:t>
      </w:r>
      <w:r w:rsidR="00FA60BD" w:rsidRPr="00FA60BD">
        <w:rPr>
          <w:rFonts w:ascii="Calibri" w:hAnsi="Calibri" w:cs="Calibri"/>
          <w:b/>
          <w:bCs/>
          <w:sz w:val="20"/>
          <w:lang w:val="en-US"/>
        </w:rPr>
        <w:t>The</w:t>
      </w:r>
      <w:r w:rsidR="00FA60BD">
        <w:rPr>
          <w:rFonts w:ascii="Calibri" w:hAnsi="Calibri" w:cs="Calibri"/>
          <w:sz w:val="20"/>
          <w:lang w:val="en-US"/>
        </w:rPr>
        <w:t xml:space="preserve"> l</w:t>
      </w:r>
      <w:r w:rsidR="00DF7FD9" w:rsidRPr="00DF7FD9">
        <w:rPr>
          <w:rFonts w:ascii="Calibri" w:hAnsi="Calibri" w:cs="Calibri"/>
          <w:b/>
          <w:bCs/>
          <w:sz w:val="20"/>
          <w:lang w:val="en-US"/>
        </w:rPr>
        <w:t xml:space="preserve">abor market in the domestic economy thus still remains overheated and complicates </w:t>
      </w:r>
      <w:r w:rsidR="00DD32C9">
        <w:rPr>
          <w:rFonts w:ascii="Calibri" w:hAnsi="Calibri" w:cs="Calibri"/>
          <w:b/>
          <w:bCs/>
          <w:sz w:val="20"/>
          <w:lang w:val="en-US"/>
        </w:rPr>
        <w:t>the</w:t>
      </w:r>
      <w:r w:rsidR="00DF7FD9" w:rsidRPr="00DF7FD9">
        <w:rPr>
          <w:rFonts w:ascii="Calibri" w:hAnsi="Calibri" w:cs="Calibri"/>
          <w:b/>
          <w:bCs/>
          <w:sz w:val="20"/>
          <w:lang w:val="en-US"/>
        </w:rPr>
        <w:t xml:space="preserve"> further development of many </w:t>
      </w:r>
      <w:r w:rsidR="002D6354">
        <w:rPr>
          <w:rFonts w:ascii="Calibri" w:hAnsi="Calibri" w:cs="Calibri"/>
          <w:b/>
          <w:bCs/>
          <w:sz w:val="20"/>
          <w:lang w:val="en-US"/>
        </w:rPr>
        <w:t>businesses</w:t>
      </w:r>
      <w:r w:rsidR="00DF7FD9" w:rsidRPr="00E960DA">
        <w:rPr>
          <w:rFonts w:ascii="Calibri" w:hAnsi="Calibri" w:cs="Calibri"/>
          <w:sz w:val="20"/>
          <w:lang w:val="en-US"/>
        </w:rPr>
        <w:t xml:space="preserve">. At the same time, as in the past, estimates of the development of unemployment are </w:t>
      </w:r>
      <w:r w:rsidR="00DD32C9">
        <w:rPr>
          <w:rFonts w:ascii="Calibri" w:hAnsi="Calibri" w:cs="Calibri"/>
          <w:sz w:val="20"/>
          <w:lang w:val="en-US"/>
        </w:rPr>
        <w:t>starting</w:t>
      </w:r>
      <w:r w:rsidR="00DF7FD9" w:rsidRPr="00E960DA">
        <w:rPr>
          <w:rFonts w:ascii="Calibri" w:hAnsi="Calibri" w:cs="Calibri"/>
          <w:sz w:val="20"/>
          <w:lang w:val="en-US"/>
        </w:rPr>
        <w:t xml:space="preserve"> to </w:t>
      </w:r>
      <w:r w:rsidR="00FA60BD">
        <w:rPr>
          <w:rFonts w:ascii="Calibri" w:hAnsi="Calibri" w:cs="Calibri"/>
          <w:sz w:val="20"/>
          <w:lang w:val="en-US"/>
        </w:rPr>
        <w:t xml:space="preserve">provide a positive surprise </w:t>
      </w:r>
      <w:r w:rsidR="00DF7FD9" w:rsidRPr="00E960DA">
        <w:rPr>
          <w:rFonts w:ascii="Calibri" w:hAnsi="Calibri" w:cs="Calibri"/>
          <w:sz w:val="20"/>
          <w:lang w:val="en-US"/>
        </w:rPr>
        <w:t xml:space="preserve">and </w:t>
      </w:r>
      <w:r w:rsidR="00FA60BD">
        <w:rPr>
          <w:rFonts w:ascii="Calibri" w:hAnsi="Calibri" w:cs="Calibri"/>
          <w:sz w:val="20"/>
          <w:lang w:val="en-US"/>
        </w:rPr>
        <w:t xml:space="preserve">they are again </w:t>
      </w:r>
      <w:r w:rsidR="00DF7FD9" w:rsidRPr="00E960DA">
        <w:rPr>
          <w:rFonts w:ascii="Calibri" w:hAnsi="Calibri" w:cs="Calibri"/>
          <w:sz w:val="20"/>
          <w:lang w:val="en-US"/>
        </w:rPr>
        <w:t>mov</w:t>
      </w:r>
      <w:r w:rsidR="00FA60BD">
        <w:rPr>
          <w:rFonts w:ascii="Calibri" w:hAnsi="Calibri" w:cs="Calibri"/>
          <w:sz w:val="20"/>
          <w:lang w:val="en-US"/>
        </w:rPr>
        <w:t xml:space="preserve">ing </w:t>
      </w:r>
      <w:r w:rsidR="00DF7FD9" w:rsidRPr="00E960DA">
        <w:rPr>
          <w:rFonts w:ascii="Calibri" w:hAnsi="Calibri" w:cs="Calibri"/>
          <w:sz w:val="20"/>
          <w:lang w:val="en-US"/>
        </w:rPr>
        <w:t xml:space="preserve">towards lower values. From this year's 3.8%, the share of unemployed people should fall to 3.4% next year. This is only a slightly higher value than in 2018 (3.2% according to the Ministry of Labor and Social Affairs). Although problems in industry may cause redundancies in some </w:t>
      </w:r>
      <w:r w:rsidR="00B56366">
        <w:rPr>
          <w:rFonts w:ascii="Calibri" w:hAnsi="Calibri" w:cs="Calibri"/>
          <w:sz w:val="20"/>
          <w:lang w:val="en-US"/>
        </w:rPr>
        <w:t>businesses</w:t>
      </w:r>
      <w:r w:rsidR="00DF7FD9" w:rsidRPr="00E960DA">
        <w:rPr>
          <w:rFonts w:ascii="Calibri" w:hAnsi="Calibri" w:cs="Calibri"/>
          <w:sz w:val="20"/>
          <w:lang w:val="en-US"/>
        </w:rPr>
        <w:t>, the mismatch between job vacancies and the number of unemployed is so significant that the CBA panel does not anticipate a visible impact on the unemployment rate.</w:t>
      </w:r>
    </w:p>
    <w:p w14:paraId="6F5AE4C4" w14:textId="3FF9AAC0" w:rsidR="00E960DA" w:rsidRPr="00E960DA" w:rsidRDefault="00E960DA" w:rsidP="00DF7FD9">
      <w:pPr>
        <w:spacing w:before="120" w:after="120"/>
        <w:rPr>
          <w:rFonts w:ascii="Calibri" w:hAnsi="Calibri" w:cs="Calibri"/>
          <w:sz w:val="20"/>
          <w:lang w:val="en-US"/>
        </w:rPr>
      </w:pPr>
      <w:r w:rsidRPr="00E960DA">
        <w:rPr>
          <w:rFonts w:ascii="Calibri" w:hAnsi="Calibri" w:cs="Calibri"/>
          <w:sz w:val="20"/>
          <w:lang w:val="en-US"/>
        </w:rPr>
        <w:t xml:space="preserve">Given the above-mentioned developments in the labor market, it is expected that </w:t>
      </w:r>
      <w:r w:rsidR="00290030">
        <w:rPr>
          <w:rFonts w:ascii="Calibri" w:hAnsi="Calibri" w:cs="Calibri"/>
          <w:sz w:val="20"/>
          <w:lang w:val="en-US"/>
        </w:rPr>
        <w:t xml:space="preserve">the </w:t>
      </w:r>
      <w:r w:rsidR="00E83DD6">
        <w:rPr>
          <w:rFonts w:ascii="Calibri" w:hAnsi="Calibri" w:cs="Calibri"/>
          <w:sz w:val="20"/>
          <w:lang w:val="en-US"/>
        </w:rPr>
        <w:t xml:space="preserve">increase </w:t>
      </w:r>
      <w:r w:rsidR="00290030">
        <w:rPr>
          <w:rFonts w:ascii="Calibri" w:hAnsi="Calibri" w:cs="Calibri"/>
          <w:sz w:val="20"/>
          <w:lang w:val="en-US"/>
        </w:rPr>
        <w:t>of</w:t>
      </w:r>
      <w:r w:rsidR="00E83DD6">
        <w:rPr>
          <w:rFonts w:ascii="Calibri" w:hAnsi="Calibri" w:cs="Calibri"/>
          <w:sz w:val="20"/>
          <w:lang w:val="en-US"/>
        </w:rPr>
        <w:t xml:space="preserve"> </w:t>
      </w:r>
      <w:r w:rsidRPr="00E960DA">
        <w:rPr>
          <w:rFonts w:ascii="Calibri" w:hAnsi="Calibri" w:cs="Calibri"/>
          <w:sz w:val="20"/>
          <w:lang w:val="en-US"/>
        </w:rPr>
        <w:t>wage</w:t>
      </w:r>
      <w:r w:rsidR="00E83DD6">
        <w:rPr>
          <w:rFonts w:ascii="Calibri" w:hAnsi="Calibri" w:cs="Calibri"/>
          <w:sz w:val="20"/>
          <w:lang w:val="en-US"/>
        </w:rPr>
        <w:t>s</w:t>
      </w:r>
      <w:r w:rsidRPr="00E960DA">
        <w:rPr>
          <w:rFonts w:ascii="Calibri" w:hAnsi="Calibri" w:cs="Calibri"/>
          <w:sz w:val="20"/>
          <w:lang w:val="en-US"/>
        </w:rPr>
        <w:t xml:space="preserve"> and salar</w:t>
      </w:r>
      <w:r w:rsidR="00E83DD6">
        <w:rPr>
          <w:rFonts w:ascii="Calibri" w:hAnsi="Calibri" w:cs="Calibri"/>
          <w:sz w:val="20"/>
          <w:lang w:val="en-US"/>
        </w:rPr>
        <w:t>ies</w:t>
      </w:r>
      <w:r w:rsidRPr="00E960DA">
        <w:rPr>
          <w:rFonts w:ascii="Calibri" w:hAnsi="Calibri" w:cs="Calibri"/>
          <w:sz w:val="20"/>
          <w:lang w:val="en-US"/>
        </w:rPr>
        <w:t xml:space="preserve"> will ultimately be faster this year, not least due to </w:t>
      </w:r>
      <w:r w:rsidR="00F746A4">
        <w:rPr>
          <w:rFonts w:ascii="Calibri" w:hAnsi="Calibri" w:cs="Calibri"/>
          <w:sz w:val="20"/>
          <w:lang w:val="en-US"/>
        </w:rPr>
        <w:t xml:space="preserve">the </w:t>
      </w:r>
      <w:r w:rsidR="00E83DD6">
        <w:rPr>
          <w:rFonts w:ascii="Calibri" w:hAnsi="Calibri" w:cs="Calibri"/>
          <w:sz w:val="20"/>
          <w:lang w:val="en-US"/>
        </w:rPr>
        <w:t>special</w:t>
      </w:r>
      <w:r w:rsidRPr="00E960DA">
        <w:rPr>
          <w:rFonts w:ascii="Calibri" w:hAnsi="Calibri" w:cs="Calibri"/>
          <w:sz w:val="20"/>
          <w:lang w:val="en-US"/>
        </w:rPr>
        <w:t xml:space="preserve"> </w:t>
      </w:r>
      <w:r w:rsidR="00F746A4">
        <w:rPr>
          <w:rFonts w:ascii="Calibri" w:hAnsi="Calibri" w:cs="Calibri"/>
          <w:sz w:val="20"/>
          <w:lang w:val="en-US"/>
        </w:rPr>
        <w:t>incentives</w:t>
      </w:r>
      <w:r w:rsidR="00F746A4" w:rsidRPr="00E960DA">
        <w:rPr>
          <w:rFonts w:ascii="Calibri" w:hAnsi="Calibri" w:cs="Calibri"/>
          <w:sz w:val="20"/>
          <w:lang w:val="en-US"/>
        </w:rPr>
        <w:t xml:space="preserve"> </w:t>
      </w:r>
      <w:r w:rsidRPr="00E960DA">
        <w:rPr>
          <w:rFonts w:ascii="Calibri" w:hAnsi="Calibri" w:cs="Calibri"/>
          <w:sz w:val="20"/>
          <w:lang w:val="en-US"/>
        </w:rPr>
        <w:t xml:space="preserve">in the healthcare sector. </w:t>
      </w:r>
      <w:r w:rsidRPr="00E83DD6">
        <w:rPr>
          <w:rFonts w:ascii="Calibri" w:hAnsi="Calibri" w:cs="Calibri"/>
          <w:b/>
          <w:bCs/>
          <w:sz w:val="20"/>
          <w:lang w:val="en-US"/>
        </w:rPr>
        <w:t>Wages and salaries are expected to increase by 5.8% this year. Growth will continue next year, partly supported by a 6.6% increase in the minimum wage and the associated guaranteed wages.</w:t>
      </w:r>
      <w:r w:rsidRPr="00E960DA">
        <w:rPr>
          <w:rFonts w:ascii="Calibri" w:hAnsi="Calibri" w:cs="Calibri"/>
          <w:sz w:val="20"/>
          <w:lang w:val="en-US"/>
        </w:rPr>
        <w:t xml:space="preserve"> The expected lower wage growth in the public sector will have the opposite effect. Thus, the combination of </w:t>
      </w:r>
      <w:r w:rsidR="00F746A4">
        <w:rPr>
          <w:rFonts w:ascii="Calibri" w:hAnsi="Calibri" w:cs="Calibri"/>
          <w:sz w:val="20"/>
          <w:lang w:val="en-US"/>
        </w:rPr>
        <w:t xml:space="preserve">a </w:t>
      </w:r>
      <w:r w:rsidRPr="00E960DA">
        <w:rPr>
          <w:rFonts w:ascii="Calibri" w:hAnsi="Calibri" w:cs="Calibri"/>
          <w:sz w:val="20"/>
          <w:lang w:val="en-US"/>
        </w:rPr>
        <w:t>faster inflation and persist</w:t>
      </w:r>
      <w:r w:rsidR="00F746A4">
        <w:rPr>
          <w:rFonts w:ascii="Calibri" w:hAnsi="Calibri" w:cs="Calibri"/>
          <w:sz w:val="20"/>
          <w:lang w:val="en-US"/>
        </w:rPr>
        <w:t xml:space="preserve">ing </w:t>
      </w:r>
      <w:r w:rsidRPr="00E960DA">
        <w:rPr>
          <w:rFonts w:ascii="Calibri" w:hAnsi="Calibri" w:cs="Calibri"/>
          <w:sz w:val="20"/>
          <w:lang w:val="en-US"/>
        </w:rPr>
        <w:t>economic uncertainties this year</w:t>
      </w:r>
      <w:r w:rsidR="00181E55">
        <w:rPr>
          <w:rFonts w:ascii="Calibri" w:hAnsi="Calibri" w:cs="Calibri"/>
          <w:sz w:val="20"/>
          <w:lang w:val="en-US"/>
        </w:rPr>
        <w:t>,</w:t>
      </w:r>
      <w:r w:rsidRPr="00E960DA">
        <w:rPr>
          <w:rFonts w:ascii="Calibri" w:hAnsi="Calibri" w:cs="Calibri"/>
          <w:sz w:val="20"/>
          <w:lang w:val="en-US"/>
        </w:rPr>
        <w:t xml:space="preserve"> limiting the bargaining power of employees</w:t>
      </w:r>
      <w:r w:rsidR="00181E55">
        <w:rPr>
          <w:rFonts w:ascii="Calibri" w:hAnsi="Calibri" w:cs="Calibri"/>
          <w:sz w:val="20"/>
          <w:lang w:val="en-US"/>
        </w:rPr>
        <w:t>,</w:t>
      </w:r>
      <w:r w:rsidRPr="00E960DA">
        <w:rPr>
          <w:rFonts w:ascii="Calibri" w:hAnsi="Calibri" w:cs="Calibri"/>
          <w:sz w:val="20"/>
          <w:lang w:val="en-US"/>
        </w:rPr>
        <w:t xml:space="preserve"> is likely to lead to a slight decline in real wages next year, which is likely to be accompanied by a decline in savings.</w:t>
      </w:r>
    </w:p>
    <w:p w14:paraId="03781FA7" w14:textId="4DE4FD3C" w:rsidR="00E960DA" w:rsidRPr="00E960DA" w:rsidRDefault="00E960DA" w:rsidP="00B56366">
      <w:pPr>
        <w:tabs>
          <w:tab w:val="left" w:pos="1019"/>
          <w:tab w:val="left" w:pos="4418"/>
          <w:tab w:val="left" w:pos="4594"/>
          <w:tab w:val="left" w:pos="6858"/>
        </w:tabs>
        <w:spacing w:before="120" w:after="120"/>
        <w:rPr>
          <w:rFonts w:ascii="Calibri" w:hAnsi="Calibri" w:cs="Calibri"/>
          <w:b/>
          <w:color w:val="13576B"/>
          <w:sz w:val="22"/>
          <w:szCs w:val="22"/>
          <w:lang w:val="en-GB"/>
        </w:rPr>
      </w:pPr>
      <w:r w:rsidRPr="00E960DA">
        <w:rPr>
          <w:rFonts w:ascii="Calibri" w:hAnsi="Calibri" w:cs="Calibri"/>
          <w:b/>
          <w:color w:val="13576B"/>
          <w:sz w:val="22"/>
          <w:szCs w:val="22"/>
          <w:lang w:val="en-GB"/>
        </w:rPr>
        <w:t>Inflation to accelerate</w:t>
      </w:r>
      <w:r w:rsidR="00181E55">
        <w:rPr>
          <w:rFonts w:ascii="Calibri" w:hAnsi="Calibri" w:cs="Calibri"/>
          <w:b/>
          <w:color w:val="13576B"/>
          <w:sz w:val="22"/>
          <w:szCs w:val="22"/>
          <w:lang w:val="en-GB"/>
        </w:rPr>
        <w:t xml:space="preserve">; it </w:t>
      </w:r>
      <w:r w:rsidRPr="00E960DA">
        <w:rPr>
          <w:rFonts w:ascii="Calibri" w:hAnsi="Calibri" w:cs="Calibri"/>
          <w:b/>
          <w:color w:val="13576B"/>
          <w:sz w:val="22"/>
          <w:szCs w:val="22"/>
          <w:lang w:val="en-GB"/>
        </w:rPr>
        <w:t xml:space="preserve">may reach </w:t>
      </w:r>
      <w:r w:rsidR="00783610">
        <w:rPr>
          <w:rFonts w:ascii="Calibri" w:hAnsi="Calibri" w:cs="Calibri"/>
          <w:b/>
          <w:color w:val="13576B"/>
          <w:sz w:val="22"/>
          <w:szCs w:val="22"/>
          <w:lang w:val="en-GB"/>
        </w:rPr>
        <w:t xml:space="preserve">the </w:t>
      </w:r>
      <w:r w:rsidRPr="00E960DA">
        <w:rPr>
          <w:rFonts w:ascii="Calibri" w:hAnsi="Calibri" w:cs="Calibri"/>
          <w:b/>
          <w:color w:val="13576B"/>
          <w:sz w:val="22"/>
          <w:szCs w:val="22"/>
          <w:lang w:val="en-GB"/>
        </w:rPr>
        <w:t>2008 levels</w:t>
      </w:r>
      <w:r w:rsidR="00B56366">
        <w:rPr>
          <w:rFonts w:ascii="Calibri" w:hAnsi="Calibri" w:cs="Calibri"/>
          <w:b/>
          <w:color w:val="13576B"/>
          <w:sz w:val="22"/>
          <w:szCs w:val="22"/>
          <w:lang w:val="en-GB"/>
        </w:rPr>
        <w:tab/>
      </w:r>
      <w:r w:rsidR="0052616E">
        <w:rPr>
          <w:rFonts w:ascii="Calibri" w:hAnsi="Calibri" w:cs="Calibri"/>
          <w:b/>
          <w:color w:val="13576B"/>
          <w:sz w:val="22"/>
          <w:szCs w:val="22"/>
          <w:lang w:val="en-GB"/>
        </w:rPr>
        <w:t xml:space="preserve"> </w:t>
      </w:r>
      <w:r w:rsidR="00B56366">
        <w:rPr>
          <w:rFonts w:ascii="Calibri" w:hAnsi="Calibri" w:cs="Calibri"/>
          <w:b/>
          <w:color w:val="13576B"/>
          <w:sz w:val="22"/>
          <w:szCs w:val="22"/>
          <w:lang w:val="en-GB"/>
        </w:rPr>
        <w:tab/>
      </w:r>
    </w:p>
    <w:p w14:paraId="4D2960B6" w14:textId="3C853147" w:rsidR="00E960DA" w:rsidRPr="00E960DA" w:rsidRDefault="00E960DA" w:rsidP="00DF7FD9">
      <w:pPr>
        <w:spacing w:before="120" w:after="120"/>
        <w:rPr>
          <w:rFonts w:ascii="Calibri" w:hAnsi="Calibri" w:cs="Calibri"/>
          <w:sz w:val="20"/>
          <w:lang w:val="en-US"/>
        </w:rPr>
      </w:pPr>
      <w:r w:rsidRPr="00B224E6">
        <w:rPr>
          <w:rFonts w:ascii="Calibri" w:hAnsi="Calibri" w:cs="Calibri"/>
          <w:b/>
          <w:bCs/>
          <w:sz w:val="20"/>
          <w:lang w:val="en-US"/>
        </w:rPr>
        <w:t xml:space="preserve">The acceleration </w:t>
      </w:r>
      <w:r w:rsidR="00B224E6">
        <w:rPr>
          <w:rFonts w:ascii="Calibri" w:hAnsi="Calibri" w:cs="Calibri"/>
          <w:b/>
          <w:bCs/>
          <w:sz w:val="20"/>
          <w:lang w:val="en-US"/>
        </w:rPr>
        <w:t>of</w:t>
      </w:r>
      <w:r w:rsidRPr="00B224E6">
        <w:rPr>
          <w:rFonts w:ascii="Calibri" w:hAnsi="Calibri" w:cs="Calibri"/>
          <w:b/>
          <w:bCs/>
          <w:sz w:val="20"/>
          <w:lang w:val="en-US"/>
        </w:rPr>
        <w:t xml:space="preserve"> inflation ha</w:t>
      </w:r>
      <w:r w:rsidR="00C5653F">
        <w:rPr>
          <w:rFonts w:ascii="Calibri" w:hAnsi="Calibri" w:cs="Calibri"/>
          <w:b/>
          <w:bCs/>
          <w:sz w:val="20"/>
          <w:lang w:val="en-US"/>
        </w:rPr>
        <w:t>s</w:t>
      </w:r>
      <w:r w:rsidRPr="00B224E6">
        <w:rPr>
          <w:rFonts w:ascii="Calibri" w:hAnsi="Calibri" w:cs="Calibri"/>
          <w:b/>
          <w:bCs/>
          <w:sz w:val="20"/>
          <w:lang w:val="en-US"/>
        </w:rPr>
        <w:t xml:space="preserve"> been </w:t>
      </w:r>
      <w:r w:rsidR="0067330A">
        <w:rPr>
          <w:rFonts w:ascii="Calibri" w:hAnsi="Calibri" w:cs="Calibri"/>
          <w:b/>
          <w:bCs/>
          <w:sz w:val="20"/>
          <w:lang w:val="en-US"/>
        </w:rPr>
        <w:t>above</w:t>
      </w:r>
      <w:r w:rsidRPr="00B224E6">
        <w:rPr>
          <w:rFonts w:ascii="Calibri" w:hAnsi="Calibri" w:cs="Calibri"/>
          <w:b/>
          <w:bCs/>
          <w:sz w:val="20"/>
          <w:lang w:val="en-US"/>
        </w:rPr>
        <w:t xml:space="preserve"> expectations </w:t>
      </w:r>
      <w:r w:rsidR="00523A88" w:rsidRPr="00B224E6">
        <w:rPr>
          <w:rFonts w:ascii="Calibri" w:hAnsi="Calibri" w:cs="Calibri"/>
          <w:b/>
          <w:bCs/>
          <w:sz w:val="20"/>
          <w:lang w:val="en-US"/>
        </w:rPr>
        <w:t xml:space="preserve">in the second half of this year </w:t>
      </w:r>
      <w:r w:rsidRPr="00B224E6">
        <w:rPr>
          <w:rFonts w:ascii="Calibri" w:hAnsi="Calibri" w:cs="Calibri"/>
          <w:b/>
          <w:bCs/>
          <w:sz w:val="20"/>
          <w:lang w:val="en-US"/>
        </w:rPr>
        <w:t xml:space="preserve">and </w:t>
      </w:r>
      <w:r w:rsidR="0067330A">
        <w:rPr>
          <w:rFonts w:ascii="Calibri" w:hAnsi="Calibri" w:cs="Calibri"/>
          <w:b/>
          <w:bCs/>
          <w:sz w:val="20"/>
          <w:lang w:val="en-US"/>
        </w:rPr>
        <w:t xml:space="preserve">it </w:t>
      </w:r>
      <w:r w:rsidRPr="00B224E6">
        <w:rPr>
          <w:rFonts w:ascii="Calibri" w:hAnsi="Calibri" w:cs="Calibri"/>
          <w:b/>
          <w:bCs/>
          <w:sz w:val="20"/>
          <w:lang w:val="en-US"/>
        </w:rPr>
        <w:t>ha</w:t>
      </w:r>
      <w:r w:rsidR="00C5653F">
        <w:rPr>
          <w:rFonts w:ascii="Calibri" w:hAnsi="Calibri" w:cs="Calibri"/>
          <w:b/>
          <w:bCs/>
          <w:sz w:val="20"/>
          <w:lang w:val="en-US"/>
        </w:rPr>
        <w:t>s</w:t>
      </w:r>
      <w:r w:rsidRPr="00B224E6">
        <w:rPr>
          <w:rFonts w:ascii="Calibri" w:hAnsi="Calibri" w:cs="Calibri"/>
          <w:b/>
          <w:bCs/>
          <w:sz w:val="20"/>
          <w:lang w:val="en-US"/>
        </w:rPr>
        <w:t xml:space="preserve"> led to significant revisions to inflation estimates for this year and next</w:t>
      </w:r>
      <w:r w:rsidRPr="00E960DA">
        <w:rPr>
          <w:rFonts w:ascii="Calibri" w:hAnsi="Calibri" w:cs="Calibri"/>
          <w:sz w:val="20"/>
          <w:lang w:val="en-US"/>
        </w:rPr>
        <w:t>. Th</w:t>
      </w:r>
      <w:r w:rsidR="00523A88">
        <w:rPr>
          <w:rFonts w:ascii="Calibri" w:hAnsi="Calibri" w:cs="Calibri"/>
          <w:sz w:val="20"/>
          <w:lang w:val="en-US"/>
        </w:rPr>
        <w:t>is</w:t>
      </w:r>
      <w:r w:rsidRPr="00E960DA">
        <w:rPr>
          <w:rFonts w:ascii="Calibri" w:hAnsi="Calibri" w:cs="Calibri"/>
          <w:sz w:val="20"/>
          <w:lang w:val="en-US"/>
        </w:rPr>
        <w:t xml:space="preserve"> acceleration will be associated in particular with housing prices, with a more significant rise in energy prices expected at the end of the year, which has not affected domestic inflation so </w:t>
      </w:r>
      <w:r w:rsidR="00B224E6">
        <w:rPr>
          <w:rFonts w:ascii="Calibri" w:hAnsi="Calibri" w:cs="Calibri"/>
          <w:sz w:val="20"/>
          <w:lang w:val="en-US"/>
        </w:rPr>
        <w:t>much</w:t>
      </w:r>
      <w:r w:rsidR="00B224E6" w:rsidRPr="00B224E6">
        <w:rPr>
          <w:rFonts w:ascii="Calibri" w:hAnsi="Calibri" w:cs="Calibri"/>
          <w:sz w:val="20"/>
          <w:lang w:val="en-US"/>
        </w:rPr>
        <w:t xml:space="preserve"> </w:t>
      </w:r>
      <w:r w:rsidR="00B224E6">
        <w:rPr>
          <w:rFonts w:ascii="Calibri" w:hAnsi="Calibri" w:cs="Calibri"/>
          <w:sz w:val="20"/>
          <w:lang w:val="en-US"/>
        </w:rPr>
        <w:t>up to now</w:t>
      </w:r>
      <w:r w:rsidRPr="00E960DA">
        <w:rPr>
          <w:rFonts w:ascii="Calibri" w:hAnsi="Calibri" w:cs="Calibri"/>
          <w:sz w:val="20"/>
          <w:lang w:val="en-US"/>
        </w:rPr>
        <w:t xml:space="preserve">. Inflation </w:t>
      </w:r>
      <w:r w:rsidR="00A84AA0">
        <w:rPr>
          <w:rFonts w:ascii="Calibri" w:hAnsi="Calibri" w:cs="Calibri"/>
          <w:sz w:val="20"/>
          <w:lang w:val="en-US"/>
        </w:rPr>
        <w:t xml:space="preserve">is thus estimated to be </w:t>
      </w:r>
      <w:r w:rsidRPr="00E960DA">
        <w:rPr>
          <w:rFonts w:ascii="Calibri" w:hAnsi="Calibri" w:cs="Calibri"/>
          <w:sz w:val="20"/>
          <w:lang w:val="en-US"/>
        </w:rPr>
        <w:t>around 6% at the end of this year</w:t>
      </w:r>
      <w:r w:rsidR="00A84AA0">
        <w:rPr>
          <w:rFonts w:ascii="Calibri" w:hAnsi="Calibri" w:cs="Calibri"/>
          <w:sz w:val="20"/>
          <w:lang w:val="en-US"/>
        </w:rPr>
        <w:t xml:space="preserve"> and its possible </w:t>
      </w:r>
      <w:r w:rsidRPr="00E960DA">
        <w:rPr>
          <w:rFonts w:ascii="Calibri" w:hAnsi="Calibri" w:cs="Calibri"/>
          <w:sz w:val="20"/>
          <w:lang w:val="en-US"/>
        </w:rPr>
        <w:t xml:space="preserve">further acceleration </w:t>
      </w:r>
      <w:r w:rsidR="00A84AA0">
        <w:rPr>
          <w:rFonts w:ascii="Calibri" w:hAnsi="Calibri" w:cs="Calibri"/>
          <w:sz w:val="20"/>
          <w:lang w:val="en-US"/>
        </w:rPr>
        <w:t>will be</w:t>
      </w:r>
      <w:r w:rsidRPr="00E960DA">
        <w:rPr>
          <w:rFonts w:ascii="Calibri" w:hAnsi="Calibri" w:cs="Calibri"/>
          <w:sz w:val="20"/>
          <w:lang w:val="en-US"/>
        </w:rPr>
        <w:t xml:space="preserve"> dampened by the planned reduction in VAT on energy. For the whole of this year, inflation will average 3.8%.  </w:t>
      </w:r>
      <w:r w:rsidRPr="00B224E6">
        <w:rPr>
          <w:rFonts w:ascii="Calibri" w:hAnsi="Calibri" w:cs="Calibri"/>
          <w:b/>
          <w:bCs/>
          <w:sz w:val="20"/>
          <w:lang w:val="en-US"/>
        </w:rPr>
        <w:t xml:space="preserve">Inflation estimates for </w:t>
      </w:r>
      <w:r w:rsidR="001A0A82">
        <w:rPr>
          <w:rFonts w:ascii="Calibri" w:hAnsi="Calibri" w:cs="Calibri"/>
          <w:b/>
          <w:bCs/>
          <w:sz w:val="20"/>
          <w:lang w:val="en-US"/>
        </w:rPr>
        <w:t xml:space="preserve">the </w:t>
      </w:r>
      <w:r w:rsidRPr="00B224E6">
        <w:rPr>
          <w:rFonts w:ascii="Calibri" w:hAnsi="Calibri" w:cs="Calibri"/>
          <w:b/>
          <w:bCs/>
          <w:sz w:val="20"/>
          <w:lang w:val="en-US"/>
        </w:rPr>
        <w:t xml:space="preserve">next year are subject to considerable uncertainty, as it is not clear whether the reduction in VAT on energy will </w:t>
      </w:r>
      <w:r w:rsidR="008676BC">
        <w:rPr>
          <w:rFonts w:ascii="Calibri" w:hAnsi="Calibri" w:cs="Calibri"/>
          <w:b/>
          <w:bCs/>
          <w:sz w:val="20"/>
          <w:lang w:val="en-US"/>
        </w:rPr>
        <w:t>continue</w:t>
      </w:r>
      <w:r w:rsidRPr="00B224E6">
        <w:rPr>
          <w:rFonts w:ascii="Calibri" w:hAnsi="Calibri" w:cs="Calibri"/>
          <w:b/>
          <w:bCs/>
          <w:sz w:val="20"/>
          <w:lang w:val="en-US"/>
        </w:rPr>
        <w:t xml:space="preserve"> </w:t>
      </w:r>
      <w:r w:rsidR="00523A88">
        <w:rPr>
          <w:rFonts w:ascii="Calibri" w:hAnsi="Calibri" w:cs="Calibri"/>
          <w:b/>
          <w:bCs/>
          <w:sz w:val="20"/>
          <w:lang w:val="en-US"/>
        </w:rPr>
        <w:t xml:space="preserve">and </w:t>
      </w:r>
      <w:r w:rsidR="008676BC">
        <w:rPr>
          <w:rFonts w:ascii="Calibri" w:hAnsi="Calibri" w:cs="Calibri"/>
          <w:b/>
          <w:bCs/>
          <w:sz w:val="20"/>
          <w:lang w:val="en-US"/>
        </w:rPr>
        <w:t xml:space="preserve">at </w:t>
      </w:r>
      <w:r w:rsidRPr="00B224E6">
        <w:rPr>
          <w:rFonts w:ascii="Calibri" w:hAnsi="Calibri" w:cs="Calibri"/>
          <w:b/>
          <w:bCs/>
          <w:sz w:val="20"/>
          <w:lang w:val="en-US"/>
        </w:rPr>
        <w:t>wh</w:t>
      </w:r>
      <w:r w:rsidR="008676BC">
        <w:rPr>
          <w:rFonts w:ascii="Calibri" w:hAnsi="Calibri" w:cs="Calibri"/>
          <w:b/>
          <w:bCs/>
          <w:sz w:val="20"/>
          <w:lang w:val="en-US"/>
        </w:rPr>
        <w:t xml:space="preserve">ich </w:t>
      </w:r>
      <w:r w:rsidRPr="00B224E6">
        <w:rPr>
          <w:rFonts w:ascii="Calibri" w:hAnsi="Calibri" w:cs="Calibri"/>
          <w:b/>
          <w:bCs/>
          <w:sz w:val="20"/>
          <w:lang w:val="en-US"/>
        </w:rPr>
        <w:t>reduced rate</w:t>
      </w:r>
      <w:r w:rsidRPr="00E960DA">
        <w:rPr>
          <w:rFonts w:ascii="Calibri" w:hAnsi="Calibri" w:cs="Calibri"/>
          <w:sz w:val="20"/>
          <w:lang w:val="en-US"/>
        </w:rPr>
        <w:t xml:space="preserve">. In this respect, the assumptions of the individual forecasts in the panel differ. Although </w:t>
      </w:r>
      <w:r w:rsidRPr="00B224E6">
        <w:rPr>
          <w:rFonts w:ascii="Calibri" w:hAnsi="Calibri" w:cs="Calibri"/>
          <w:b/>
          <w:bCs/>
          <w:sz w:val="20"/>
          <w:lang w:val="en-US"/>
        </w:rPr>
        <w:t>the median inflation rate for next year is 5.1%, some estimates are closer to 6%, and in general</w:t>
      </w:r>
      <w:r w:rsidR="0041781B">
        <w:rPr>
          <w:rFonts w:ascii="Calibri" w:hAnsi="Calibri" w:cs="Calibri"/>
          <w:b/>
          <w:bCs/>
          <w:sz w:val="20"/>
          <w:lang w:val="en-US"/>
        </w:rPr>
        <w:t>,</w:t>
      </w:r>
      <w:r w:rsidRPr="00B224E6">
        <w:rPr>
          <w:rFonts w:ascii="Calibri" w:hAnsi="Calibri" w:cs="Calibri"/>
          <w:b/>
          <w:bCs/>
          <w:sz w:val="20"/>
          <w:lang w:val="en-US"/>
        </w:rPr>
        <w:t xml:space="preserve"> the prevailing view among the </w:t>
      </w:r>
      <w:r w:rsidR="00214323">
        <w:rPr>
          <w:rFonts w:ascii="Calibri" w:hAnsi="Calibri" w:cs="Calibri"/>
          <w:b/>
          <w:bCs/>
          <w:sz w:val="20"/>
          <w:lang w:val="en-US"/>
        </w:rPr>
        <w:t>prognostic</w:t>
      </w:r>
      <w:r w:rsidRPr="00B224E6">
        <w:rPr>
          <w:rFonts w:ascii="Calibri" w:hAnsi="Calibri" w:cs="Calibri"/>
          <w:b/>
          <w:bCs/>
          <w:sz w:val="20"/>
          <w:lang w:val="en-US"/>
        </w:rPr>
        <w:t xml:space="preserve"> panel experts was that inflation has the potential to surprise with higher </w:t>
      </w:r>
      <w:r w:rsidR="00214323">
        <w:rPr>
          <w:rFonts w:ascii="Calibri" w:hAnsi="Calibri" w:cs="Calibri"/>
          <w:b/>
          <w:bCs/>
          <w:sz w:val="20"/>
          <w:lang w:val="en-US"/>
        </w:rPr>
        <w:t>values</w:t>
      </w:r>
      <w:r w:rsidRPr="00B224E6">
        <w:rPr>
          <w:rFonts w:ascii="Calibri" w:hAnsi="Calibri" w:cs="Calibri"/>
          <w:b/>
          <w:bCs/>
          <w:sz w:val="20"/>
          <w:lang w:val="en-US"/>
        </w:rPr>
        <w:t xml:space="preserve"> in the first half of the year.</w:t>
      </w:r>
      <w:r w:rsidRPr="00E960DA">
        <w:rPr>
          <w:rFonts w:ascii="Calibri" w:hAnsi="Calibri" w:cs="Calibri"/>
          <w:sz w:val="20"/>
          <w:lang w:val="en-US"/>
        </w:rPr>
        <w:t xml:space="preserve"> The increase </w:t>
      </w:r>
      <w:r w:rsidR="00490B34">
        <w:rPr>
          <w:rFonts w:ascii="Calibri" w:hAnsi="Calibri" w:cs="Calibri"/>
          <w:sz w:val="20"/>
          <w:lang w:val="en-US"/>
        </w:rPr>
        <w:t xml:space="preserve">in prices </w:t>
      </w:r>
      <w:r w:rsidRPr="00E960DA">
        <w:rPr>
          <w:rFonts w:ascii="Calibri" w:hAnsi="Calibri" w:cs="Calibri"/>
          <w:sz w:val="20"/>
          <w:lang w:val="en-US"/>
        </w:rPr>
        <w:t xml:space="preserve">will be relatively </w:t>
      </w:r>
      <w:r w:rsidR="00490B34">
        <w:rPr>
          <w:rFonts w:ascii="Calibri" w:hAnsi="Calibri" w:cs="Calibri"/>
          <w:sz w:val="20"/>
          <w:lang w:val="en-US"/>
        </w:rPr>
        <w:t>broad-based a</w:t>
      </w:r>
      <w:r w:rsidRPr="00E960DA">
        <w:rPr>
          <w:rFonts w:ascii="Calibri" w:hAnsi="Calibri" w:cs="Calibri"/>
          <w:sz w:val="20"/>
          <w:lang w:val="en-US"/>
        </w:rPr>
        <w:t xml:space="preserve">s a result of the </w:t>
      </w:r>
      <w:r w:rsidR="00C01EA6">
        <w:rPr>
          <w:rFonts w:ascii="Calibri" w:hAnsi="Calibri" w:cs="Calibri"/>
          <w:sz w:val="20"/>
          <w:lang w:val="en-US"/>
        </w:rPr>
        <w:t>impact brought by h</w:t>
      </w:r>
      <w:r w:rsidRPr="00E960DA">
        <w:rPr>
          <w:rFonts w:ascii="Calibri" w:hAnsi="Calibri" w:cs="Calibri"/>
          <w:sz w:val="20"/>
          <w:lang w:val="en-US"/>
        </w:rPr>
        <w:t xml:space="preserve">igh energy prices. According to </w:t>
      </w:r>
      <w:r w:rsidR="0041781B">
        <w:rPr>
          <w:rFonts w:ascii="Calibri" w:hAnsi="Calibri" w:cs="Calibri"/>
          <w:sz w:val="20"/>
          <w:lang w:val="en-US"/>
        </w:rPr>
        <w:t xml:space="preserve">the </w:t>
      </w:r>
      <w:r w:rsidRPr="00E960DA">
        <w:rPr>
          <w:rFonts w:ascii="Calibri" w:hAnsi="Calibri" w:cs="Calibri"/>
          <w:sz w:val="20"/>
          <w:lang w:val="en-US"/>
        </w:rPr>
        <w:t xml:space="preserve">current estimates, inflation should </w:t>
      </w:r>
      <w:r w:rsidR="00C01EA6">
        <w:rPr>
          <w:rFonts w:ascii="Calibri" w:hAnsi="Calibri" w:cs="Calibri"/>
          <w:sz w:val="20"/>
          <w:lang w:val="en-US"/>
        </w:rPr>
        <w:t xml:space="preserve">reach its </w:t>
      </w:r>
      <w:r w:rsidRPr="00E960DA">
        <w:rPr>
          <w:rFonts w:ascii="Calibri" w:hAnsi="Calibri" w:cs="Calibri"/>
          <w:sz w:val="20"/>
          <w:lang w:val="en-US"/>
        </w:rPr>
        <w:t xml:space="preserve">peak in the first quarter of next year. However, most forecasts do not expect it to return below the 3% </w:t>
      </w:r>
      <w:r w:rsidR="007C27F4">
        <w:rPr>
          <w:rFonts w:ascii="Calibri" w:hAnsi="Calibri" w:cs="Calibri"/>
          <w:sz w:val="20"/>
          <w:lang w:val="en-US"/>
        </w:rPr>
        <w:t xml:space="preserve">limit of the </w:t>
      </w:r>
      <w:r w:rsidR="006745EA">
        <w:rPr>
          <w:rFonts w:ascii="Calibri" w:hAnsi="Calibri" w:cs="Calibri"/>
          <w:sz w:val="20"/>
          <w:lang w:val="en-US"/>
        </w:rPr>
        <w:t xml:space="preserve">CNB's </w:t>
      </w:r>
      <w:r w:rsidRPr="00E960DA">
        <w:rPr>
          <w:rFonts w:ascii="Calibri" w:hAnsi="Calibri" w:cs="Calibri"/>
          <w:sz w:val="20"/>
          <w:lang w:val="en-US"/>
        </w:rPr>
        <w:t xml:space="preserve">upper tolerance band </w:t>
      </w:r>
      <w:r w:rsidR="006745EA">
        <w:rPr>
          <w:rFonts w:ascii="Calibri" w:hAnsi="Calibri" w:cs="Calibri"/>
          <w:sz w:val="20"/>
          <w:lang w:val="en-US"/>
        </w:rPr>
        <w:t>b</w:t>
      </w:r>
      <w:r w:rsidR="007C27F4">
        <w:rPr>
          <w:rFonts w:ascii="Calibri" w:hAnsi="Calibri" w:cs="Calibri"/>
          <w:sz w:val="20"/>
          <w:lang w:val="en-US"/>
        </w:rPr>
        <w:t>efore</w:t>
      </w:r>
      <w:r w:rsidRPr="00E960DA">
        <w:rPr>
          <w:rFonts w:ascii="Calibri" w:hAnsi="Calibri" w:cs="Calibri"/>
          <w:sz w:val="20"/>
          <w:lang w:val="en-US"/>
        </w:rPr>
        <w:t xml:space="preserve"> the end of next year.</w:t>
      </w:r>
      <w:r w:rsidR="00523A88">
        <w:rPr>
          <w:rFonts w:ascii="Calibri" w:hAnsi="Calibri" w:cs="Calibri"/>
          <w:sz w:val="20"/>
          <w:lang w:val="en-US"/>
        </w:rPr>
        <w:t xml:space="preserve"> </w:t>
      </w:r>
      <w:r w:rsidR="008676BC">
        <w:rPr>
          <w:rFonts w:ascii="Calibri" w:hAnsi="Calibri" w:cs="Calibri"/>
          <w:sz w:val="20"/>
          <w:lang w:val="en-US"/>
        </w:rPr>
        <w:t xml:space="preserve"> </w:t>
      </w:r>
    </w:p>
    <w:p w14:paraId="33D7016C" w14:textId="31E3E985" w:rsidR="00D54C57" w:rsidRPr="00D54C57" w:rsidRDefault="00D54C57" w:rsidP="00DF7FD9">
      <w:pPr>
        <w:spacing w:before="120" w:after="120"/>
        <w:rPr>
          <w:rFonts w:ascii="Calibri" w:hAnsi="Calibri" w:cs="Calibri"/>
          <w:b/>
          <w:color w:val="13576B"/>
          <w:sz w:val="22"/>
          <w:szCs w:val="22"/>
          <w:lang w:val="en-US"/>
        </w:rPr>
      </w:pPr>
      <w:r w:rsidRPr="00D54C57">
        <w:rPr>
          <w:rFonts w:ascii="Calibri" w:hAnsi="Calibri" w:cs="Calibri"/>
          <w:b/>
          <w:color w:val="13576B"/>
          <w:sz w:val="22"/>
          <w:szCs w:val="22"/>
          <w:lang w:val="en-US"/>
        </w:rPr>
        <w:t>CNB rates to rise further</w:t>
      </w:r>
      <w:r w:rsidR="008015FA">
        <w:rPr>
          <w:rFonts w:ascii="Calibri" w:hAnsi="Calibri" w:cs="Calibri"/>
          <w:b/>
          <w:color w:val="13576B"/>
          <w:sz w:val="22"/>
          <w:szCs w:val="22"/>
          <w:lang w:val="en-US"/>
        </w:rPr>
        <w:t>;</w:t>
      </w:r>
      <w:r w:rsidRPr="00D54C57">
        <w:rPr>
          <w:rFonts w:ascii="Calibri" w:hAnsi="Calibri" w:cs="Calibri"/>
          <w:b/>
          <w:color w:val="13576B"/>
          <w:sz w:val="22"/>
          <w:szCs w:val="22"/>
          <w:lang w:val="en-US"/>
        </w:rPr>
        <w:t xml:space="preserve"> despite this, no significant appreciation of the crown is expected next year</w:t>
      </w:r>
    </w:p>
    <w:p w14:paraId="710FF033" w14:textId="48CF8AB6" w:rsidR="00D54C57" w:rsidRPr="00D54C57" w:rsidRDefault="00D54C57" w:rsidP="00DF7FD9">
      <w:pPr>
        <w:spacing w:before="120" w:after="120"/>
        <w:rPr>
          <w:rFonts w:ascii="Calibri" w:hAnsi="Calibri" w:cs="Calibri"/>
          <w:sz w:val="20"/>
          <w:lang w:val="en-US"/>
        </w:rPr>
      </w:pPr>
      <w:r w:rsidRPr="007C27F4">
        <w:rPr>
          <w:rFonts w:ascii="Calibri" w:hAnsi="Calibri" w:cs="Calibri"/>
          <w:b/>
          <w:bCs/>
          <w:sz w:val="20"/>
          <w:lang w:val="en-US"/>
        </w:rPr>
        <w:t xml:space="preserve">Faster-than-expected price growth was reflected in significantly faster interest rate increases by the Czech National Bank. This year, the Czech National Bank </w:t>
      </w:r>
      <w:r w:rsidR="007C27F4">
        <w:rPr>
          <w:rFonts w:ascii="Calibri" w:hAnsi="Calibri" w:cs="Calibri"/>
          <w:b/>
          <w:bCs/>
          <w:sz w:val="20"/>
          <w:lang w:val="en-US"/>
        </w:rPr>
        <w:t xml:space="preserve">undertook to </w:t>
      </w:r>
      <w:r w:rsidRPr="007C27F4">
        <w:rPr>
          <w:rFonts w:ascii="Calibri" w:hAnsi="Calibri" w:cs="Calibri"/>
          <w:b/>
          <w:bCs/>
          <w:sz w:val="20"/>
          <w:lang w:val="en-US"/>
        </w:rPr>
        <w:t>increase</w:t>
      </w:r>
      <w:r w:rsidR="007C27F4">
        <w:rPr>
          <w:rFonts w:ascii="Calibri" w:hAnsi="Calibri" w:cs="Calibri"/>
          <w:b/>
          <w:bCs/>
          <w:sz w:val="20"/>
          <w:lang w:val="en-US"/>
        </w:rPr>
        <w:t xml:space="preserve"> its rates</w:t>
      </w:r>
      <w:r w:rsidRPr="007C27F4">
        <w:rPr>
          <w:rFonts w:ascii="Calibri" w:hAnsi="Calibri" w:cs="Calibri"/>
          <w:b/>
          <w:bCs/>
          <w:sz w:val="20"/>
          <w:lang w:val="en-US"/>
        </w:rPr>
        <w:t xml:space="preserve"> </w:t>
      </w:r>
      <w:r w:rsidR="007C27F4" w:rsidRPr="007C27F4">
        <w:rPr>
          <w:rFonts w:ascii="Calibri" w:hAnsi="Calibri" w:cs="Calibri"/>
          <w:b/>
          <w:bCs/>
          <w:sz w:val="20"/>
          <w:lang w:val="en-US"/>
        </w:rPr>
        <w:t xml:space="preserve">at an unprecedented pace </w:t>
      </w:r>
      <w:r w:rsidR="007C27F4">
        <w:rPr>
          <w:rFonts w:ascii="Calibri" w:hAnsi="Calibri" w:cs="Calibri"/>
          <w:b/>
          <w:bCs/>
          <w:sz w:val="20"/>
          <w:lang w:val="en-US"/>
        </w:rPr>
        <w:t xml:space="preserve">and </w:t>
      </w:r>
      <w:r w:rsidRPr="007C27F4">
        <w:rPr>
          <w:rFonts w:ascii="Calibri" w:hAnsi="Calibri" w:cs="Calibri"/>
          <w:b/>
          <w:bCs/>
          <w:sz w:val="20"/>
          <w:lang w:val="en-US"/>
        </w:rPr>
        <w:t>it</w:t>
      </w:r>
      <w:r w:rsidR="007C27F4">
        <w:rPr>
          <w:rFonts w:ascii="Calibri" w:hAnsi="Calibri" w:cs="Calibri"/>
          <w:b/>
          <w:bCs/>
          <w:sz w:val="20"/>
          <w:lang w:val="en-US"/>
        </w:rPr>
        <w:t xml:space="preserve"> has increased its</w:t>
      </w:r>
      <w:r w:rsidRPr="007C27F4">
        <w:rPr>
          <w:rFonts w:ascii="Calibri" w:hAnsi="Calibri" w:cs="Calibri"/>
          <w:b/>
          <w:bCs/>
          <w:sz w:val="20"/>
          <w:lang w:val="en-US"/>
        </w:rPr>
        <w:t xml:space="preserve"> base interest rate from 0.25% to 2.75% in a few months.  However, </w:t>
      </w:r>
      <w:r w:rsidR="00D62A65">
        <w:rPr>
          <w:rFonts w:ascii="Calibri" w:hAnsi="Calibri" w:cs="Calibri"/>
          <w:b/>
          <w:bCs/>
          <w:sz w:val="20"/>
          <w:lang w:val="en-US"/>
        </w:rPr>
        <w:t xml:space="preserve">in accordance with the </w:t>
      </w:r>
      <w:r w:rsidRPr="007C27F4">
        <w:rPr>
          <w:rFonts w:ascii="Calibri" w:hAnsi="Calibri" w:cs="Calibri"/>
          <w:b/>
          <w:bCs/>
          <w:sz w:val="20"/>
          <w:lang w:val="en-US"/>
        </w:rPr>
        <w:t>CBA forecast</w:t>
      </w:r>
      <w:r w:rsidR="00D62A65">
        <w:rPr>
          <w:rFonts w:ascii="Calibri" w:hAnsi="Calibri" w:cs="Calibri"/>
          <w:b/>
          <w:bCs/>
          <w:sz w:val="20"/>
          <w:lang w:val="en-US"/>
        </w:rPr>
        <w:t>,</w:t>
      </w:r>
      <w:r w:rsidRPr="007C27F4">
        <w:rPr>
          <w:rFonts w:ascii="Calibri" w:hAnsi="Calibri" w:cs="Calibri"/>
          <w:b/>
          <w:bCs/>
          <w:sz w:val="20"/>
          <w:lang w:val="en-US"/>
        </w:rPr>
        <w:t xml:space="preserve"> it has not yet said the last word this year. </w:t>
      </w:r>
      <w:r w:rsidR="00D62A65">
        <w:rPr>
          <w:rFonts w:ascii="Calibri" w:hAnsi="Calibri" w:cs="Calibri"/>
          <w:b/>
          <w:bCs/>
          <w:sz w:val="20"/>
          <w:lang w:val="en-US"/>
        </w:rPr>
        <w:t xml:space="preserve">At the end of this year, the base rate should </w:t>
      </w:r>
      <w:r w:rsidR="00765606">
        <w:rPr>
          <w:rFonts w:ascii="Calibri" w:hAnsi="Calibri" w:cs="Calibri"/>
          <w:b/>
          <w:bCs/>
          <w:sz w:val="20"/>
          <w:lang w:val="en-US"/>
        </w:rPr>
        <w:t xml:space="preserve">stand at approximately </w:t>
      </w:r>
      <w:r w:rsidR="00D62A65">
        <w:rPr>
          <w:rFonts w:ascii="Calibri" w:hAnsi="Calibri" w:cs="Calibri"/>
          <w:b/>
          <w:bCs/>
          <w:sz w:val="20"/>
        </w:rPr>
        <w:t xml:space="preserve">3,25 %. </w:t>
      </w:r>
      <w:r w:rsidRPr="00D62A65">
        <w:rPr>
          <w:rFonts w:ascii="Calibri" w:hAnsi="Calibri" w:cs="Calibri"/>
          <w:sz w:val="20"/>
          <w:lang w:val="en-US"/>
        </w:rPr>
        <w:t xml:space="preserve">According to the CBA panel, however, next year's rate hikes will already be much more moderate and the median estimate </w:t>
      </w:r>
      <w:r w:rsidR="00D62A65">
        <w:rPr>
          <w:rFonts w:ascii="Calibri" w:hAnsi="Calibri" w:cs="Calibri"/>
          <w:sz w:val="20"/>
          <w:lang w:val="en-US"/>
        </w:rPr>
        <w:t xml:space="preserve">assumes that </w:t>
      </w:r>
      <w:r w:rsidRPr="00D62A65">
        <w:rPr>
          <w:rFonts w:ascii="Calibri" w:hAnsi="Calibri" w:cs="Calibri"/>
          <w:sz w:val="20"/>
          <w:lang w:val="en-US"/>
        </w:rPr>
        <w:t xml:space="preserve">rates </w:t>
      </w:r>
      <w:r w:rsidR="00D62A65">
        <w:rPr>
          <w:rFonts w:ascii="Calibri" w:hAnsi="Calibri" w:cs="Calibri"/>
          <w:sz w:val="20"/>
          <w:lang w:val="en-US"/>
        </w:rPr>
        <w:t xml:space="preserve">at the </w:t>
      </w:r>
      <w:r w:rsidRPr="00D62A65">
        <w:rPr>
          <w:rFonts w:ascii="Calibri" w:hAnsi="Calibri" w:cs="Calibri"/>
          <w:sz w:val="20"/>
          <w:lang w:val="en-US"/>
        </w:rPr>
        <w:t xml:space="preserve">end </w:t>
      </w:r>
      <w:r w:rsidR="00D62A65">
        <w:rPr>
          <w:rFonts w:ascii="Calibri" w:hAnsi="Calibri" w:cs="Calibri"/>
          <w:sz w:val="20"/>
          <w:lang w:val="en-US"/>
        </w:rPr>
        <w:t xml:space="preserve">of </w:t>
      </w:r>
      <w:r w:rsidRPr="00D62A65">
        <w:rPr>
          <w:rFonts w:ascii="Calibri" w:hAnsi="Calibri" w:cs="Calibri"/>
          <w:sz w:val="20"/>
          <w:lang w:val="en-US"/>
        </w:rPr>
        <w:t xml:space="preserve">the year </w:t>
      </w:r>
      <w:r w:rsidR="00D62A65">
        <w:rPr>
          <w:rFonts w:ascii="Calibri" w:hAnsi="Calibri" w:cs="Calibri"/>
          <w:sz w:val="20"/>
          <w:lang w:val="en-US"/>
        </w:rPr>
        <w:t xml:space="preserve">should move </w:t>
      </w:r>
      <w:r w:rsidRPr="00D62A65">
        <w:rPr>
          <w:rFonts w:ascii="Calibri" w:hAnsi="Calibri" w:cs="Calibri"/>
          <w:sz w:val="20"/>
          <w:lang w:val="en-US"/>
        </w:rPr>
        <w:t>between 3.25% and 3.5%.</w:t>
      </w:r>
      <w:r w:rsidRPr="00D54C57">
        <w:rPr>
          <w:rFonts w:ascii="Calibri" w:hAnsi="Calibri" w:cs="Calibri"/>
          <w:sz w:val="20"/>
          <w:lang w:val="en-US"/>
        </w:rPr>
        <w:t xml:space="preserve"> In addition, some panel members expect the CNB to start cutting rates again in the second half of next year, </w:t>
      </w:r>
      <w:r w:rsidR="00C92B85">
        <w:rPr>
          <w:rFonts w:ascii="Calibri" w:hAnsi="Calibri" w:cs="Calibri"/>
          <w:sz w:val="20"/>
          <w:lang w:val="en-US"/>
        </w:rPr>
        <w:t xml:space="preserve">in anticipation of </w:t>
      </w:r>
      <w:r w:rsidR="005E0622">
        <w:rPr>
          <w:rFonts w:ascii="Calibri" w:hAnsi="Calibri" w:cs="Calibri"/>
          <w:sz w:val="20"/>
          <w:lang w:val="en-US"/>
        </w:rPr>
        <w:t xml:space="preserve">the slowing down of </w:t>
      </w:r>
      <w:r w:rsidRPr="00D54C57">
        <w:rPr>
          <w:rFonts w:ascii="Calibri" w:hAnsi="Calibri" w:cs="Calibri"/>
          <w:sz w:val="20"/>
          <w:lang w:val="en-US"/>
        </w:rPr>
        <w:t>inflation beyond the 2022 horizon.</w:t>
      </w:r>
    </w:p>
    <w:p w14:paraId="176A4237" w14:textId="19EC5794" w:rsidR="00D54C57" w:rsidRPr="00D54C57" w:rsidRDefault="00D54C57" w:rsidP="00DF7FD9">
      <w:pPr>
        <w:spacing w:before="120" w:after="120"/>
        <w:rPr>
          <w:rFonts w:ascii="Calibri" w:hAnsi="Calibri" w:cs="Calibri"/>
          <w:sz w:val="20"/>
          <w:lang w:val="en-US"/>
        </w:rPr>
      </w:pPr>
      <w:r w:rsidRPr="00E330B7">
        <w:rPr>
          <w:rFonts w:ascii="Calibri" w:hAnsi="Calibri" w:cs="Calibri"/>
          <w:b/>
          <w:bCs/>
          <w:sz w:val="20"/>
          <w:lang w:val="en-US"/>
        </w:rPr>
        <w:lastRenderedPageBreak/>
        <w:t xml:space="preserve">Despite the </w:t>
      </w:r>
      <w:r w:rsidR="00577F08">
        <w:rPr>
          <w:rFonts w:ascii="Calibri" w:hAnsi="Calibri" w:cs="Calibri"/>
          <w:b/>
          <w:bCs/>
          <w:sz w:val="20"/>
          <w:lang w:val="en-US"/>
        </w:rPr>
        <w:t xml:space="preserve">increase of </w:t>
      </w:r>
      <w:r w:rsidRPr="00E330B7">
        <w:rPr>
          <w:rFonts w:ascii="Calibri" w:hAnsi="Calibri" w:cs="Calibri"/>
          <w:b/>
          <w:bCs/>
          <w:sz w:val="20"/>
          <w:lang w:val="en-US"/>
        </w:rPr>
        <w:t xml:space="preserve">interest rates, the CBA's </w:t>
      </w:r>
      <w:r w:rsidR="00E330B7">
        <w:rPr>
          <w:rFonts w:ascii="Calibri" w:hAnsi="Calibri" w:cs="Calibri"/>
          <w:b/>
          <w:bCs/>
          <w:sz w:val="20"/>
          <w:lang w:val="en-US"/>
        </w:rPr>
        <w:t>prognostic</w:t>
      </w:r>
      <w:r w:rsidRPr="00E330B7">
        <w:rPr>
          <w:rFonts w:ascii="Calibri" w:hAnsi="Calibri" w:cs="Calibri"/>
          <w:b/>
          <w:bCs/>
          <w:sz w:val="20"/>
          <w:lang w:val="en-US"/>
        </w:rPr>
        <w:t xml:space="preserve"> panel does not foresee a significant appreciation of the koruna</w:t>
      </w:r>
      <w:r w:rsidRPr="00D54C57">
        <w:rPr>
          <w:rFonts w:ascii="Calibri" w:hAnsi="Calibri" w:cs="Calibri"/>
          <w:sz w:val="20"/>
          <w:lang w:val="en-US"/>
        </w:rPr>
        <w:t xml:space="preserve">. It will average CZK 24.9 per euro next year, but it will not fall much below CZK 25 per euro by the end of the year either. In this respect, the CBA panel's estimates differ significantly from the CNB's latest forecast, which suggests that the koruna will appreciate to CZK 24 per euro by the end of next year. </w:t>
      </w:r>
    </w:p>
    <w:p w14:paraId="7EF8BCEC" w14:textId="57391D79" w:rsidR="00D54C57" w:rsidRPr="00D54C57" w:rsidRDefault="00D54C57" w:rsidP="00DE5DB4">
      <w:pPr>
        <w:tabs>
          <w:tab w:val="left" w:pos="6237"/>
        </w:tabs>
        <w:spacing w:before="120" w:after="120"/>
        <w:rPr>
          <w:rFonts w:ascii="Calibri" w:hAnsi="Calibri" w:cs="Calibri"/>
          <w:b/>
          <w:color w:val="13576B"/>
          <w:sz w:val="22"/>
          <w:szCs w:val="22"/>
          <w:lang w:val="en-US"/>
        </w:rPr>
      </w:pPr>
      <w:r w:rsidRPr="00D54C57">
        <w:rPr>
          <w:rFonts w:ascii="Calibri" w:hAnsi="Calibri" w:cs="Calibri"/>
          <w:b/>
          <w:color w:val="13576B"/>
          <w:sz w:val="22"/>
          <w:szCs w:val="22"/>
          <w:lang w:val="en-US"/>
        </w:rPr>
        <w:t>Higher inflation will lower the debt-to-GDP ratio</w:t>
      </w:r>
      <w:r w:rsidR="00DE5DB4">
        <w:rPr>
          <w:rFonts w:ascii="Calibri" w:hAnsi="Calibri" w:cs="Calibri"/>
          <w:b/>
          <w:color w:val="13576B"/>
          <w:sz w:val="22"/>
          <w:szCs w:val="22"/>
          <w:lang w:val="en-US"/>
        </w:rPr>
        <w:tab/>
      </w:r>
    </w:p>
    <w:p w14:paraId="6954321E" w14:textId="1942275A" w:rsidR="00E330B7" w:rsidRPr="00D54C57" w:rsidRDefault="00FB5BF0" w:rsidP="00E330B7">
      <w:pPr>
        <w:spacing w:before="120" w:after="120"/>
        <w:rPr>
          <w:rFonts w:ascii="Calibri" w:hAnsi="Calibri" w:cs="Calibri"/>
          <w:sz w:val="20"/>
          <w:lang w:val="en-US"/>
        </w:rPr>
      </w:pPr>
      <w:r w:rsidRPr="000607E6">
        <w:rPr>
          <w:noProof/>
          <w:sz w:val="20"/>
          <w:lang w:val="en-US"/>
        </w:rPr>
        <mc:AlternateContent>
          <mc:Choice Requires="wps">
            <w:drawing>
              <wp:anchor distT="45720" distB="45720" distL="114300" distR="114300" simplePos="0" relativeHeight="251668480" behindDoc="0" locked="0" layoutInCell="1" allowOverlap="1" wp14:anchorId="5D2C25A2" wp14:editId="73CB944F">
                <wp:simplePos x="0" y="0"/>
                <wp:positionH relativeFrom="margin">
                  <wp:posOffset>635</wp:posOffset>
                </wp:positionH>
                <wp:positionV relativeFrom="paragraph">
                  <wp:posOffset>1120775</wp:posOffset>
                </wp:positionV>
                <wp:extent cx="6461760" cy="677545"/>
                <wp:effectExtent l="0" t="0" r="15240" b="27305"/>
                <wp:wrapSquare wrapText="bothSides"/>
                <wp:docPr id="3" name="Textové pol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760" cy="677545"/>
                        </a:xfrm>
                        <a:prstGeom prst="rect">
                          <a:avLst/>
                        </a:prstGeom>
                        <a:solidFill>
                          <a:srgbClr val="FFFFFF"/>
                        </a:solidFill>
                        <a:ln w="9525">
                          <a:solidFill>
                            <a:srgbClr val="000000"/>
                          </a:solidFill>
                          <a:miter lim="800000"/>
                          <a:headEnd/>
                          <a:tailEnd/>
                        </a:ln>
                      </wps:spPr>
                      <wps:txbx>
                        <w:txbxContent>
                          <w:p w14:paraId="1BB2BB6C" w14:textId="40510FE9" w:rsidR="001802DE" w:rsidRPr="00F37DC9" w:rsidRDefault="00675EBD" w:rsidP="001802DE">
                            <w:pPr>
                              <w:rPr>
                                <w:rFonts w:ascii="Calibri" w:hAnsi="Calibri" w:cs="Calibri"/>
                                <w:sz w:val="20"/>
                              </w:rPr>
                            </w:pPr>
                            <w:r>
                              <w:rPr>
                                <w:rFonts w:ascii="Calibri" w:hAnsi="Calibri" w:cs="Calibri"/>
                                <w:b/>
                                <w:bCs/>
                                <w:sz w:val="20"/>
                              </w:rPr>
                              <w:t>Petr Gapko</w:t>
                            </w:r>
                            <w:r w:rsidR="001802DE" w:rsidRPr="00DA61AD">
                              <w:rPr>
                                <w:rFonts w:ascii="Calibri" w:hAnsi="Calibri" w:cs="Calibri"/>
                                <w:b/>
                                <w:bCs/>
                                <w:sz w:val="20"/>
                              </w:rPr>
                              <w:t>,</w:t>
                            </w:r>
                            <w:r w:rsidR="00B34EF4" w:rsidRPr="00DA61AD">
                              <w:rPr>
                                <w:rFonts w:ascii="Calibri" w:hAnsi="Calibri" w:cs="Calibri"/>
                                <w:b/>
                                <w:bCs/>
                                <w:sz w:val="20"/>
                              </w:rPr>
                              <w:t xml:space="preserve"> </w:t>
                            </w:r>
                            <w:r w:rsidR="00DE5DB4" w:rsidRPr="00CF54A9">
                              <w:rPr>
                                <w:rFonts w:ascii="Calibri" w:hAnsi="Calibri" w:cs="Calibri"/>
                                <w:b/>
                                <w:bCs/>
                                <w:sz w:val="20"/>
                                <w:lang w:val="en-GB"/>
                              </w:rPr>
                              <w:t xml:space="preserve">the </w:t>
                            </w:r>
                            <w:r w:rsidR="00B00AF2" w:rsidRPr="00CF54A9">
                              <w:rPr>
                                <w:rFonts w:ascii="Calibri" w:hAnsi="Calibri" w:cs="Calibri"/>
                                <w:b/>
                                <w:bCs/>
                                <w:sz w:val="20"/>
                                <w:lang w:val="en-GB"/>
                              </w:rPr>
                              <w:t xml:space="preserve">Chief Economist of </w:t>
                            </w:r>
                            <w:r w:rsidR="00B34EF4" w:rsidRPr="00CF54A9">
                              <w:rPr>
                                <w:rFonts w:ascii="Calibri" w:hAnsi="Calibri" w:cs="Calibri"/>
                                <w:b/>
                                <w:bCs/>
                                <w:sz w:val="20"/>
                                <w:lang w:val="en-GB"/>
                              </w:rPr>
                              <w:t>M</w:t>
                            </w:r>
                            <w:r w:rsidR="00082CD7" w:rsidRPr="00CF54A9">
                              <w:rPr>
                                <w:rFonts w:ascii="Calibri" w:hAnsi="Calibri" w:cs="Calibri"/>
                                <w:b/>
                                <w:bCs/>
                                <w:sz w:val="20"/>
                                <w:lang w:val="en-GB"/>
                              </w:rPr>
                              <w:t>ONETA</w:t>
                            </w:r>
                            <w:r w:rsidR="00B34EF4" w:rsidRPr="00CF54A9">
                              <w:rPr>
                                <w:rFonts w:ascii="Calibri" w:hAnsi="Calibri" w:cs="Calibri"/>
                                <w:b/>
                                <w:bCs/>
                                <w:sz w:val="20"/>
                                <w:lang w:val="en-GB"/>
                              </w:rPr>
                              <w:t xml:space="preserve"> Money Bank</w:t>
                            </w:r>
                            <w:r w:rsidR="001802DE" w:rsidRPr="00B00AF2">
                              <w:rPr>
                                <w:rFonts w:ascii="Calibri" w:hAnsi="Calibri" w:cs="Calibri"/>
                                <w:b/>
                                <w:bCs/>
                                <w:sz w:val="20"/>
                                <w:lang w:val="en-US"/>
                              </w:rPr>
                              <w:t>:</w:t>
                            </w:r>
                          </w:p>
                          <w:p w14:paraId="34B3F3AD" w14:textId="68F08A6C" w:rsidR="00D54C57" w:rsidRPr="00B00AF2" w:rsidRDefault="00D54C57" w:rsidP="00D54C57">
                            <w:pPr>
                              <w:rPr>
                                <w:rFonts w:ascii="Calibri" w:hAnsi="Calibri" w:cs="Calibri"/>
                                <w:i/>
                                <w:iCs/>
                                <w:sz w:val="20"/>
                                <w:lang w:val="en-US"/>
                              </w:rPr>
                            </w:pPr>
                            <w:r w:rsidRPr="00B00AF2">
                              <w:rPr>
                                <w:rFonts w:ascii="Calibri" w:hAnsi="Calibri" w:cs="Calibri"/>
                                <w:i/>
                                <w:iCs/>
                                <w:sz w:val="20"/>
                                <w:lang w:val="en-US"/>
                              </w:rPr>
                              <w:t>"</w:t>
                            </w:r>
                            <w:r w:rsidR="00B00AF2">
                              <w:rPr>
                                <w:rFonts w:ascii="Calibri" w:hAnsi="Calibri" w:cs="Calibri"/>
                                <w:i/>
                                <w:iCs/>
                                <w:sz w:val="20"/>
                                <w:lang w:val="en-US"/>
                              </w:rPr>
                              <w:t>State</w:t>
                            </w:r>
                            <w:r w:rsidRPr="00B00AF2">
                              <w:rPr>
                                <w:rFonts w:ascii="Calibri" w:hAnsi="Calibri" w:cs="Calibri"/>
                                <w:i/>
                                <w:iCs/>
                                <w:sz w:val="20"/>
                                <w:lang w:val="en-US"/>
                              </w:rPr>
                              <w:t xml:space="preserve"> debt is currently one of the most pressing economic problems. Inflation is likely to partially help ease the debt burden next year, but the government </w:t>
                            </w:r>
                            <w:r w:rsidR="00B00AF2">
                              <w:rPr>
                                <w:rFonts w:ascii="Calibri" w:hAnsi="Calibri" w:cs="Calibri"/>
                                <w:i/>
                                <w:iCs/>
                                <w:sz w:val="20"/>
                                <w:lang w:val="en-US"/>
                              </w:rPr>
                              <w:t>has to work</w:t>
                            </w:r>
                            <w:r w:rsidRPr="00B00AF2">
                              <w:rPr>
                                <w:rFonts w:ascii="Calibri" w:hAnsi="Calibri" w:cs="Calibri"/>
                                <w:i/>
                                <w:iCs/>
                                <w:sz w:val="20"/>
                                <w:lang w:val="en-US"/>
                              </w:rPr>
                              <w:t xml:space="preserve"> significantly </w:t>
                            </w:r>
                            <w:r w:rsidR="00B00AF2">
                              <w:rPr>
                                <w:rFonts w:ascii="Calibri" w:hAnsi="Calibri" w:cs="Calibri"/>
                                <w:i/>
                                <w:iCs/>
                                <w:sz w:val="20"/>
                                <w:lang w:val="en-US"/>
                              </w:rPr>
                              <w:t xml:space="preserve">harder </w:t>
                            </w:r>
                            <w:r w:rsidRPr="00B00AF2">
                              <w:rPr>
                                <w:rFonts w:ascii="Calibri" w:hAnsi="Calibri" w:cs="Calibri"/>
                                <w:i/>
                                <w:iCs/>
                                <w:sz w:val="20"/>
                                <w:lang w:val="en-US"/>
                              </w:rPr>
                              <w:t>in the years ahead."</w:t>
                            </w:r>
                          </w:p>
                          <w:p w14:paraId="7697F63B" w14:textId="77777777" w:rsidR="00D54C57" w:rsidRPr="00D54C57" w:rsidRDefault="00D54C57" w:rsidP="00D54C57">
                            <w:pPr>
                              <w:rPr>
                                <w:rFonts w:ascii="Calibri" w:hAnsi="Calibri" w:cs="Calibri"/>
                                <w:i/>
                                <w:iCs/>
                                <w:sz w:val="20"/>
                              </w:rPr>
                            </w:pPr>
                          </w:p>
                          <w:p w14:paraId="32CCDFE0" w14:textId="3ECE3317" w:rsidR="001802DE" w:rsidRPr="00F37DC9" w:rsidRDefault="001802DE" w:rsidP="002C063C">
                            <w:pPr>
                              <w:rPr>
                                <w:rFonts w:ascii="Calibri" w:hAnsi="Calibri" w:cs="Calibri"/>
                                <w:i/>
                                <w:i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2C25A2" id="Textové pole 3" o:spid="_x0000_s1028" type="#_x0000_t202" style="position:absolute;left:0;text-align:left;margin-left:.05pt;margin-top:88.25pt;width:508.8pt;height:53.3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">
                <v:textbox>
                  <w:txbxContent>
                    <w:p w14:paraId="1BB2BB6C" w14:textId="40510FE9" w:rsidR="001802DE" w:rsidRPr="00F37DC9" w:rsidRDefault="00675EBD" w:rsidP="001802DE">
                      <w:pPr>
                        <w:rPr>
                          <w:rFonts w:ascii="Calibri" w:hAnsi="Calibri" w:cs="Calibri"/>
                          <w:sz w:val="20"/>
                        </w:rPr>
                      </w:pPr>
                      <w:r>
                        <w:rPr>
                          <w:rFonts w:ascii="Calibri" w:hAnsi="Calibri" w:cs="Calibri"/>
                          <w:b/>
                          <w:bCs/>
                          <w:sz w:val="20"/>
                        </w:rPr>
                        <w:t>Petr Gapko</w:t>
                      </w:r>
                      <w:r w:rsidR="001802DE" w:rsidRPr="00DA61AD">
                        <w:rPr>
                          <w:rFonts w:ascii="Calibri" w:hAnsi="Calibri" w:cs="Calibri"/>
                          <w:b/>
                          <w:bCs/>
                          <w:sz w:val="20"/>
                        </w:rPr>
                        <w:t>,</w:t>
                      </w:r>
                      <w:r w:rsidR="00B34EF4" w:rsidRPr="00DA61AD">
                        <w:rPr>
                          <w:rFonts w:ascii="Calibri" w:hAnsi="Calibri" w:cs="Calibri"/>
                          <w:b/>
                          <w:bCs/>
                          <w:sz w:val="20"/>
                        </w:rPr>
                        <w:t xml:space="preserve"> </w:t>
                      </w:r>
                      <w:r w:rsidR="00DE5DB4" w:rsidRPr="00CF54A9">
                        <w:rPr>
                          <w:rFonts w:ascii="Calibri" w:hAnsi="Calibri" w:cs="Calibri"/>
                          <w:b/>
                          <w:bCs/>
                          <w:sz w:val="20"/>
                          <w:lang w:val="en-GB"/>
                        </w:rPr>
                        <w:t xml:space="preserve">the </w:t>
                      </w:r>
                      <w:r w:rsidR="00B00AF2" w:rsidRPr="00CF54A9">
                        <w:rPr>
                          <w:rFonts w:ascii="Calibri" w:hAnsi="Calibri" w:cs="Calibri"/>
                          <w:b/>
                          <w:bCs/>
                          <w:sz w:val="20"/>
                          <w:lang w:val="en-GB"/>
                        </w:rPr>
                        <w:t xml:space="preserve">Chief Economist of </w:t>
                      </w:r>
                      <w:r w:rsidR="00B34EF4" w:rsidRPr="00CF54A9">
                        <w:rPr>
                          <w:rFonts w:ascii="Calibri" w:hAnsi="Calibri" w:cs="Calibri"/>
                          <w:b/>
                          <w:bCs/>
                          <w:sz w:val="20"/>
                          <w:lang w:val="en-GB"/>
                        </w:rPr>
                        <w:t>M</w:t>
                      </w:r>
                      <w:r w:rsidR="00082CD7" w:rsidRPr="00CF54A9">
                        <w:rPr>
                          <w:rFonts w:ascii="Calibri" w:hAnsi="Calibri" w:cs="Calibri"/>
                          <w:b/>
                          <w:bCs/>
                          <w:sz w:val="20"/>
                          <w:lang w:val="en-GB"/>
                        </w:rPr>
                        <w:t>ONETA</w:t>
                      </w:r>
                      <w:r w:rsidR="00B34EF4" w:rsidRPr="00CF54A9">
                        <w:rPr>
                          <w:rFonts w:ascii="Calibri" w:hAnsi="Calibri" w:cs="Calibri"/>
                          <w:b/>
                          <w:bCs/>
                          <w:sz w:val="20"/>
                          <w:lang w:val="en-GB"/>
                        </w:rPr>
                        <w:t xml:space="preserve"> Money Bank</w:t>
                      </w:r>
                      <w:r w:rsidR="001802DE" w:rsidRPr="00B00AF2">
                        <w:rPr>
                          <w:rFonts w:ascii="Calibri" w:hAnsi="Calibri" w:cs="Calibri"/>
                          <w:b/>
                          <w:bCs/>
                          <w:sz w:val="20"/>
                          <w:lang w:val="en-US"/>
                        </w:rPr>
                        <w:t>:</w:t>
                      </w:r>
                    </w:p>
                    <w:p w14:paraId="34B3F3AD" w14:textId="68F08A6C" w:rsidR="00D54C57" w:rsidRPr="00B00AF2" w:rsidRDefault="00D54C57" w:rsidP="00D54C57">
                      <w:pPr>
                        <w:rPr>
                          <w:rFonts w:ascii="Calibri" w:hAnsi="Calibri" w:cs="Calibri"/>
                          <w:i/>
                          <w:iCs/>
                          <w:sz w:val="20"/>
                          <w:lang w:val="en-US"/>
                        </w:rPr>
                      </w:pPr>
                      <w:r w:rsidRPr="00B00AF2">
                        <w:rPr>
                          <w:rFonts w:ascii="Calibri" w:hAnsi="Calibri" w:cs="Calibri"/>
                          <w:i/>
                          <w:iCs/>
                          <w:sz w:val="20"/>
                          <w:lang w:val="en-US"/>
                        </w:rPr>
                        <w:t>"</w:t>
                      </w:r>
                      <w:r w:rsidR="00B00AF2">
                        <w:rPr>
                          <w:rFonts w:ascii="Calibri" w:hAnsi="Calibri" w:cs="Calibri"/>
                          <w:i/>
                          <w:iCs/>
                          <w:sz w:val="20"/>
                          <w:lang w:val="en-US"/>
                        </w:rPr>
                        <w:t>State</w:t>
                      </w:r>
                      <w:r w:rsidRPr="00B00AF2">
                        <w:rPr>
                          <w:rFonts w:ascii="Calibri" w:hAnsi="Calibri" w:cs="Calibri"/>
                          <w:i/>
                          <w:iCs/>
                          <w:sz w:val="20"/>
                          <w:lang w:val="en-US"/>
                        </w:rPr>
                        <w:t xml:space="preserve"> debt is currently one of the most pressing economic problems. Inflation is likely to partially help ease the debt burden next year, but the government </w:t>
                      </w:r>
                      <w:r w:rsidR="00B00AF2">
                        <w:rPr>
                          <w:rFonts w:ascii="Calibri" w:hAnsi="Calibri" w:cs="Calibri"/>
                          <w:i/>
                          <w:iCs/>
                          <w:sz w:val="20"/>
                          <w:lang w:val="en-US"/>
                        </w:rPr>
                        <w:t>has to work</w:t>
                      </w:r>
                      <w:r w:rsidRPr="00B00AF2">
                        <w:rPr>
                          <w:rFonts w:ascii="Calibri" w:hAnsi="Calibri" w:cs="Calibri"/>
                          <w:i/>
                          <w:iCs/>
                          <w:sz w:val="20"/>
                          <w:lang w:val="en-US"/>
                        </w:rPr>
                        <w:t xml:space="preserve"> significantly </w:t>
                      </w:r>
                      <w:r w:rsidR="00B00AF2">
                        <w:rPr>
                          <w:rFonts w:ascii="Calibri" w:hAnsi="Calibri" w:cs="Calibri"/>
                          <w:i/>
                          <w:iCs/>
                          <w:sz w:val="20"/>
                          <w:lang w:val="en-US"/>
                        </w:rPr>
                        <w:t xml:space="preserve">harder </w:t>
                      </w:r>
                      <w:r w:rsidRPr="00B00AF2">
                        <w:rPr>
                          <w:rFonts w:ascii="Calibri" w:hAnsi="Calibri" w:cs="Calibri"/>
                          <w:i/>
                          <w:iCs/>
                          <w:sz w:val="20"/>
                          <w:lang w:val="en-US"/>
                        </w:rPr>
                        <w:t>in the years ahead."</w:t>
                      </w:r>
                    </w:p>
                    <w:p w14:paraId="7697F63B" w14:textId="77777777" w:rsidR="00D54C57" w:rsidRPr="00D54C57" w:rsidRDefault="00D54C57" w:rsidP="00D54C57">
                      <w:pPr>
                        <w:rPr>
                          <w:rFonts w:ascii="Calibri" w:hAnsi="Calibri" w:cs="Calibri"/>
                          <w:i/>
                          <w:iCs/>
                          <w:sz w:val="20"/>
                        </w:rPr>
                      </w:pPr>
                    </w:p>
                    <w:p w14:paraId="32CCDFE0" w14:textId="3ECE3317" w:rsidR="001802DE" w:rsidRPr="00F37DC9" w:rsidRDefault="001802DE" w:rsidP="002C063C">
                      <w:pPr>
                        <w:rPr>
                          <w:rFonts w:ascii="Calibri" w:hAnsi="Calibri" w:cs="Calibri"/>
                          <w:i/>
                          <w:iCs/>
                        </w:rPr>
                      </w:pPr>
                    </w:p>
                  </w:txbxContent>
                </v:textbox>
                <w10:wrap type="square" anchorx="margin"/>
              </v:shape>
            </w:pict>
          </mc:Fallback>
        </mc:AlternateContent>
      </w:r>
      <w:r w:rsidR="00E330B7" w:rsidRPr="00D54C57">
        <w:rPr>
          <w:rFonts w:ascii="Calibri" w:hAnsi="Calibri" w:cs="Calibri"/>
          <w:sz w:val="20"/>
          <w:lang w:val="en-US"/>
        </w:rPr>
        <w:t xml:space="preserve">The CBA forecast estimates the state deficit for this year at 7% of GDP, compared to 7.3% expected in August. Next year, the deficit should fall to 4.7%, leaving the outlook for 2022 unchanged from the August forecast. In general, the CBA panel economists assumed a somewhat higher </w:t>
      </w:r>
      <w:r w:rsidR="008462A8">
        <w:rPr>
          <w:rFonts w:ascii="Calibri" w:hAnsi="Calibri" w:cs="Calibri"/>
          <w:sz w:val="20"/>
          <w:lang w:val="en-US"/>
        </w:rPr>
        <w:t>level</w:t>
      </w:r>
      <w:r w:rsidR="00E330B7" w:rsidRPr="00D54C57">
        <w:rPr>
          <w:rFonts w:ascii="Calibri" w:hAnsi="Calibri" w:cs="Calibri"/>
          <w:sz w:val="20"/>
          <w:lang w:val="en-US"/>
        </w:rPr>
        <w:t xml:space="preserve"> of consolidation than the pre-election rhetoric suggested for any government emerging from this year's </w:t>
      </w:r>
      <w:r w:rsidR="008462A8">
        <w:rPr>
          <w:rFonts w:ascii="Calibri" w:hAnsi="Calibri" w:cs="Calibri"/>
          <w:sz w:val="20"/>
          <w:lang w:val="en-US"/>
        </w:rPr>
        <w:t xml:space="preserve">parliamentary elections to the Chamber of Deputies. </w:t>
      </w:r>
      <w:r w:rsidR="00E330B7" w:rsidRPr="00D54C57">
        <w:rPr>
          <w:rFonts w:ascii="Calibri" w:hAnsi="Calibri" w:cs="Calibri"/>
          <w:sz w:val="20"/>
          <w:lang w:val="en-US"/>
        </w:rPr>
        <w:t xml:space="preserve">However, the higher growth in inflation, and hence nominal GDP, is </w:t>
      </w:r>
      <w:r w:rsidR="00DE5DB4">
        <w:rPr>
          <w:rFonts w:ascii="Calibri" w:hAnsi="Calibri" w:cs="Calibri"/>
          <w:sz w:val="20"/>
          <w:lang w:val="en-US"/>
        </w:rPr>
        <w:t>obvious</w:t>
      </w:r>
      <w:r w:rsidR="00E330B7" w:rsidRPr="00D54C57">
        <w:rPr>
          <w:rFonts w:ascii="Calibri" w:hAnsi="Calibri" w:cs="Calibri"/>
          <w:sz w:val="20"/>
          <w:lang w:val="en-US"/>
        </w:rPr>
        <w:t xml:space="preserve"> in the revision of the overall government debt</w:t>
      </w:r>
      <w:r w:rsidR="008462A8">
        <w:rPr>
          <w:rFonts w:ascii="Calibri" w:hAnsi="Calibri" w:cs="Calibri"/>
          <w:sz w:val="20"/>
          <w:lang w:val="en-US"/>
        </w:rPr>
        <w:t>/G</w:t>
      </w:r>
      <w:r w:rsidR="00E330B7" w:rsidRPr="00D54C57">
        <w:rPr>
          <w:rFonts w:ascii="Calibri" w:hAnsi="Calibri" w:cs="Calibri"/>
          <w:sz w:val="20"/>
          <w:lang w:val="en-US"/>
        </w:rPr>
        <w:t>DP ratio, which is expected to reach 43.6% next year, whereas the August forecast, expected debt to exceed 45% of GDP</w:t>
      </w:r>
      <w:r w:rsidR="008462A8">
        <w:rPr>
          <w:rFonts w:ascii="Calibri" w:hAnsi="Calibri" w:cs="Calibri"/>
          <w:sz w:val="20"/>
          <w:lang w:val="en-US"/>
        </w:rPr>
        <w:t xml:space="preserve"> </w:t>
      </w:r>
      <w:r w:rsidR="008462A8" w:rsidRPr="00D54C57">
        <w:rPr>
          <w:rFonts w:ascii="Calibri" w:hAnsi="Calibri" w:cs="Calibri"/>
          <w:sz w:val="20"/>
          <w:lang w:val="en-US"/>
        </w:rPr>
        <w:t xml:space="preserve">even with </w:t>
      </w:r>
      <w:r w:rsidR="00DE5DB4">
        <w:rPr>
          <w:rFonts w:ascii="Calibri" w:hAnsi="Calibri" w:cs="Calibri"/>
          <w:sz w:val="20"/>
          <w:lang w:val="en-US"/>
        </w:rPr>
        <w:t xml:space="preserve">a </w:t>
      </w:r>
      <w:r w:rsidR="008462A8" w:rsidRPr="00D54C57">
        <w:rPr>
          <w:rFonts w:ascii="Calibri" w:hAnsi="Calibri" w:cs="Calibri"/>
          <w:sz w:val="20"/>
          <w:lang w:val="en-US"/>
        </w:rPr>
        <w:t>higher economic growth</w:t>
      </w:r>
      <w:r w:rsidR="00E330B7">
        <w:rPr>
          <w:rFonts w:ascii="Calibri" w:hAnsi="Calibri" w:cs="Calibri"/>
          <w:sz w:val="20"/>
          <w:lang w:val="en-US"/>
        </w:rPr>
        <w:t>.</w:t>
      </w:r>
    </w:p>
    <w:p w14:paraId="0A57EADA" w14:textId="67423960" w:rsidR="00D54C57" w:rsidRPr="00D54C57" w:rsidRDefault="00D54C57" w:rsidP="00DF7FD9">
      <w:pPr>
        <w:tabs>
          <w:tab w:val="left" w:pos="2900"/>
        </w:tabs>
        <w:spacing w:before="120" w:after="120"/>
        <w:rPr>
          <w:rFonts w:ascii="Calibri" w:hAnsi="Calibri" w:cs="Calibri"/>
          <w:b/>
          <w:color w:val="13576B"/>
          <w:sz w:val="22"/>
          <w:szCs w:val="22"/>
          <w:lang w:val="en-US"/>
        </w:rPr>
      </w:pPr>
      <w:r w:rsidRPr="00D54C57">
        <w:rPr>
          <w:rFonts w:ascii="Calibri" w:hAnsi="Calibri" w:cs="Calibri"/>
          <w:b/>
          <w:color w:val="13576B"/>
          <w:sz w:val="22"/>
          <w:szCs w:val="22"/>
          <w:lang w:val="en-US"/>
        </w:rPr>
        <w:t>Corporate lending should accelerate next year</w:t>
      </w:r>
    </w:p>
    <w:p w14:paraId="0704030B" w14:textId="78240D45" w:rsidR="00D54C57" w:rsidRPr="00D54C57" w:rsidRDefault="00D54C57" w:rsidP="00814B91">
      <w:pPr>
        <w:tabs>
          <w:tab w:val="left" w:pos="1332"/>
        </w:tabs>
        <w:spacing w:before="120" w:after="120"/>
        <w:rPr>
          <w:rFonts w:ascii="Calibri" w:hAnsi="Calibri" w:cs="Calibri"/>
          <w:sz w:val="20"/>
          <w:lang w:val="en-US"/>
        </w:rPr>
      </w:pPr>
      <w:r w:rsidRPr="00D54C57">
        <w:rPr>
          <w:rFonts w:ascii="Calibri" w:hAnsi="Calibri" w:cs="Calibri"/>
          <w:sz w:val="20"/>
          <w:lang w:val="en-US"/>
        </w:rPr>
        <w:t xml:space="preserve">The </w:t>
      </w:r>
      <w:r w:rsidR="00A15B2C">
        <w:rPr>
          <w:rFonts w:ascii="Calibri" w:hAnsi="Calibri" w:cs="Calibri"/>
          <w:sz w:val="20"/>
          <w:lang w:val="en-US"/>
        </w:rPr>
        <w:t xml:space="preserve">growth </w:t>
      </w:r>
      <w:r w:rsidRPr="00D54C57">
        <w:rPr>
          <w:rFonts w:ascii="Calibri" w:hAnsi="Calibri" w:cs="Calibri"/>
          <w:sz w:val="20"/>
          <w:lang w:val="en-US"/>
        </w:rPr>
        <w:t>dynamics of mortgage loan</w:t>
      </w:r>
      <w:r w:rsidR="00A15B2C">
        <w:rPr>
          <w:rFonts w:ascii="Calibri" w:hAnsi="Calibri" w:cs="Calibri"/>
          <w:sz w:val="20"/>
          <w:lang w:val="en-US"/>
        </w:rPr>
        <w:t>s</w:t>
      </w:r>
      <w:r w:rsidRPr="00D54C57">
        <w:rPr>
          <w:rFonts w:ascii="Calibri" w:hAnsi="Calibri" w:cs="Calibri"/>
          <w:sz w:val="20"/>
          <w:lang w:val="en-US"/>
        </w:rPr>
        <w:t xml:space="preserve"> </w:t>
      </w:r>
      <w:r w:rsidR="003F34F2">
        <w:rPr>
          <w:rFonts w:ascii="Calibri" w:hAnsi="Calibri" w:cs="Calibri"/>
          <w:sz w:val="20"/>
          <w:lang w:val="en-US"/>
        </w:rPr>
        <w:t>have been</w:t>
      </w:r>
      <w:r w:rsidRPr="00D54C57">
        <w:rPr>
          <w:rFonts w:ascii="Calibri" w:hAnsi="Calibri" w:cs="Calibri"/>
          <w:sz w:val="20"/>
          <w:lang w:val="en-US"/>
        </w:rPr>
        <w:t xml:space="preserve"> </w:t>
      </w:r>
      <w:r w:rsidR="00A15B2C">
        <w:rPr>
          <w:rFonts w:ascii="Calibri" w:hAnsi="Calibri" w:cs="Calibri"/>
          <w:sz w:val="20"/>
          <w:lang w:val="en-US"/>
        </w:rPr>
        <w:t xml:space="preserve">entirely </w:t>
      </w:r>
      <w:r w:rsidRPr="00D54C57">
        <w:rPr>
          <w:rFonts w:ascii="Calibri" w:hAnsi="Calibri" w:cs="Calibri"/>
          <w:sz w:val="20"/>
          <w:lang w:val="en-US"/>
        </w:rPr>
        <w:t>above standard</w:t>
      </w:r>
      <w:r w:rsidR="00CA5805" w:rsidRPr="00CA5805">
        <w:rPr>
          <w:rFonts w:ascii="Calibri" w:hAnsi="Calibri" w:cs="Calibri"/>
          <w:sz w:val="20"/>
          <w:lang w:val="en-US"/>
        </w:rPr>
        <w:t xml:space="preserve"> </w:t>
      </w:r>
      <w:r w:rsidR="00CA5805" w:rsidRPr="00D54C57">
        <w:rPr>
          <w:rFonts w:ascii="Calibri" w:hAnsi="Calibri" w:cs="Calibri"/>
          <w:sz w:val="20"/>
          <w:lang w:val="en-US"/>
        </w:rPr>
        <w:t>this year</w:t>
      </w:r>
      <w:r w:rsidRPr="00D54C57">
        <w:rPr>
          <w:rFonts w:ascii="Calibri" w:hAnsi="Calibri" w:cs="Calibri"/>
          <w:sz w:val="20"/>
          <w:lang w:val="en-US"/>
        </w:rPr>
        <w:t xml:space="preserve">, which is reflected in the double-digit year-on-year growth in the volume of mortgage loans. Next year, however, the CBA </w:t>
      </w:r>
      <w:r w:rsidR="00A15B2C">
        <w:rPr>
          <w:rFonts w:ascii="Calibri" w:hAnsi="Calibri" w:cs="Calibri"/>
          <w:sz w:val="20"/>
          <w:lang w:val="en-US"/>
        </w:rPr>
        <w:t>prognostic</w:t>
      </w:r>
      <w:r w:rsidRPr="00D54C57">
        <w:rPr>
          <w:rFonts w:ascii="Calibri" w:hAnsi="Calibri" w:cs="Calibri"/>
          <w:sz w:val="20"/>
          <w:lang w:val="en-US"/>
        </w:rPr>
        <w:t xml:space="preserve"> panel expects the growth rate of </w:t>
      </w:r>
      <w:r w:rsidR="00A15B2C">
        <w:rPr>
          <w:rFonts w:ascii="Calibri" w:hAnsi="Calibri" w:cs="Calibri"/>
          <w:sz w:val="20"/>
          <w:lang w:val="en-US"/>
        </w:rPr>
        <w:t>loans</w:t>
      </w:r>
      <w:r w:rsidRPr="00D54C57">
        <w:rPr>
          <w:rFonts w:ascii="Calibri" w:hAnsi="Calibri" w:cs="Calibri"/>
          <w:sz w:val="20"/>
          <w:lang w:val="en-US"/>
        </w:rPr>
        <w:t xml:space="preserve"> to households to slow down and reach 6% on average. By contrast, corporate loans should </w:t>
      </w:r>
      <w:r w:rsidR="00CA5805">
        <w:rPr>
          <w:rFonts w:ascii="Calibri" w:hAnsi="Calibri" w:cs="Calibri"/>
          <w:sz w:val="20"/>
          <w:lang w:val="en-US"/>
        </w:rPr>
        <w:t>see</w:t>
      </w:r>
      <w:r w:rsidRPr="00D54C57">
        <w:rPr>
          <w:rFonts w:ascii="Calibri" w:hAnsi="Calibri" w:cs="Calibri"/>
          <w:sz w:val="20"/>
          <w:lang w:val="en-US"/>
        </w:rPr>
        <w:t xml:space="preserve"> faster credit growth next year, not only due to renewed investment activity but also to the need for operational financing. Thus, while the year-on-year growth rate of corporate loans is likely to fall slightly this year, it should grow by 4% on average next year. Compared to the previous forecast, the expected growth is weaker, which is also </w:t>
      </w:r>
      <w:r w:rsidR="00A15B2C">
        <w:rPr>
          <w:rFonts w:ascii="Calibri" w:hAnsi="Calibri" w:cs="Calibri"/>
          <w:sz w:val="20"/>
          <w:lang w:val="en-US"/>
        </w:rPr>
        <w:t>connected with</w:t>
      </w:r>
      <w:r w:rsidRPr="00D54C57">
        <w:rPr>
          <w:rFonts w:ascii="Calibri" w:hAnsi="Calibri" w:cs="Calibri"/>
          <w:sz w:val="20"/>
          <w:lang w:val="en-US"/>
        </w:rPr>
        <w:t xml:space="preserve"> higher interest rates that will dampen demand for credit</w:t>
      </w:r>
      <w:r w:rsidR="00B00AF2">
        <w:rPr>
          <w:rFonts w:ascii="Calibri" w:hAnsi="Calibri" w:cs="Calibri"/>
          <w:sz w:val="20"/>
          <w:lang w:val="en-US"/>
        </w:rPr>
        <w:t>.</w:t>
      </w:r>
      <w:r w:rsidR="00CA5805">
        <w:rPr>
          <w:rFonts w:ascii="Calibri" w:hAnsi="Calibri" w:cs="Calibri"/>
          <w:sz w:val="20"/>
          <w:lang w:val="en-US"/>
        </w:rPr>
        <w:t xml:space="preserve"> </w:t>
      </w:r>
    </w:p>
    <w:p w14:paraId="7DD4B51D" w14:textId="3A7B2224" w:rsidR="00935A2E" w:rsidRPr="007B48F0" w:rsidRDefault="00935A2E" w:rsidP="00DF7FD9">
      <w:pPr>
        <w:tabs>
          <w:tab w:val="left" w:pos="1420"/>
        </w:tabs>
        <w:spacing w:before="120" w:after="120"/>
        <w:rPr>
          <w:rFonts w:ascii="Calibri" w:hAnsi="Calibri" w:cs="Calibri"/>
          <w:lang w:val="en-US"/>
        </w:rPr>
      </w:pPr>
      <w:r>
        <w:rPr>
          <w:rFonts w:ascii="Calibri" w:hAnsi="Calibri" w:cs="Calibri"/>
          <w:b/>
          <w:color w:val="13576B"/>
          <w:sz w:val="22"/>
          <w:szCs w:val="22"/>
          <w:lang w:val="en-US"/>
        </w:rPr>
        <w:t>C</w:t>
      </w:r>
      <w:r w:rsidRPr="00935A2E">
        <w:rPr>
          <w:rFonts w:ascii="Calibri" w:hAnsi="Calibri" w:cs="Calibri"/>
          <w:b/>
          <w:color w:val="13576B"/>
          <w:sz w:val="22"/>
          <w:szCs w:val="22"/>
          <w:lang w:val="en-US"/>
        </w:rPr>
        <w:t>BA'</w:t>
      </w:r>
      <w:r>
        <w:rPr>
          <w:rFonts w:ascii="Calibri" w:hAnsi="Calibri" w:cs="Calibri"/>
          <w:b/>
          <w:color w:val="13576B"/>
          <w:sz w:val="22"/>
          <w:szCs w:val="22"/>
          <w:lang w:val="en-US"/>
        </w:rPr>
        <w:t xml:space="preserve">s </w:t>
      </w:r>
      <w:r w:rsidRPr="00935A2E">
        <w:rPr>
          <w:rFonts w:ascii="Calibri" w:hAnsi="Calibri" w:cs="Calibri"/>
          <w:b/>
          <w:color w:val="13576B"/>
          <w:sz w:val="22"/>
          <w:szCs w:val="22"/>
          <w:lang w:val="en-US"/>
        </w:rPr>
        <w:t>macroeconomic forecast</w:t>
      </w:r>
      <w:r>
        <w:rPr>
          <w:rFonts w:ascii="Calibri" w:hAnsi="Calibri" w:cs="Calibri"/>
          <w:b/>
          <w:color w:val="13576B"/>
          <w:sz w:val="22"/>
          <w:szCs w:val="22"/>
          <w:lang w:val="en-US"/>
        </w:rPr>
        <w:t xml:space="preserve"> in figures</w:t>
      </w:r>
    </w:p>
    <w:p w14:paraId="10A71CAA" w14:textId="5C88FB90" w:rsidR="00C93158" w:rsidRPr="000607E6" w:rsidRDefault="00C93158" w:rsidP="00774549">
      <w:pPr>
        <w:rPr>
          <w:rFonts w:ascii="Calibri" w:hAnsi="Calibri" w:cs="Calibri"/>
          <w:sz w:val="20"/>
          <w:szCs w:val="18"/>
          <w:lang w:val="en-US"/>
        </w:rPr>
      </w:pPr>
    </w:p>
    <w:tbl>
      <w:tblPr>
        <w:tblW w:w="10244" w:type="dxa"/>
        <w:jc w:val="center"/>
        <w:tblCellMar>
          <w:left w:w="0" w:type="dxa"/>
          <w:right w:w="0" w:type="dxa"/>
        </w:tblCellMar>
        <w:tblLook w:val="04A0" w:firstRow="1" w:lastRow="0" w:firstColumn="1" w:lastColumn="0" w:noHBand="0" w:noVBand="1"/>
      </w:tblPr>
      <w:tblGrid>
        <w:gridCol w:w="5100"/>
        <w:gridCol w:w="1694"/>
        <w:gridCol w:w="1843"/>
        <w:gridCol w:w="1607"/>
      </w:tblGrid>
      <w:tr w:rsidR="00156EF2" w:rsidRPr="000607E6" w14:paraId="4B1594D4" w14:textId="5AF73129" w:rsidTr="007B5D5A">
        <w:trPr>
          <w:trHeight w:val="90"/>
          <w:jc w:val="center"/>
        </w:trPr>
        <w:tc>
          <w:tcPr>
            <w:tcW w:w="5100" w:type="dxa"/>
            <w:tcBorders>
              <w:top w:val="single" w:sz="8" w:space="0" w:color="FFFFFF"/>
              <w:left w:val="single" w:sz="8" w:space="0" w:color="FFFFFF"/>
              <w:bottom w:val="single" w:sz="24" w:space="0" w:color="FFFFFF"/>
              <w:right w:val="single" w:sz="8" w:space="0" w:color="FFFFFF"/>
            </w:tcBorders>
            <w:shd w:val="clear" w:color="auto" w:fill="13576B"/>
            <w:tcMar>
              <w:top w:w="15" w:type="dxa"/>
              <w:left w:w="108" w:type="dxa"/>
              <w:bottom w:w="0" w:type="dxa"/>
              <w:right w:w="108" w:type="dxa"/>
            </w:tcMar>
            <w:vAlign w:val="center"/>
            <w:hideMark/>
          </w:tcPr>
          <w:p w14:paraId="411568ED" w14:textId="6959F8AF" w:rsidR="00156EF2" w:rsidRPr="000607E6" w:rsidRDefault="000607E6" w:rsidP="00774549">
            <w:pPr>
              <w:autoSpaceDE/>
              <w:autoSpaceDN/>
              <w:adjustRightInd/>
              <w:textAlignment w:val="auto"/>
              <w:rPr>
                <w:rFonts w:ascii="Calibri" w:hAnsi="Calibri" w:cs="Calibri"/>
                <w:szCs w:val="18"/>
                <w:lang w:val="en-US"/>
              </w:rPr>
            </w:pPr>
            <w:r>
              <w:rPr>
                <w:rFonts w:ascii="Calibri" w:hAnsi="Calibri" w:cs="Calibri"/>
                <w:b/>
                <w:bCs/>
                <w:color w:val="FFFFFF" w:themeColor="light1"/>
                <w:kern w:val="24"/>
                <w:szCs w:val="18"/>
                <w:lang w:val="en-US"/>
              </w:rPr>
              <w:t>Indicator</w:t>
            </w:r>
          </w:p>
        </w:tc>
        <w:tc>
          <w:tcPr>
            <w:tcW w:w="1694" w:type="dxa"/>
            <w:tcBorders>
              <w:top w:val="single" w:sz="8" w:space="0" w:color="FFFFFF"/>
              <w:left w:val="single" w:sz="8" w:space="0" w:color="FFFFFF"/>
              <w:bottom w:val="single" w:sz="24" w:space="0" w:color="FFFFFF"/>
              <w:right w:val="single" w:sz="8" w:space="0" w:color="FFFFFF"/>
            </w:tcBorders>
            <w:shd w:val="clear" w:color="auto" w:fill="13576B"/>
            <w:tcMar>
              <w:top w:w="15" w:type="dxa"/>
              <w:left w:w="108" w:type="dxa"/>
              <w:bottom w:w="0" w:type="dxa"/>
              <w:right w:w="108" w:type="dxa"/>
            </w:tcMar>
            <w:vAlign w:val="center"/>
            <w:hideMark/>
          </w:tcPr>
          <w:p w14:paraId="3602BA5F" w14:textId="1A1E0ED9" w:rsidR="00F37DC9" w:rsidRPr="000607E6" w:rsidRDefault="00156EF2" w:rsidP="003F34F2">
            <w:pPr>
              <w:autoSpaceDE/>
              <w:autoSpaceDN/>
              <w:adjustRightInd/>
              <w:jc w:val="center"/>
              <w:textAlignment w:val="auto"/>
              <w:rPr>
                <w:rFonts w:ascii="Calibri" w:hAnsi="Calibri" w:cs="Calibri"/>
                <w:b/>
                <w:bCs/>
                <w:color w:val="FFFFFF" w:themeColor="light1"/>
                <w:kern w:val="24"/>
                <w:szCs w:val="18"/>
                <w:lang w:val="en-US"/>
              </w:rPr>
            </w:pPr>
            <w:r w:rsidRPr="000607E6">
              <w:rPr>
                <w:rFonts w:ascii="Calibri" w:hAnsi="Calibri" w:cs="Calibri"/>
                <w:b/>
                <w:bCs/>
                <w:color w:val="FFFFFF" w:themeColor="light1"/>
                <w:kern w:val="24"/>
                <w:szCs w:val="18"/>
                <w:lang w:val="en-US"/>
              </w:rPr>
              <w:t>20</w:t>
            </w:r>
            <w:r w:rsidR="007204F9" w:rsidRPr="000607E6">
              <w:rPr>
                <w:rFonts w:ascii="Calibri" w:hAnsi="Calibri" w:cs="Calibri"/>
                <w:b/>
                <w:bCs/>
                <w:color w:val="FFFFFF" w:themeColor="light1"/>
                <w:kern w:val="24"/>
                <w:szCs w:val="18"/>
                <w:lang w:val="en-US"/>
              </w:rPr>
              <w:t>20</w:t>
            </w:r>
          </w:p>
          <w:p w14:paraId="28E7FCB5" w14:textId="14A5BAB6" w:rsidR="00156EF2" w:rsidRPr="000607E6" w:rsidRDefault="00156EF2" w:rsidP="003F34F2">
            <w:pPr>
              <w:autoSpaceDE/>
              <w:autoSpaceDN/>
              <w:adjustRightInd/>
              <w:jc w:val="center"/>
              <w:textAlignment w:val="auto"/>
              <w:rPr>
                <w:rFonts w:ascii="Calibri" w:hAnsi="Calibri" w:cs="Calibri"/>
                <w:szCs w:val="18"/>
                <w:lang w:val="en-US"/>
              </w:rPr>
            </w:pPr>
            <w:r w:rsidRPr="000607E6">
              <w:rPr>
                <w:rFonts w:ascii="Calibri" w:hAnsi="Calibri" w:cs="Calibri"/>
                <w:b/>
                <w:bCs/>
                <w:color w:val="FFFFFF" w:themeColor="light1"/>
                <w:kern w:val="24"/>
                <w:szCs w:val="18"/>
                <w:lang w:val="en-US"/>
              </w:rPr>
              <w:t>(</w:t>
            </w:r>
            <w:r w:rsidR="007B48F0">
              <w:rPr>
                <w:rFonts w:ascii="Calibri" w:hAnsi="Calibri" w:cs="Calibri"/>
                <w:b/>
                <w:bCs/>
                <w:color w:val="FFFFFF" w:themeColor="light1"/>
                <w:kern w:val="24"/>
                <w:szCs w:val="18"/>
                <w:lang w:val="en-US"/>
              </w:rPr>
              <w:t>R</w:t>
            </w:r>
            <w:r w:rsidR="007B48F0">
              <w:rPr>
                <w:rFonts w:ascii="Calibri" w:hAnsi="Calibri" w:cs="Calibri"/>
                <w:b/>
                <w:bCs/>
                <w:color w:val="FFFFFF" w:themeColor="background1"/>
                <w:kern w:val="24"/>
                <w:szCs w:val="18"/>
                <w:lang w:val="en-US"/>
              </w:rPr>
              <w:t>eality</w:t>
            </w:r>
            <w:r w:rsidRPr="000607E6">
              <w:rPr>
                <w:rFonts w:ascii="Calibri" w:hAnsi="Calibri" w:cs="Calibri"/>
                <w:b/>
                <w:bCs/>
                <w:color w:val="FFFFFF" w:themeColor="light1"/>
                <w:kern w:val="24"/>
                <w:szCs w:val="18"/>
                <w:lang w:val="en-US"/>
              </w:rPr>
              <w:t>)</w:t>
            </w:r>
          </w:p>
        </w:tc>
        <w:tc>
          <w:tcPr>
            <w:tcW w:w="1843" w:type="dxa"/>
            <w:tcBorders>
              <w:top w:val="single" w:sz="8" w:space="0" w:color="FFFFFF"/>
              <w:left w:val="single" w:sz="8" w:space="0" w:color="FFFFFF"/>
              <w:bottom w:val="single" w:sz="24" w:space="0" w:color="FFFFFF"/>
              <w:right w:val="single" w:sz="8" w:space="0" w:color="FFFFFF"/>
            </w:tcBorders>
            <w:shd w:val="clear" w:color="auto" w:fill="13576B"/>
            <w:tcMar>
              <w:top w:w="15" w:type="dxa"/>
              <w:left w:w="108" w:type="dxa"/>
              <w:bottom w:w="0" w:type="dxa"/>
              <w:right w:w="108" w:type="dxa"/>
            </w:tcMar>
            <w:vAlign w:val="center"/>
            <w:hideMark/>
          </w:tcPr>
          <w:p w14:paraId="0ED9A869" w14:textId="0E2C5B33" w:rsidR="00B83E9D" w:rsidRPr="000607E6" w:rsidRDefault="00156EF2" w:rsidP="003F34F2">
            <w:pPr>
              <w:autoSpaceDE/>
              <w:autoSpaceDN/>
              <w:adjustRightInd/>
              <w:jc w:val="center"/>
              <w:textAlignment w:val="auto"/>
              <w:rPr>
                <w:rFonts w:ascii="Calibri" w:hAnsi="Calibri" w:cs="Calibri"/>
                <w:b/>
                <w:bCs/>
                <w:color w:val="FFFFFF" w:themeColor="light1"/>
                <w:kern w:val="24"/>
                <w:szCs w:val="18"/>
                <w:lang w:val="en-US"/>
              </w:rPr>
            </w:pPr>
            <w:r w:rsidRPr="000607E6">
              <w:rPr>
                <w:rFonts w:ascii="Calibri" w:hAnsi="Calibri" w:cs="Calibri"/>
                <w:b/>
                <w:bCs/>
                <w:color w:val="FFFFFF" w:themeColor="light1"/>
                <w:kern w:val="24"/>
                <w:szCs w:val="18"/>
                <w:lang w:val="en-US"/>
              </w:rPr>
              <w:t>202</w:t>
            </w:r>
            <w:r w:rsidR="007204F9" w:rsidRPr="000607E6">
              <w:rPr>
                <w:rFonts w:ascii="Calibri" w:hAnsi="Calibri" w:cs="Calibri"/>
                <w:b/>
                <w:bCs/>
                <w:color w:val="FFFFFF" w:themeColor="light1"/>
                <w:kern w:val="24"/>
                <w:szCs w:val="18"/>
                <w:lang w:val="en-US"/>
              </w:rPr>
              <w:t>1</w:t>
            </w:r>
          </w:p>
          <w:p w14:paraId="66D66CB7" w14:textId="40C92888" w:rsidR="00156EF2" w:rsidRPr="000607E6" w:rsidRDefault="00156EF2" w:rsidP="003F34F2">
            <w:pPr>
              <w:autoSpaceDE/>
              <w:autoSpaceDN/>
              <w:adjustRightInd/>
              <w:jc w:val="center"/>
              <w:textAlignment w:val="auto"/>
              <w:rPr>
                <w:rFonts w:ascii="Calibri" w:hAnsi="Calibri" w:cs="Calibri"/>
                <w:szCs w:val="18"/>
                <w:lang w:val="en-US"/>
              </w:rPr>
            </w:pPr>
            <w:r w:rsidRPr="000607E6">
              <w:rPr>
                <w:rFonts w:ascii="Calibri" w:hAnsi="Calibri" w:cs="Calibri"/>
                <w:b/>
                <w:bCs/>
                <w:color w:val="FFFFFF" w:themeColor="light1"/>
                <w:kern w:val="24"/>
                <w:szCs w:val="18"/>
                <w:lang w:val="en-US"/>
              </w:rPr>
              <w:t>(</w:t>
            </w:r>
            <w:r w:rsidR="007B48F0">
              <w:rPr>
                <w:rFonts w:ascii="Calibri" w:hAnsi="Calibri" w:cs="Calibri"/>
                <w:b/>
                <w:bCs/>
                <w:color w:val="FFFFFF" w:themeColor="light1"/>
                <w:kern w:val="24"/>
                <w:szCs w:val="18"/>
                <w:lang w:val="en-US"/>
              </w:rPr>
              <w:t>Forecast</w:t>
            </w:r>
            <w:r w:rsidRPr="000607E6">
              <w:rPr>
                <w:rFonts w:ascii="Calibri" w:hAnsi="Calibri" w:cs="Calibri"/>
                <w:b/>
                <w:bCs/>
                <w:color w:val="FFFFFF" w:themeColor="light1"/>
                <w:kern w:val="24"/>
                <w:szCs w:val="18"/>
                <w:lang w:val="en-US"/>
              </w:rPr>
              <w:t>)</w:t>
            </w:r>
          </w:p>
        </w:tc>
        <w:tc>
          <w:tcPr>
            <w:tcW w:w="1607" w:type="dxa"/>
            <w:tcBorders>
              <w:top w:val="single" w:sz="8" w:space="0" w:color="FFFFFF"/>
              <w:left w:val="single" w:sz="8" w:space="0" w:color="FFFFFF"/>
              <w:bottom w:val="single" w:sz="24" w:space="0" w:color="FFFFFF"/>
              <w:right w:val="single" w:sz="8" w:space="0" w:color="FFFFFF"/>
            </w:tcBorders>
            <w:shd w:val="clear" w:color="auto" w:fill="13576B"/>
            <w:vAlign w:val="center"/>
          </w:tcPr>
          <w:p w14:paraId="38B58E05" w14:textId="56B36820" w:rsidR="00B83E9D" w:rsidRPr="000607E6" w:rsidRDefault="007204F9" w:rsidP="003F34F2">
            <w:pPr>
              <w:autoSpaceDE/>
              <w:autoSpaceDN/>
              <w:adjustRightInd/>
              <w:jc w:val="center"/>
              <w:textAlignment w:val="auto"/>
              <w:rPr>
                <w:rFonts w:ascii="Calibri" w:hAnsi="Calibri" w:cs="Calibri"/>
                <w:b/>
                <w:bCs/>
                <w:color w:val="FFFFFF" w:themeColor="light1"/>
                <w:kern w:val="24"/>
                <w:szCs w:val="18"/>
                <w:lang w:val="en-US"/>
              </w:rPr>
            </w:pPr>
            <w:r w:rsidRPr="000607E6">
              <w:rPr>
                <w:rFonts w:ascii="Calibri" w:hAnsi="Calibri" w:cs="Calibri"/>
                <w:b/>
                <w:bCs/>
                <w:color w:val="FFFFFF" w:themeColor="light1"/>
                <w:kern w:val="24"/>
                <w:szCs w:val="18"/>
                <w:lang w:val="en-US"/>
              </w:rPr>
              <w:t>2022</w:t>
            </w:r>
          </w:p>
          <w:p w14:paraId="5825E283" w14:textId="1A28AEB4" w:rsidR="00156EF2" w:rsidRPr="000607E6" w:rsidRDefault="00156EF2" w:rsidP="003F34F2">
            <w:pPr>
              <w:autoSpaceDE/>
              <w:autoSpaceDN/>
              <w:adjustRightInd/>
              <w:jc w:val="center"/>
              <w:textAlignment w:val="auto"/>
              <w:rPr>
                <w:rFonts w:ascii="Calibri" w:hAnsi="Calibri" w:cs="Calibri"/>
                <w:b/>
                <w:bCs/>
                <w:color w:val="FFFFFF" w:themeColor="light1"/>
                <w:kern w:val="24"/>
                <w:szCs w:val="18"/>
                <w:lang w:val="en-US"/>
              </w:rPr>
            </w:pPr>
            <w:r w:rsidRPr="000607E6">
              <w:rPr>
                <w:rFonts w:ascii="Calibri" w:hAnsi="Calibri" w:cs="Calibri"/>
                <w:b/>
                <w:bCs/>
                <w:color w:val="FFFFFF" w:themeColor="light1"/>
                <w:kern w:val="24"/>
                <w:szCs w:val="18"/>
                <w:lang w:val="en-US"/>
              </w:rPr>
              <w:t>(</w:t>
            </w:r>
            <w:r w:rsidR="007B48F0">
              <w:rPr>
                <w:rFonts w:ascii="Calibri" w:hAnsi="Calibri" w:cs="Calibri"/>
                <w:b/>
                <w:bCs/>
                <w:color w:val="FFFFFF" w:themeColor="light1"/>
                <w:kern w:val="24"/>
                <w:szCs w:val="18"/>
                <w:lang w:val="en-US"/>
              </w:rPr>
              <w:t>Forecast</w:t>
            </w:r>
            <w:r w:rsidRPr="000607E6">
              <w:rPr>
                <w:rFonts w:ascii="Calibri" w:hAnsi="Calibri" w:cs="Calibri"/>
                <w:b/>
                <w:bCs/>
                <w:color w:val="FFFFFF" w:themeColor="light1"/>
                <w:kern w:val="24"/>
                <w:szCs w:val="18"/>
                <w:lang w:val="en-US"/>
              </w:rPr>
              <w:t>)</w:t>
            </w:r>
          </w:p>
        </w:tc>
      </w:tr>
      <w:tr w:rsidR="00647974" w:rsidRPr="000607E6" w14:paraId="6C6060CF" w14:textId="406F95A7" w:rsidTr="007B5D5A">
        <w:trPr>
          <w:trHeight w:val="89"/>
          <w:jc w:val="center"/>
        </w:trPr>
        <w:tc>
          <w:tcPr>
            <w:tcW w:w="5100" w:type="dxa"/>
            <w:tcBorders>
              <w:top w:val="single" w:sz="24"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5FB5585" w14:textId="3FA00A91" w:rsidR="00647974" w:rsidRPr="000607E6" w:rsidRDefault="00647974" w:rsidP="00774549">
            <w:pPr>
              <w:autoSpaceDE/>
              <w:autoSpaceDN/>
              <w:adjustRightInd/>
              <w:textAlignment w:val="auto"/>
              <w:rPr>
                <w:rFonts w:ascii="Calibri" w:hAnsi="Calibri" w:cs="Calibri"/>
                <w:szCs w:val="18"/>
                <w:lang w:val="en-US"/>
              </w:rPr>
            </w:pPr>
            <w:r w:rsidRPr="000607E6">
              <w:rPr>
                <w:rFonts w:ascii="Calibri" w:hAnsi="Calibri" w:cs="Calibri"/>
                <w:b/>
                <w:bCs/>
                <w:color w:val="FFFFFF" w:themeColor="light1"/>
                <w:kern w:val="24"/>
                <w:szCs w:val="18"/>
                <w:lang w:val="en-US"/>
              </w:rPr>
              <w:t>R</w:t>
            </w:r>
            <w:r w:rsidR="000607E6">
              <w:rPr>
                <w:rFonts w:ascii="Calibri" w:hAnsi="Calibri" w:cs="Calibri"/>
                <w:b/>
                <w:bCs/>
                <w:color w:val="FFFFFF" w:themeColor="light1"/>
                <w:kern w:val="24"/>
                <w:szCs w:val="18"/>
                <w:lang w:val="en-US"/>
              </w:rPr>
              <w:t>eal GDP</w:t>
            </w:r>
            <w:r w:rsidR="004A1735">
              <w:rPr>
                <w:rFonts w:ascii="Calibri" w:hAnsi="Calibri" w:cs="Calibri"/>
                <w:b/>
                <w:bCs/>
                <w:color w:val="FFFFFF" w:themeColor="light1"/>
                <w:kern w:val="24"/>
                <w:szCs w:val="18"/>
                <w:lang w:val="en-US"/>
              </w:rPr>
              <w:t xml:space="preserve"> </w:t>
            </w:r>
            <w:r w:rsidRPr="000607E6">
              <w:rPr>
                <w:rFonts w:ascii="Calibri" w:hAnsi="Calibri" w:cs="Calibri"/>
                <w:b/>
                <w:bCs/>
                <w:color w:val="FFFFFF" w:themeColor="light1"/>
                <w:kern w:val="24"/>
                <w:szCs w:val="18"/>
                <w:lang w:val="en-US"/>
              </w:rPr>
              <w:t>(%</w:t>
            </w:r>
            <w:r w:rsidR="00810C9A">
              <w:rPr>
                <w:rFonts w:ascii="Calibri" w:hAnsi="Calibri" w:cs="Calibri"/>
                <w:b/>
                <w:bCs/>
                <w:color w:val="FFFFFF" w:themeColor="light1"/>
                <w:kern w:val="24"/>
                <w:szCs w:val="18"/>
                <w:lang w:val="en-US"/>
              </w:rPr>
              <w:t xml:space="preserve"> </w:t>
            </w:r>
            <w:proofErr w:type="spellStart"/>
            <w:r w:rsidR="00810C9A">
              <w:rPr>
                <w:rFonts w:ascii="Calibri" w:hAnsi="Calibri" w:cs="Calibri"/>
                <w:b/>
                <w:bCs/>
                <w:color w:val="FFFFFF" w:themeColor="light1"/>
                <w:kern w:val="24"/>
                <w:szCs w:val="18"/>
                <w:lang w:val="en-US"/>
              </w:rPr>
              <w:t>yoy</w:t>
            </w:r>
            <w:proofErr w:type="spellEnd"/>
            <w:r w:rsidRPr="000607E6">
              <w:rPr>
                <w:rFonts w:ascii="Calibri" w:hAnsi="Calibri" w:cs="Calibri"/>
                <w:b/>
                <w:bCs/>
                <w:color w:val="FFFFFF" w:themeColor="light1"/>
                <w:kern w:val="24"/>
                <w:szCs w:val="18"/>
                <w:lang w:val="en-US"/>
              </w:rPr>
              <w:t>)</w:t>
            </w:r>
          </w:p>
        </w:tc>
        <w:tc>
          <w:tcPr>
            <w:tcW w:w="1694" w:type="dxa"/>
            <w:tcBorders>
              <w:top w:val="single" w:sz="24"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0BA0394A" w14:textId="322F1412"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-5</w:t>
            </w:r>
            <w:r w:rsidR="00810C9A">
              <w:rPr>
                <w:rFonts w:ascii="Calibri" w:hAnsi="Calibri" w:cs="Calibri"/>
                <w:color w:val="1F497D"/>
                <w:sz w:val="20"/>
                <w:lang w:val="en-US"/>
              </w:rPr>
              <w:t>.</w:t>
            </w:r>
            <w:r w:rsidRPr="000607E6">
              <w:rPr>
                <w:rFonts w:ascii="Calibri" w:hAnsi="Calibri" w:cs="Calibri"/>
                <w:color w:val="1F497D"/>
                <w:sz w:val="20"/>
                <w:lang w:val="en-US"/>
              </w:rPr>
              <w:t>8</w:t>
            </w:r>
          </w:p>
        </w:tc>
        <w:tc>
          <w:tcPr>
            <w:tcW w:w="1843" w:type="dxa"/>
            <w:tcBorders>
              <w:top w:val="single" w:sz="24"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CC27DCA" w14:textId="4F951554"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w:t>
            </w:r>
            <w:r w:rsidR="00810C9A">
              <w:rPr>
                <w:rFonts w:ascii="Calibri" w:hAnsi="Calibri" w:cs="Calibri"/>
                <w:b/>
                <w:bCs/>
                <w:color w:val="FF0000"/>
                <w:sz w:val="20"/>
                <w:lang w:val="en-US"/>
              </w:rPr>
              <w:t>.</w:t>
            </w:r>
            <w:r w:rsidRPr="000607E6">
              <w:rPr>
                <w:rFonts w:ascii="Calibri" w:hAnsi="Calibri" w:cs="Calibri"/>
                <w:b/>
                <w:bCs/>
                <w:color w:val="FF0000"/>
                <w:sz w:val="20"/>
                <w:lang w:val="en-US"/>
              </w:rPr>
              <w:t>6</w:t>
            </w:r>
          </w:p>
        </w:tc>
        <w:tc>
          <w:tcPr>
            <w:tcW w:w="1607" w:type="dxa"/>
            <w:tcBorders>
              <w:top w:val="single" w:sz="24" w:space="0" w:color="FFFFFF"/>
              <w:left w:val="single" w:sz="8" w:space="0" w:color="FFFFFF"/>
              <w:bottom w:val="single" w:sz="8" w:space="0" w:color="FFFFFF"/>
              <w:right w:val="single" w:sz="8" w:space="0" w:color="FFFFFF"/>
            </w:tcBorders>
            <w:shd w:val="pct12" w:color="auto" w:fill="auto"/>
            <w:vAlign w:val="center"/>
          </w:tcPr>
          <w:p w14:paraId="13CD0E3F" w14:textId="72CE52FC"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9</w:t>
            </w:r>
          </w:p>
        </w:tc>
      </w:tr>
      <w:tr w:rsidR="00647974" w:rsidRPr="000607E6" w14:paraId="646474FC" w14:textId="3CA853EA" w:rsidTr="007B5D5A">
        <w:trPr>
          <w:trHeight w:val="93"/>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486EC867" w14:textId="2ECF509D" w:rsidR="00647974" w:rsidRPr="000607E6" w:rsidRDefault="00810C9A" w:rsidP="00774549">
            <w:pPr>
              <w:autoSpaceDE/>
              <w:autoSpaceDN/>
              <w:adjustRightInd/>
              <w:textAlignment w:val="auto"/>
              <w:rPr>
                <w:rFonts w:ascii="Calibri" w:hAnsi="Calibri" w:cs="Calibri"/>
                <w:szCs w:val="18"/>
                <w:lang w:val="en-US"/>
              </w:rPr>
            </w:pPr>
            <w:r>
              <w:rPr>
                <w:rFonts w:ascii="Calibri" w:hAnsi="Calibri" w:cs="Calibri"/>
                <w:b/>
                <w:bCs/>
                <w:color w:val="FFFFFF" w:themeColor="light1"/>
                <w:kern w:val="24"/>
                <w:szCs w:val="18"/>
                <w:lang w:val="en-US"/>
              </w:rPr>
              <w:t>Share of unemployed people (</w:t>
            </w:r>
            <w:proofErr w:type="spellStart"/>
            <w:r>
              <w:rPr>
                <w:rFonts w:ascii="Calibri" w:hAnsi="Calibri" w:cs="Calibri"/>
                <w:b/>
                <w:bCs/>
                <w:color w:val="FFFFFF" w:themeColor="light1"/>
                <w:kern w:val="24"/>
                <w:szCs w:val="18"/>
                <w:lang w:val="en-US"/>
              </w:rPr>
              <w:t>MinLab</w:t>
            </w:r>
            <w:proofErr w:type="spellEnd"/>
            <w:r>
              <w:rPr>
                <w:rFonts w:ascii="Calibri" w:hAnsi="Calibri" w:cs="Calibri"/>
                <w:b/>
                <w:bCs/>
                <w:color w:val="FFFFFF" w:themeColor="light1"/>
                <w:kern w:val="24"/>
                <w:szCs w:val="18"/>
                <w:lang w:val="en-US"/>
              </w:rPr>
              <w:t>, %</w:t>
            </w:r>
            <w:r w:rsidR="00BF410B">
              <w:rPr>
                <w:rFonts w:ascii="Calibri" w:hAnsi="Calibri" w:cs="Calibri"/>
                <w:b/>
                <w:bCs/>
                <w:color w:val="FFFFFF" w:themeColor="light1"/>
                <w:kern w:val="24"/>
                <w:szCs w:val="18"/>
                <w:lang w:val="en-US"/>
              </w:rPr>
              <w:t>, average</w:t>
            </w:r>
            <w:r>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0AAAA210" w14:textId="28996192"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3</w:t>
            </w:r>
            <w:r w:rsidR="00810C9A">
              <w:rPr>
                <w:rFonts w:ascii="Calibri" w:hAnsi="Calibri" w:cs="Calibri"/>
                <w:color w:val="1F497D"/>
                <w:sz w:val="20"/>
                <w:lang w:val="en-US"/>
              </w:rPr>
              <w:t>.</w:t>
            </w:r>
            <w:r w:rsidRPr="000607E6">
              <w:rPr>
                <w:rFonts w:ascii="Calibri" w:hAnsi="Calibri" w:cs="Calibri"/>
                <w:color w:val="1F497D"/>
                <w:sz w:val="20"/>
                <w:lang w:val="en-US"/>
              </w:rPr>
              <w:t>6</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4F17F024" w14:textId="16B7EF59"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20A8075C" w14:textId="4794D7AD"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4</w:t>
            </w:r>
          </w:p>
        </w:tc>
      </w:tr>
      <w:tr w:rsidR="00647974" w:rsidRPr="000607E6" w14:paraId="636D37C4" w14:textId="692F159B"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7CE8D490" w14:textId="0A5FE52C" w:rsidR="00647974" w:rsidRPr="000607E6" w:rsidRDefault="006F4936" w:rsidP="00774549">
            <w:pPr>
              <w:autoSpaceDE/>
              <w:autoSpaceDN/>
              <w:adjustRightInd/>
              <w:textAlignment w:val="auto"/>
              <w:rPr>
                <w:rFonts w:ascii="Calibri" w:hAnsi="Calibri" w:cs="Calibri"/>
                <w:szCs w:val="18"/>
                <w:lang w:val="en-US"/>
              </w:rPr>
            </w:pPr>
            <w:r>
              <w:rPr>
                <w:rFonts w:ascii="Calibri" w:hAnsi="Calibri" w:cs="Calibri"/>
                <w:b/>
                <w:bCs/>
                <w:color w:val="FFFFFF" w:themeColor="light1"/>
                <w:kern w:val="24"/>
                <w:szCs w:val="18"/>
                <w:lang w:val="en-US"/>
              </w:rPr>
              <w:t xml:space="preserve">Average </w:t>
            </w:r>
            <w:r w:rsidR="00810C9A">
              <w:rPr>
                <w:rFonts w:ascii="Calibri" w:hAnsi="Calibri" w:cs="Calibri"/>
                <w:b/>
                <w:bCs/>
                <w:color w:val="FFFFFF" w:themeColor="light1"/>
                <w:kern w:val="24"/>
                <w:szCs w:val="18"/>
                <w:lang w:val="en-US"/>
              </w:rPr>
              <w:t xml:space="preserve">nominal </w:t>
            </w:r>
            <w:r>
              <w:rPr>
                <w:rFonts w:ascii="Calibri" w:hAnsi="Calibri" w:cs="Calibri"/>
                <w:b/>
                <w:bCs/>
                <w:color w:val="FFFFFF" w:themeColor="light1"/>
                <w:kern w:val="24"/>
                <w:szCs w:val="18"/>
                <w:lang w:val="en-US"/>
              </w:rPr>
              <w:t>wage</w:t>
            </w:r>
            <w:r w:rsidR="006E008E">
              <w:rPr>
                <w:rFonts w:ascii="Calibri" w:hAnsi="Calibri" w:cs="Calibri"/>
                <w:b/>
                <w:bCs/>
                <w:color w:val="FFFFFF" w:themeColor="light1"/>
                <w:kern w:val="24"/>
                <w:szCs w:val="18"/>
                <w:lang w:val="en-US"/>
              </w:rPr>
              <w:t xml:space="preserve"> </w:t>
            </w:r>
            <w:r w:rsidR="006E008E" w:rsidRPr="000607E6">
              <w:rPr>
                <w:rFonts w:ascii="Calibri" w:hAnsi="Calibri" w:cs="Calibri"/>
                <w:b/>
                <w:bCs/>
                <w:color w:val="FFFFFF" w:themeColor="light1"/>
                <w:kern w:val="24"/>
                <w:szCs w:val="18"/>
                <w:lang w:val="en-US"/>
              </w:rPr>
              <w:t>(</w:t>
            </w:r>
            <w:r w:rsidR="00647974" w:rsidRPr="000607E6">
              <w:rPr>
                <w:rFonts w:ascii="Calibri" w:hAnsi="Calibri" w:cs="Calibri"/>
                <w:b/>
                <w:bCs/>
                <w:color w:val="FFFFFF" w:themeColor="light1"/>
                <w:kern w:val="24"/>
                <w:szCs w:val="18"/>
                <w:lang w:val="en-US"/>
              </w:rPr>
              <w:t>%</w:t>
            </w:r>
            <w:r w:rsidR="00810C9A">
              <w:rPr>
                <w:rFonts w:ascii="Calibri" w:hAnsi="Calibri" w:cs="Calibri"/>
                <w:b/>
                <w:bCs/>
                <w:color w:val="FFFFFF" w:themeColor="light1"/>
                <w:kern w:val="24"/>
                <w:szCs w:val="18"/>
                <w:lang w:val="en-US"/>
              </w:rPr>
              <w:t xml:space="preserve"> </w:t>
            </w:r>
            <w:proofErr w:type="spellStart"/>
            <w:r w:rsidR="00810C9A">
              <w:rPr>
                <w:rFonts w:ascii="Calibri" w:hAnsi="Calibri" w:cs="Calibri"/>
                <w:b/>
                <w:bCs/>
                <w:color w:val="FFFFFF" w:themeColor="light1"/>
                <w:kern w:val="24"/>
                <w:szCs w:val="18"/>
                <w:lang w:val="en-US"/>
              </w:rPr>
              <w:t>yoy</w:t>
            </w:r>
            <w:proofErr w:type="spellEnd"/>
            <w:r w:rsidR="00647974" w:rsidRPr="000607E6">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DA15EC4" w14:textId="39D9E75E"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3</w:t>
            </w:r>
            <w:r w:rsidR="00810C9A">
              <w:rPr>
                <w:rFonts w:ascii="Calibri" w:hAnsi="Calibri" w:cs="Calibri"/>
                <w:color w:val="1F497D"/>
                <w:sz w:val="20"/>
                <w:lang w:val="en-US"/>
              </w:rPr>
              <w:t>.</w:t>
            </w:r>
            <w:r w:rsidRPr="000607E6">
              <w:rPr>
                <w:rFonts w:ascii="Calibri" w:hAnsi="Calibri" w:cs="Calibri"/>
                <w:color w:val="1F497D"/>
                <w:sz w:val="20"/>
                <w:lang w:val="en-US"/>
              </w:rPr>
              <w:t>1</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72BD4E2E" w14:textId="17EEAF65"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5</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4E5CDC8F" w14:textId="2B62C7B4"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w:t>
            </w:r>
            <w:r w:rsidR="00810C9A">
              <w:rPr>
                <w:rFonts w:ascii="Calibri" w:hAnsi="Calibri" w:cs="Calibri"/>
                <w:b/>
                <w:bCs/>
                <w:color w:val="FF0000"/>
                <w:sz w:val="20"/>
                <w:lang w:val="en-US"/>
              </w:rPr>
              <w:t>.</w:t>
            </w:r>
            <w:r w:rsidRPr="000607E6">
              <w:rPr>
                <w:rFonts w:ascii="Calibri" w:hAnsi="Calibri" w:cs="Calibri"/>
                <w:b/>
                <w:bCs/>
                <w:color w:val="FF0000"/>
                <w:sz w:val="20"/>
                <w:lang w:val="en-US"/>
              </w:rPr>
              <w:t>9</w:t>
            </w:r>
          </w:p>
        </w:tc>
      </w:tr>
      <w:tr w:rsidR="00647974" w:rsidRPr="000607E6" w14:paraId="3BA814CF" w14:textId="5B864073"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70013A2F" w14:textId="6EF87364" w:rsidR="00647974" w:rsidRPr="006F4936" w:rsidRDefault="00810C9A" w:rsidP="00774549">
            <w:pPr>
              <w:autoSpaceDE/>
              <w:autoSpaceDN/>
              <w:adjustRightInd/>
              <w:textAlignment w:val="auto"/>
              <w:rPr>
                <w:rFonts w:ascii="Calibri" w:hAnsi="Calibri" w:cs="Calibri"/>
                <w:b/>
                <w:bCs/>
                <w:color w:val="FFFFFF" w:themeColor="light1"/>
                <w:kern w:val="24"/>
                <w:szCs w:val="18"/>
                <w:lang w:val="en-US"/>
              </w:rPr>
            </w:pPr>
            <w:r>
              <w:rPr>
                <w:rFonts w:ascii="Calibri" w:hAnsi="Calibri" w:cs="Calibri"/>
                <w:b/>
                <w:bCs/>
                <w:color w:val="FFFFFF" w:themeColor="light1"/>
                <w:kern w:val="24"/>
                <w:szCs w:val="18"/>
                <w:lang w:val="en-US"/>
              </w:rPr>
              <w:t>Headline</w:t>
            </w:r>
            <w:r w:rsidR="00647974" w:rsidRPr="000607E6">
              <w:rPr>
                <w:rFonts w:ascii="Calibri" w:hAnsi="Calibri" w:cs="Calibri"/>
                <w:b/>
                <w:bCs/>
                <w:color w:val="FFFFFF" w:themeColor="light1"/>
                <w:kern w:val="24"/>
                <w:szCs w:val="18"/>
                <w:lang w:val="en-US"/>
              </w:rPr>
              <w:t xml:space="preserve"> CPI (%</w:t>
            </w:r>
            <w:r>
              <w:rPr>
                <w:rFonts w:ascii="Calibri" w:hAnsi="Calibri" w:cs="Calibri"/>
                <w:b/>
                <w:bCs/>
                <w:color w:val="FFFFFF" w:themeColor="light1"/>
                <w:kern w:val="24"/>
                <w:szCs w:val="18"/>
                <w:lang w:val="en-US"/>
              </w:rPr>
              <w:t>, average</w:t>
            </w:r>
            <w:r w:rsidR="00647974" w:rsidRPr="000607E6">
              <w:rPr>
                <w:rFonts w:ascii="Calibri" w:hAnsi="Calibri" w:cs="Calibri"/>
                <w:b/>
                <w:bCs/>
                <w:color w:val="FFFFFF" w:themeColor="light1"/>
                <w:kern w:val="24"/>
                <w:szCs w:val="18"/>
                <w:lang w:val="en-US"/>
              </w:rPr>
              <w:t xml:space="preserve">) </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07F5738C" w14:textId="57DFD489" w:rsidR="00647974" w:rsidRPr="000607E6" w:rsidRDefault="00647974" w:rsidP="004A1735">
            <w:pPr>
              <w:overflowPunct/>
              <w:autoSpaceDE/>
              <w:autoSpaceDN/>
              <w:adjustRightInd/>
              <w:jc w:val="center"/>
              <w:textAlignment w:val="bottom"/>
              <w:rPr>
                <w:rFonts w:ascii="Calibri" w:eastAsia="PMingLiU" w:hAnsi="Calibri" w:cs="Calibri"/>
                <w:b/>
                <w:bCs/>
                <w:kern w:val="24"/>
                <w:szCs w:val="18"/>
                <w:lang w:val="en-US"/>
              </w:rPr>
            </w:pPr>
            <w:r w:rsidRPr="000607E6">
              <w:rPr>
                <w:rFonts w:ascii="Calibri" w:hAnsi="Calibri" w:cs="Calibri"/>
                <w:color w:val="1F497D"/>
                <w:sz w:val="20"/>
                <w:lang w:val="en-US"/>
              </w:rPr>
              <w:t>3</w:t>
            </w:r>
            <w:r w:rsidR="00810C9A">
              <w:rPr>
                <w:rFonts w:ascii="Calibri" w:hAnsi="Calibri" w:cs="Calibri"/>
                <w:color w:val="1F497D"/>
                <w:sz w:val="20"/>
                <w:lang w:val="en-US"/>
              </w:rPr>
              <w:t>.</w:t>
            </w:r>
            <w:r w:rsidRPr="000607E6">
              <w:rPr>
                <w:rFonts w:ascii="Calibri" w:hAnsi="Calibri" w:cs="Calibri"/>
                <w:color w:val="1F497D"/>
                <w:sz w:val="20"/>
                <w:lang w:val="en-US"/>
              </w:rPr>
              <w:t>2</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6E5E8884" w14:textId="57CBC23C"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48636833" w14:textId="4E024B8E"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5</w:t>
            </w:r>
            <w:r w:rsidR="00810C9A">
              <w:rPr>
                <w:rFonts w:ascii="Calibri" w:hAnsi="Calibri" w:cs="Calibri"/>
                <w:b/>
                <w:bCs/>
                <w:color w:val="FF0000"/>
                <w:sz w:val="20"/>
                <w:lang w:val="en-US"/>
              </w:rPr>
              <w:t>.</w:t>
            </w:r>
            <w:r w:rsidRPr="000607E6">
              <w:rPr>
                <w:rFonts w:ascii="Calibri" w:hAnsi="Calibri" w:cs="Calibri"/>
                <w:b/>
                <w:bCs/>
                <w:color w:val="FF0000"/>
                <w:sz w:val="20"/>
                <w:lang w:val="en-US"/>
              </w:rPr>
              <w:t>1</w:t>
            </w:r>
          </w:p>
        </w:tc>
      </w:tr>
      <w:tr w:rsidR="00647974" w:rsidRPr="000607E6" w14:paraId="521233EC" w14:textId="28A14000"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3A330F8F" w14:textId="634CBC13" w:rsidR="00647974" w:rsidRPr="006F4936" w:rsidRDefault="006F4936" w:rsidP="00774549">
            <w:pPr>
              <w:autoSpaceDE/>
              <w:autoSpaceDN/>
              <w:adjustRightInd/>
              <w:textAlignment w:val="auto"/>
              <w:rPr>
                <w:rFonts w:ascii="Calibri" w:hAnsi="Calibri" w:cs="Calibri"/>
                <w:b/>
                <w:bCs/>
                <w:color w:val="FFFFFF" w:themeColor="light1"/>
                <w:kern w:val="24"/>
                <w:szCs w:val="18"/>
                <w:lang w:val="en-US"/>
              </w:rPr>
            </w:pPr>
            <w:r w:rsidRPr="006F4936">
              <w:rPr>
                <w:rFonts w:ascii="Calibri" w:hAnsi="Calibri" w:cs="Calibri"/>
                <w:b/>
                <w:bCs/>
                <w:color w:val="FFFFFF" w:themeColor="light1"/>
                <w:kern w:val="24"/>
                <w:szCs w:val="18"/>
                <w:lang w:val="en-US"/>
              </w:rPr>
              <w:t>Government deficit / surplus (% of GDP)</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FCBE628" w14:textId="6E587E79"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w:t>
            </w:r>
            <w:r w:rsidR="00FB19F5" w:rsidRPr="000607E6">
              <w:rPr>
                <w:rFonts w:ascii="Calibri" w:hAnsi="Calibri" w:cs="Calibri"/>
                <w:color w:val="1F497D"/>
                <w:sz w:val="20"/>
                <w:lang w:val="en-US"/>
              </w:rPr>
              <w:t>5</w:t>
            </w:r>
            <w:r w:rsidR="00810C9A">
              <w:rPr>
                <w:rFonts w:ascii="Calibri" w:hAnsi="Calibri" w:cs="Calibri"/>
                <w:color w:val="1F497D"/>
                <w:sz w:val="20"/>
                <w:lang w:val="en-US"/>
              </w:rPr>
              <w:t>.</w:t>
            </w:r>
            <w:r w:rsidR="00FB19F5" w:rsidRPr="000607E6">
              <w:rPr>
                <w:rFonts w:ascii="Calibri" w:hAnsi="Calibri" w:cs="Calibri"/>
                <w:color w:val="1F497D"/>
                <w:sz w:val="20"/>
                <w:lang w:val="en-US"/>
              </w:rPr>
              <w:t>6</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6C494613" w14:textId="0D1D9398"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-7</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4D2100D0" w14:textId="0D307572"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w:t>
            </w:r>
            <w:r w:rsidR="00810C9A">
              <w:rPr>
                <w:rFonts w:ascii="Calibri" w:hAnsi="Calibri" w:cs="Calibri"/>
                <w:b/>
                <w:bCs/>
                <w:color w:val="FF0000"/>
                <w:sz w:val="20"/>
                <w:lang w:val="en-US"/>
              </w:rPr>
              <w:t>.</w:t>
            </w:r>
            <w:r w:rsidRPr="000607E6">
              <w:rPr>
                <w:rFonts w:ascii="Calibri" w:hAnsi="Calibri" w:cs="Calibri"/>
                <w:b/>
                <w:bCs/>
                <w:color w:val="FF0000"/>
                <w:sz w:val="20"/>
                <w:lang w:val="en-US"/>
              </w:rPr>
              <w:t>7</w:t>
            </w:r>
          </w:p>
        </w:tc>
      </w:tr>
      <w:tr w:rsidR="00647974" w:rsidRPr="000607E6" w14:paraId="14378C53" w14:textId="062909FA"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F5EC9AA" w14:textId="22146DD6" w:rsidR="00647974" w:rsidRPr="000607E6" w:rsidRDefault="006F4936" w:rsidP="00774549">
            <w:pPr>
              <w:autoSpaceDE/>
              <w:autoSpaceDN/>
              <w:adjustRightInd/>
              <w:textAlignment w:val="auto"/>
              <w:rPr>
                <w:rFonts w:ascii="Calibri" w:hAnsi="Calibri" w:cs="Calibri"/>
                <w:szCs w:val="18"/>
                <w:lang w:val="en-US"/>
              </w:rPr>
            </w:pPr>
            <w:r w:rsidRPr="006F4936">
              <w:rPr>
                <w:rFonts w:ascii="Calibri" w:hAnsi="Calibri" w:cs="Calibri"/>
                <w:b/>
                <w:bCs/>
                <w:color w:val="FFFFFF" w:themeColor="light1"/>
                <w:kern w:val="24"/>
                <w:szCs w:val="18"/>
                <w:lang w:val="en-US"/>
              </w:rPr>
              <w:t>Government debt (% of GDP)</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94CED1C" w14:textId="50117F7D"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3</w:t>
            </w:r>
            <w:r w:rsidR="00FB19F5" w:rsidRPr="000607E6">
              <w:rPr>
                <w:rFonts w:ascii="Calibri" w:hAnsi="Calibri" w:cs="Calibri"/>
                <w:color w:val="1F497D"/>
                <w:sz w:val="20"/>
                <w:lang w:val="en-US"/>
              </w:rPr>
              <w:t>7</w:t>
            </w:r>
            <w:r w:rsidR="00810C9A">
              <w:rPr>
                <w:rFonts w:ascii="Calibri" w:hAnsi="Calibri" w:cs="Calibri"/>
                <w:color w:val="1F497D"/>
                <w:sz w:val="20"/>
                <w:lang w:val="en-US"/>
              </w:rPr>
              <w:t>.</w:t>
            </w:r>
            <w:r w:rsidR="00FB19F5" w:rsidRPr="000607E6">
              <w:rPr>
                <w:rFonts w:ascii="Calibri" w:hAnsi="Calibri" w:cs="Calibri"/>
                <w:color w:val="1F497D"/>
                <w:sz w:val="20"/>
                <w:lang w:val="en-US"/>
              </w:rPr>
              <w:t>7</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57312A7B" w14:textId="2DA93262"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42</w:t>
            </w:r>
            <w:r w:rsidR="00810C9A">
              <w:rPr>
                <w:rFonts w:ascii="Calibri" w:hAnsi="Calibri" w:cs="Calibri"/>
                <w:b/>
                <w:bCs/>
                <w:color w:val="FF0000"/>
                <w:sz w:val="20"/>
                <w:lang w:val="en-US"/>
              </w:rPr>
              <w:t>.</w:t>
            </w:r>
            <w:r w:rsidRPr="000607E6">
              <w:rPr>
                <w:rFonts w:ascii="Calibri" w:hAnsi="Calibri" w:cs="Calibri"/>
                <w:b/>
                <w:bCs/>
                <w:color w:val="FF0000"/>
                <w:sz w:val="20"/>
                <w:lang w:val="en-US"/>
              </w:rPr>
              <w:t>4</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6F706A33" w14:textId="1948897B"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43</w:t>
            </w:r>
            <w:r w:rsidR="00810C9A">
              <w:rPr>
                <w:rFonts w:ascii="Calibri" w:hAnsi="Calibri" w:cs="Calibri"/>
                <w:b/>
                <w:bCs/>
                <w:color w:val="FF0000"/>
                <w:sz w:val="20"/>
                <w:lang w:val="en-US"/>
              </w:rPr>
              <w:t>.</w:t>
            </w:r>
            <w:r w:rsidRPr="000607E6">
              <w:rPr>
                <w:rFonts w:ascii="Calibri" w:hAnsi="Calibri" w:cs="Calibri"/>
                <w:b/>
                <w:bCs/>
                <w:color w:val="FF0000"/>
                <w:sz w:val="20"/>
                <w:lang w:val="en-US"/>
              </w:rPr>
              <w:t>6</w:t>
            </w:r>
          </w:p>
        </w:tc>
      </w:tr>
      <w:tr w:rsidR="00647974" w:rsidRPr="000607E6" w14:paraId="552BE0D0" w14:textId="46A71113"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320F0540" w14:textId="7DD7BA84" w:rsidR="00647974" w:rsidRPr="000607E6" w:rsidRDefault="007B48F0" w:rsidP="00774549">
            <w:pPr>
              <w:autoSpaceDE/>
              <w:autoSpaceDN/>
              <w:adjustRightInd/>
              <w:textAlignment w:val="auto"/>
              <w:rPr>
                <w:rFonts w:ascii="Calibri" w:hAnsi="Calibri" w:cs="Calibri"/>
                <w:szCs w:val="18"/>
                <w:lang w:val="en-US"/>
              </w:rPr>
            </w:pPr>
            <w:r>
              <w:rPr>
                <w:rFonts w:ascii="Calibri" w:hAnsi="Calibri" w:cs="Calibri"/>
                <w:b/>
                <w:bCs/>
                <w:color w:val="FFFFFF" w:themeColor="light1"/>
                <w:kern w:val="24"/>
                <w:szCs w:val="18"/>
                <w:lang w:val="en-US"/>
              </w:rPr>
              <w:t xml:space="preserve">Household consumption </w:t>
            </w:r>
            <w:r w:rsidR="006E008E">
              <w:rPr>
                <w:rFonts w:ascii="Calibri" w:hAnsi="Calibri" w:cs="Calibri"/>
                <w:b/>
                <w:bCs/>
                <w:color w:val="FFFFFF" w:themeColor="light1"/>
                <w:kern w:val="24"/>
                <w:szCs w:val="18"/>
                <w:lang w:val="en-US"/>
              </w:rPr>
              <w:t xml:space="preserve"> </w:t>
            </w:r>
            <w:r w:rsidR="006E008E" w:rsidRPr="000607E6">
              <w:rPr>
                <w:rFonts w:ascii="Calibri" w:hAnsi="Calibri" w:cs="Calibri"/>
                <w:b/>
                <w:bCs/>
                <w:color w:val="FFFFFF" w:themeColor="light1"/>
                <w:kern w:val="24"/>
                <w:szCs w:val="18"/>
                <w:lang w:val="en-US"/>
              </w:rPr>
              <w:t>(</w:t>
            </w:r>
            <w:r w:rsidR="00647974" w:rsidRPr="000607E6">
              <w:rPr>
                <w:rFonts w:ascii="Calibri" w:hAnsi="Calibri" w:cs="Calibri"/>
                <w:b/>
                <w:bCs/>
                <w:color w:val="FFFFFF" w:themeColor="light1"/>
                <w:kern w:val="24"/>
                <w:szCs w:val="18"/>
                <w:lang w:val="en-US"/>
              </w:rPr>
              <w:t>%</w:t>
            </w:r>
            <w:r w:rsidR="004A1735">
              <w:rPr>
                <w:rFonts w:ascii="Calibri" w:hAnsi="Calibri" w:cs="Calibri"/>
                <w:b/>
                <w:bCs/>
                <w:color w:val="FFFFFF" w:themeColor="light1"/>
                <w:kern w:val="24"/>
                <w:szCs w:val="18"/>
                <w:lang w:val="en-US"/>
              </w:rPr>
              <w:t xml:space="preserve"> </w:t>
            </w:r>
            <w:proofErr w:type="spellStart"/>
            <w:r w:rsidR="004A1735">
              <w:rPr>
                <w:rFonts w:ascii="Calibri" w:hAnsi="Calibri" w:cs="Calibri"/>
                <w:b/>
                <w:bCs/>
                <w:color w:val="FFFFFF" w:themeColor="light1"/>
                <w:kern w:val="24"/>
                <w:szCs w:val="18"/>
                <w:lang w:val="en-US"/>
              </w:rPr>
              <w:t>yoy</w:t>
            </w:r>
            <w:proofErr w:type="spellEnd"/>
            <w:r w:rsidR="00647974" w:rsidRPr="000607E6">
              <w:rPr>
                <w:rFonts w:ascii="Calibri" w:hAnsi="Calibri" w:cs="Calibri"/>
                <w:b/>
                <w:bCs/>
                <w:color w:val="FFFFFF" w:themeColor="light1"/>
                <w:kern w:val="24"/>
                <w:szCs w:val="18"/>
                <w:lang w:val="en-US"/>
              </w:rPr>
              <w:t xml:space="preserve">) </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63152515" w14:textId="32AC3FE3"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-7</w:t>
            </w:r>
            <w:r w:rsidR="00810C9A">
              <w:rPr>
                <w:rFonts w:ascii="Calibri" w:hAnsi="Calibri" w:cs="Calibri"/>
                <w:color w:val="1F497D"/>
                <w:sz w:val="20"/>
                <w:lang w:val="en-US"/>
              </w:rPr>
              <w:t>.</w:t>
            </w:r>
            <w:r w:rsidRPr="000607E6">
              <w:rPr>
                <w:rFonts w:ascii="Calibri" w:hAnsi="Calibri" w:cs="Calibri"/>
                <w:color w:val="1F497D"/>
                <w:sz w:val="20"/>
                <w:lang w:val="en-US"/>
              </w:rPr>
              <w:t>1</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D3C80F4" w14:textId="627ADA09"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1246EB22" w14:textId="38B977BF"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w:t>
            </w:r>
            <w:r w:rsidR="00810C9A">
              <w:rPr>
                <w:rFonts w:ascii="Calibri" w:hAnsi="Calibri" w:cs="Calibri"/>
                <w:b/>
                <w:bCs/>
                <w:color w:val="FF0000"/>
                <w:sz w:val="20"/>
                <w:lang w:val="en-US"/>
              </w:rPr>
              <w:t>.</w:t>
            </w:r>
            <w:r w:rsidRPr="000607E6">
              <w:rPr>
                <w:rFonts w:ascii="Calibri" w:hAnsi="Calibri" w:cs="Calibri"/>
                <w:b/>
                <w:bCs/>
                <w:color w:val="FF0000"/>
                <w:sz w:val="20"/>
                <w:lang w:val="en-US"/>
              </w:rPr>
              <w:t>4</w:t>
            </w:r>
          </w:p>
        </w:tc>
      </w:tr>
      <w:tr w:rsidR="00647974" w:rsidRPr="000607E6" w14:paraId="1648A5F3" w14:textId="45B73A0A"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0F5C730B" w14:textId="472CF467" w:rsidR="00647974" w:rsidRPr="000607E6" w:rsidRDefault="007B48F0" w:rsidP="00774549">
            <w:pPr>
              <w:autoSpaceDE/>
              <w:autoSpaceDN/>
              <w:adjustRightInd/>
              <w:textAlignment w:val="auto"/>
              <w:rPr>
                <w:rFonts w:ascii="Calibri" w:hAnsi="Calibri" w:cs="Calibri"/>
                <w:szCs w:val="18"/>
                <w:lang w:val="en-US"/>
              </w:rPr>
            </w:pPr>
            <w:r w:rsidRPr="007B48F0">
              <w:rPr>
                <w:rFonts w:ascii="Calibri" w:hAnsi="Calibri" w:cs="Calibri"/>
                <w:b/>
                <w:bCs/>
                <w:color w:val="FFFFFF" w:themeColor="light1"/>
                <w:kern w:val="24"/>
                <w:szCs w:val="18"/>
                <w:lang w:val="en-US"/>
              </w:rPr>
              <w:t xml:space="preserve">Government consumption </w:t>
            </w:r>
            <w:r w:rsidR="006E008E">
              <w:rPr>
                <w:rFonts w:ascii="Calibri" w:hAnsi="Calibri" w:cs="Calibri"/>
                <w:b/>
                <w:bCs/>
                <w:color w:val="FFFFFF" w:themeColor="light1"/>
                <w:kern w:val="24"/>
                <w:szCs w:val="18"/>
                <w:lang w:val="en-US"/>
              </w:rPr>
              <w:t>(</w:t>
            </w:r>
            <w:r w:rsidR="004A1735" w:rsidRPr="000607E6">
              <w:rPr>
                <w:rFonts w:ascii="Calibri" w:hAnsi="Calibri" w:cs="Calibri"/>
                <w:b/>
                <w:bCs/>
                <w:color w:val="FFFFFF" w:themeColor="light1"/>
                <w:kern w:val="24"/>
                <w:szCs w:val="18"/>
                <w:lang w:val="en-US"/>
              </w:rPr>
              <w:t>%</w:t>
            </w:r>
            <w:r w:rsidR="004A1735">
              <w:rPr>
                <w:rFonts w:ascii="Calibri" w:hAnsi="Calibri" w:cs="Calibri"/>
                <w:b/>
                <w:bCs/>
                <w:color w:val="FFFFFF" w:themeColor="light1"/>
                <w:kern w:val="24"/>
                <w:szCs w:val="18"/>
                <w:lang w:val="en-US"/>
              </w:rPr>
              <w:t xml:space="preserve"> </w:t>
            </w:r>
            <w:proofErr w:type="spellStart"/>
            <w:r w:rsidR="004A1735">
              <w:rPr>
                <w:rFonts w:ascii="Calibri" w:hAnsi="Calibri" w:cs="Calibri"/>
                <w:b/>
                <w:bCs/>
                <w:color w:val="FFFFFF" w:themeColor="light1"/>
                <w:kern w:val="24"/>
                <w:szCs w:val="18"/>
                <w:lang w:val="en-US"/>
              </w:rPr>
              <w:t>yoy</w:t>
            </w:r>
            <w:proofErr w:type="spellEnd"/>
            <w:r>
              <w:rPr>
                <w:rFonts w:ascii="Calibri" w:hAnsi="Calibri" w:cs="Calibri"/>
                <w:b/>
                <w:bCs/>
                <w:color w:val="FFFFFF" w:themeColor="light1"/>
                <w:kern w:val="24"/>
                <w:szCs w:val="18"/>
                <w:lang w:val="en-US"/>
              </w:rPr>
              <w:t>)</w:t>
            </w:r>
            <w:r w:rsidRPr="007B48F0">
              <w:rPr>
                <w:rFonts w:ascii="Calibri" w:hAnsi="Calibri" w:cs="Calibri"/>
                <w:b/>
                <w:bCs/>
                <w:color w:val="FFFFFF" w:themeColor="light1"/>
                <w:kern w:val="24"/>
                <w:szCs w:val="18"/>
                <w:lang w:val="en-US"/>
              </w:rPr>
              <w:t xml:space="preserve"> </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2D257DD9" w14:textId="5F8A92C5"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3</w:t>
            </w:r>
            <w:r w:rsidR="00810C9A">
              <w:rPr>
                <w:rFonts w:ascii="Calibri" w:hAnsi="Calibri" w:cs="Calibri"/>
                <w:color w:val="1F497D"/>
                <w:sz w:val="20"/>
                <w:lang w:val="en-US"/>
              </w:rPr>
              <w:t>.</w:t>
            </w:r>
            <w:r w:rsidRPr="000607E6">
              <w:rPr>
                <w:rFonts w:ascii="Calibri" w:hAnsi="Calibri" w:cs="Calibri"/>
                <w:color w:val="1F497D"/>
                <w:sz w:val="20"/>
                <w:lang w:val="en-US"/>
              </w:rPr>
              <w:t>4</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259B385" w14:textId="0311EDE1"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w:t>
            </w:r>
            <w:r w:rsidR="00810C9A">
              <w:rPr>
                <w:rFonts w:ascii="Calibri" w:hAnsi="Calibri" w:cs="Calibri"/>
                <w:b/>
                <w:bCs/>
                <w:color w:val="FF0000"/>
                <w:sz w:val="20"/>
                <w:lang w:val="en-US"/>
              </w:rPr>
              <w:t>.</w:t>
            </w:r>
            <w:r w:rsidRPr="000607E6">
              <w:rPr>
                <w:rFonts w:ascii="Calibri" w:hAnsi="Calibri" w:cs="Calibri"/>
                <w:b/>
                <w:bCs/>
                <w:color w:val="FF0000"/>
                <w:sz w:val="20"/>
                <w:lang w:val="en-US"/>
              </w:rPr>
              <w:t>4</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213A5E70" w14:textId="57DA1867"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1</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r>
      <w:tr w:rsidR="00647974" w:rsidRPr="000607E6" w14:paraId="4EA7D3E3" w14:textId="5745A921"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7C130A54" w14:textId="60FC09EB" w:rsidR="00647974" w:rsidRPr="000607E6" w:rsidRDefault="004A1735" w:rsidP="00774549">
            <w:pPr>
              <w:autoSpaceDE/>
              <w:autoSpaceDN/>
              <w:adjustRightInd/>
              <w:textAlignment w:val="auto"/>
              <w:rPr>
                <w:rFonts w:ascii="Calibri" w:hAnsi="Calibri" w:cs="Calibri"/>
                <w:szCs w:val="18"/>
                <w:lang w:val="en-US"/>
              </w:rPr>
            </w:pPr>
            <w:r>
              <w:rPr>
                <w:rFonts w:ascii="Calibri" w:hAnsi="Calibri" w:cs="Calibri"/>
                <w:b/>
                <w:bCs/>
                <w:color w:val="FFFFFF" w:themeColor="light1"/>
                <w:kern w:val="24"/>
                <w:szCs w:val="18"/>
                <w:lang w:val="en-US"/>
              </w:rPr>
              <w:t xml:space="preserve">Fixed </w:t>
            </w:r>
            <w:r w:rsidR="007B48F0" w:rsidRPr="007B48F0">
              <w:rPr>
                <w:rFonts w:ascii="Calibri" w:hAnsi="Calibri" w:cs="Calibri"/>
                <w:b/>
                <w:bCs/>
                <w:color w:val="FFFFFF" w:themeColor="light1"/>
                <w:kern w:val="24"/>
                <w:szCs w:val="18"/>
                <w:lang w:val="en-US"/>
              </w:rPr>
              <w:t xml:space="preserve">Investment </w:t>
            </w:r>
            <w:r w:rsidRPr="000607E6">
              <w:rPr>
                <w:rFonts w:ascii="Calibri" w:hAnsi="Calibri" w:cs="Calibri"/>
                <w:b/>
                <w:bCs/>
                <w:color w:val="FFFFFF" w:themeColor="light1"/>
                <w:kern w:val="24"/>
                <w:szCs w:val="18"/>
                <w:lang w:val="en-US"/>
              </w:rPr>
              <w:t>(%</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sidR="006E008E">
              <w:rPr>
                <w:rFonts w:ascii="Calibri" w:hAnsi="Calibri" w:cs="Calibri"/>
                <w:b/>
                <w:bCs/>
                <w:color w:val="FFFFFF" w:themeColor="light1"/>
                <w:kern w:val="24"/>
                <w:szCs w:val="18"/>
                <w:lang w:val="en-US"/>
              </w:rPr>
              <w:t xml:space="preserve">) </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2F7437F0" w14:textId="0E8C829E"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-7</w:t>
            </w:r>
            <w:r w:rsidR="00810C9A">
              <w:rPr>
                <w:rFonts w:ascii="Calibri" w:hAnsi="Calibri" w:cs="Calibri"/>
                <w:color w:val="1F497D"/>
                <w:sz w:val="20"/>
                <w:lang w:val="en-US"/>
              </w:rPr>
              <w:t>.</w:t>
            </w:r>
            <w:r w:rsidRPr="000607E6">
              <w:rPr>
                <w:rFonts w:ascii="Calibri" w:hAnsi="Calibri" w:cs="Calibri"/>
                <w:color w:val="1F497D"/>
                <w:sz w:val="20"/>
                <w:lang w:val="en-US"/>
              </w:rPr>
              <w:t>2</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892B148" w14:textId="0208AB09"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w:t>
            </w:r>
            <w:r w:rsidR="00810C9A">
              <w:rPr>
                <w:rFonts w:ascii="Calibri" w:hAnsi="Calibri" w:cs="Calibri"/>
                <w:b/>
                <w:bCs/>
                <w:color w:val="FF0000"/>
                <w:sz w:val="20"/>
                <w:lang w:val="en-US"/>
              </w:rPr>
              <w:t>.</w:t>
            </w:r>
            <w:r w:rsidRPr="000607E6">
              <w:rPr>
                <w:rFonts w:ascii="Calibri" w:hAnsi="Calibri" w:cs="Calibri"/>
                <w:b/>
                <w:bCs/>
                <w:color w:val="FF0000"/>
                <w:sz w:val="20"/>
                <w:lang w:val="en-US"/>
              </w:rPr>
              <w:t>4</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26764AE7" w14:textId="1A88FF83"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6</w:t>
            </w:r>
            <w:r w:rsidR="00810C9A">
              <w:rPr>
                <w:rFonts w:ascii="Calibri" w:hAnsi="Calibri" w:cs="Calibri"/>
                <w:b/>
                <w:bCs/>
                <w:color w:val="FF0000"/>
                <w:sz w:val="20"/>
                <w:lang w:val="en-US"/>
              </w:rPr>
              <w:t>.</w:t>
            </w:r>
            <w:r w:rsidRPr="000607E6">
              <w:rPr>
                <w:rFonts w:ascii="Calibri" w:hAnsi="Calibri" w:cs="Calibri"/>
                <w:b/>
                <w:bCs/>
                <w:color w:val="FF0000"/>
                <w:sz w:val="20"/>
                <w:lang w:val="en-US"/>
              </w:rPr>
              <w:t>3</w:t>
            </w:r>
          </w:p>
        </w:tc>
      </w:tr>
      <w:tr w:rsidR="00647974" w:rsidRPr="000607E6" w14:paraId="10E01B12" w14:textId="77777777"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tcPr>
          <w:p w14:paraId="5926DDE6" w14:textId="21479A56" w:rsidR="00647974" w:rsidRPr="000607E6" w:rsidRDefault="004A1735" w:rsidP="00774549">
            <w:pPr>
              <w:autoSpaceDE/>
              <w:autoSpaceDN/>
              <w:adjustRightInd/>
              <w:textAlignment w:val="auto"/>
              <w:rPr>
                <w:rFonts w:ascii="Calibri" w:hAnsi="Calibri" w:cs="Calibri"/>
                <w:b/>
                <w:bCs/>
                <w:color w:val="FFFFFF" w:themeColor="light1"/>
                <w:kern w:val="24"/>
                <w:szCs w:val="18"/>
                <w:lang w:val="en-US"/>
              </w:rPr>
            </w:pPr>
            <w:r>
              <w:rPr>
                <w:rFonts w:ascii="Calibri" w:hAnsi="Calibri" w:cs="Calibri"/>
                <w:b/>
                <w:bCs/>
                <w:color w:val="FFFFFF" w:themeColor="light1"/>
                <w:kern w:val="24"/>
                <w:szCs w:val="18"/>
                <w:lang w:val="en-US"/>
              </w:rPr>
              <w:t>E</w:t>
            </w:r>
            <w:r w:rsidR="007B48F0" w:rsidRPr="007B48F0">
              <w:rPr>
                <w:rFonts w:ascii="Calibri" w:hAnsi="Calibri" w:cs="Calibri"/>
                <w:b/>
                <w:bCs/>
                <w:color w:val="FFFFFF" w:themeColor="light1"/>
                <w:kern w:val="24"/>
                <w:szCs w:val="18"/>
                <w:lang w:val="en-US"/>
              </w:rPr>
              <w:t xml:space="preserve">xports </w:t>
            </w:r>
            <w:r w:rsidRPr="000607E6">
              <w:rPr>
                <w:rFonts w:ascii="Calibri" w:hAnsi="Calibri" w:cs="Calibri"/>
                <w:b/>
                <w:bCs/>
                <w:color w:val="FFFFFF" w:themeColor="light1"/>
                <w:kern w:val="24"/>
                <w:szCs w:val="18"/>
                <w:lang w:val="en-US"/>
              </w:rPr>
              <w:t>(%</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654F6FA" w14:textId="7C50E094"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-7</w:t>
            </w:r>
            <w:r w:rsidR="00810C9A">
              <w:rPr>
                <w:rFonts w:ascii="Calibri" w:hAnsi="Calibri" w:cs="Calibri"/>
                <w:color w:val="1F497D"/>
                <w:sz w:val="20"/>
                <w:lang w:val="en-US"/>
              </w:rPr>
              <w:t>.</w:t>
            </w:r>
            <w:r w:rsidRPr="000607E6">
              <w:rPr>
                <w:rFonts w:ascii="Calibri" w:hAnsi="Calibri" w:cs="Calibri"/>
                <w:color w:val="1F497D"/>
                <w:sz w:val="20"/>
                <w:lang w:val="en-US"/>
              </w:rPr>
              <w:t>0</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5493902A" w14:textId="1FFA5B41"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8</w:t>
            </w:r>
            <w:r w:rsidR="00810C9A">
              <w:rPr>
                <w:rFonts w:ascii="Calibri" w:hAnsi="Calibri" w:cs="Calibri"/>
                <w:b/>
                <w:bCs/>
                <w:color w:val="FF0000"/>
                <w:sz w:val="20"/>
                <w:lang w:val="en-US"/>
              </w:rPr>
              <w:t>.</w:t>
            </w:r>
            <w:r w:rsidRPr="000607E6">
              <w:rPr>
                <w:rFonts w:ascii="Calibri" w:hAnsi="Calibri" w:cs="Calibri"/>
                <w:b/>
                <w:bCs/>
                <w:color w:val="FF0000"/>
                <w:sz w:val="20"/>
                <w:lang w:val="en-US"/>
              </w:rPr>
              <w:t>4</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3C0E6FB4" w14:textId="20473B4B"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6</w:t>
            </w:r>
            <w:r w:rsidR="00810C9A">
              <w:rPr>
                <w:rFonts w:ascii="Calibri" w:hAnsi="Calibri" w:cs="Calibri"/>
                <w:b/>
                <w:bCs/>
                <w:color w:val="FF0000"/>
                <w:sz w:val="20"/>
                <w:lang w:val="en-US"/>
              </w:rPr>
              <w:t>.</w:t>
            </w:r>
            <w:r w:rsidRPr="000607E6">
              <w:rPr>
                <w:rFonts w:ascii="Calibri" w:hAnsi="Calibri" w:cs="Calibri"/>
                <w:b/>
                <w:bCs/>
                <w:color w:val="FF0000"/>
                <w:sz w:val="20"/>
                <w:lang w:val="en-US"/>
              </w:rPr>
              <w:t>5</w:t>
            </w:r>
          </w:p>
        </w:tc>
      </w:tr>
      <w:tr w:rsidR="00647974" w:rsidRPr="000607E6" w14:paraId="630C8A48" w14:textId="77777777"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tcPr>
          <w:p w14:paraId="4D925B36" w14:textId="2472E032" w:rsidR="00647974" w:rsidRPr="000607E6" w:rsidRDefault="004A1735" w:rsidP="00774549">
            <w:pPr>
              <w:autoSpaceDE/>
              <w:autoSpaceDN/>
              <w:adjustRightInd/>
              <w:textAlignment w:val="auto"/>
              <w:rPr>
                <w:rFonts w:ascii="Calibri" w:hAnsi="Calibri" w:cs="Calibri"/>
                <w:b/>
                <w:bCs/>
                <w:color w:val="FFFFFF" w:themeColor="light1"/>
                <w:kern w:val="24"/>
                <w:szCs w:val="18"/>
                <w:lang w:val="en-US"/>
              </w:rPr>
            </w:pPr>
            <w:r>
              <w:rPr>
                <w:rFonts w:ascii="Calibri" w:hAnsi="Calibri" w:cs="Calibri"/>
                <w:b/>
                <w:bCs/>
                <w:color w:val="FFFFFF" w:themeColor="light1"/>
                <w:kern w:val="24"/>
                <w:szCs w:val="18"/>
                <w:lang w:val="en-US"/>
              </w:rPr>
              <w:t>I</w:t>
            </w:r>
            <w:r w:rsidR="007B48F0" w:rsidRPr="00897C57">
              <w:rPr>
                <w:rFonts w:ascii="Calibri" w:hAnsi="Calibri" w:cs="Calibri"/>
                <w:b/>
                <w:bCs/>
                <w:color w:val="FFFFFF" w:themeColor="light1"/>
                <w:kern w:val="24"/>
                <w:szCs w:val="18"/>
                <w:lang w:val="en-US"/>
              </w:rPr>
              <w:t xml:space="preserve">mports </w:t>
            </w:r>
            <w:r w:rsidRPr="000607E6">
              <w:rPr>
                <w:rFonts w:ascii="Calibri" w:hAnsi="Calibri" w:cs="Calibri"/>
                <w:b/>
                <w:bCs/>
                <w:color w:val="FFFFFF" w:themeColor="light1"/>
                <w:kern w:val="24"/>
                <w:szCs w:val="18"/>
                <w:lang w:val="en-US"/>
              </w:rPr>
              <w:t>(%</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sidR="007B48F0" w:rsidRPr="00897C57">
              <w:rPr>
                <w:rFonts w:ascii="Calibri" w:hAnsi="Calibri" w:cs="Calibri"/>
                <w:b/>
                <w:bCs/>
                <w:color w:val="FFFFFF" w:themeColor="light1"/>
                <w:kern w:val="24"/>
                <w:szCs w:val="18"/>
                <w:lang w:val="en-US"/>
              </w:rPr>
              <w:t xml:space="preserve">) </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66286ABA" w14:textId="74D463EB"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-6</w:t>
            </w:r>
            <w:r w:rsidR="00810C9A">
              <w:rPr>
                <w:rFonts w:ascii="Calibri" w:hAnsi="Calibri" w:cs="Calibri"/>
                <w:color w:val="1F497D"/>
                <w:sz w:val="20"/>
                <w:lang w:val="en-US"/>
              </w:rPr>
              <w:t>.</w:t>
            </w:r>
            <w:r w:rsidRPr="000607E6">
              <w:rPr>
                <w:rFonts w:ascii="Calibri" w:hAnsi="Calibri" w:cs="Calibri"/>
                <w:color w:val="1F497D"/>
                <w:sz w:val="20"/>
                <w:lang w:val="en-US"/>
              </w:rPr>
              <w:t>9</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79357BC" w14:textId="0708C1FB"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11</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2A99A2F0" w14:textId="6F3F62D9"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6</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r>
      <w:tr w:rsidR="00647974" w:rsidRPr="000607E6" w14:paraId="6F4CA3D3" w14:textId="232459AF"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7787A8E" w14:textId="032275CC" w:rsidR="00647974" w:rsidRPr="000607E6" w:rsidRDefault="00897C57" w:rsidP="00774549">
            <w:pPr>
              <w:autoSpaceDE/>
              <w:autoSpaceDN/>
              <w:adjustRightInd/>
              <w:textAlignment w:val="auto"/>
              <w:rPr>
                <w:rFonts w:ascii="Calibri" w:hAnsi="Calibri" w:cs="Calibri"/>
                <w:szCs w:val="18"/>
                <w:lang w:val="en-US"/>
              </w:rPr>
            </w:pPr>
            <w:r w:rsidRPr="00897C57">
              <w:rPr>
                <w:rFonts w:ascii="Calibri" w:hAnsi="Calibri" w:cs="Calibri"/>
                <w:b/>
                <w:bCs/>
                <w:color w:val="FFFFFF" w:themeColor="light1"/>
                <w:kern w:val="24"/>
                <w:szCs w:val="18"/>
                <w:lang w:val="en-US"/>
              </w:rPr>
              <w:t>Real GDP growth in the euro area (%</w:t>
            </w:r>
            <w:r w:rsidR="004A1735">
              <w:rPr>
                <w:rFonts w:ascii="Calibri" w:hAnsi="Calibri" w:cs="Calibri"/>
                <w:b/>
                <w:bCs/>
                <w:color w:val="FFFFFF" w:themeColor="light1"/>
                <w:kern w:val="24"/>
                <w:szCs w:val="18"/>
                <w:lang w:val="en-US"/>
              </w:rPr>
              <w:t xml:space="preserve"> </w:t>
            </w:r>
            <w:proofErr w:type="spellStart"/>
            <w:r w:rsidR="004A1735">
              <w:rPr>
                <w:rFonts w:ascii="Calibri" w:hAnsi="Calibri" w:cs="Calibri"/>
                <w:b/>
                <w:bCs/>
                <w:color w:val="FFFFFF" w:themeColor="light1"/>
                <w:kern w:val="24"/>
                <w:szCs w:val="18"/>
                <w:lang w:val="en-US"/>
              </w:rPr>
              <w:t>yoy</w:t>
            </w:r>
            <w:proofErr w:type="spellEnd"/>
            <w:r w:rsidRPr="00897C57">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689801DE" w14:textId="7E3FB057"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6365C"/>
                <w:sz w:val="20"/>
                <w:lang w:val="en-US"/>
              </w:rPr>
              <w:t>-6</w:t>
            </w:r>
            <w:r w:rsidR="00810C9A">
              <w:rPr>
                <w:rFonts w:ascii="Calibri" w:hAnsi="Calibri" w:cs="Calibri"/>
                <w:color w:val="16365C"/>
                <w:sz w:val="20"/>
                <w:lang w:val="en-US"/>
              </w:rPr>
              <w:t>.</w:t>
            </w:r>
            <w:r w:rsidRPr="000607E6">
              <w:rPr>
                <w:rFonts w:ascii="Calibri" w:hAnsi="Calibri" w:cs="Calibri"/>
                <w:color w:val="16365C"/>
                <w:sz w:val="20"/>
                <w:lang w:val="en-US"/>
              </w:rPr>
              <w:t>9</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2A8C9C15" w14:textId="468384F6"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5</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44915947" w14:textId="5127095A"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r>
      <w:tr w:rsidR="00647974" w:rsidRPr="000607E6" w14:paraId="60142AA4" w14:textId="171AD64E"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6A35B974" w14:textId="366606D9" w:rsidR="00647974" w:rsidRPr="000607E6" w:rsidRDefault="00897C57" w:rsidP="00774549">
            <w:pPr>
              <w:autoSpaceDE/>
              <w:autoSpaceDN/>
              <w:adjustRightInd/>
              <w:textAlignment w:val="auto"/>
              <w:rPr>
                <w:rFonts w:ascii="Calibri" w:hAnsi="Calibri" w:cs="Calibri"/>
                <w:szCs w:val="18"/>
                <w:lang w:val="en-US"/>
              </w:rPr>
            </w:pPr>
            <w:r w:rsidRPr="00897C57">
              <w:rPr>
                <w:rFonts w:ascii="Calibri" w:hAnsi="Calibri" w:cs="Calibri"/>
                <w:b/>
                <w:bCs/>
                <w:color w:val="FFFFFF" w:themeColor="light1"/>
                <w:kern w:val="24"/>
                <w:szCs w:val="18"/>
                <w:lang w:val="en-US"/>
              </w:rPr>
              <w:t>CZK/EUR exchange rate</w:t>
            </w:r>
            <w:r w:rsidR="00BF410B">
              <w:rPr>
                <w:rFonts w:ascii="Calibri" w:hAnsi="Calibri" w:cs="Calibri"/>
                <w:b/>
                <w:bCs/>
                <w:color w:val="FFFFFF" w:themeColor="light1"/>
                <w:kern w:val="24"/>
                <w:szCs w:val="18"/>
                <w:lang w:val="en-US"/>
              </w:rPr>
              <w:t xml:space="preserve"> (average)</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0C226044" w14:textId="2014822A"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26</w:t>
            </w:r>
            <w:r w:rsidR="00810C9A">
              <w:rPr>
                <w:rFonts w:ascii="Calibri" w:hAnsi="Calibri" w:cs="Calibri"/>
                <w:color w:val="1F497D"/>
                <w:sz w:val="20"/>
                <w:lang w:val="en-US"/>
              </w:rPr>
              <w:t>.</w:t>
            </w:r>
            <w:r w:rsidRPr="000607E6">
              <w:rPr>
                <w:rFonts w:ascii="Calibri" w:hAnsi="Calibri" w:cs="Calibri"/>
                <w:color w:val="1F497D"/>
                <w:sz w:val="20"/>
                <w:lang w:val="en-US"/>
              </w:rPr>
              <w:t>5</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DD3C408" w14:textId="15F1094C"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25</w:t>
            </w:r>
            <w:r w:rsidR="00810C9A">
              <w:rPr>
                <w:rFonts w:ascii="Calibri" w:hAnsi="Calibri" w:cs="Calibri"/>
                <w:b/>
                <w:bCs/>
                <w:color w:val="FF0000"/>
                <w:sz w:val="20"/>
                <w:lang w:val="en-US"/>
              </w:rPr>
              <w:t>.</w:t>
            </w:r>
            <w:r w:rsidRPr="000607E6">
              <w:rPr>
                <w:rFonts w:ascii="Calibri" w:hAnsi="Calibri" w:cs="Calibri"/>
                <w:b/>
                <w:bCs/>
                <w:color w:val="FF0000"/>
                <w:sz w:val="20"/>
                <w:lang w:val="en-US"/>
              </w:rPr>
              <w:t>6</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7B9C3C2F" w14:textId="6DC5EB24"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24</w:t>
            </w:r>
            <w:r w:rsidR="00810C9A">
              <w:rPr>
                <w:rFonts w:ascii="Calibri" w:hAnsi="Calibri" w:cs="Calibri"/>
                <w:b/>
                <w:bCs/>
                <w:color w:val="FF0000"/>
                <w:sz w:val="20"/>
                <w:lang w:val="en-US"/>
              </w:rPr>
              <w:t>.</w:t>
            </w:r>
            <w:r w:rsidRPr="000607E6">
              <w:rPr>
                <w:rFonts w:ascii="Calibri" w:hAnsi="Calibri" w:cs="Calibri"/>
                <w:b/>
                <w:bCs/>
                <w:color w:val="FF0000"/>
                <w:sz w:val="20"/>
                <w:lang w:val="en-US"/>
              </w:rPr>
              <w:t>9</w:t>
            </w:r>
          </w:p>
        </w:tc>
      </w:tr>
      <w:tr w:rsidR="00647974" w:rsidRPr="000607E6" w14:paraId="5A0AEB3B" w14:textId="77777777"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tcPr>
          <w:p w14:paraId="55D98831" w14:textId="517952B0" w:rsidR="00647974" w:rsidRPr="000607E6" w:rsidRDefault="00647974" w:rsidP="00774549">
            <w:pPr>
              <w:autoSpaceDE/>
              <w:autoSpaceDN/>
              <w:adjustRightInd/>
              <w:textAlignment w:val="auto"/>
              <w:rPr>
                <w:rFonts w:ascii="Calibri" w:hAnsi="Calibri" w:cs="Calibri"/>
                <w:b/>
                <w:bCs/>
                <w:color w:val="FFFFFF" w:themeColor="light1"/>
                <w:kern w:val="24"/>
                <w:szCs w:val="18"/>
                <w:lang w:val="en-US"/>
              </w:rPr>
            </w:pPr>
            <w:r w:rsidRPr="000607E6">
              <w:rPr>
                <w:rFonts w:ascii="Calibri" w:hAnsi="Calibri" w:cs="Calibri"/>
                <w:b/>
                <w:bCs/>
                <w:color w:val="FFFFFF" w:themeColor="light1"/>
                <w:kern w:val="24"/>
                <w:szCs w:val="18"/>
                <w:lang w:val="en-US"/>
              </w:rPr>
              <w:t>CZK/EUR</w:t>
            </w:r>
            <w:r w:rsidR="00897C57">
              <w:rPr>
                <w:rFonts w:ascii="Calibri" w:hAnsi="Calibri" w:cs="Calibri"/>
                <w:b/>
                <w:bCs/>
                <w:color w:val="FFFFFF" w:themeColor="light1"/>
                <w:kern w:val="24"/>
                <w:szCs w:val="18"/>
                <w:lang w:val="en-US"/>
              </w:rPr>
              <w:t xml:space="preserve"> exchange rate</w:t>
            </w:r>
            <w:r w:rsidR="00BF410B">
              <w:rPr>
                <w:rFonts w:ascii="Calibri" w:hAnsi="Calibri" w:cs="Calibri"/>
                <w:b/>
                <w:bCs/>
                <w:color w:val="FFFFFF" w:themeColor="light1"/>
                <w:kern w:val="24"/>
                <w:szCs w:val="18"/>
                <w:lang w:val="en-US"/>
              </w:rPr>
              <w:t xml:space="preserve"> (end of period)</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54AA542" w14:textId="4D9227F5"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26</w:t>
            </w:r>
            <w:r w:rsidR="00810C9A">
              <w:rPr>
                <w:rFonts w:ascii="Calibri" w:hAnsi="Calibri" w:cs="Calibri"/>
                <w:color w:val="1F497D"/>
                <w:sz w:val="20"/>
                <w:lang w:val="en-US"/>
              </w:rPr>
              <w:t>.</w:t>
            </w:r>
            <w:r w:rsidRPr="000607E6">
              <w:rPr>
                <w:rFonts w:ascii="Calibri" w:hAnsi="Calibri" w:cs="Calibri"/>
                <w:color w:val="1F497D"/>
                <w:sz w:val="20"/>
                <w:lang w:val="en-US"/>
              </w:rPr>
              <w:t>2</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6BB28634" w14:textId="3FF7752F"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25</w:t>
            </w:r>
            <w:r w:rsidR="00810C9A">
              <w:rPr>
                <w:rFonts w:ascii="Calibri" w:hAnsi="Calibri" w:cs="Calibri"/>
                <w:b/>
                <w:bCs/>
                <w:color w:val="FF0000"/>
                <w:sz w:val="20"/>
                <w:lang w:val="en-US"/>
              </w:rPr>
              <w:t>.</w:t>
            </w:r>
            <w:r w:rsidRPr="000607E6">
              <w:rPr>
                <w:rFonts w:ascii="Calibri" w:hAnsi="Calibri" w:cs="Calibri"/>
                <w:b/>
                <w:bCs/>
                <w:color w:val="FF0000"/>
                <w:sz w:val="20"/>
                <w:lang w:val="en-US"/>
              </w:rPr>
              <w:t>2</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3AD35FB1" w14:textId="194FA64E"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24</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r>
      <w:tr w:rsidR="00647974" w:rsidRPr="000607E6" w14:paraId="445C4C94" w14:textId="33BDCCB6"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00B4B737" w14:textId="189DA382" w:rsidR="00647974" w:rsidRPr="00897C57" w:rsidRDefault="00897C57" w:rsidP="00774549">
            <w:pPr>
              <w:autoSpaceDE/>
              <w:autoSpaceDN/>
              <w:adjustRightInd/>
              <w:textAlignment w:val="auto"/>
              <w:rPr>
                <w:rFonts w:ascii="Calibri" w:hAnsi="Calibri" w:cs="Calibri"/>
                <w:szCs w:val="18"/>
                <w:lang w:val="en-GB"/>
              </w:rPr>
            </w:pPr>
            <w:r w:rsidRPr="00897C57">
              <w:rPr>
                <w:rFonts w:ascii="Calibri" w:hAnsi="Calibri" w:cs="Calibri"/>
                <w:b/>
                <w:bCs/>
                <w:color w:val="FFFFFF" w:themeColor="light1"/>
                <w:kern w:val="24"/>
                <w:szCs w:val="18"/>
                <w:lang w:val="en-GB"/>
              </w:rPr>
              <w:t>Price of oil (USD per barrel): BRENT average</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0DA44B85" w14:textId="1B71EBFA"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43</w:t>
            </w:r>
            <w:r w:rsidR="00810C9A">
              <w:rPr>
                <w:rFonts w:ascii="Calibri" w:hAnsi="Calibri" w:cs="Calibri"/>
                <w:color w:val="1F497D"/>
                <w:sz w:val="20"/>
                <w:lang w:val="en-US"/>
              </w:rPr>
              <w:t>.</w:t>
            </w:r>
            <w:r w:rsidRPr="000607E6">
              <w:rPr>
                <w:rFonts w:ascii="Calibri" w:hAnsi="Calibri" w:cs="Calibri"/>
                <w:color w:val="1F497D"/>
                <w:sz w:val="20"/>
                <w:lang w:val="en-US"/>
              </w:rPr>
              <w:t>0</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72F1E147" w14:textId="69A3841C"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71</w:t>
            </w:r>
            <w:r w:rsidR="00810C9A">
              <w:rPr>
                <w:rFonts w:ascii="Calibri" w:hAnsi="Calibri" w:cs="Calibri"/>
                <w:b/>
                <w:bCs/>
                <w:color w:val="FF0000"/>
                <w:sz w:val="20"/>
                <w:lang w:val="en-US"/>
              </w:rPr>
              <w:t>.</w:t>
            </w:r>
            <w:r w:rsidRPr="000607E6">
              <w:rPr>
                <w:rFonts w:ascii="Calibri" w:hAnsi="Calibri" w:cs="Calibri"/>
                <w:b/>
                <w:bCs/>
                <w:color w:val="FF0000"/>
                <w:sz w:val="20"/>
                <w:lang w:val="en-US"/>
              </w:rPr>
              <w:t>1</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136342DA" w14:textId="1EC33A6B"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73</w:t>
            </w:r>
            <w:r w:rsidR="00810C9A">
              <w:rPr>
                <w:rFonts w:ascii="Calibri" w:hAnsi="Calibri" w:cs="Calibri"/>
                <w:b/>
                <w:bCs/>
                <w:color w:val="FF0000"/>
                <w:sz w:val="20"/>
                <w:lang w:val="en-US"/>
              </w:rPr>
              <w:t>.</w:t>
            </w:r>
            <w:r w:rsidRPr="000607E6">
              <w:rPr>
                <w:rFonts w:ascii="Calibri" w:hAnsi="Calibri" w:cs="Calibri"/>
                <w:b/>
                <w:bCs/>
                <w:color w:val="FF0000"/>
                <w:sz w:val="20"/>
                <w:lang w:val="en-US"/>
              </w:rPr>
              <w:t>5</w:t>
            </w:r>
          </w:p>
        </w:tc>
      </w:tr>
      <w:tr w:rsidR="00647974" w:rsidRPr="000607E6" w14:paraId="23861021" w14:textId="62086BC7"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23F29BAA" w14:textId="5BF11941" w:rsidR="00647974" w:rsidRPr="000607E6" w:rsidRDefault="00897C57" w:rsidP="00774549">
            <w:pPr>
              <w:autoSpaceDE/>
              <w:autoSpaceDN/>
              <w:adjustRightInd/>
              <w:textAlignment w:val="auto"/>
              <w:rPr>
                <w:rFonts w:ascii="Calibri" w:hAnsi="Calibri" w:cs="Calibri"/>
                <w:szCs w:val="18"/>
                <w:lang w:val="en-US"/>
              </w:rPr>
            </w:pPr>
            <w:r w:rsidRPr="00897C57">
              <w:rPr>
                <w:rFonts w:ascii="Calibri" w:hAnsi="Calibri" w:cs="Calibri"/>
                <w:b/>
                <w:bCs/>
                <w:color w:val="FFFFFF" w:themeColor="light1"/>
                <w:kern w:val="24"/>
                <w:szCs w:val="18"/>
                <w:lang w:val="en-US"/>
              </w:rPr>
              <w:t>CNB 2T REPO rate (%</w:t>
            </w:r>
            <w:r w:rsidR="00BF410B">
              <w:rPr>
                <w:rFonts w:ascii="Calibri" w:hAnsi="Calibri" w:cs="Calibri"/>
                <w:b/>
                <w:bCs/>
                <w:color w:val="FFFFFF" w:themeColor="light1"/>
                <w:kern w:val="24"/>
                <w:szCs w:val="18"/>
                <w:lang w:val="en-US"/>
              </w:rPr>
              <w:t xml:space="preserve">, </w:t>
            </w:r>
            <w:r w:rsidR="00BF410B" w:rsidRPr="00897C57">
              <w:rPr>
                <w:rFonts w:ascii="Calibri" w:hAnsi="Calibri" w:cs="Calibri"/>
                <w:b/>
                <w:bCs/>
                <w:color w:val="FFFFFF" w:themeColor="light1"/>
                <w:kern w:val="24"/>
                <w:szCs w:val="18"/>
                <w:lang w:val="en-US"/>
              </w:rPr>
              <w:t>end of period</w:t>
            </w:r>
            <w:r w:rsidRPr="00897C57">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209D982A" w14:textId="49D1A3E1"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0</w:t>
            </w:r>
            <w:r w:rsidR="00810C9A">
              <w:rPr>
                <w:rFonts w:ascii="Calibri" w:hAnsi="Calibri" w:cs="Calibri"/>
                <w:color w:val="1F497D"/>
                <w:sz w:val="20"/>
                <w:lang w:val="en-US"/>
              </w:rPr>
              <w:t>.</w:t>
            </w:r>
            <w:r w:rsidRPr="000607E6">
              <w:rPr>
                <w:rFonts w:ascii="Calibri" w:hAnsi="Calibri" w:cs="Calibri"/>
                <w:color w:val="1F497D"/>
                <w:sz w:val="20"/>
                <w:lang w:val="en-US"/>
              </w:rPr>
              <w:t>25</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58E35022" w14:textId="3E2D144C"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25</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781B8F2D" w14:textId="11A72481"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38</w:t>
            </w:r>
          </w:p>
        </w:tc>
      </w:tr>
      <w:tr w:rsidR="00647974" w:rsidRPr="000607E6" w14:paraId="32A294F8" w14:textId="5450A20A"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69258B6A" w14:textId="4D13B287" w:rsidR="00647974" w:rsidRPr="000607E6" w:rsidRDefault="00897C57" w:rsidP="00774549">
            <w:pPr>
              <w:autoSpaceDE/>
              <w:autoSpaceDN/>
              <w:adjustRightInd/>
              <w:textAlignment w:val="auto"/>
              <w:rPr>
                <w:rFonts w:ascii="Calibri" w:hAnsi="Calibri" w:cs="Calibri"/>
                <w:szCs w:val="18"/>
                <w:lang w:val="en-US"/>
              </w:rPr>
            </w:pPr>
            <w:r w:rsidRPr="00897C57">
              <w:rPr>
                <w:rFonts w:ascii="Calibri" w:hAnsi="Calibri" w:cs="Calibri"/>
                <w:b/>
                <w:bCs/>
                <w:color w:val="FFFFFF" w:themeColor="light1"/>
                <w:kern w:val="24"/>
                <w:szCs w:val="18"/>
                <w:lang w:val="en-GB"/>
              </w:rPr>
              <w:t xml:space="preserve">ECB </w:t>
            </w:r>
            <w:r w:rsidR="00BF410B">
              <w:rPr>
                <w:rFonts w:ascii="Calibri" w:hAnsi="Calibri" w:cs="Calibri"/>
                <w:b/>
                <w:bCs/>
                <w:color w:val="FFFFFF" w:themeColor="light1"/>
                <w:kern w:val="24"/>
                <w:szCs w:val="18"/>
                <w:lang w:val="en-GB"/>
              </w:rPr>
              <w:t>main</w:t>
            </w:r>
            <w:r w:rsidRPr="00897C57">
              <w:rPr>
                <w:rFonts w:ascii="Calibri" w:hAnsi="Calibri" w:cs="Calibri"/>
                <w:b/>
                <w:bCs/>
                <w:color w:val="FFFFFF" w:themeColor="light1"/>
                <w:kern w:val="24"/>
                <w:szCs w:val="18"/>
                <w:lang w:val="en-GB"/>
              </w:rPr>
              <w:t xml:space="preserve"> rate (%</w:t>
            </w:r>
            <w:r w:rsidR="00BF410B">
              <w:rPr>
                <w:rFonts w:ascii="Calibri" w:hAnsi="Calibri" w:cs="Calibri"/>
                <w:b/>
                <w:bCs/>
                <w:color w:val="FFFFFF" w:themeColor="light1"/>
                <w:kern w:val="24"/>
                <w:szCs w:val="18"/>
                <w:lang w:val="en-GB"/>
              </w:rPr>
              <w:t xml:space="preserve">, </w:t>
            </w:r>
            <w:r w:rsidR="00BF410B" w:rsidRPr="00897C57">
              <w:rPr>
                <w:rFonts w:ascii="Calibri" w:hAnsi="Calibri" w:cs="Calibri"/>
                <w:b/>
                <w:bCs/>
                <w:color w:val="FFFFFF" w:themeColor="light1"/>
                <w:kern w:val="24"/>
                <w:szCs w:val="18"/>
                <w:lang w:val="en-GB"/>
              </w:rPr>
              <w:t>end of period</w:t>
            </w:r>
            <w:r w:rsidRPr="00897C57">
              <w:rPr>
                <w:rFonts w:ascii="Calibri" w:hAnsi="Calibri" w:cs="Calibri"/>
                <w:b/>
                <w:bCs/>
                <w:color w:val="FFFFFF" w:themeColor="light1"/>
                <w:kern w:val="24"/>
                <w:szCs w:val="18"/>
                <w:lang w:val="en-GB"/>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956D446" w14:textId="5501042C" w:rsidR="00647974" w:rsidRPr="000607E6" w:rsidRDefault="00647974" w:rsidP="004A1735">
            <w:pPr>
              <w:overflowPunct/>
              <w:autoSpaceDE/>
              <w:autoSpaceDN/>
              <w:adjustRightInd/>
              <w:jc w:val="center"/>
              <w:textAlignment w:val="bottom"/>
              <w:rPr>
                <w:rFonts w:ascii="Calibri" w:eastAsia="PMingLiU" w:hAnsi="Calibri" w:cs="Calibri"/>
                <w:b/>
                <w:bCs/>
                <w:kern w:val="24"/>
                <w:szCs w:val="18"/>
                <w:lang w:val="en-US"/>
              </w:rPr>
            </w:pPr>
            <w:r w:rsidRPr="000607E6">
              <w:rPr>
                <w:rFonts w:ascii="Calibri" w:hAnsi="Calibri" w:cs="Calibri"/>
                <w:color w:val="1F497D"/>
                <w:sz w:val="20"/>
                <w:lang w:val="en-US"/>
              </w:rPr>
              <w:t>0</w:t>
            </w:r>
            <w:r w:rsidR="00810C9A">
              <w:rPr>
                <w:rFonts w:ascii="Calibri" w:hAnsi="Calibri" w:cs="Calibri"/>
                <w:color w:val="1F497D"/>
                <w:sz w:val="20"/>
                <w:lang w:val="en-US"/>
              </w:rPr>
              <w:t>.</w:t>
            </w:r>
            <w:r w:rsidRPr="000607E6">
              <w:rPr>
                <w:rFonts w:ascii="Calibri" w:hAnsi="Calibri" w:cs="Calibri"/>
                <w:color w:val="1F497D"/>
                <w:sz w:val="20"/>
                <w:lang w:val="en-US"/>
              </w:rPr>
              <w:t>0</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531A4A56" w14:textId="501E462A"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0</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34653AAA" w14:textId="466E5B4D"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0</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r>
      <w:tr w:rsidR="00647974" w:rsidRPr="000607E6" w14:paraId="72155F13" w14:textId="2A886E37"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2239ABC3" w14:textId="6834BF23" w:rsidR="00647974" w:rsidRPr="000607E6" w:rsidRDefault="00647974" w:rsidP="00774549">
            <w:pPr>
              <w:autoSpaceDE/>
              <w:autoSpaceDN/>
              <w:adjustRightInd/>
              <w:textAlignment w:val="auto"/>
              <w:rPr>
                <w:rFonts w:ascii="Calibri" w:hAnsi="Calibri" w:cs="Calibri"/>
                <w:szCs w:val="18"/>
                <w:lang w:val="en-US"/>
              </w:rPr>
            </w:pPr>
            <w:r w:rsidRPr="000607E6">
              <w:rPr>
                <w:rFonts w:ascii="Calibri" w:hAnsi="Calibri" w:cs="Calibri"/>
                <w:b/>
                <w:bCs/>
                <w:color w:val="FFFFFF" w:themeColor="light1"/>
                <w:kern w:val="24"/>
                <w:szCs w:val="18"/>
                <w:lang w:val="en-US"/>
              </w:rPr>
              <w:t>3M-PRIBOR (%</w:t>
            </w:r>
            <w:r w:rsidR="00BF410B">
              <w:rPr>
                <w:rFonts w:ascii="Calibri" w:hAnsi="Calibri" w:cs="Calibri"/>
                <w:b/>
                <w:bCs/>
                <w:color w:val="FFFFFF" w:themeColor="light1"/>
                <w:kern w:val="24"/>
                <w:szCs w:val="18"/>
                <w:lang w:val="en-US"/>
              </w:rPr>
              <w:t>, average</w:t>
            </w:r>
            <w:r w:rsidRPr="000607E6">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CB373A3" w14:textId="3E998FB3"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0</w:t>
            </w:r>
            <w:r w:rsidR="00810C9A">
              <w:rPr>
                <w:rFonts w:ascii="Calibri" w:hAnsi="Calibri" w:cs="Calibri"/>
                <w:color w:val="1F497D"/>
                <w:sz w:val="20"/>
                <w:lang w:val="en-US"/>
              </w:rPr>
              <w:t>.</w:t>
            </w:r>
            <w:r w:rsidRPr="000607E6">
              <w:rPr>
                <w:rFonts w:ascii="Calibri" w:hAnsi="Calibri" w:cs="Calibri"/>
                <w:color w:val="1F497D"/>
                <w:sz w:val="20"/>
                <w:lang w:val="en-US"/>
              </w:rPr>
              <w:t>86</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4B680F07" w14:textId="0F07FE92"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1</w:t>
            </w:r>
            <w:r w:rsidR="00810C9A">
              <w:rPr>
                <w:rFonts w:ascii="Calibri" w:hAnsi="Calibri" w:cs="Calibri"/>
                <w:b/>
                <w:bCs/>
                <w:color w:val="FF0000"/>
                <w:sz w:val="20"/>
                <w:lang w:val="en-US"/>
              </w:rPr>
              <w:t>.</w:t>
            </w:r>
            <w:r w:rsidRPr="000607E6">
              <w:rPr>
                <w:rFonts w:ascii="Calibri" w:hAnsi="Calibri" w:cs="Calibri"/>
                <w:b/>
                <w:bCs/>
                <w:color w:val="FF0000"/>
                <w:sz w:val="20"/>
                <w:lang w:val="en-US"/>
              </w:rPr>
              <w:t>14</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4EF90161" w14:textId="4E07908A"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3</w:t>
            </w:r>
            <w:r w:rsidR="00810C9A">
              <w:rPr>
                <w:rFonts w:ascii="Calibri" w:hAnsi="Calibri" w:cs="Calibri"/>
                <w:b/>
                <w:bCs/>
                <w:color w:val="FF0000"/>
                <w:sz w:val="20"/>
                <w:lang w:val="en-US"/>
              </w:rPr>
              <w:t>.</w:t>
            </w:r>
            <w:r w:rsidRPr="000607E6">
              <w:rPr>
                <w:rFonts w:ascii="Calibri" w:hAnsi="Calibri" w:cs="Calibri"/>
                <w:b/>
                <w:bCs/>
                <w:color w:val="FF0000"/>
                <w:sz w:val="20"/>
                <w:lang w:val="en-US"/>
              </w:rPr>
              <w:t>40</w:t>
            </w:r>
          </w:p>
        </w:tc>
      </w:tr>
      <w:tr w:rsidR="00647974" w:rsidRPr="000607E6" w14:paraId="50544107" w14:textId="41B6D86E"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38ED4C72" w14:textId="6D8068DE" w:rsidR="00BF410B" w:rsidRPr="00897C57" w:rsidRDefault="004A1735" w:rsidP="00774549">
            <w:pPr>
              <w:autoSpaceDE/>
              <w:autoSpaceDN/>
              <w:adjustRightInd/>
              <w:textAlignment w:val="auto"/>
              <w:rPr>
                <w:rFonts w:ascii="Calibri" w:hAnsi="Calibri" w:cs="Calibri"/>
                <w:b/>
                <w:bCs/>
                <w:color w:val="FFFFFF" w:themeColor="light1"/>
                <w:kern w:val="24"/>
                <w:szCs w:val="18"/>
                <w:lang w:val="en-US"/>
              </w:rPr>
            </w:pPr>
            <w:r>
              <w:rPr>
                <w:rFonts w:ascii="Calibri" w:hAnsi="Calibri" w:cs="Calibri"/>
                <w:b/>
                <w:bCs/>
                <w:color w:val="FFFFFF" w:themeColor="light1"/>
                <w:kern w:val="24"/>
                <w:szCs w:val="18"/>
                <w:lang w:val="en-US"/>
              </w:rPr>
              <w:lastRenderedPageBreak/>
              <w:t>B</w:t>
            </w:r>
            <w:r w:rsidR="00897C57" w:rsidRPr="00897C57">
              <w:rPr>
                <w:rFonts w:ascii="Calibri" w:hAnsi="Calibri" w:cs="Calibri"/>
                <w:b/>
                <w:bCs/>
                <w:color w:val="FFFFFF" w:themeColor="light1"/>
                <w:kern w:val="24"/>
                <w:szCs w:val="18"/>
                <w:lang w:val="en-US"/>
              </w:rPr>
              <w:t>ank loans to clients (%</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sidR="00BF410B">
              <w:rPr>
                <w:rFonts w:ascii="Calibri" w:hAnsi="Calibri" w:cs="Calibri"/>
                <w:b/>
                <w:bCs/>
                <w:color w:val="FFFFFF" w:themeColor="light1"/>
                <w:kern w:val="24"/>
                <w:szCs w:val="18"/>
                <w:lang w:val="en-US"/>
              </w:rPr>
              <w:t>, average</w:t>
            </w:r>
            <w:r w:rsidR="00897C57" w:rsidRPr="00897C57">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7CE019AA" w14:textId="3A11B879" w:rsidR="00647974" w:rsidRPr="000607E6" w:rsidRDefault="00647974" w:rsidP="004A1735">
            <w:pPr>
              <w:jc w:val="center"/>
              <w:rPr>
                <w:rFonts w:ascii="Calibri" w:hAnsi="Calibri" w:cs="Calibri"/>
                <w:b/>
                <w:bCs/>
                <w:sz w:val="22"/>
                <w:szCs w:val="22"/>
                <w:lang w:val="en-US"/>
              </w:rPr>
            </w:pPr>
            <w:r w:rsidRPr="000607E6">
              <w:rPr>
                <w:rFonts w:ascii="Calibri" w:hAnsi="Calibri" w:cs="Calibri"/>
                <w:color w:val="1F497D"/>
                <w:sz w:val="20"/>
                <w:lang w:val="en-US"/>
              </w:rPr>
              <w:t>4</w:t>
            </w:r>
            <w:r w:rsidR="00810C9A">
              <w:rPr>
                <w:rFonts w:ascii="Calibri" w:hAnsi="Calibri" w:cs="Calibri"/>
                <w:color w:val="1F497D"/>
                <w:sz w:val="20"/>
                <w:lang w:val="en-US"/>
              </w:rPr>
              <w:t>.</w:t>
            </w:r>
            <w:r w:rsidRPr="000607E6">
              <w:rPr>
                <w:rFonts w:ascii="Calibri" w:hAnsi="Calibri" w:cs="Calibri"/>
                <w:color w:val="1F497D"/>
                <w:sz w:val="20"/>
                <w:lang w:val="en-US"/>
              </w:rPr>
              <w:t>9</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3C457989" w14:textId="042242C4"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w:t>
            </w:r>
            <w:r w:rsidR="00810C9A">
              <w:rPr>
                <w:rFonts w:ascii="Calibri" w:hAnsi="Calibri" w:cs="Calibri"/>
                <w:b/>
                <w:bCs/>
                <w:color w:val="FF0000"/>
                <w:sz w:val="20"/>
                <w:lang w:val="en-US"/>
              </w:rPr>
              <w:t>.</w:t>
            </w:r>
            <w:r w:rsidRPr="000607E6">
              <w:rPr>
                <w:rFonts w:ascii="Calibri" w:hAnsi="Calibri" w:cs="Calibri"/>
                <w:b/>
                <w:bCs/>
                <w:color w:val="FF0000"/>
                <w:sz w:val="20"/>
                <w:lang w:val="en-US"/>
              </w:rPr>
              <w:t>9</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1E99C6E9" w14:textId="019E2B29" w:rsidR="00647974" w:rsidRPr="000607E6" w:rsidRDefault="00647974" w:rsidP="004A1735">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5</w:t>
            </w:r>
            <w:r w:rsidR="00810C9A">
              <w:rPr>
                <w:rFonts w:ascii="Calibri" w:hAnsi="Calibri" w:cs="Calibri"/>
                <w:b/>
                <w:bCs/>
                <w:color w:val="FF0000"/>
                <w:sz w:val="20"/>
                <w:lang w:val="en-US"/>
              </w:rPr>
              <w:t>.</w:t>
            </w:r>
            <w:r w:rsidRPr="000607E6">
              <w:rPr>
                <w:rFonts w:ascii="Calibri" w:hAnsi="Calibri" w:cs="Calibri"/>
                <w:b/>
                <w:bCs/>
                <w:color w:val="FF0000"/>
                <w:sz w:val="20"/>
                <w:lang w:val="en-US"/>
              </w:rPr>
              <w:t>1</w:t>
            </w:r>
          </w:p>
        </w:tc>
      </w:tr>
      <w:tr w:rsidR="00647974" w:rsidRPr="000607E6" w14:paraId="32076E5F" w14:textId="0C708F0C" w:rsidTr="007B5D5A">
        <w:trPr>
          <w:trHeight w:val="89"/>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4B4F9597" w14:textId="40C36787" w:rsidR="00647974" w:rsidRPr="00897C57" w:rsidRDefault="00BF410B" w:rsidP="00774549">
            <w:pPr>
              <w:autoSpaceDE/>
              <w:autoSpaceDN/>
              <w:adjustRightInd/>
              <w:textAlignment w:val="auto"/>
              <w:rPr>
                <w:rFonts w:ascii="Calibri" w:hAnsi="Calibri" w:cs="Calibri"/>
                <w:b/>
                <w:bCs/>
                <w:color w:val="FFFFFF" w:themeColor="light1"/>
                <w:kern w:val="24"/>
                <w:szCs w:val="18"/>
                <w:lang w:val="en-US"/>
              </w:rPr>
            </w:pPr>
            <w:r>
              <w:rPr>
                <w:rFonts w:ascii="Calibri" w:hAnsi="Calibri" w:cs="Calibri"/>
                <w:b/>
                <w:bCs/>
                <w:color w:val="FFFFFF" w:themeColor="light1"/>
                <w:kern w:val="24"/>
                <w:szCs w:val="18"/>
                <w:lang w:val="en-US"/>
              </w:rPr>
              <w:t>B</w:t>
            </w:r>
            <w:r w:rsidR="00897C57" w:rsidRPr="00897C57">
              <w:rPr>
                <w:rFonts w:ascii="Calibri" w:hAnsi="Calibri" w:cs="Calibri"/>
                <w:b/>
                <w:bCs/>
                <w:color w:val="FFFFFF" w:themeColor="light1"/>
                <w:kern w:val="24"/>
                <w:szCs w:val="18"/>
                <w:lang w:val="en-US"/>
              </w:rPr>
              <w:t xml:space="preserve">ank loans to households </w:t>
            </w:r>
            <w:r w:rsidRPr="00897C57">
              <w:rPr>
                <w:rFonts w:ascii="Calibri" w:hAnsi="Calibri" w:cs="Calibri"/>
                <w:b/>
                <w:bCs/>
                <w:color w:val="FFFFFF" w:themeColor="light1"/>
                <w:kern w:val="24"/>
                <w:szCs w:val="18"/>
                <w:lang w:val="en-US"/>
              </w:rPr>
              <w:t xml:space="preserve"> (%</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Pr>
                <w:rFonts w:ascii="Calibri" w:hAnsi="Calibri" w:cs="Calibri"/>
                <w:b/>
                <w:bCs/>
                <w:color w:val="FFFFFF" w:themeColor="light1"/>
                <w:kern w:val="24"/>
                <w:szCs w:val="18"/>
                <w:lang w:val="en-US"/>
              </w:rPr>
              <w:t>, average</w:t>
            </w:r>
            <w:r w:rsidRPr="00897C57">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48369240" w14:textId="5C9C0D10" w:rsidR="00647974" w:rsidRPr="000607E6" w:rsidRDefault="00647974" w:rsidP="00BF410B">
            <w:pPr>
              <w:jc w:val="center"/>
              <w:rPr>
                <w:rFonts w:ascii="Calibri" w:hAnsi="Calibri" w:cs="Calibri"/>
                <w:b/>
                <w:bCs/>
                <w:sz w:val="22"/>
                <w:szCs w:val="22"/>
                <w:lang w:val="en-US"/>
              </w:rPr>
            </w:pPr>
            <w:r w:rsidRPr="000607E6">
              <w:rPr>
                <w:rFonts w:ascii="Calibri" w:hAnsi="Calibri" w:cs="Calibri"/>
                <w:color w:val="1F497D"/>
                <w:sz w:val="20"/>
                <w:lang w:val="en-US"/>
              </w:rPr>
              <w:t>6</w:t>
            </w:r>
            <w:r w:rsidR="00810C9A">
              <w:rPr>
                <w:rFonts w:ascii="Calibri" w:hAnsi="Calibri" w:cs="Calibri"/>
                <w:color w:val="1F497D"/>
                <w:sz w:val="20"/>
                <w:lang w:val="en-US"/>
              </w:rPr>
              <w:t>.</w:t>
            </w:r>
            <w:r w:rsidRPr="000607E6">
              <w:rPr>
                <w:rFonts w:ascii="Calibri" w:hAnsi="Calibri" w:cs="Calibri"/>
                <w:color w:val="1F497D"/>
                <w:sz w:val="20"/>
                <w:lang w:val="en-US"/>
              </w:rPr>
              <w:t>5</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70957DC9" w14:textId="55189E8F" w:rsidR="00647974" w:rsidRPr="000607E6" w:rsidRDefault="00647974" w:rsidP="00BF410B">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7</w:t>
            </w:r>
            <w:r w:rsidR="00810C9A">
              <w:rPr>
                <w:rFonts w:ascii="Calibri" w:hAnsi="Calibri" w:cs="Calibri"/>
                <w:b/>
                <w:bCs/>
                <w:color w:val="FF0000"/>
                <w:sz w:val="20"/>
                <w:lang w:val="en-US"/>
              </w:rPr>
              <w:t>.</w:t>
            </w:r>
            <w:r w:rsidRPr="000607E6">
              <w:rPr>
                <w:rFonts w:ascii="Calibri" w:hAnsi="Calibri" w:cs="Calibri"/>
                <w:b/>
                <w:bCs/>
                <w:color w:val="FF0000"/>
                <w:sz w:val="20"/>
                <w:lang w:val="en-US"/>
              </w:rPr>
              <w:t>7</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552C6DE4" w14:textId="6C11B0D4" w:rsidR="00647974" w:rsidRPr="000607E6" w:rsidRDefault="00647974" w:rsidP="00BF410B">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6</w:t>
            </w:r>
            <w:r w:rsidR="00810C9A">
              <w:rPr>
                <w:rFonts w:ascii="Calibri" w:hAnsi="Calibri" w:cs="Calibri"/>
                <w:b/>
                <w:bCs/>
                <w:color w:val="FF0000"/>
                <w:sz w:val="20"/>
                <w:lang w:val="en-US"/>
              </w:rPr>
              <w:t>.</w:t>
            </w:r>
            <w:r w:rsidRPr="000607E6">
              <w:rPr>
                <w:rFonts w:ascii="Calibri" w:hAnsi="Calibri" w:cs="Calibri"/>
                <w:b/>
                <w:bCs/>
                <w:color w:val="FF0000"/>
                <w:sz w:val="20"/>
                <w:lang w:val="en-US"/>
              </w:rPr>
              <w:t>5</w:t>
            </w:r>
          </w:p>
        </w:tc>
      </w:tr>
      <w:tr w:rsidR="00647974" w:rsidRPr="000607E6" w14:paraId="418E71CA" w14:textId="248095F4" w:rsidTr="007B5D5A">
        <w:trPr>
          <w:trHeight w:val="86"/>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62221125" w14:textId="54ED3867" w:rsidR="00647974" w:rsidRPr="00B65508" w:rsidRDefault="00BF410B" w:rsidP="00774549">
            <w:pPr>
              <w:autoSpaceDE/>
              <w:autoSpaceDN/>
              <w:adjustRightInd/>
              <w:textAlignment w:val="auto"/>
              <w:rPr>
                <w:rFonts w:ascii="Calibri" w:hAnsi="Calibri" w:cs="Calibri"/>
                <w:b/>
                <w:bCs/>
                <w:color w:val="FFFFFF" w:themeColor="light1"/>
                <w:kern w:val="24"/>
                <w:szCs w:val="18"/>
                <w:lang w:val="en-US"/>
              </w:rPr>
            </w:pPr>
            <w:r>
              <w:rPr>
                <w:rFonts w:ascii="Calibri" w:hAnsi="Calibri" w:cs="Calibri"/>
                <w:b/>
                <w:bCs/>
                <w:color w:val="FFFFFF" w:themeColor="light1"/>
                <w:kern w:val="24"/>
                <w:szCs w:val="18"/>
                <w:lang w:val="en-US"/>
              </w:rPr>
              <w:t>B</w:t>
            </w:r>
            <w:r w:rsidR="00B65508" w:rsidRPr="00B65508">
              <w:rPr>
                <w:rFonts w:ascii="Calibri" w:hAnsi="Calibri" w:cs="Calibri"/>
                <w:b/>
                <w:bCs/>
                <w:color w:val="FFFFFF" w:themeColor="light1"/>
                <w:kern w:val="24"/>
                <w:szCs w:val="18"/>
                <w:lang w:val="en-US"/>
              </w:rPr>
              <w:t xml:space="preserve">ank loans to (non-financial) corporations </w:t>
            </w:r>
            <w:r w:rsidRPr="00897C57">
              <w:rPr>
                <w:rFonts w:ascii="Calibri" w:hAnsi="Calibri" w:cs="Calibri"/>
                <w:b/>
                <w:bCs/>
                <w:color w:val="FFFFFF" w:themeColor="light1"/>
                <w:kern w:val="24"/>
                <w:szCs w:val="18"/>
                <w:lang w:val="en-US"/>
              </w:rPr>
              <w:t xml:space="preserve"> (%</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Pr>
                <w:rFonts w:ascii="Calibri" w:hAnsi="Calibri" w:cs="Calibri"/>
                <w:b/>
                <w:bCs/>
                <w:color w:val="FFFFFF" w:themeColor="light1"/>
                <w:kern w:val="24"/>
                <w:szCs w:val="18"/>
                <w:lang w:val="en-US"/>
              </w:rPr>
              <w:t>, average</w:t>
            </w:r>
            <w:r w:rsidRPr="00897C57">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06F2A8B" w14:textId="564D8F67" w:rsidR="00647974" w:rsidRPr="000607E6" w:rsidRDefault="00647974" w:rsidP="00BF410B">
            <w:pPr>
              <w:jc w:val="center"/>
              <w:rPr>
                <w:rFonts w:ascii="Calibri" w:hAnsi="Calibri" w:cs="Calibri"/>
                <w:b/>
                <w:bCs/>
                <w:sz w:val="22"/>
                <w:szCs w:val="22"/>
                <w:lang w:val="en-US"/>
              </w:rPr>
            </w:pPr>
            <w:r w:rsidRPr="000607E6">
              <w:rPr>
                <w:rFonts w:ascii="Calibri" w:hAnsi="Calibri" w:cs="Calibri"/>
                <w:color w:val="1F497D"/>
                <w:sz w:val="20"/>
                <w:lang w:val="en-US"/>
              </w:rPr>
              <w:t>3</w:t>
            </w:r>
            <w:r w:rsidR="00810C9A">
              <w:rPr>
                <w:rFonts w:ascii="Calibri" w:hAnsi="Calibri" w:cs="Calibri"/>
                <w:color w:val="1F497D"/>
                <w:sz w:val="20"/>
                <w:lang w:val="en-US"/>
              </w:rPr>
              <w:t>.</w:t>
            </w:r>
            <w:r w:rsidRPr="000607E6">
              <w:rPr>
                <w:rFonts w:ascii="Calibri" w:hAnsi="Calibri" w:cs="Calibri"/>
                <w:color w:val="1F497D"/>
                <w:sz w:val="20"/>
                <w:lang w:val="en-US"/>
              </w:rPr>
              <w:t>2</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13BFD657" w14:textId="5FC7E955" w:rsidR="00647974" w:rsidRPr="000607E6" w:rsidRDefault="00647974" w:rsidP="00BF410B">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-0</w:t>
            </w:r>
            <w:r w:rsidR="00810C9A">
              <w:rPr>
                <w:rFonts w:ascii="Calibri" w:hAnsi="Calibri" w:cs="Calibri"/>
                <w:b/>
                <w:bCs/>
                <w:color w:val="FF0000"/>
                <w:sz w:val="20"/>
                <w:lang w:val="en-US"/>
              </w:rPr>
              <w:t>.</w:t>
            </w:r>
            <w:r w:rsidRPr="000607E6">
              <w:rPr>
                <w:rFonts w:ascii="Calibri" w:hAnsi="Calibri" w:cs="Calibri"/>
                <w:b/>
                <w:bCs/>
                <w:color w:val="FF0000"/>
                <w:sz w:val="20"/>
                <w:lang w:val="en-US"/>
              </w:rPr>
              <w:t>1</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7405681C" w14:textId="66479EC0" w:rsidR="00647974" w:rsidRPr="000607E6" w:rsidRDefault="00647974" w:rsidP="00BF410B">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4</w:t>
            </w:r>
            <w:r w:rsidR="00810C9A">
              <w:rPr>
                <w:rFonts w:ascii="Calibri" w:hAnsi="Calibri" w:cs="Calibri"/>
                <w:b/>
                <w:bCs/>
                <w:color w:val="FF0000"/>
                <w:sz w:val="20"/>
                <w:lang w:val="en-US"/>
              </w:rPr>
              <w:t>.</w:t>
            </w:r>
            <w:r w:rsidRPr="000607E6">
              <w:rPr>
                <w:rFonts w:ascii="Calibri" w:hAnsi="Calibri" w:cs="Calibri"/>
                <w:b/>
                <w:bCs/>
                <w:color w:val="FF0000"/>
                <w:sz w:val="20"/>
                <w:lang w:val="en-US"/>
              </w:rPr>
              <w:t>3</w:t>
            </w:r>
          </w:p>
        </w:tc>
      </w:tr>
      <w:tr w:rsidR="00647974" w:rsidRPr="000607E6" w14:paraId="1C64EB0D" w14:textId="0E77FC67" w:rsidTr="007B5D5A">
        <w:trPr>
          <w:trHeight w:val="86"/>
          <w:jc w:val="center"/>
        </w:trPr>
        <w:tc>
          <w:tcPr>
            <w:tcW w:w="5100" w:type="dxa"/>
            <w:tcBorders>
              <w:top w:val="single" w:sz="8" w:space="0" w:color="FFFFFF"/>
              <w:left w:val="single" w:sz="8" w:space="0" w:color="FFFFFF"/>
              <w:bottom w:val="single" w:sz="8" w:space="0" w:color="FFFFFF"/>
              <w:right w:val="single" w:sz="8" w:space="0" w:color="FFFFFF"/>
            </w:tcBorders>
            <w:shd w:val="clear" w:color="auto" w:fill="13576B"/>
            <w:tcMar>
              <w:top w:w="15" w:type="dxa"/>
              <w:left w:w="108" w:type="dxa"/>
              <w:bottom w:w="0" w:type="dxa"/>
              <w:right w:w="108" w:type="dxa"/>
            </w:tcMar>
            <w:vAlign w:val="center"/>
            <w:hideMark/>
          </w:tcPr>
          <w:p w14:paraId="10B03657" w14:textId="2337B31E" w:rsidR="00647974" w:rsidRPr="000607E6" w:rsidRDefault="00BF410B" w:rsidP="00774549">
            <w:pPr>
              <w:autoSpaceDE/>
              <w:autoSpaceDN/>
              <w:adjustRightInd/>
              <w:textAlignment w:val="auto"/>
              <w:rPr>
                <w:rFonts w:ascii="Calibri" w:hAnsi="Calibri" w:cs="Calibri"/>
                <w:szCs w:val="18"/>
                <w:lang w:val="en-US"/>
              </w:rPr>
            </w:pPr>
            <w:r>
              <w:rPr>
                <w:rFonts w:ascii="Calibri" w:hAnsi="Calibri" w:cs="Calibri"/>
                <w:b/>
                <w:bCs/>
                <w:color w:val="FFFFFF" w:themeColor="light1"/>
                <w:kern w:val="24"/>
                <w:szCs w:val="18"/>
                <w:lang w:val="en-US"/>
              </w:rPr>
              <w:t>C</w:t>
            </w:r>
            <w:r w:rsidR="00B65508" w:rsidRPr="00B65508">
              <w:rPr>
                <w:rFonts w:ascii="Calibri" w:hAnsi="Calibri" w:cs="Calibri"/>
                <w:b/>
                <w:bCs/>
                <w:color w:val="FFFFFF" w:themeColor="light1"/>
                <w:kern w:val="24"/>
                <w:szCs w:val="18"/>
                <w:lang w:val="en-US"/>
              </w:rPr>
              <w:t xml:space="preserve">ustomer bank deposits </w:t>
            </w:r>
            <w:r w:rsidRPr="00897C57">
              <w:rPr>
                <w:rFonts w:ascii="Calibri" w:hAnsi="Calibri" w:cs="Calibri"/>
                <w:b/>
                <w:bCs/>
                <w:color w:val="FFFFFF" w:themeColor="light1"/>
                <w:kern w:val="24"/>
                <w:szCs w:val="18"/>
                <w:lang w:val="en-US"/>
              </w:rPr>
              <w:t xml:space="preserve"> (%</w:t>
            </w:r>
            <w:r>
              <w:rPr>
                <w:rFonts w:ascii="Calibri" w:hAnsi="Calibri" w:cs="Calibri"/>
                <w:b/>
                <w:bCs/>
                <w:color w:val="FFFFFF" w:themeColor="light1"/>
                <w:kern w:val="24"/>
                <w:szCs w:val="18"/>
                <w:lang w:val="en-US"/>
              </w:rPr>
              <w:t xml:space="preserve"> </w:t>
            </w:r>
            <w:proofErr w:type="spellStart"/>
            <w:r>
              <w:rPr>
                <w:rFonts w:ascii="Calibri" w:hAnsi="Calibri" w:cs="Calibri"/>
                <w:b/>
                <w:bCs/>
                <w:color w:val="FFFFFF" w:themeColor="light1"/>
                <w:kern w:val="24"/>
                <w:szCs w:val="18"/>
                <w:lang w:val="en-US"/>
              </w:rPr>
              <w:t>yoy</w:t>
            </w:r>
            <w:proofErr w:type="spellEnd"/>
            <w:r>
              <w:rPr>
                <w:rFonts w:ascii="Calibri" w:hAnsi="Calibri" w:cs="Calibri"/>
                <w:b/>
                <w:bCs/>
                <w:color w:val="FFFFFF" w:themeColor="light1"/>
                <w:kern w:val="24"/>
                <w:szCs w:val="18"/>
                <w:lang w:val="en-US"/>
              </w:rPr>
              <w:t>, average</w:t>
            </w:r>
            <w:r w:rsidRPr="00897C57">
              <w:rPr>
                <w:rFonts w:ascii="Calibri" w:hAnsi="Calibri" w:cs="Calibri"/>
                <w:b/>
                <w:bCs/>
                <w:color w:val="FFFFFF" w:themeColor="light1"/>
                <w:kern w:val="24"/>
                <w:szCs w:val="18"/>
                <w:lang w:val="en-US"/>
              </w:rPr>
              <w:t>)</w:t>
            </w:r>
          </w:p>
        </w:tc>
        <w:tc>
          <w:tcPr>
            <w:tcW w:w="1694"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437631DE" w14:textId="37A8F8EC" w:rsidR="00647974" w:rsidRPr="000607E6" w:rsidRDefault="00647974" w:rsidP="00BF410B">
            <w:pPr>
              <w:jc w:val="center"/>
              <w:rPr>
                <w:rFonts w:ascii="Calibri" w:hAnsi="Calibri" w:cs="Calibri"/>
                <w:b/>
                <w:bCs/>
                <w:sz w:val="22"/>
                <w:szCs w:val="22"/>
                <w:lang w:val="en-US"/>
              </w:rPr>
            </w:pPr>
            <w:r w:rsidRPr="000607E6">
              <w:rPr>
                <w:rFonts w:ascii="Calibri" w:hAnsi="Calibri" w:cs="Calibri"/>
                <w:color w:val="1F497D"/>
                <w:sz w:val="20"/>
                <w:lang w:val="en-US"/>
              </w:rPr>
              <w:t>10</w:t>
            </w:r>
            <w:r w:rsidR="00810C9A">
              <w:rPr>
                <w:rFonts w:ascii="Calibri" w:hAnsi="Calibri" w:cs="Calibri"/>
                <w:color w:val="1F497D"/>
                <w:sz w:val="20"/>
                <w:lang w:val="en-US"/>
              </w:rPr>
              <w:t>.</w:t>
            </w:r>
            <w:r w:rsidRPr="000607E6">
              <w:rPr>
                <w:rFonts w:ascii="Calibri" w:hAnsi="Calibri" w:cs="Calibri"/>
                <w:color w:val="1F497D"/>
                <w:sz w:val="20"/>
                <w:lang w:val="en-US"/>
              </w:rPr>
              <w:t>8</w:t>
            </w:r>
          </w:p>
        </w:tc>
        <w:tc>
          <w:tcPr>
            <w:tcW w:w="1843" w:type="dxa"/>
            <w:tcBorders>
              <w:top w:val="single" w:sz="8" w:space="0" w:color="FFFFFF"/>
              <w:left w:val="single" w:sz="8" w:space="0" w:color="FFFFFF"/>
              <w:bottom w:val="single" w:sz="8" w:space="0" w:color="FFFFFF"/>
              <w:right w:val="single" w:sz="8" w:space="0" w:color="FFFFFF"/>
            </w:tcBorders>
            <w:shd w:val="pct12" w:color="auto" w:fill="auto"/>
            <w:tcMar>
              <w:top w:w="15" w:type="dxa"/>
              <w:left w:w="108" w:type="dxa"/>
              <w:bottom w:w="0" w:type="dxa"/>
              <w:right w:w="108" w:type="dxa"/>
            </w:tcMar>
            <w:vAlign w:val="center"/>
          </w:tcPr>
          <w:p w14:paraId="2863EC17" w14:textId="1F9C002E" w:rsidR="00647974" w:rsidRPr="000607E6" w:rsidRDefault="00647974" w:rsidP="00BF410B">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8</w:t>
            </w:r>
            <w:r w:rsidR="00810C9A">
              <w:rPr>
                <w:rFonts w:ascii="Calibri" w:hAnsi="Calibri" w:cs="Calibri"/>
                <w:b/>
                <w:bCs/>
                <w:color w:val="FF0000"/>
                <w:sz w:val="20"/>
                <w:lang w:val="en-US"/>
              </w:rPr>
              <w:t>.</w:t>
            </w:r>
            <w:r w:rsidRPr="000607E6">
              <w:rPr>
                <w:rFonts w:ascii="Calibri" w:hAnsi="Calibri" w:cs="Calibri"/>
                <w:b/>
                <w:bCs/>
                <w:color w:val="FF0000"/>
                <w:sz w:val="20"/>
                <w:lang w:val="en-US"/>
              </w:rPr>
              <w:t>8</w:t>
            </w:r>
          </w:p>
        </w:tc>
        <w:tc>
          <w:tcPr>
            <w:tcW w:w="1607" w:type="dxa"/>
            <w:tcBorders>
              <w:top w:val="single" w:sz="8" w:space="0" w:color="FFFFFF"/>
              <w:left w:val="single" w:sz="8" w:space="0" w:color="FFFFFF"/>
              <w:bottom w:val="single" w:sz="8" w:space="0" w:color="FFFFFF"/>
              <w:right w:val="single" w:sz="8" w:space="0" w:color="FFFFFF"/>
            </w:tcBorders>
            <w:shd w:val="pct12" w:color="auto" w:fill="auto"/>
            <w:vAlign w:val="center"/>
          </w:tcPr>
          <w:p w14:paraId="2C1AA335" w14:textId="57D97420" w:rsidR="00647974" w:rsidRPr="000607E6" w:rsidRDefault="00647974" w:rsidP="00BF410B">
            <w:pPr>
              <w:overflowPunct/>
              <w:autoSpaceDE/>
              <w:autoSpaceDN/>
              <w:adjustRightInd/>
              <w:jc w:val="center"/>
              <w:textAlignment w:val="bottom"/>
              <w:rPr>
                <w:rFonts w:ascii="Calibri" w:eastAsia="PMingLiU" w:hAnsi="Calibri" w:cs="Calibri"/>
                <w:b/>
                <w:bCs/>
                <w:color w:val="FF0000"/>
                <w:kern w:val="24"/>
                <w:sz w:val="22"/>
                <w:szCs w:val="22"/>
                <w:lang w:val="en-US"/>
              </w:rPr>
            </w:pPr>
            <w:r w:rsidRPr="000607E6">
              <w:rPr>
                <w:rFonts w:ascii="Calibri" w:hAnsi="Calibri" w:cs="Calibri"/>
                <w:b/>
                <w:bCs/>
                <w:color w:val="FF0000"/>
                <w:sz w:val="20"/>
                <w:lang w:val="en-US"/>
              </w:rPr>
              <w:t>6</w:t>
            </w:r>
            <w:r w:rsidR="00810C9A">
              <w:rPr>
                <w:rFonts w:ascii="Calibri" w:hAnsi="Calibri" w:cs="Calibri"/>
                <w:b/>
                <w:bCs/>
                <w:color w:val="FF0000"/>
                <w:sz w:val="20"/>
                <w:lang w:val="en-US"/>
              </w:rPr>
              <w:t>.</w:t>
            </w:r>
            <w:r w:rsidRPr="000607E6">
              <w:rPr>
                <w:rFonts w:ascii="Calibri" w:hAnsi="Calibri" w:cs="Calibri"/>
                <w:b/>
                <w:bCs/>
                <w:color w:val="FF0000"/>
                <w:sz w:val="20"/>
                <w:lang w:val="en-US"/>
              </w:rPr>
              <w:t>0</w:t>
            </w:r>
          </w:p>
        </w:tc>
      </w:tr>
    </w:tbl>
    <w:p w14:paraId="7561C03E" w14:textId="7E0EAC2E" w:rsidR="00F37DC9" w:rsidRPr="000607E6" w:rsidRDefault="00764738" w:rsidP="00774549">
      <w:pPr>
        <w:rPr>
          <w:rFonts w:ascii="Calibri" w:eastAsiaTheme="minorEastAsia" w:hAnsi="Calibri" w:cs="Calibri"/>
          <w:lang w:val="en-US"/>
        </w:rPr>
      </w:pPr>
      <w:r w:rsidRPr="000607E6">
        <w:rPr>
          <w:noProof/>
          <w:sz w:val="16"/>
          <w:szCs w:val="16"/>
          <w:lang w:val="en-US"/>
        </w:rPr>
        <mc:AlternateContent>
          <mc:Choice Requires="wps">
            <w:drawing>
              <wp:anchor distT="0" distB="0" distL="114300" distR="114300" simplePos="0" relativeHeight="251662336" behindDoc="1" locked="0" layoutInCell="1" hidden="0" allowOverlap="1" wp14:anchorId="3801A402" wp14:editId="43E044D1">
                <wp:simplePos x="0" y="0"/>
                <wp:positionH relativeFrom="margin">
                  <wp:posOffset>791</wp:posOffset>
                </wp:positionH>
                <wp:positionV relativeFrom="paragraph">
                  <wp:posOffset>111722</wp:posOffset>
                </wp:positionV>
                <wp:extent cx="6476365" cy="1163216"/>
                <wp:effectExtent l="0" t="0" r="635" b="0"/>
                <wp:wrapNone/>
                <wp:docPr id="4" name="Obdélník 4"/>
                <wp:cNvGraphicFramePr/>
                <a:graphic xmlns:a="http://schemas.openxmlformats.org/drawingml/2006/main">
                  <a:graphicData uri="http://schemas.microsoft.com/office/word/2010/wordprocessingShape">
                    <wps:wsp>
                      <wps:cNvSpPr/>
                      <wps:spPr>
                        <a:xfrm>
                          <a:off x="0" y="0"/>
                          <a:ext cx="6476365" cy="1163216"/>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313D1E" w14:textId="6C12BD6D" w:rsidR="00F37DC9" w:rsidRPr="00764738" w:rsidRDefault="00764738" w:rsidP="00F37DC9">
                            <w:pPr>
                              <w:spacing w:line="276" w:lineRule="auto"/>
                              <w:rPr>
                                <w:rFonts w:ascii="Calibri" w:hAnsi="Calibri" w:cs="Calibri"/>
                                <w:b/>
                                <w:color w:val="FFFFFF" w:themeColor="background1"/>
                                <w:szCs w:val="18"/>
                                <w:lang w:val="en-US"/>
                              </w:rPr>
                            </w:pPr>
                            <w:r w:rsidRPr="00764738">
                              <w:rPr>
                                <w:rFonts w:ascii="Calibri" w:hAnsi="Calibri" w:cs="Calibri"/>
                                <w:b/>
                                <w:color w:val="FFFFFF" w:themeColor="background1"/>
                                <w:szCs w:val="18"/>
                                <w:lang w:val="en-US"/>
                              </w:rPr>
                              <w:t>About the CBA forecast</w:t>
                            </w:r>
                          </w:p>
                          <w:p w14:paraId="77C1A42D" w14:textId="1E146074" w:rsidR="00F37DC9" w:rsidRPr="00764738" w:rsidRDefault="004775B8" w:rsidP="00764738">
                            <w:pPr>
                              <w:tabs>
                                <w:tab w:val="left" w:pos="3120"/>
                              </w:tabs>
                              <w:rPr>
                                <w:sz w:val="16"/>
                                <w:szCs w:val="16"/>
                                <w:lang w:val="en-US"/>
                              </w:rPr>
                            </w:pPr>
                            <w:r w:rsidRPr="00764738">
                              <w:rPr>
                                <w:rFonts w:ascii="Calibri" w:eastAsiaTheme="minorEastAsia" w:hAnsi="Calibri" w:cs="Calibri"/>
                                <w:lang w:val="en-US"/>
                              </w:rPr>
                              <w:t xml:space="preserve">This forecast is based on contributions from analysts </w:t>
                            </w:r>
                            <w:r w:rsidR="00764738" w:rsidRPr="00764738">
                              <w:rPr>
                                <w:rFonts w:ascii="Calibri" w:eastAsiaTheme="minorEastAsia" w:hAnsi="Calibri" w:cs="Calibri"/>
                                <w:lang w:val="en-US"/>
                              </w:rPr>
                              <w:t>of</w:t>
                            </w:r>
                            <w:r w:rsidRPr="00764738">
                              <w:rPr>
                                <w:rFonts w:ascii="Calibri" w:eastAsiaTheme="minorEastAsia" w:hAnsi="Calibri" w:cs="Calibri"/>
                                <w:lang w:val="en-US"/>
                              </w:rPr>
                              <w:t xml:space="preserve"> 8 CBA member banks</w:t>
                            </w:r>
                            <w:r w:rsidRPr="00764738">
                              <w:rPr>
                                <w:rFonts w:ascii="Calibri" w:eastAsiaTheme="minorEastAsia" w:hAnsi="Calibri" w:cs="Calibri"/>
                              </w:rPr>
                              <w:t xml:space="preserve">: </w:t>
                            </w:r>
                            <w:r w:rsidRPr="00162BB5">
                              <w:rPr>
                                <w:rFonts w:ascii="Calibri" w:eastAsiaTheme="minorEastAsia" w:hAnsi="Calibri" w:cs="Calibri"/>
                              </w:rPr>
                              <w:t xml:space="preserve">Jan </w:t>
                            </w:r>
                            <w:r w:rsidR="006E008E" w:rsidRPr="00162BB5">
                              <w:rPr>
                                <w:rFonts w:ascii="Calibri" w:eastAsiaTheme="minorEastAsia" w:hAnsi="Calibri" w:cs="Calibri"/>
                              </w:rPr>
                              <w:t>Vejm</w:t>
                            </w:r>
                            <w:r w:rsidR="006E008E">
                              <w:rPr>
                                <w:rFonts w:ascii="Calibri" w:eastAsiaTheme="minorEastAsia" w:hAnsi="Calibri" w:cs="Calibri"/>
                              </w:rPr>
                              <w:t>ě</w:t>
                            </w:r>
                            <w:r w:rsidR="006E008E" w:rsidRPr="00162BB5">
                              <w:rPr>
                                <w:rFonts w:ascii="Calibri" w:eastAsiaTheme="minorEastAsia" w:hAnsi="Calibri" w:cs="Calibri"/>
                              </w:rPr>
                              <w:t>lek</w:t>
                            </w:r>
                            <w:r w:rsidRPr="00162BB5">
                              <w:rPr>
                                <w:rFonts w:ascii="Calibri" w:eastAsiaTheme="minorEastAsia" w:hAnsi="Calibri" w:cs="Calibri"/>
                              </w:rPr>
                              <w:t xml:space="preserve"> (</w:t>
                            </w:r>
                            <w:r w:rsidRPr="00764738">
                              <w:rPr>
                                <w:rFonts w:ascii="Calibri" w:eastAsiaTheme="minorEastAsia" w:hAnsi="Calibri" w:cs="Calibri"/>
                                <w:lang w:val="en-US"/>
                              </w:rPr>
                              <w:t xml:space="preserve">Chief Economist at </w:t>
                            </w:r>
                            <w:r w:rsidRPr="00764738">
                              <w:rPr>
                                <w:rFonts w:ascii="Calibri" w:eastAsiaTheme="minorEastAsia" w:hAnsi="Calibri" w:cs="Calibri"/>
                              </w:rPr>
                              <w:t>Komerční banka),</w:t>
                            </w:r>
                            <w:r w:rsidRPr="00764738">
                              <w:rPr>
                                <w:rFonts w:ascii="Calibri" w:eastAsiaTheme="minorEastAsia" w:hAnsi="Calibri" w:cs="Calibri"/>
                                <w:lang w:val="en-US"/>
                              </w:rPr>
                              <w:t xml:space="preserve"> </w:t>
                            </w:r>
                            <w:r w:rsidRPr="00764738">
                              <w:rPr>
                                <w:rFonts w:ascii="Calibri" w:eastAsiaTheme="minorEastAsia" w:hAnsi="Calibri" w:cs="Calibri"/>
                              </w:rPr>
                              <w:t>Jaromír Šindel (</w:t>
                            </w:r>
                            <w:r w:rsidRPr="00764738">
                              <w:rPr>
                                <w:rFonts w:ascii="Calibri" w:eastAsiaTheme="minorEastAsia" w:hAnsi="Calibri" w:cs="Calibri"/>
                                <w:lang w:val="en-US"/>
                              </w:rPr>
                              <w:t xml:space="preserve">Chief Economist at Citibank), Helena </w:t>
                            </w:r>
                            <w:r w:rsidRPr="00764738">
                              <w:rPr>
                                <w:rFonts w:ascii="Calibri" w:eastAsiaTheme="minorEastAsia" w:hAnsi="Calibri" w:cs="Calibri"/>
                              </w:rPr>
                              <w:t>Horská</w:t>
                            </w:r>
                            <w:r w:rsidRPr="00764738">
                              <w:rPr>
                                <w:rFonts w:ascii="Calibri" w:eastAsiaTheme="minorEastAsia" w:hAnsi="Calibri" w:cs="Calibri"/>
                                <w:lang w:val="en-US"/>
                              </w:rPr>
                              <w:t xml:space="preserve"> (Chief Economist at </w:t>
                            </w:r>
                            <w:proofErr w:type="spellStart"/>
                            <w:r w:rsidRPr="00764738">
                              <w:rPr>
                                <w:rFonts w:ascii="Calibri" w:eastAsiaTheme="minorEastAsia" w:hAnsi="Calibri" w:cs="Calibri"/>
                                <w:lang w:val="en-US"/>
                              </w:rPr>
                              <w:t>Raiffeisenbank</w:t>
                            </w:r>
                            <w:proofErr w:type="spellEnd"/>
                            <w:r w:rsidRPr="00764738">
                              <w:rPr>
                                <w:rFonts w:ascii="Calibri" w:eastAsiaTheme="minorEastAsia" w:hAnsi="Calibri" w:cs="Calibri"/>
                                <w:lang w:val="en-US"/>
                              </w:rPr>
                              <w:t xml:space="preserve">), Michal </w:t>
                            </w:r>
                            <w:r w:rsidRPr="00764738">
                              <w:rPr>
                                <w:rFonts w:ascii="Calibri" w:eastAsiaTheme="minorEastAsia" w:hAnsi="Calibri" w:cs="Calibri"/>
                              </w:rPr>
                              <w:t>Skořepa</w:t>
                            </w:r>
                            <w:r w:rsidRPr="00764738">
                              <w:rPr>
                                <w:rFonts w:ascii="Calibri" w:eastAsiaTheme="minorEastAsia" w:hAnsi="Calibri" w:cs="Calibri"/>
                                <w:lang w:val="en-US"/>
                              </w:rPr>
                              <w:t xml:space="preserve"> (Macroeconomic</w:t>
                            </w:r>
                            <w:r w:rsidRPr="00764738">
                              <w:rPr>
                                <w:rFonts w:ascii="Calibri" w:hAnsi="Calibri" w:cs="Calibri"/>
                                <w:szCs w:val="18"/>
                                <w:lang w:val="en-US"/>
                              </w:rPr>
                              <w:t xml:space="preserve"> Analyst at </w:t>
                            </w:r>
                            <w:proofErr w:type="spellStart"/>
                            <w:r w:rsidRPr="00764738">
                              <w:rPr>
                                <w:rFonts w:ascii="Calibri" w:hAnsi="Calibri" w:cs="Calibri"/>
                                <w:szCs w:val="18"/>
                                <w:lang w:val="en-US"/>
                              </w:rPr>
                              <w:t>Česká</w:t>
                            </w:r>
                            <w:proofErr w:type="spellEnd"/>
                            <w:r w:rsidR="00162BB5">
                              <w:rPr>
                                <w:rFonts w:ascii="Calibri" w:hAnsi="Calibri" w:cs="Calibri"/>
                                <w:szCs w:val="18"/>
                                <w:lang w:val="en-US"/>
                              </w:rPr>
                              <w:t xml:space="preserve"> </w:t>
                            </w:r>
                            <w:r w:rsidR="00162BB5" w:rsidRPr="00162BB5">
                              <w:rPr>
                                <w:rFonts w:ascii="Calibri" w:hAnsi="Calibri" w:cs="Calibri"/>
                                <w:szCs w:val="18"/>
                              </w:rPr>
                              <w:t>spořitelna</w:t>
                            </w:r>
                            <w:r w:rsidRPr="00162BB5">
                              <w:rPr>
                                <w:rFonts w:ascii="Calibri" w:hAnsi="Calibri" w:cs="Calibri"/>
                                <w:szCs w:val="18"/>
                              </w:rPr>
                              <w:t>),</w:t>
                            </w:r>
                            <w:r w:rsidRPr="00764738">
                              <w:rPr>
                                <w:rFonts w:ascii="Calibri" w:hAnsi="Calibri" w:cs="Calibri"/>
                                <w:szCs w:val="18"/>
                                <w:lang w:val="en-US"/>
                              </w:rPr>
                              <w:t xml:space="preserve"> </w:t>
                            </w:r>
                            <w:r w:rsidRPr="00162BB5">
                              <w:rPr>
                                <w:rFonts w:ascii="Calibri" w:hAnsi="Calibri" w:cs="Calibri"/>
                                <w:szCs w:val="18"/>
                              </w:rPr>
                              <w:t xml:space="preserve">Petr </w:t>
                            </w:r>
                            <w:r w:rsidR="00162BB5" w:rsidRPr="00162BB5">
                              <w:rPr>
                                <w:rFonts w:ascii="Calibri" w:hAnsi="Calibri" w:cs="Calibri"/>
                                <w:szCs w:val="18"/>
                              </w:rPr>
                              <w:t>Dufek</w:t>
                            </w:r>
                            <w:r w:rsidRPr="00764738">
                              <w:rPr>
                                <w:rFonts w:ascii="Calibri" w:hAnsi="Calibri" w:cs="Calibri"/>
                                <w:szCs w:val="18"/>
                                <w:lang w:val="en-US"/>
                              </w:rPr>
                              <w:t xml:space="preserve"> (Economic Analyst at ČSOB), Petr Gapko (Chief Economist at MONETA Money Bank) and Petr </w:t>
                            </w:r>
                            <w:r w:rsidRPr="00162BB5">
                              <w:rPr>
                                <w:rFonts w:ascii="Calibri" w:hAnsi="Calibri" w:cs="Calibri"/>
                                <w:szCs w:val="18"/>
                              </w:rPr>
                              <w:t>Sklenář</w:t>
                            </w:r>
                            <w:r w:rsidRPr="00764738">
                              <w:rPr>
                                <w:rFonts w:ascii="Calibri" w:hAnsi="Calibri" w:cs="Calibri"/>
                                <w:szCs w:val="18"/>
                                <w:lang w:val="en-US"/>
                              </w:rPr>
                              <w:t xml:space="preserve"> (Chief Economist at J&amp;T Bank). Jakub Seidler and Miroslav </w:t>
                            </w:r>
                            <w:r w:rsidRPr="00764738">
                              <w:rPr>
                                <w:rFonts w:ascii="Calibri" w:hAnsi="Calibri" w:cs="Calibri"/>
                                <w:szCs w:val="18"/>
                              </w:rPr>
                              <w:t>Zámečník</w:t>
                            </w:r>
                            <w:r w:rsidRPr="00764738">
                              <w:rPr>
                                <w:rFonts w:ascii="Calibri" w:hAnsi="Calibri" w:cs="Calibri"/>
                                <w:szCs w:val="18"/>
                                <w:lang w:val="en-US"/>
                              </w:rPr>
                              <w:t xml:space="preserve"> contributed to the forecast on behalf of the CBA.</w:t>
                            </w:r>
                          </w:p>
                          <w:p w14:paraId="3233E1D1" w14:textId="77777777" w:rsidR="00162BB5" w:rsidRDefault="00162BB5"/>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01A402" id="Obdélník 4" o:spid="_x0000_s1029" style="position:absolute;left:0;text-align:left;margin-left:.05pt;margin-top:8.8pt;width:509.95pt;height:91.6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" fillcolor="#bfbfbf [2412]" stroked="f" strokeweight="1pt">
                <v:textbox inset="3mm,3mm,3mm,3mm">
                  <w:txbxContent>
                    <w:p w14:paraId="7E313D1E" w14:textId="6C12BD6D" w:rsidR="00F37DC9" w:rsidRPr="00764738" w:rsidRDefault="00764738" w:rsidP="00F37DC9">
                      <w:pPr>
                        <w:spacing w:line="276" w:lineRule="auto"/>
                        <w:rPr>
                          <w:rFonts w:ascii="Calibri" w:hAnsi="Calibri" w:cs="Calibri"/>
                          <w:b/>
                          <w:color w:val="FFFFFF" w:themeColor="background1"/>
                          <w:szCs w:val="18"/>
                          <w:lang w:val="en-US"/>
                        </w:rPr>
                      </w:pPr>
                      <w:r w:rsidRPr="00764738">
                        <w:rPr>
                          <w:rFonts w:ascii="Calibri" w:hAnsi="Calibri" w:cs="Calibri"/>
                          <w:b/>
                          <w:color w:val="FFFFFF" w:themeColor="background1"/>
                          <w:szCs w:val="18"/>
                          <w:lang w:val="en-US"/>
                        </w:rPr>
                        <w:t>About the CBA forecast</w:t>
                      </w:r>
                    </w:p>
                    <w:p w14:paraId="77C1A42D" w14:textId="1E146074" w:rsidR="00F37DC9" w:rsidRPr="00764738" w:rsidRDefault="004775B8" w:rsidP="00764738">
                      <w:pPr>
                        <w:tabs>
                          <w:tab w:val="left" w:pos="3120"/>
                        </w:tabs>
                        <w:rPr>
                          <w:sz w:val="16"/>
                          <w:szCs w:val="16"/>
                          <w:lang w:val="en-US"/>
                        </w:rPr>
                      </w:pPr>
                      <w:r w:rsidRPr="00764738">
                        <w:rPr>
                          <w:rFonts w:ascii="Calibri" w:eastAsiaTheme="minorEastAsia" w:hAnsi="Calibri" w:cs="Calibri"/>
                          <w:lang w:val="en-US"/>
                        </w:rPr>
                        <w:t xml:space="preserve">This forecast is based on contributions from analysts </w:t>
                      </w:r>
                      <w:r w:rsidR="00764738" w:rsidRPr="00764738">
                        <w:rPr>
                          <w:rFonts w:ascii="Calibri" w:eastAsiaTheme="minorEastAsia" w:hAnsi="Calibri" w:cs="Calibri"/>
                          <w:lang w:val="en-US"/>
                        </w:rPr>
                        <w:t>of</w:t>
                      </w:r>
                      <w:r w:rsidRPr="00764738">
                        <w:rPr>
                          <w:rFonts w:ascii="Calibri" w:eastAsiaTheme="minorEastAsia" w:hAnsi="Calibri" w:cs="Calibri"/>
                          <w:lang w:val="en-US"/>
                        </w:rPr>
                        <w:t xml:space="preserve"> 8 CBA member banks</w:t>
                      </w:r>
                      <w:r w:rsidRPr="00764738">
                        <w:rPr>
                          <w:rFonts w:ascii="Calibri" w:eastAsiaTheme="minorEastAsia" w:hAnsi="Calibri" w:cs="Calibri"/>
                        </w:rPr>
                        <w:t xml:space="preserve">: </w:t>
                      </w:r>
                      <w:r w:rsidRPr="00162BB5">
                        <w:rPr>
                          <w:rFonts w:ascii="Calibri" w:eastAsiaTheme="minorEastAsia" w:hAnsi="Calibri" w:cs="Calibri"/>
                        </w:rPr>
                        <w:t xml:space="preserve">Jan </w:t>
                      </w:r>
                      <w:r w:rsidR="006E008E" w:rsidRPr="00162BB5">
                        <w:rPr>
                          <w:rFonts w:ascii="Calibri" w:eastAsiaTheme="minorEastAsia" w:hAnsi="Calibri" w:cs="Calibri"/>
                        </w:rPr>
                        <w:t>Vejm</w:t>
                      </w:r>
                      <w:r w:rsidR="006E008E">
                        <w:rPr>
                          <w:rFonts w:ascii="Calibri" w:eastAsiaTheme="minorEastAsia" w:hAnsi="Calibri" w:cs="Calibri"/>
                        </w:rPr>
                        <w:t>ě</w:t>
                      </w:r>
                      <w:r w:rsidR="006E008E" w:rsidRPr="00162BB5">
                        <w:rPr>
                          <w:rFonts w:ascii="Calibri" w:eastAsiaTheme="minorEastAsia" w:hAnsi="Calibri" w:cs="Calibri"/>
                        </w:rPr>
                        <w:t>lek</w:t>
                      </w:r>
                      <w:r w:rsidRPr="00162BB5">
                        <w:rPr>
                          <w:rFonts w:ascii="Calibri" w:eastAsiaTheme="minorEastAsia" w:hAnsi="Calibri" w:cs="Calibri"/>
                        </w:rPr>
                        <w:t xml:space="preserve"> (</w:t>
                      </w:r>
                      <w:r w:rsidRPr="00764738">
                        <w:rPr>
                          <w:rFonts w:ascii="Calibri" w:eastAsiaTheme="minorEastAsia" w:hAnsi="Calibri" w:cs="Calibri"/>
                          <w:lang w:val="en-US"/>
                        </w:rPr>
                        <w:t xml:space="preserve">Chief Economist at </w:t>
                      </w:r>
                      <w:r w:rsidRPr="00764738">
                        <w:rPr>
                          <w:rFonts w:ascii="Calibri" w:eastAsiaTheme="minorEastAsia" w:hAnsi="Calibri" w:cs="Calibri"/>
                        </w:rPr>
                        <w:t>Komerční banka),</w:t>
                      </w:r>
                      <w:r w:rsidRPr="00764738">
                        <w:rPr>
                          <w:rFonts w:ascii="Calibri" w:eastAsiaTheme="minorEastAsia" w:hAnsi="Calibri" w:cs="Calibri"/>
                          <w:lang w:val="en-US"/>
                        </w:rPr>
                        <w:t xml:space="preserve"> </w:t>
                      </w:r>
                      <w:r w:rsidRPr="00764738">
                        <w:rPr>
                          <w:rFonts w:ascii="Calibri" w:eastAsiaTheme="minorEastAsia" w:hAnsi="Calibri" w:cs="Calibri"/>
                        </w:rPr>
                        <w:t>Jaromír Šindel (</w:t>
                      </w:r>
                      <w:r w:rsidRPr="00764738">
                        <w:rPr>
                          <w:rFonts w:ascii="Calibri" w:eastAsiaTheme="minorEastAsia" w:hAnsi="Calibri" w:cs="Calibri"/>
                          <w:lang w:val="en-US"/>
                        </w:rPr>
                        <w:t xml:space="preserve">Chief Economist at Citibank), Helena </w:t>
                      </w:r>
                      <w:r w:rsidRPr="00764738">
                        <w:rPr>
                          <w:rFonts w:ascii="Calibri" w:eastAsiaTheme="minorEastAsia" w:hAnsi="Calibri" w:cs="Calibri"/>
                        </w:rPr>
                        <w:t>Horská</w:t>
                      </w:r>
                      <w:r w:rsidRPr="00764738">
                        <w:rPr>
                          <w:rFonts w:ascii="Calibri" w:eastAsiaTheme="minorEastAsia" w:hAnsi="Calibri" w:cs="Calibri"/>
                          <w:lang w:val="en-US"/>
                        </w:rPr>
                        <w:t xml:space="preserve"> (Chief Economist at </w:t>
                      </w:r>
                      <w:proofErr w:type="spellStart"/>
                      <w:r w:rsidRPr="00764738">
                        <w:rPr>
                          <w:rFonts w:ascii="Calibri" w:eastAsiaTheme="minorEastAsia" w:hAnsi="Calibri" w:cs="Calibri"/>
                          <w:lang w:val="en-US"/>
                        </w:rPr>
                        <w:t>Raiffeisenbank</w:t>
                      </w:r>
                      <w:proofErr w:type="spellEnd"/>
                      <w:r w:rsidRPr="00764738">
                        <w:rPr>
                          <w:rFonts w:ascii="Calibri" w:eastAsiaTheme="minorEastAsia" w:hAnsi="Calibri" w:cs="Calibri"/>
                          <w:lang w:val="en-US"/>
                        </w:rPr>
                        <w:t xml:space="preserve">), Michal </w:t>
                      </w:r>
                      <w:r w:rsidRPr="00764738">
                        <w:rPr>
                          <w:rFonts w:ascii="Calibri" w:eastAsiaTheme="minorEastAsia" w:hAnsi="Calibri" w:cs="Calibri"/>
                        </w:rPr>
                        <w:t>Skořepa</w:t>
                      </w:r>
                      <w:r w:rsidRPr="00764738">
                        <w:rPr>
                          <w:rFonts w:ascii="Calibri" w:eastAsiaTheme="minorEastAsia" w:hAnsi="Calibri" w:cs="Calibri"/>
                          <w:lang w:val="en-US"/>
                        </w:rPr>
                        <w:t xml:space="preserve"> (Macroeconomic</w:t>
                      </w:r>
                      <w:r w:rsidRPr="00764738">
                        <w:rPr>
                          <w:rFonts w:ascii="Calibri" w:hAnsi="Calibri" w:cs="Calibri"/>
                          <w:szCs w:val="18"/>
                          <w:lang w:val="en-US"/>
                        </w:rPr>
                        <w:t xml:space="preserve"> Analyst at </w:t>
                      </w:r>
                      <w:proofErr w:type="spellStart"/>
                      <w:r w:rsidRPr="00764738">
                        <w:rPr>
                          <w:rFonts w:ascii="Calibri" w:hAnsi="Calibri" w:cs="Calibri"/>
                          <w:szCs w:val="18"/>
                          <w:lang w:val="en-US"/>
                        </w:rPr>
                        <w:t>Česká</w:t>
                      </w:r>
                      <w:proofErr w:type="spellEnd"/>
                      <w:r w:rsidR="00162BB5">
                        <w:rPr>
                          <w:rFonts w:ascii="Calibri" w:hAnsi="Calibri" w:cs="Calibri"/>
                          <w:szCs w:val="18"/>
                          <w:lang w:val="en-US"/>
                        </w:rPr>
                        <w:t xml:space="preserve"> </w:t>
                      </w:r>
                      <w:r w:rsidR="00162BB5" w:rsidRPr="00162BB5">
                        <w:rPr>
                          <w:rFonts w:ascii="Calibri" w:hAnsi="Calibri" w:cs="Calibri"/>
                          <w:szCs w:val="18"/>
                        </w:rPr>
                        <w:t>spořitelna</w:t>
                      </w:r>
                      <w:r w:rsidRPr="00162BB5">
                        <w:rPr>
                          <w:rFonts w:ascii="Calibri" w:hAnsi="Calibri" w:cs="Calibri"/>
                          <w:szCs w:val="18"/>
                        </w:rPr>
                        <w:t>),</w:t>
                      </w:r>
                      <w:r w:rsidRPr="00764738">
                        <w:rPr>
                          <w:rFonts w:ascii="Calibri" w:hAnsi="Calibri" w:cs="Calibri"/>
                          <w:szCs w:val="18"/>
                          <w:lang w:val="en-US"/>
                        </w:rPr>
                        <w:t xml:space="preserve"> </w:t>
                      </w:r>
                      <w:r w:rsidRPr="00162BB5">
                        <w:rPr>
                          <w:rFonts w:ascii="Calibri" w:hAnsi="Calibri" w:cs="Calibri"/>
                          <w:szCs w:val="18"/>
                        </w:rPr>
                        <w:t xml:space="preserve">Petr </w:t>
                      </w:r>
                      <w:r w:rsidR="00162BB5" w:rsidRPr="00162BB5">
                        <w:rPr>
                          <w:rFonts w:ascii="Calibri" w:hAnsi="Calibri" w:cs="Calibri"/>
                          <w:szCs w:val="18"/>
                        </w:rPr>
                        <w:t>Dufek</w:t>
                      </w:r>
                      <w:r w:rsidRPr="00764738">
                        <w:rPr>
                          <w:rFonts w:ascii="Calibri" w:hAnsi="Calibri" w:cs="Calibri"/>
                          <w:szCs w:val="18"/>
                          <w:lang w:val="en-US"/>
                        </w:rPr>
                        <w:t xml:space="preserve"> (Economic Analyst at ČSOB), Petr Gapko (Chief Economist at MONETA Money Bank) and Petr </w:t>
                      </w:r>
                      <w:r w:rsidRPr="00162BB5">
                        <w:rPr>
                          <w:rFonts w:ascii="Calibri" w:hAnsi="Calibri" w:cs="Calibri"/>
                          <w:szCs w:val="18"/>
                        </w:rPr>
                        <w:t>Sklenář</w:t>
                      </w:r>
                      <w:r w:rsidRPr="00764738">
                        <w:rPr>
                          <w:rFonts w:ascii="Calibri" w:hAnsi="Calibri" w:cs="Calibri"/>
                          <w:szCs w:val="18"/>
                          <w:lang w:val="en-US"/>
                        </w:rPr>
                        <w:t xml:space="preserve"> (Chief Economist at J&amp;T Bank). Jakub Seidler and Miroslav </w:t>
                      </w:r>
                      <w:r w:rsidRPr="00764738">
                        <w:rPr>
                          <w:rFonts w:ascii="Calibri" w:hAnsi="Calibri" w:cs="Calibri"/>
                          <w:szCs w:val="18"/>
                        </w:rPr>
                        <w:t>Zámečník</w:t>
                      </w:r>
                      <w:r w:rsidRPr="00764738">
                        <w:rPr>
                          <w:rFonts w:ascii="Calibri" w:hAnsi="Calibri" w:cs="Calibri"/>
                          <w:szCs w:val="18"/>
                          <w:lang w:val="en-US"/>
                        </w:rPr>
                        <w:t xml:space="preserve"> contributed to the forecast on behalf of the CBA.</w:t>
                      </w:r>
                    </w:p>
                    <w:p w14:paraId="3233E1D1" w14:textId="77777777" w:rsidR="00162BB5" w:rsidRDefault="00162BB5"/>
                  </w:txbxContent>
                </v:textbox>
                <w10:wrap anchorx="margin"/>
              </v:rect>
            </w:pict>
          </mc:Fallback>
        </mc:AlternateContent>
      </w:r>
      <w:r w:rsidR="00165D62" w:rsidRPr="000607E6">
        <w:rPr>
          <w:rFonts w:ascii="Calibri" w:eastAsiaTheme="minorEastAsia" w:hAnsi="Calibri" w:cs="Calibri"/>
          <w:lang w:val="en-US"/>
        </w:rPr>
        <w:tab/>
      </w:r>
    </w:p>
    <w:p w14:paraId="52E6141C" w14:textId="16E75886" w:rsidR="00F37DC9" w:rsidRPr="000607E6" w:rsidRDefault="00F37DC9" w:rsidP="00774549">
      <w:pPr>
        <w:rPr>
          <w:rFonts w:ascii="Calibri" w:eastAsiaTheme="minorEastAsia" w:hAnsi="Calibri" w:cs="Calibri"/>
          <w:lang w:val="en-US"/>
        </w:rPr>
      </w:pPr>
    </w:p>
    <w:p w14:paraId="59DD5F85" w14:textId="3C1EA0E1" w:rsidR="00F37DC9" w:rsidRPr="000607E6" w:rsidRDefault="00F37DC9" w:rsidP="00774549">
      <w:pPr>
        <w:rPr>
          <w:rFonts w:ascii="Calibri" w:eastAsiaTheme="minorEastAsia" w:hAnsi="Calibri" w:cs="Calibri"/>
          <w:lang w:val="en-US"/>
        </w:rPr>
      </w:pPr>
    </w:p>
    <w:p w14:paraId="333F07F6" w14:textId="38C5D166" w:rsidR="00F37DC9" w:rsidRPr="00764738" w:rsidRDefault="00764738" w:rsidP="00774549">
      <w:pPr>
        <w:tabs>
          <w:tab w:val="left" w:pos="6782"/>
        </w:tabs>
        <w:rPr>
          <w:rFonts w:ascii="Calibri" w:eastAsiaTheme="minorEastAsia" w:hAnsi="Calibri" w:cs="Calibri"/>
        </w:rPr>
      </w:pPr>
      <w:r>
        <w:rPr>
          <w:rFonts w:ascii="Calibri" w:eastAsiaTheme="minorEastAsia" w:hAnsi="Calibri" w:cs="Calibri"/>
          <w:lang w:val="en-US"/>
        </w:rPr>
        <w:tab/>
      </w:r>
    </w:p>
    <w:p w14:paraId="5ACD7EBC" w14:textId="1C337F2A" w:rsidR="00F37DC9" w:rsidRPr="00162BB5" w:rsidRDefault="00162BB5" w:rsidP="00774549">
      <w:pPr>
        <w:tabs>
          <w:tab w:val="left" w:pos="1076"/>
          <w:tab w:val="left" w:pos="2949"/>
        </w:tabs>
        <w:rPr>
          <w:rFonts w:ascii="Calibri" w:eastAsiaTheme="minorEastAsia" w:hAnsi="Calibri" w:cs="Calibri"/>
        </w:rPr>
      </w:pPr>
      <w:r>
        <w:rPr>
          <w:rFonts w:ascii="Calibri" w:eastAsiaTheme="minorEastAsia" w:hAnsi="Calibri" w:cs="Calibri"/>
        </w:rPr>
        <w:tab/>
      </w:r>
    </w:p>
    <w:p w14:paraId="5A7B51B7" w14:textId="3F55AA00" w:rsidR="00F37DC9" w:rsidRPr="00162BB5" w:rsidRDefault="00764738" w:rsidP="00774549">
      <w:pPr>
        <w:tabs>
          <w:tab w:val="left" w:pos="1352"/>
          <w:tab w:val="left" w:pos="1716"/>
          <w:tab w:val="left" w:pos="3120"/>
        </w:tabs>
        <w:rPr>
          <w:rFonts w:ascii="Calibri" w:eastAsiaTheme="minorEastAsia" w:hAnsi="Calibri" w:cs="Calibri"/>
        </w:rPr>
      </w:pPr>
      <w:r w:rsidRPr="00162BB5">
        <w:rPr>
          <w:rFonts w:ascii="Calibri" w:eastAsiaTheme="minorEastAsia" w:hAnsi="Calibri" w:cs="Calibri"/>
        </w:rPr>
        <w:tab/>
      </w:r>
      <w:r w:rsidR="00162BB5">
        <w:rPr>
          <w:rFonts w:ascii="Calibri" w:eastAsiaTheme="minorEastAsia" w:hAnsi="Calibri" w:cs="Calibri"/>
        </w:rPr>
        <w:t xml:space="preserve">  </w:t>
      </w:r>
      <w:r w:rsidRPr="00162BB5">
        <w:rPr>
          <w:rFonts w:ascii="Calibri" w:eastAsiaTheme="minorEastAsia" w:hAnsi="Calibri" w:cs="Calibri"/>
        </w:rPr>
        <w:tab/>
      </w:r>
    </w:p>
    <w:p w14:paraId="77090A9B" w14:textId="1E79F9B0" w:rsidR="00F37DC9" w:rsidRPr="00764738" w:rsidRDefault="00162BB5" w:rsidP="00774549">
      <w:pPr>
        <w:tabs>
          <w:tab w:val="left" w:pos="516"/>
        </w:tabs>
        <w:rPr>
          <w:rFonts w:ascii="Calibri" w:eastAsiaTheme="minorEastAsia" w:hAnsi="Calibri" w:cs="Calibri"/>
        </w:rPr>
      </w:pPr>
      <w:r>
        <w:rPr>
          <w:rFonts w:ascii="Calibri" w:eastAsiaTheme="minorEastAsia" w:hAnsi="Calibri" w:cs="Calibri"/>
        </w:rPr>
        <w:tab/>
      </w:r>
    </w:p>
    <w:p w14:paraId="1AE6FC8E" w14:textId="0EC4F76B" w:rsidR="005C1943" w:rsidRDefault="00BD052E" w:rsidP="00774549">
      <w:pPr>
        <w:tabs>
          <w:tab w:val="left" w:pos="4178"/>
        </w:tabs>
        <w:rPr>
          <w:rFonts w:ascii="Calibri" w:eastAsiaTheme="minorEastAsia" w:hAnsi="Calibri" w:cs="Calibri"/>
          <w:lang w:val="en-US"/>
        </w:rPr>
      </w:pPr>
      <w:r w:rsidRPr="000607E6">
        <w:rPr>
          <w:rFonts w:ascii="Calibri" w:eastAsiaTheme="minorEastAsia" w:hAnsi="Calibri" w:cs="Calibri"/>
          <w:noProof/>
          <w:lang w:val="en-US" w:eastAsia="en-GB"/>
        </w:rPr>
        <mc:AlternateContent>
          <mc:Choice Requires="wps">
            <w:drawing>
              <wp:anchor distT="0" distB="0" distL="114300" distR="114300" simplePos="0" relativeHeight="251660288" behindDoc="0" locked="0" layoutInCell="1" allowOverlap="1" wp14:anchorId="351A5361" wp14:editId="6152B384">
                <wp:simplePos x="0" y="0"/>
                <wp:positionH relativeFrom="margin">
                  <wp:posOffset>4290695</wp:posOffset>
                </wp:positionH>
                <wp:positionV relativeFrom="paragraph">
                  <wp:posOffset>367665</wp:posOffset>
                </wp:positionV>
                <wp:extent cx="2181225" cy="1927860"/>
                <wp:effectExtent l="0" t="0" r="9525" b="0"/>
                <wp:wrapSquare wrapText="bothSides"/>
                <wp:docPr id="200" name="Obdélník 200"/>
                <wp:cNvGraphicFramePr/>
                <a:graphic xmlns:a="http://schemas.openxmlformats.org/drawingml/2006/main">
                  <a:graphicData uri="http://schemas.microsoft.com/office/word/2010/wordprocessingShape">
                    <wps:wsp>
                      <wps:cNvSpPr/>
                      <wps:spPr>
                        <a:xfrm>
                          <a:off x="0" y="0"/>
                          <a:ext cx="2181225" cy="1927860"/>
                        </a:xfrm>
                        <a:prstGeom prst="rect">
                          <a:avLst/>
                        </a:prstGeom>
                        <a:solidFill>
                          <a:srgbClr val="1357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87194D7" w14:textId="530AEB82" w:rsidR="00536B9B" w:rsidRPr="00935A2E" w:rsidRDefault="00935A2E" w:rsidP="00044002">
                            <w:pPr>
                              <w:spacing w:line="276" w:lineRule="auto"/>
                              <w:ind w:left="28" w:hanging="28"/>
                              <w:jc w:val="left"/>
                              <w:outlineLvl w:val="0"/>
                              <w:rPr>
                                <w:rFonts w:ascii="Calibri" w:hAnsi="Calibri" w:cs="Calibri"/>
                                <w:b/>
                                <w:sz w:val="20"/>
                                <w:szCs w:val="18"/>
                                <w:lang w:val="en-US"/>
                              </w:rPr>
                            </w:pPr>
                            <w:r w:rsidRPr="00935A2E">
                              <w:rPr>
                                <w:rFonts w:ascii="Calibri" w:hAnsi="Calibri" w:cs="Calibri"/>
                                <w:b/>
                                <w:sz w:val="20"/>
                                <w:szCs w:val="18"/>
                                <w:lang w:val="en-US"/>
                              </w:rPr>
                              <w:t xml:space="preserve">For more information, please contact: </w:t>
                            </w:r>
                          </w:p>
                          <w:p w14:paraId="5867C1DD" w14:textId="77777777" w:rsidR="00536B9B" w:rsidRPr="00F37DC9" w:rsidRDefault="00536B9B" w:rsidP="00044002">
                            <w:pPr>
                              <w:spacing w:line="276" w:lineRule="auto"/>
                              <w:jc w:val="left"/>
                              <w:rPr>
                                <w:rFonts w:ascii="Calibri" w:hAnsi="Calibri" w:cs="Calibri"/>
                                <w:b/>
                                <w:szCs w:val="18"/>
                              </w:rPr>
                            </w:pPr>
                          </w:p>
                          <w:p w14:paraId="1F85193F" w14:textId="30077418" w:rsidR="00536B9B" w:rsidRPr="00F37DC9" w:rsidRDefault="00726439" w:rsidP="00044002">
                            <w:pPr>
                              <w:spacing w:line="276" w:lineRule="auto"/>
                              <w:jc w:val="left"/>
                              <w:rPr>
                                <w:rFonts w:ascii="Calibri" w:hAnsi="Calibri" w:cs="Calibri"/>
                                <w:noProof/>
                                <w:szCs w:val="18"/>
                              </w:rPr>
                            </w:pPr>
                            <w:r>
                              <w:rPr>
                                <w:rFonts w:ascii="Calibri" w:hAnsi="Calibri" w:cs="Calibri"/>
                                <w:noProof/>
                                <w:szCs w:val="18"/>
                              </w:rPr>
                              <w:t>Andrea Trudičová</w:t>
                            </w:r>
                          </w:p>
                          <w:p w14:paraId="5026572F" w14:textId="422120C7" w:rsidR="00536B9B" w:rsidRPr="00935A2E" w:rsidRDefault="00935A2E" w:rsidP="00044002">
                            <w:pPr>
                              <w:spacing w:line="276" w:lineRule="auto"/>
                              <w:jc w:val="left"/>
                              <w:rPr>
                                <w:rFonts w:ascii="Calibri" w:hAnsi="Calibri" w:cs="Calibri"/>
                                <w:szCs w:val="18"/>
                                <w:lang w:val="en-US"/>
                              </w:rPr>
                            </w:pPr>
                            <w:r w:rsidRPr="00935A2E">
                              <w:rPr>
                                <w:rFonts w:ascii="Calibri" w:hAnsi="Calibri" w:cs="Calibri"/>
                                <w:szCs w:val="18"/>
                                <w:lang w:val="en-US"/>
                              </w:rPr>
                              <w:t xml:space="preserve">CBA's </w:t>
                            </w:r>
                            <w:r w:rsidR="00536B9B" w:rsidRPr="00935A2E">
                              <w:rPr>
                                <w:rFonts w:ascii="Calibri" w:hAnsi="Calibri" w:cs="Calibri"/>
                                <w:szCs w:val="18"/>
                                <w:lang w:val="en-US"/>
                              </w:rPr>
                              <w:t>PR a</w:t>
                            </w:r>
                            <w:r w:rsidRPr="00935A2E">
                              <w:rPr>
                                <w:rFonts w:ascii="Calibri" w:hAnsi="Calibri" w:cs="Calibri"/>
                                <w:szCs w:val="18"/>
                                <w:lang w:val="en-US"/>
                              </w:rPr>
                              <w:t xml:space="preserve">nd Communications </w:t>
                            </w:r>
                          </w:p>
                          <w:p w14:paraId="69EB82FC" w14:textId="0066FE00" w:rsidR="00536B9B" w:rsidRPr="00F37DC9" w:rsidRDefault="00726439" w:rsidP="00044002">
                            <w:pPr>
                              <w:spacing w:line="276" w:lineRule="auto"/>
                              <w:jc w:val="left"/>
                              <w:rPr>
                                <w:rFonts w:ascii="Calibri" w:hAnsi="Calibri" w:cs="Calibri"/>
                                <w:szCs w:val="18"/>
                              </w:rPr>
                            </w:pPr>
                            <w:r>
                              <w:rPr>
                                <w:rFonts w:ascii="Calibri" w:hAnsi="Calibri" w:cs="Calibri"/>
                                <w:szCs w:val="18"/>
                              </w:rPr>
                              <w:t>andrea</w:t>
                            </w:r>
                            <w:r w:rsidR="00611EFE">
                              <w:rPr>
                                <w:rFonts w:ascii="Calibri" w:hAnsi="Calibri" w:cs="Calibri"/>
                                <w:szCs w:val="18"/>
                              </w:rPr>
                              <w:t>.</w:t>
                            </w:r>
                            <w:r>
                              <w:rPr>
                                <w:rFonts w:ascii="Calibri" w:hAnsi="Calibri" w:cs="Calibri"/>
                                <w:szCs w:val="18"/>
                              </w:rPr>
                              <w:t>trudicova</w:t>
                            </w:r>
                            <w:r w:rsidR="00536B9B" w:rsidRPr="00F37DC9">
                              <w:rPr>
                                <w:rFonts w:ascii="Calibri" w:hAnsi="Calibri" w:cs="Calibri"/>
                                <w:szCs w:val="18"/>
                              </w:rPr>
                              <w:t>@cbaonline.cz</w:t>
                            </w:r>
                          </w:p>
                          <w:p w14:paraId="0B0CE061" w14:textId="4E868FEB" w:rsidR="00536B9B" w:rsidRPr="00F37DC9" w:rsidRDefault="00536B9B" w:rsidP="00044002">
                            <w:pPr>
                              <w:spacing w:line="276" w:lineRule="auto"/>
                              <w:jc w:val="left"/>
                              <w:rPr>
                                <w:rFonts w:ascii="Calibri" w:hAnsi="Calibri" w:cs="Calibri"/>
                                <w:szCs w:val="18"/>
                              </w:rPr>
                            </w:pPr>
                            <w:r w:rsidRPr="00F37DC9">
                              <w:rPr>
                                <w:rFonts w:ascii="Calibri" w:hAnsi="Calibri" w:cs="Calibri"/>
                                <w:szCs w:val="18"/>
                              </w:rPr>
                              <w:t>tel: + 420</w:t>
                            </w:r>
                            <w:r w:rsidR="00726439">
                              <w:rPr>
                                <w:rFonts w:ascii="Calibri" w:hAnsi="Calibri" w:cs="Calibri"/>
                                <w:szCs w:val="18"/>
                              </w:rPr>
                              <w:t> 734 638 103</w:t>
                            </w:r>
                          </w:p>
                          <w:p w14:paraId="0808B31F" w14:textId="77777777" w:rsidR="00536B9B" w:rsidRDefault="00536B9B" w:rsidP="00044002">
                            <w:pPr>
                              <w:jc w:val="left"/>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1A5361" id="Obdélník 200" o:spid="_x0000_s1030" style="position:absolute;left:0;text-align:left;margin-left:337.85pt;margin-top:28.95pt;width:171.75pt;height:151.8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" fillcolor="#13576b" stroked="f" strokeweight="1pt">
                <v:textbox inset="3mm,3mm,3mm,3mm">
                  <w:txbxContent>
                    <w:p w14:paraId="187194D7" w14:textId="530AEB82" w:rsidR="00536B9B" w:rsidRPr="00935A2E" w:rsidRDefault="00935A2E" w:rsidP="00044002">
                      <w:pPr>
                        <w:spacing w:line="276" w:lineRule="auto"/>
                        <w:ind w:left="28" w:hanging="28"/>
                        <w:jc w:val="left"/>
                        <w:outlineLvl w:val="0"/>
                        <w:rPr>
                          <w:rFonts w:ascii="Calibri" w:hAnsi="Calibri" w:cs="Calibri"/>
                          <w:b/>
                          <w:sz w:val="20"/>
                          <w:szCs w:val="18"/>
                          <w:lang w:val="en-US"/>
                        </w:rPr>
                      </w:pPr>
                      <w:r w:rsidRPr="00935A2E">
                        <w:rPr>
                          <w:rFonts w:ascii="Calibri" w:hAnsi="Calibri" w:cs="Calibri"/>
                          <w:b/>
                          <w:sz w:val="20"/>
                          <w:szCs w:val="18"/>
                          <w:lang w:val="en-US"/>
                        </w:rPr>
                        <w:t xml:space="preserve">For more information, please contact: </w:t>
                      </w:r>
                    </w:p>
                    <w:p w14:paraId="5867C1DD" w14:textId="77777777" w:rsidR="00536B9B" w:rsidRPr="00F37DC9" w:rsidRDefault="00536B9B" w:rsidP="00044002">
                      <w:pPr>
                        <w:spacing w:line="276" w:lineRule="auto"/>
                        <w:jc w:val="left"/>
                        <w:rPr>
                          <w:rFonts w:ascii="Calibri" w:hAnsi="Calibri" w:cs="Calibri"/>
                          <w:b/>
                          <w:szCs w:val="18"/>
                        </w:rPr>
                      </w:pPr>
                    </w:p>
                    <w:p w14:paraId="1F85193F" w14:textId="30077418" w:rsidR="00536B9B" w:rsidRPr="00F37DC9" w:rsidRDefault="00726439" w:rsidP="00044002">
                      <w:pPr>
                        <w:spacing w:line="276" w:lineRule="auto"/>
                        <w:jc w:val="left"/>
                        <w:rPr>
                          <w:rFonts w:ascii="Calibri" w:hAnsi="Calibri" w:cs="Calibri"/>
                          <w:noProof/>
                          <w:szCs w:val="18"/>
                        </w:rPr>
                      </w:pPr>
                      <w:r>
                        <w:rPr>
                          <w:rFonts w:ascii="Calibri" w:hAnsi="Calibri" w:cs="Calibri"/>
                          <w:noProof/>
                          <w:szCs w:val="18"/>
                        </w:rPr>
                        <w:t>Andrea Trudičová</w:t>
                      </w:r>
                    </w:p>
                    <w:p w14:paraId="5026572F" w14:textId="422120C7" w:rsidR="00536B9B" w:rsidRPr="00935A2E" w:rsidRDefault="00935A2E" w:rsidP="00044002">
                      <w:pPr>
                        <w:spacing w:line="276" w:lineRule="auto"/>
                        <w:jc w:val="left"/>
                        <w:rPr>
                          <w:rFonts w:ascii="Calibri" w:hAnsi="Calibri" w:cs="Calibri"/>
                          <w:szCs w:val="18"/>
                          <w:lang w:val="en-US"/>
                        </w:rPr>
                      </w:pPr>
                      <w:r w:rsidRPr="00935A2E">
                        <w:rPr>
                          <w:rFonts w:ascii="Calibri" w:hAnsi="Calibri" w:cs="Calibri"/>
                          <w:szCs w:val="18"/>
                          <w:lang w:val="en-US"/>
                        </w:rPr>
                        <w:t xml:space="preserve">CBA's </w:t>
                      </w:r>
                      <w:r w:rsidR="00536B9B" w:rsidRPr="00935A2E">
                        <w:rPr>
                          <w:rFonts w:ascii="Calibri" w:hAnsi="Calibri" w:cs="Calibri"/>
                          <w:szCs w:val="18"/>
                          <w:lang w:val="en-US"/>
                        </w:rPr>
                        <w:t>PR a</w:t>
                      </w:r>
                      <w:r w:rsidRPr="00935A2E">
                        <w:rPr>
                          <w:rFonts w:ascii="Calibri" w:hAnsi="Calibri" w:cs="Calibri"/>
                          <w:szCs w:val="18"/>
                          <w:lang w:val="en-US"/>
                        </w:rPr>
                        <w:t xml:space="preserve">nd Communications </w:t>
                      </w:r>
                    </w:p>
                    <w:p w14:paraId="69EB82FC" w14:textId="0066FE00" w:rsidR="00536B9B" w:rsidRPr="00F37DC9" w:rsidRDefault="00726439" w:rsidP="00044002">
                      <w:pPr>
                        <w:spacing w:line="276" w:lineRule="auto"/>
                        <w:jc w:val="left"/>
                        <w:rPr>
                          <w:rFonts w:ascii="Calibri" w:hAnsi="Calibri" w:cs="Calibri"/>
                          <w:szCs w:val="18"/>
                        </w:rPr>
                      </w:pPr>
                      <w:r>
                        <w:rPr>
                          <w:rFonts w:ascii="Calibri" w:hAnsi="Calibri" w:cs="Calibri"/>
                          <w:szCs w:val="18"/>
                        </w:rPr>
                        <w:t>andrea</w:t>
                      </w:r>
                      <w:r w:rsidR="00611EFE">
                        <w:rPr>
                          <w:rFonts w:ascii="Calibri" w:hAnsi="Calibri" w:cs="Calibri"/>
                          <w:szCs w:val="18"/>
                        </w:rPr>
                        <w:t>.</w:t>
                      </w:r>
                      <w:r>
                        <w:rPr>
                          <w:rFonts w:ascii="Calibri" w:hAnsi="Calibri" w:cs="Calibri"/>
                          <w:szCs w:val="18"/>
                        </w:rPr>
                        <w:t>trudicova</w:t>
                      </w:r>
                      <w:r w:rsidR="00536B9B" w:rsidRPr="00F37DC9">
                        <w:rPr>
                          <w:rFonts w:ascii="Calibri" w:hAnsi="Calibri" w:cs="Calibri"/>
                          <w:szCs w:val="18"/>
                        </w:rPr>
                        <w:t>@cbaonline.cz</w:t>
                      </w:r>
                    </w:p>
                    <w:p w14:paraId="0B0CE061" w14:textId="4E868FEB" w:rsidR="00536B9B" w:rsidRPr="00F37DC9" w:rsidRDefault="00536B9B" w:rsidP="00044002">
                      <w:pPr>
                        <w:spacing w:line="276" w:lineRule="auto"/>
                        <w:jc w:val="left"/>
                        <w:rPr>
                          <w:rFonts w:ascii="Calibri" w:hAnsi="Calibri" w:cs="Calibri"/>
                          <w:szCs w:val="18"/>
                        </w:rPr>
                      </w:pPr>
                      <w:r w:rsidRPr="00F37DC9">
                        <w:rPr>
                          <w:rFonts w:ascii="Calibri" w:hAnsi="Calibri" w:cs="Calibri"/>
                          <w:szCs w:val="18"/>
                        </w:rPr>
                        <w:t>tel: + 420</w:t>
                      </w:r>
                      <w:r w:rsidR="00726439">
                        <w:rPr>
                          <w:rFonts w:ascii="Calibri" w:hAnsi="Calibri" w:cs="Calibri"/>
                          <w:szCs w:val="18"/>
                        </w:rPr>
                        <w:t> 734 638 103</w:t>
                      </w:r>
                    </w:p>
                    <w:p w14:paraId="0808B31F" w14:textId="77777777" w:rsidR="00536B9B" w:rsidRDefault="00536B9B" w:rsidP="00044002">
                      <w:pPr>
                        <w:jc w:val="left"/>
                      </w:pPr>
                    </w:p>
                  </w:txbxContent>
                </v:textbox>
                <w10:wrap type="square" anchorx="margin"/>
              </v:rect>
            </w:pict>
          </mc:Fallback>
        </mc:AlternateContent>
      </w:r>
      <w:r w:rsidRPr="000607E6">
        <w:rPr>
          <w:rFonts w:ascii="Calibri" w:eastAsiaTheme="minorEastAsia" w:hAnsi="Calibri" w:cs="Calibri"/>
          <w:noProof/>
          <w:lang w:val="en-US" w:eastAsia="en-GB"/>
        </w:rPr>
        <mc:AlternateContent>
          <mc:Choice Requires="wps">
            <w:drawing>
              <wp:anchor distT="0" distB="0" distL="114300" distR="114300" simplePos="0" relativeHeight="251659264" behindDoc="0" locked="0" layoutInCell="1" allowOverlap="1" wp14:anchorId="12989396" wp14:editId="1CF443D5">
                <wp:simplePos x="0" y="0"/>
                <wp:positionH relativeFrom="margin">
                  <wp:posOffset>635</wp:posOffset>
                </wp:positionH>
                <wp:positionV relativeFrom="paragraph">
                  <wp:posOffset>367665</wp:posOffset>
                </wp:positionV>
                <wp:extent cx="4229100" cy="1927860"/>
                <wp:effectExtent l="0" t="0" r="0" b="0"/>
                <wp:wrapSquare wrapText="bothSides"/>
                <wp:docPr id="199" name="Obdélník 199"/>
                <wp:cNvGraphicFramePr/>
                <a:graphic xmlns:a="http://schemas.openxmlformats.org/drawingml/2006/main">
                  <a:graphicData uri="http://schemas.microsoft.com/office/word/2010/wordprocessingShape">
                    <wps:wsp>
                      <wps:cNvSpPr/>
                      <wps:spPr>
                        <a:xfrm>
                          <a:off x="0" y="0"/>
                          <a:ext cx="4229100" cy="192786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764AAD2" w14:textId="03EAE2A5" w:rsidR="00BD052E" w:rsidRPr="00BD052E" w:rsidRDefault="00BD052E" w:rsidP="00BD052E">
                            <w:pPr>
                              <w:spacing w:line="276" w:lineRule="auto"/>
                              <w:rPr>
                                <w:rFonts w:ascii="Calibri" w:hAnsi="Calibri" w:cs="Calibri"/>
                                <w:b/>
                                <w:sz w:val="20"/>
                                <w:szCs w:val="18"/>
                                <w:lang w:val="en-US"/>
                              </w:rPr>
                            </w:pPr>
                            <w:r w:rsidRPr="00BD052E">
                              <w:rPr>
                                <w:rFonts w:ascii="Calibri" w:hAnsi="Calibri" w:cs="Calibri"/>
                                <w:b/>
                                <w:sz w:val="20"/>
                                <w:szCs w:val="18"/>
                                <w:lang w:val="en-US"/>
                              </w:rPr>
                              <w:t>About the Czech Banking Association</w:t>
                            </w:r>
                          </w:p>
                          <w:p w14:paraId="4C1160DE" w14:textId="1BFA15DB" w:rsidR="00536B9B" w:rsidRPr="00BD052E" w:rsidRDefault="00536B9B" w:rsidP="00044002">
                            <w:pPr>
                              <w:pStyle w:val="Standard"/>
                              <w:spacing w:line="276" w:lineRule="auto"/>
                              <w:jc w:val="left"/>
                              <w:rPr>
                                <w:rFonts w:ascii="Calibri" w:hAnsi="Calibri" w:cs="Calibri"/>
                                <w:b/>
                                <w:sz w:val="20"/>
                                <w:szCs w:val="18"/>
                                <w:lang w:val="en-US"/>
                              </w:rPr>
                            </w:pPr>
                          </w:p>
                          <w:p w14:paraId="7C2B9B40" w14:textId="262F6A61" w:rsidR="00BD052E" w:rsidRPr="00BD052E" w:rsidRDefault="00BD052E" w:rsidP="00BD052E">
                            <w:pPr>
                              <w:spacing w:line="276" w:lineRule="auto"/>
                              <w:rPr>
                                <w:rFonts w:cs="Arial"/>
                                <w:b/>
                                <w:szCs w:val="18"/>
                                <w:lang w:val="en-US"/>
                              </w:rPr>
                            </w:pPr>
                            <w:r w:rsidRPr="00BD052E">
                              <w:rPr>
                                <w:rFonts w:ascii="Calibri" w:hAnsi="Calibri" w:cs="Calibri"/>
                                <w:szCs w:val="18"/>
                                <w:lang w:val="en-US"/>
                              </w:rPr>
                              <w:t xml:space="preserve">The Czech Banking Association was established in 1990; it is a voluntary association of legal entities operating in banking. It currently associates 37 members. The role of the Association is to represent and promote the common interests of its members in the first place, to present the role and the interests of banking towards the public, to participate in creating standard procedures and </w:t>
                            </w:r>
                            <w:r>
                              <w:rPr>
                                <w:rFonts w:ascii="Calibri" w:hAnsi="Calibri" w:cs="Calibri"/>
                                <w:szCs w:val="18"/>
                                <w:lang w:val="en-US"/>
                              </w:rPr>
                              <w:t xml:space="preserve">professional </w:t>
                            </w:r>
                            <w:r w:rsidRPr="00BD052E">
                              <w:rPr>
                                <w:rFonts w:ascii="Calibri" w:hAnsi="Calibri" w:cs="Calibri"/>
                                <w:szCs w:val="18"/>
                                <w:lang w:val="en-US"/>
                              </w:rPr>
                              <w:t>practices</w:t>
                            </w:r>
                            <w:r w:rsidR="003F34F2">
                              <w:rPr>
                                <w:rFonts w:ascii="Calibri" w:hAnsi="Calibri" w:cs="Calibri"/>
                                <w:szCs w:val="18"/>
                                <w:lang w:val="en-US"/>
                              </w:rPr>
                              <w:t xml:space="preserve"> in banking</w:t>
                            </w:r>
                            <w:r w:rsidRPr="00BD052E">
                              <w:rPr>
                                <w:rFonts w:ascii="Calibri" w:hAnsi="Calibri" w:cs="Calibri"/>
                                <w:szCs w:val="18"/>
                                <w:lang w:val="en-US"/>
                              </w:rPr>
                              <w:t xml:space="preserve">, to support the harmonization of the banking laws with the EU legislation and to develop activities in disseminating information and in education. The CBA is a member of the European Banking Federation and of EMMI. </w:t>
                            </w:r>
                          </w:p>
                          <w:p w14:paraId="51BDEFCD" w14:textId="2FEFF37E" w:rsidR="00536B9B" w:rsidRPr="00BD052E" w:rsidRDefault="00536B9B" w:rsidP="00BD052E">
                            <w:pPr>
                              <w:spacing w:line="276" w:lineRule="auto"/>
                              <w:ind w:left="28" w:hanging="28"/>
                              <w:rPr>
                                <w:rFonts w:ascii="Calibri" w:hAnsi="Calibri" w:cs="Calibri"/>
                                <w:szCs w:val="18"/>
                                <w:lang w:val="en-US"/>
                              </w:rPr>
                            </w:pP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989396" id="Obdélník 199" o:spid="_x0000_s1031" style="position:absolute;left:0;text-align:left;margin-left:.05pt;margin-top:28.95pt;width:333pt;height:151.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" fillcolor="#bfbfbf [2412]" stroked="f" strokeweight="1pt">
                <v:textbox inset="3mm,3mm,3mm,3mm">
                  <w:txbxContent>
                    <w:p w14:paraId="6764AAD2" w14:textId="03EAE2A5" w:rsidR="00BD052E" w:rsidRPr="00BD052E" w:rsidRDefault="00BD052E" w:rsidP="00BD052E">
                      <w:pPr>
                        <w:spacing w:line="276" w:lineRule="auto"/>
                        <w:rPr>
                          <w:rFonts w:ascii="Calibri" w:hAnsi="Calibri" w:cs="Calibri"/>
                          <w:b/>
                          <w:sz w:val="20"/>
                          <w:szCs w:val="18"/>
                          <w:lang w:val="en-US"/>
                        </w:rPr>
                      </w:pPr>
                      <w:r w:rsidRPr="00BD052E">
                        <w:rPr>
                          <w:rFonts w:ascii="Calibri" w:hAnsi="Calibri" w:cs="Calibri"/>
                          <w:b/>
                          <w:sz w:val="20"/>
                          <w:szCs w:val="18"/>
                          <w:lang w:val="en-US"/>
                        </w:rPr>
                        <w:t>About the Czech Banking Association</w:t>
                      </w:r>
                    </w:p>
                    <w:p w14:paraId="4C1160DE" w14:textId="1BFA15DB" w:rsidR="00536B9B" w:rsidRPr="00BD052E" w:rsidRDefault="00536B9B" w:rsidP="00044002">
                      <w:pPr>
                        <w:pStyle w:val="Standard"/>
                        <w:spacing w:line="276" w:lineRule="auto"/>
                        <w:jc w:val="left"/>
                        <w:rPr>
                          <w:rFonts w:ascii="Calibri" w:hAnsi="Calibri" w:cs="Calibri"/>
                          <w:b/>
                          <w:sz w:val="20"/>
                          <w:szCs w:val="18"/>
                          <w:lang w:val="en-US"/>
                        </w:rPr>
                      </w:pPr>
                    </w:p>
                    <w:p w14:paraId="7C2B9B40" w14:textId="262F6A61" w:rsidR="00BD052E" w:rsidRPr="00BD052E" w:rsidRDefault="00BD052E" w:rsidP="00BD052E">
                      <w:pPr>
                        <w:spacing w:line="276" w:lineRule="auto"/>
                        <w:rPr>
                          <w:rFonts w:cs="Arial"/>
                          <w:b/>
                          <w:szCs w:val="18"/>
                          <w:lang w:val="en-US"/>
                        </w:rPr>
                      </w:pPr>
                      <w:r w:rsidRPr="00BD052E">
                        <w:rPr>
                          <w:rFonts w:ascii="Calibri" w:hAnsi="Calibri" w:cs="Calibri"/>
                          <w:szCs w:val="18"/>
                          <w:lang w:val="en-US"/>
                        </w:rPr>
                        <w:t xml:space="preserve">The Czech Banking Association was established in 1990; it is a voluntary association of legal entities operating in banking. It currently associates 37 members. The role of the Association is to represent and promote the common interests of its members in the first place, to present the role and the interests of banking towards the public, to participate in creating standard procedures and </w:t>
                      </w:r>
                      <w:r>
                        <w:rPr>
                          <w:rFonts w:ascii="Calibri" w:hAnsi="Calibri" w:cs="Calibri"/>
                          <w:szCs w:val="18"/>
                          <w:lang w:val="en-US"/>
                        </w:rPr>
                        <w:t xml:space="preserve">professional </w:t>
                      </w:r>
                      <w:r w:rsidRPr="00BD052E">
                        <w:rPr>
                          <w:rFonts w:ascii="Calibri" w:hAnsi="Calibri" w:cs="Calibri"/>
                          <w:szCs w:val="18"/>
                          <w:lang w:val="en-US"/>
                        </w:rPr>
                        <w:t>practices</w:t>
                      </w:r>
                      <w:r w:rsidR="003F34F2">
                        <w:rPr>
                          <w:rFonts w:ascii="Calibri" w:hAnsi="Calibri" w:cs="Calibri"/>
                          <w:szCs w:val="18"/>
                          <w:lang w:val="en-US"/>
                        </w:rPr>
                        <w:t xml:space="preserve"> in banking</w:t>
                      </w:r>
                      <w:r w:rsidRPr="00BD052E">
                        <w:rPr>
                          <w:rFonts w:ascii="Calibri" w:hAnsi="Calibri" w:cs="Calibri"/>
                          <w:szCs w:val="18"/>
                          <w:lang w:val="en-US"/>
                        </w:rPr>
                        <w:t xml:space="preserve">, to support the harmonization of the banking laws with the EU legislation and to develop activities in disseminating information and in education. The CBA is a member of the European Banking Federation and of EMMI. </w:t>
                      </w:r>
                    </w:p>
                    <w:p w14:paraId="51BDEFCD" w14:textId="2FEFF37E" w:rsidR="00536B9B" w:rsidRPr="00BD052E" w:rsidRDefault="00536B9B" w:rsidP="00BD052E">
                      <w:pPr>
                        <w:spacing w:line="276" w:lineRule="auto"/>
                        <w:ind w:left="28" w:hanging="28"/>
                        <w:rPr>
                          <w:rFonts w:ascii="Calibri" w:hAnsi="Calibri" w:cs="Calibri"/>
                          <w:szCs w:val="18"/>
                          <w:lang w:val="en-US"/>
                        </w:rPr>
                      </w:pPr>
                    </w:p>
                  </w:txbxContent>
                </v:textbox>
                <w10:wrap type="square" anchorx="margin"/>
              </v:rect>
            </w:pict>
          </mc:Fallback>
        </mc:AlternateContent>
      </w:r>
      <w:r w:rsidR="00764738">
        <w:rPr>
          <w:rFonts w:ascii="Calibri" w:eastAsiaTheme="minorEastAsia" w:hAnsi="Calibri" w:cs="Calibri"/>
          <w:lang w:val="en-US"/>
        </w:rPr>
        <w:tab/>
      </w:r>
      <w:r w:rsidR="00162BB5">
        <w:rPr>
          <w:rFonts w:ascii="Calibri" w:eastAsiaTheme="minorEastAsia" w:hAnsi="Calibri" w:cs="Calibri"/>
          <w:lang w:val="en-US"/>
        </w:rPr>
        <w:t xml:space="preserve"> </w:t>
      </w:r>
    </w:p>
    <w:p w14:paraId="35547CF8" w14:textId="054AF94F" w:rsidR="006E008E" w:rsidRPr="006E008E" w:rsidRDefault="006E008E" w:rsidP="006E008E">
      <w:pPr>
        <w:rPr>
          <w:rFonts w:ascii="Calibri" w:eastAsiaTheme="minorEastAsia" w:hAnsi="Calibri" w:cs="Calibri"/>
          <w:lang w:val="en-US"/>
        </w:rPr>
      </w:pPr>
    </w:p>
    <w:p w14:paraId="284AFC8E" w14:textId="5FC7978B" w:rsidR="006E008E" w:rsidRPr="006E008E" w:rsidRDefault="006E008E" w:rsidP="006E008E">
      <w:pPr>
        <w:rPr>
          <w:rFonts w:ascii="Calibri" w:eastAsiaTheme="minorEastAsia" w:hAnsi="Calibri" w:cs="Calibri"/>
          <w:lang w:val="en-US"/>
        </w:rPr>
      </w:pPr>
    </w:p>
    <w:p w14:paraId="070DA609" w14:textId="31A76862" w:rsidR="006E008E" w:rsidRPr="006E008E" w:rsidRDefault="006E008E" w:rsidP="006E008E">
      <w:pPr>
        <w:rPr>
          <w:rFonts w:ascii="Calibri" w:eastAsiaTheme="minorEastAsia" w:hAnsi="Calibri" w:cs="Calibri"/>
          <w:lang w:val="en-US"/>
        </w:rPr>
      </w:pPr>
    </w:p>
    <w:p w14:paraId="7E5C4B85" w14:textId="35CA17F1" w:rsidR="006E008E" w:rsidRPr="006E008E" w:rsidRDefault="006E008E" w:rsidP="006E008E">
      <w:pPr>
        <w:rPr>
          <w:rFonts w:ascii="Calibri" w:eastAsiaTheme="minorEastAsia" w:hAnsi="Calibri" w:cs="Calibri"/>
          <w:lang w:val="en-US"/>
        </w:rPr>
      </w:pPr>
    </w:p>
    <w:p w14:paraId="25053E50" w14:textId="55343AA9" w:rsidR="006E008E" w:rsidRPr="006E008E" w:rsidRDefault="006E008E" w:rsidP="006E008E">
      <w:pPr>
        <w:rPr>
          <w:rFonts w:ascii="Calibri" w:eastAsiaTheme="minorEastAsia" w:hAnsi="Calibri" w:cs="Calibri"/>
          <w:lang w:val="en-US"/>
        </w:rPr>
      </w:pPr>
    </w:p>
    <w:p w14:paraId="4FBB36B1" w14:textId="5C2E0136" w:rsidR="006E008E" w:rsidRPr="006E008E" w:rsidRDefault="006E008E" w:rsidP="006E008E">
      <w:pPr>
        <w:rPr>
          <w:rFonts w:ascii="Calibri" w:eastAsiaTheme="minorEastAsia" w:hAnsi="Calibri" w:cs="Calibri"/>
          <w:lang w:val="en-US"/>
        </w:rPr>
      </w:pPr>
    </w:p>
    <w:p w14:paraId="6BF15772" w14:textId="24B4A0A9" w:rsidR="006E008E" w:rsidRPr="006E008E" w:rsidRDefault="006E008E" w:rsidP="006E008E">
      <w:pPr>
        <w:rPr>
          <w:rFonts w:ascii="Calibri" w:eastAsiaTheme="minorEastAsia" w:hAnsi="Calibri" w:cs="Calibri"/>
          <w:lang w:val="en-US"/>
        </w:rPr>
      </w:pPr>
    </w:p>
    <w:p w14:paraId="40842AC4" w14:textId="3417FCA2" w:rsidR="006E008E" w:rsidRPr="006E008E" w:rsidRDefault="006E008E" w:rsidP="006E008E">
      <w:pPr>
        <w:tabs>
          <w:tab w:val="left" w:pos="6495"/>
        </w:tabs>
        <w:rPr>
          <w:rFonts w:ascii="Calibri" w:eastAsiaTheme="minorEastAsia" w:hAnsi="Calibri" w:cs="Calibri"/>
          <w:lang w:val="en-US"/>
        </w:rPr>
      </w:pPr>
      <w:r>
        <w:rPr>
          <w:rFonts w:ascii="Calibri" w:eastAsiaTheme="minorEastAsia" w:hAnsi="Calibri" w:cs="Calibri"/>
          <w:lang w:val="en-US"/>
        </w:rPr>
        <w:tab/>
      </w:r>
    </w:p>
    <w:p w14:paraId="4FF83747" w14:textId="453EB65C" w:rsidR="006E008E" w:rsidRPr="006E008E" w:rsidRDefault="00DE08F5" w:rsidP="00DE08F5">
      <w:pPr>
        <w:tabs>
          <w:tab w:val="left" w:pos="4320"/>
        </w:tabs>
        <w:rPr>
          <w:rFonts w:ascii="Calibri" w:eastAsiaTheme="minorEastAsia" w:hAnsi="Calibri" w:cs="Calibri"/>
          <w:lang w:val="en-US"/>
        </w:rPr>
      </w:pPr>
      <w:r>
        <w:rPr>
          <w:rFonts w:ascii="Calibri" w:eastAsiaTheme="minorEastAsia" w:hAnsi="Calibri" w:cs="Calibri"/>
          <w:lang w:val="en-US"/>
        </w:rPr>
        <w:tab/>
      </w:r>
    </w:p>
    <w:p w14:paraId="03E782F3" w14:textId="63974C97" w:rsidR="006E008E" w:rsidRPr="006E008E" w:rsidRDefault="006E008E" w:rsidP="006E008E">
      <w:pPr>
        <w:rPr>
          <w:rFonts w:ascii="Calibri" w:eastAsiaTheme="minorEastAsia" w:hAnsi="Calibri" w:cs="Calibri"/>
          <w:lang w:val="en-US"/>
        </w:rPr>
      </w:pPr>
    </w:p>
    <w:p w14:paraId="3E62178D" w14:textId="542E5CE1" w:rsidR="006E008E" w:rsidRPr="006E008E" w:rsidRDefault="006E008E" w:rsidP="006E008E">
      <w:pPr>
        <w:rPr>
          <w:rFonts w:ascii="Calibri" w:eastAsiaTheme="minorEastAsia" w:hAnsi="Calibri" w:cs="Calibri"/>
          <w:lang w:val="en-US"/>
        </w:rPr>
      </w:pPr>
    </w:p>
    <w:p w14:paraId="11AE09B8" w14:textId="5CB7937C" w:rsidR="006E008E" w:rsidRPr="006E008E" w:rsidRDefault="006E008E" w:rsidP="006E008E">
      <w:pPr>
        <w:rPr>
          <w:rFonts w:ascii="Calibri" w:eastAsiaTheme="minorEastAsia" w:hAnsi="Calibri" w:cs="Calibri"/>
          <w:lang w:val="en-US"/>
        </w:rPr>
      </w:pPr>
    </w:p>
    <w:p w14:paraId="09A1EC5E" w14:textId="23F59057" w:rsidR="006E008E" w:rsidRPr="006E008E" w:rsidRDefault="006E008E" w:rsidP="006E008E">
      <w:pPr>
        <w:rPr>
          <w:rFonts w:ascii="Calibri" w:eastAsiaTheme="minorEastAsia" w:hAnsi="Calibri" w:cs="Calibri"/>
          <w:lang w:val="en-US"/>
        </w:rPr>
      </w:pPr>
    </w:p>
    <w:p w14:paraId="1EAF2A4E" w14:textId="40F6BDDD" w:rsidR="006E008E" w:rsidRPr="006E008E" w:rsidRDefault="006E008E" w:rsidP="006E008E">
      <w:pPr>
        <w:rPr>
          <w:rFonts w:ascii="Calibri" w:eastAsiaTheme="minorEastAsia" w:hAnsi="Calibri" w:cs="Calibri"/>
          <w:lang w:val="en-US"/>
        </w:rPr>
      </w:pPr>
    </w:p>
    <w:p w14:paraId="54DEA4B8" w14:textId="7C621416" w:rsidR="006E008E" w:rsidRPr="006E008E" w:rsidRDefault="006E008E" w:rsidP="006E008E">
      <w:pPr>
        <w:rPr>
          <w:rFonts w:ascii="Calibri" w:eastAsiaTheme="minorEastAsia" w:hAnsi="Calibri" w:cs="Calibri"/>
          <w:lang w:val="en-US"/>
        </w:rPr>
      </w:pPr>
    </w:p>
    <w:p w14:paraId="59A989C0" w14:textId="58166B08" w:rsidR="006E008E" w:rsidRPr="006E008E" w:rsidRDefault="006E008E" w:rsidP="006E008E">
      <w:pPr>
        <w:rPr>
          <w:rFonts w:ascii="Calibri" w:eastAsiaTheme="minorEastAsia" w:hAnsi="Calibri" w:cs="Calibri"/>
          <w:lang w:val="en-US"/>
        </w:rPr>
      </w:pPr>
    </w:p>
    <w:p w14:paraId="6F14FB67" w14:textId="12FD9508" w:rsidR="006E008E" w:rsidRPr="006E008E" w:rsidRDefault="006E008E" w:rsidP="006E008E">
      <w:pPr>
        <w:rPr>
          <w:rFonts w:ascii="Calibri" w:eastAsiaTheme="minorEastAsia" w:hAnsi="Calibri" w:cs="Calibri"/>
          <w:lang w:val="en-US"/>
        </w:rPr>
      </w:pPr>
    </w:p>
    <w:p w14:paraId="254B1C10" w14:textId="4D806894" w:rsidR="006E008E" w:rsidRPr="006E008E" w:rsidRDefault="006E008E" w:rsidP="006E008E">
      <w:pPr>
        <w:rPr>
          <w:rFonts w:ascii="Calibri" w:eastAsiaTheme="minorEastAsia" w:hAnsi="Calibri" w:cs="Calibri"/>
          <w:lang w:val="en-US"/>
        </w:rPr>
      </w:pPr>
    </w:p>
    <w:p w14:paraId="5238DCA4" w14:textId="6A75687A" w:rsidR="006E008E" w:rsidRPr="006E008E" w:rsidRDefault="006E008E" w:rsidP="006E008E">
      <w:pPr>
        <w:rPr>
          <w:rFonts w:ascii="Calibri" w:eastAsiaTheme="minorEastAsia" w:hAnsi="Calibri" w:cs="Calibri"/>
          <w:lang w:val="en-US"/>
        </w:rPr>
      </w:pPr>
    </w:p>
    <w:p w14:paraId="3535F58D" w14:textId="7219E4E8" w:rsidR="006E008E" w:rsidRPr="006E008E" w:rsidRDefault="006E008E" w:rsidP="006E008E">
      <w:pPr>
        <w:rPr>
          <w:rFonts w:ascii="Calibri" w:eastAsiaTheme="minorEastAsia" w:hAnsi="Calibri" w:cs="Calibri"/>
          <w:lang w:val="en-US"/>
        </w:rPr>
      </w:pPr>
    </w:p>
    <w:p w14:paraId="666F8B72" w14:textId="6045754B" w:rsidR="006E008E" w:rsidRPr="006E008E" w:rsidRDefault="006E008E" w:rsidP="006E008E">
      <w:pPr>
        <w:rPr>
          <w:rFonts w:ascii="Calibri" w:eastAsiaTheme="minorEastAsia" w:hAnsi="Calibri" w:cs="Calibri"/>
          <w:lang w:val="en-US"/>
        </w:rPr>
      </w:pPr>
    </w:p>
    <w:p w14:paraId="63B1B920" w14:textId="77777777" w:rsidR="006E008E" w:rsidRPr="006E008E" w:rsidRDefault="006E008E" w:rsidP="006E008E">
      <w:pPr>
        <w:rPr>
          <w:rFonts w:ascii="Calibri" w:eastAsiaTheme="minorEastAsia" w:hAnsi="Calibri" w:cs="Calibri"/>
          <w:lang w:val="en-US"/>
        </w:rPr>
      </w:pPr>
    </w:p>
    <w:sectPr w:rsidR="006E008E" w:rsidRPr="006E008E" w:rsidSect="00EB6C50">
      <w:headerReference w:type="default" r:id="rId8"/>
      <w:footerReference w:type="default" r:id="rId9"/>
      <w:pgSz w:w="11906" w:h="16838"/>
      <w:pgMar w:top="2552" w:right="851" w:bottom="1418" w:left="851" w:header="680"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D2F26" w14:textId="77777777" w:rsidR="007A7D83" w:rsidRDefault="007A7D83" w:rsidP="00F573F1">
      <w:r>
        <w:separator/>
      </w:r>
    </w:p>
  </w:endnote>
  <w:endnote w:type="continuationSeparator" w:id="0">
    <w:p w14:paraId="5F5AAB17" w14:textId="77777777" w:rsidR="007A7D83" w:rsidRDefault="007A7D83" w:rsidP="00F573F1">
      <w:r>
        <w:continuationSeparator/>
      </w:r>
    </w:p>
  </w:endnote>
  <w:endnote w:type="continuationNotice" w:id="1">
    <w:p w14:paraId="3F9484E1" w14:textId="77777777" w:rsidR="007A7D83" w:rsidRDefault="007A7D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EE"/>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w:hAnsi="Calibri" w:cs="Calibri"/>
        <w:szCs w:val="18"/>
      </w:rPr>
      <w:id w:val="1149944182"/>
      <w:docPartObj>
        <w:docPartGallery w:val="Page Numbers (Bottom of Page)"/>
        <w:docPartUnique/>
      </w:docPartObj>
    </w:sdtPr>
    <w:sdtEndPr/>
    <w:sdtContent>
      <w:sdt>
        <w:sdtPr>
          <w:rPr>
            <w:rFonts w:ascii="Calibri" w:hAnsi="Calibri" w:cs="Calibri"/>
            <w:szCs w:val="18"/>
          </w:rPr>
          <w:id w:val="-1769616900"/>
          <w:docPartObj>
            <w:docPartGallery w:val="Page Numbers (Top of Page)"/>
            <w:docPartUnique/>
          </w:docPartObj>
        </w:sdtPr>
        <w:sdtEndPr/>
        <w:sdtContent>
          <w:p w14:paraId="7854F1F5" w14:textId="72C4A257" w:rsidR="00F37DC9" w:rsidRPr="00F37DC9" w:rsidRDefault="00F37DC9">
            <w:pPr>
              <w:pStyle w:val="Footer"/>
              <w:jc w:val="right"/>
              <w:rPr>
                <w:rFonts w:ascii="Calibri" w:hAnsi="Calibri" w:cs="Calibri"/>
                <w:szCs w:val="18"/>
              </w:rPr>
            </w:pPr>
            <w:r w:rsidRPr="006F4936">
              <w:rPr>
                <w:rFonts w:ascii="Calibri" w:hAnsi="Calibri"/>
                <w:noProof/>
                <w:szCs w:val="18"/>
                <w:lang w:val="en-GB"/>
              </w:rPr>
              <w:drawing>
                <wp:anchor distT="0" distB="0" distL="114300" distR="114300" simplePos="0" relativeHeight="251665408" behindDoc="0" locked="0" layoutInCell="1" allowOverlap="1" wp14:anchorId="40EC3339" wp14:editId="625B1AC4">
                  <wp:simplePos x="0" y="0"/>
                  <wp:positionH relativeFrom="column">
                    <wp:posOffset>-541020</wp:posOffset>
                  </wp:positionH>
                  <wp:positionV relativeFrom="paragraph">
                    <wp:posOffset>-137160</wp:posOffset>
                  </wp:positionV>
                  <wp:extent cx="3042285" cy="701040"/>
                  <wp:effectExtent l="0" t="0" r="5715" b="0"/>
                  <wp:wrapNone/>
                  <wp:docPr id="12"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1" cstate="print">
                            <a:extLst>
                              <a:ext uri="{28A0092B-C50C-407E-A947-70E740481C1C}">
                                <a14:useLocalDpi xmlns:a14="http://schemas.microsoft.com/office/drawing/2010/main" val="0"/>
                              </a:ext>
                            </a:extLst>
                          </a:blip>
                          <a:srcRect l="-1309" t="94992" r="61095" b="-1544"/>
                          <a:stretch/>
                        </pic:blipFill>
                        <pic:spPr bwMode="auto">
                          <a:xfrm>
                            <a:off x="0" y="0"/>
                            <a:ext cx="3042285" cy="701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F4936" w:rsidRPr="006F4936">
              <w:rPr>
                <w:rFonts w:ascii="Calibri" w:hAnsi="Calibri" w:cs="Calibri"/>
                <w:szCs w:val="18"/>
                <w:lang w:val="en-GB"/>
              </w:rPr>
              <w:t>Page</w:t>
            </w:r>
            <w:r w:rsidRPr="006F4936">
              <w:rPr>
                <w:rFonts w:ascii="Calibri" w:hAnsi="Calibri" w:cs="Calibri"/>
                <w:szCs w:val="18"/>
                <w:lang w:val="en-GB"/>
              </w:rPr>
              <w:t xml:space="preserve"> </w:t>
            </w:r>
            <w:r w:rsidRPr="006F4936">
              <w:rPr>
                <w:rFonts w:ascii="Calibri" w:hAnsi="Calibri" w:cs="Calibri"/>
                <w:b/>
                <w:bCs/>
                <w:szCs w:val="18"/>
                <w:lang w:val="en-GB"/>
              </w:rPr>
              <w:fldChar w:fldCharType="begin"/>
            </w:r>
            <w:r w:rsidRPr="006F4936">
              <w:rPr>
                <w:rFonts w:ascii="Calibri" w:hAnsi="Calibri" w:cs="Calibri"/>
                <w:b/>
                <w:bCs/>
                <w:szCs w:val="18"/>
                <w:lang w:val="en-GB"/>
              </w:rPr>
              <w:instrText>PAGE</w:instrText>
            </w:r>
            <w:r w:rsidRPr="006F4936">
              <w:rPr>
                <w:rFonts w:ascii="Calibri" w:hAnsi="Calibri" w:cs="Calibri"/>
                <w:b/>
                <w:bCs/>
                <w:szCs w:val="18"/>
                <w:lang w:val="en-GB"/>
              </w:rPr>
              <w:fldChar w:fldCharType="separate"/>
            </w:r>
            <w:r w:rsidRPr="006F4936">
              <w:rPr>
                <w:rFonts w:ascii="Calibri" w:hAnsi="Calibri" w:cs="Calibri"/>
                <w:b/>
                <w:bCs/>
                <w:szCs w:val="18"/>
                <w:lang w:val="en-GB"/>
              </w:rPr>
              <w:t>2</w:t>
            </w:r>
            <w:r w:rsidRPr="006F4936">
              <w:rPr>
                <w:rFonts w:ascii="Calibri" w:hAnsi="Calibri" w:cs="Calibri"/>
                <w:b/>
                <w:bCs/>
                <w:szCs w:val="18"/>
                <w:lang w:val="en-GB"/>
              </w:rPr>
              <w:fldChar w:fldCharType="end"/>
            </w:r>
            <w:r w:rsidRPr="006F4936">
              <w:rPr>
                <w:rFonts w:ascii="Calibri" w:hAnsi="Calibri" w:cs="Calibri"/>
                <w:szCs w:val="18"/>
                <w:lang w:val="en-GB"/>
              </w:rPr>
              <w:t xml:space="preserve"> </w:t>
            </w:r>
            <w:r w:rsidR="006F4936" w:rsidRPr="006F4936">
              <w:rPr>
                <w:rFonts w:ascii="Calibri" w:hAnsi="Calibri" w:cs="Calibri"/>
                <w:szCs w:val="18"/>
                <w:lang w:val="en-GB"/>
              </w:rPr>
              <w:t xml:space="preserve">of </w:t>
            </w:r>
            <w:r w:rsidRPr="006F4936">
              <w:rPr>
                <w:rFonts w:ascii="Calibri" w:hAnsi="Calibri" w:cs="Calibri"/>
                <w:szCs w:val="18"/>
                <w:lang w:val="en-GB"/>
              </w:rPr>
              <w:t xml:space="preserve"> </w:t>
            </w:r>
            <w:r w:rsidRPr="006F4936">
              <w:rPr>
                <w:rFonts w:ascii="Calibri" w:hAnsi="Calibri" w:cs="Calibri"/>
                <w:b/>
                <w:bCs/>
                <w:szCs w:val="18"/>
                <w:lang w:val="en-GB"/>
              </w:rPr>
              <w:fldChar w:fldCharType="begin"/>
            </w:r>
            <w:r w:rsidRPr="006F4936">
              <w:rPr>
                <w:rFonts w:ascii="Calibri" w:hAnsi="Calibri" w:cs="Calibri"/>
                <w:b/>
                <w:bCs/>
                <w:szCs w:val="18"/>
                <w:lang w:val="en-GB"/>
              </w:rPr>
              <w:instrText>NUMPAGES</w:instrText>
            </w:r>
            <w:r w:rsidRPr="006F4936">
              <w:rPr>
                <w:rFonts w:ascii="Calibri" w:hAnsi="Calibri" w:cs="Calibri"/>
                <w:b/>
                <w:bCs/>
                <w:szCs w:val="18"/>
                <w:lang w:val="en-GB"/>
              </w:rPr>
              <w:fldChar w:fldCharType="separate"/>
            </w:r>
            <w:r w:rsidRPr="006F4936">
              <w:rPr>
                <w:rFonts w:ascii="Calibri" w:hAnsi="Calibri" w:cs="Calibri"/>
                <w:b/>
                <w:bCs/>
                <w:szCs w:val="18"/>
                <w:lang w:val="en-GB"/>
              </w:rPr>
              <w:t>2</w:t>
            </w:r>
            <w:r w:rsidRPr="006F4936">
              <w:rPr>
                <w:rFonts w:ascii="Calibri" w:hAnsi="Calibri" w:cs="Calibri"/>
                <w:b/>
                <w:bCs/>
                <w:szCs w:val="18"/>
                <w:lang w:val="en-GB"/>
              </w:rPr>
              <w:fldChar w:fldCharType="end"/>
            </w:r>
          </w:p>
        </w:sdtContent>
      </w:sdt>
    </w:sdtContent>
  </w:sdt>
  <w:p w14:paraId="6B2FBE8E" w14:textId="77777777" w:rsidR="00536B9B" w:rsidRPr="00FB4A1C" w:rsidRDefault="00536B9B" w:rsidP="00FB4A1C">
    <w:pPr>
      <w:pStyle w:val="Footer"/>
      <w:tabs>
        <w:tab w:val="clear" w:pos="4536"/>
        <w:tab w:val="clear" w:pos="9072"/>
        <w:tab w:val="left" w:pos="6080"/>
      </w:tabs>
      <w:rPr>
        <w:color w:val="A6A6A6" w:themeColor="background1" w:themeShade="A6"/>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C02449" w14:textId="77777777" w:rsidR="007A7D83" w:rsidRDefault="007A7D83" w:rsidP="00F573F1">
      <w:r>
        <w:separator/>
      </w:r>
    </w:p>
  </w:footnote>
  <w:footnote w:type="continuationSeparator" w:id="0">
    <w:p w14:paraId="6205094C" w14:textId="77777777" w:rsidR="007A7D83" w:rsidRDefault="007A7D83" w:rsidP="00F573F1">
      <w:r>
        <w:continuationSeparator/>
      </w:r>
    </w:p>
  </w:footnote>
  <w:footnote w:type="continuationNotice" w:id="1">
    <w:p w14:paraId="74FA14C0" w14:textId="77777777" w:rsidR="007A7D83" w:rsidRDefault="007A7D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D6A72" w14:textId="612DBF70" w:rsidR="00F37DC9" w:rsidRDefault="00F37DC9" w:rsidP="00F37DC9">
    <w:pPr>
      <w:pStyle w:val="Header"/>
    </w:pPr>
    <w:r>
      <w:rPr>
        <w:noProof/>
      </w:rPr>
      <w:drawing>
        <wp:anchor distT="0" distB="0" distL="114300" distR="114300" simplePos="0" relativeHeight="251661312" behindDoc="0" locked="0" layoutInCell="1" allowOverlap="1" wp14:anchorId="12F98975" wp14:editId="0A1B12AB">
          <wp:simplePos x="0" y="0"/>
          <wp:positionH relativeFrom="column">
            <wp:posOffset>-52705</wp:posOffset>
          </wp:positionH>
          <wp:positionV relativeFrom="paragraph">
            <wp:posOffset>29845</wp:posOffset>
          </wp:positionV>
          <wp:extent cx="2209800" cy="778510"/>
          <wp:effectExtent l="0" t="0" r="0" b="2540"/>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78510"/>
                  </a:xfrm>
                  <a:prstGeom prst="rect">
                    <a:avLst/>
                  </a:prstGeom>
                  <a:noFill/>
                  <a:ln>
                    <a:noFill/>
                  </a:ln>
                </pic:spPr>
              </pic:pic>
            </a:graphicData>
          </a:graphic>
        </wp:anchor>
      </w:drawing>
    </w:r>
    <w:r>
      <w:rPr>
        <w:noProof/>
      </w:rPr>
      <w:drawing>
        <wp:anchor distT="0" distB="0" distL="114300" distR="114300" simplePos="0" relativeHeight="251663360" behindDoc="1" locked="0" layoutInCell="1" allowOverlap="1" wp14:anchorId="4BA7D056" wp14:editId="7FF03F24">
          <wp:simplePos x="0" y="0"/>
          <wp:positionH relativeFrom="column">
            <wp:posOffset>3985895</wp:posOffset>
          </wp:positionH>
          <wp:positionV relativeFrom="paragraph">
            <wp:posOffset>-8255</wp:posOffset>
          </wp:positionV>
          <wp:extent cx="2943225" cy="243840"/>
          <wp:effectExtent l="0" t="0" r="9525" b="381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jpg"/>
                  <pic:cNvPicPr/>
                </pic:nvPicPr>
                <pic:blipFill rotWithShape="1">
                  <a:blip r:embed="rId2" cstate="print">
                    <a:extLst>
                      <a:ext uri="{28A0092B-C50C-407E-A947-70E740481C1C}">
                        <a14:useLocalDpi xmlns:a14="http://schemas.microsoft.com/office/drawing/2010/main" val="0"/>
                      </a:ext>
                    </a:extLst>
                  </a:blip>
                  <a:srcRect t="94992" r="61096" b="2729"/>
                  <a:stretch/>
                </pic:blipFill>
                <pic:spPr bwMode="auto">
                  <a:xfrm>
                    <a:off x="0" y="0"/>
                    <a:ext cx="2943225" cy="2438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617EE12" w14:textId="63210BB6" w:rsidR="00F37DC9" w:rsidRDefault="00F37DC9">
    <w:pPr>
      <w:pStyle w:val="Header"/>
    </w:pPr>
    <w:r w:rsidRPr="00F615BD">
      <w:rPr>
        <w:noProof/>
        <w:lang w:val="en-GB" w:eastAsia="en-GB"/>
      </w:rPr>
      <mc:AlternateContent>
        <mc:Choice Requires="wps">
          <w:drawing>
            <wp:anchor distT="45720" distB="45720" distL="114300" distR="114300" simplePos="0" relativeHeight="251659264" behindDoc="0" locked="0" layoutInCell="1" allowOverlap="1" wp14:anchorId="05CB3763" wp14:editId="0D54C2D8">
              <wp:simplePos x="0" y="0"/>
              <wp:positionH relativeFrom="margin">
                <wp:posOffset>5289974</wp:posOffset>
              </wp:positionH>
              <wp:positionV relativeFrom="paragraph">
                <wp:posOffset>6985</wp:posOffset>
              </wp:positionV>
              <wp:extent cx="1239520" cy="1404620"/>
              <wp:effectExtent l="0" t="0" r="0" b="0"/>
              <wp:wrapNone/>
              <wp:docPr id="20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520" cy="1404620"/>
                      </a:xfrm>
                      <a:prstGeom prst="rect">
                        <a:avLst/>
                      </a:prstGeom>
                      <a:noFill/>
                      <a:ln w="9525">
                        <a:noFill/>
                        <a:miter lim="800000"/>
                        <a:headEnd/>
                        <a:tailEnd/>
                      </a:ln>
                    </wps:spPr>
                    <wps:txbx>
                      <w:txbxContent>
                        <w:p w14:paraId="49CD1CFE" w14:textId="43986C4C" w:rsidR="00F37DC9" w:rsidRPr="00F37DC9" w:rsidRDefault="00686C6F" w:rsidP="00F37DC9">
                          <w:pPr>
                            <w:spacing w:line="276" w:lineRule="auto"/>
                            <w:jc w:val="right"/>
                            <w:rPr>
                              <w:rFonts w:ascii="Calibri" w:hAnsi="Calibri" w:cs="Calibri"/>
                              <w:b/>
                              <w:color w:val="13576B"/>
                              <w:sz w:val="22"/>
                              <w:szCs w:val="24"/>
                            </w:rPr>
                          </w:pPr>
                          <w:r>
                            <w:rPr>
                              <w:rFonts w:ascii="Calibri" w:hAnsi="Calibri" w:cs="Calibri"/>
                              <w:b/>
                              <w:color w:val="13576B"/>
                              <w:sz w:val="22"/>
                              <w:szCs w:val="24"/>
                            </w:rPr>
                            <w:t>PRESS RELEASE</w:t>
                          </w:r>
                        </w:p>
                        <w:p w14:paraId="5CDE064D" w14:textId="026D24BA" w:rsidR="00F37DC9" w:rsidRPr="000607E6" w:rsidRDefault="00F37DC9" w:rsidP="00F37DC9">
                          <w:pPr>
                            <w:spacing w:line="276" w:lineRule="auto"/>
                            <w:jc w:val="right"/>
                            <w:rPr>
                              <w:rFonts w:ascii="Calibri" w:hAnsi="Calibri" w:cs="Calibri"/>
                              <w:b/>
                              <w:color w:val="13576B"/>
                              <w:sz w:val="20"/>
                              <w:lang w:val="en-GB"/>
                            </w:rPr>
                          </w:pPr>
                          <w:r w:rsidRPr="000607E6">
                            <w:rPr>
                              <w:rFonts w:ascii="Calibri" w:hAnsi="Calibri" w:cs="Calibri"/>
                              <w:color w:val="13576B"/>
                              <w:sz w:val="20"/>
                              <w:lang w:val="en-GB"/>
                            </w:rPr>
                            <w:t>1</w:t>
                          </w:r>
                          <w:r w:rsidR="0052644D" w:rsidRPr="000607E6">
                            <w:rPr>
                              <w:rFonts w:ascii="Calibri" w:hAnsi="Calibri" w:cs="Calibri"/>
                              <w:color w:val="13576B"/>
                              <w:sz w:val="20"/>
                              <w:lang w:val="en-GB"/>
                            </w:rPr>
                            <w:t>1</w:t>
                          </w:r>
                          <w:r w:rsidR="00686C6F" w:rsidRPr="000607E6">
                            <w:rPr>
                              <w:rFonts w:ascii="Calibri" w:hAnsi="Calibri" w:cs="Calibri"/>
                              <w:color w:val="13576B"/>
                              <w:sz w:val="20"/>
                              <w:lang w:val="en-GB"/>
                            </w:rPr>
                            <w:t xml:space="preserve"> Nov</w:t>
                          </w:r>
                          <w:r w:rsidR="000607E6" w:rsidRPr="000607E6">
                            <w:rPr>
                              <w:rFonts w:ascii="Calibri" w:hAnsi="Calibri" w:cs="Calibri"/>
                              <w:color w:val="13576B"/>
                              <w:sz w:val="20"/>
                              <w:lang w:val="en-GB"/>
                            </w:rPr>
                            <w:t>ember</w:t>
                          </w:r>
                          <w:r w:rsidRPr="000607E6">
                            <w:rPr>
                              <w:rFonts w:ascii="Calibri" w:hAnsi="Calibri" w:cs="Calibri"/>
                              <w:color w:val="13576B"/>
                              <w:sz w:val="20"/>
                              <w:lang w:val="en-GB"/>
                            </w:rPr>
                            <w:t xml:space="preserve">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CB3763" id="_x0000_t202" coordsize="21600,21600" o:spt="202" path="m,l,21600r21600,l21600,xe">
              <v:stroke joinstyle="miter"/>
              <v:path gradientshapeok="t" o:connecttype="rect"/>
            </v:shapetype>
            <v:shape id="_x0000_s1032" type="#_x0000_t202" style="position:absolute;left:0;text-align:left;margin-left:416.55pt;margin-top:.55pt;width:97.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" filled="f" stroked="f">
              <v:textbox style="mso-fit-shape-to-text:t">
                <w:txbxContent>
                  <w:p w14:paraId="49CD1CFE" w14:textId="43986C4C" w:rsidR="00F37DC9" w:rsidRPr="00F37DC9" w:rsidRDefault="00686C6F" w:rsidP="00F37DC9">
                    <w:pPr>
                      <w:spacing w:line="276" w:lineRule="auto"/>
                      <w:jc w:val="right"/>
                      <w:rPr>
                        <w:rFonts w:ascii="Calibri" w:hAnsi="Calibri" w:cs="Calibri"/>
                        <w:b/>
                        <w:color w:val="13576B"/>
                        <w:sz w:val="22"/>
                        <w:szCs w:val="24"/>
                      </w:rPr>
                    </w:pPr>
                    <w:r>
                      <w:rPr>
                        <w:rFonts w:ascii="Calibri" w:hAnsi="Calibri" w:cs="Calibri"/>
                        <w:b/>
                        <w:color w:val="13576B"/>
                        <w:sz w:val="22"/>
                        <w:szCs w:val="24"/>
                      </w:rPr>
                      <w:t>PRESS RELEASE</w:t>
                    </w:r>
                  </w:p>
                  <w:p w14:paraId="5CDE064D" w14:textId="026D24BA" w:rsidR="00F37DC9" w:rsidRPr="000607E6" w:rsidRDefault="00F37DC9" w:rsidP="00F37DC9">
                    <w:pPr>
                      <w:spacing w:line="276" w:lineRule="auto"/>
                      <w:jc w:val="right"/>
                      <w:rPr>
                        <w:rFonts w:ascii="Calibri" w:hAnsi="Calibri" w:cs="Calibri"/>
                        <w:b/>
                        <w:color w:val="13576B"/>
                        <w:sz w:val="20"/>
                        <w:lang w:val="en-GB"/>
                      </w:rPr>
                    </w:pPr>
                    <w:r w:rsidRPr="000607E6">
                      <w:rPr>
                        <w:rFonts w:ascii="Calibri" w:hAnsi="Calibri" w:cs="Calibri"/>
                        <w:color w:val="13576B"/>
                        <w:sz w:val="20"/>
                        <w:lang w:val="en-GB"/>
                      </w:rPr>
                      <w:t>1</w:t>
                    </w:r>
                    <w:r w:rsidR="0052644D" w:rsidRPr="000607E6">
                      <w:rPr>
                        <w:rFonts w:ascii="Calibri" w:hAnsi="Calibri" w:cs="Calibri"/>
                        <w:color w:val="13576B"/>
                        <w:sz w:val="20"/>
                        <w:lang w:val="en-GB"/>
                      </w:rPr>
                      <w:t>1</w:t>
                    </w:r>
                    <w:r w:rsidR="00686C6F" w:rsidRPr="000607E6">
                      <w:rPr>
                        <w:rFonts w:ascii="Calibri" w:hAnsi="Calibri" w:cs="Calibri"/>
                        <w:color w:val="13576B"/>
                        <w:sz w:val="20"/>
                        <w:lang w:val="en-GB"/>
                      </w:rPr>
                      <w:t xml:space="preserve"> Nov</w:t>
                    </w:r>
                    <w:r w:rsidR="000607E6" w:rsidRPr="000607E6">
                      <w:rPr>
                        <w:rFonts w:ascii="Calibri" w:hAnsi="Calibri" w:cs="Calibri"/>
                        <w:color w:val="13576B"/>
                        <w:sz w:val="20"/>
                        <w:lang w:val="en-GB"/>
                      </w:rPr>
                      <w:t>ember</w:t>
                    </w:r>
                    <w:r w:rsidRPr="000607E6">
                      <w:rPr>
                        <w:rFonts w:ascii="Calibri" w:hAnsi="Calibri" w:cs="Calibri"/>
                        <w:color w:val="13576B"/>
                        <w:sz w:val="20"/>
                        <w:lang w:val="en-GB"/>
                      </w:rPr>
                      <w:t xml:space="preserve"> 2021</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8A7"/>
    <w:multiLevelType w:val="hybridMultilevel"/>
    <w:tmpl w:val="ADD42E08"/>
    <w:lvl w:ilvl="0" w:tplc="9B0CBF2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A615A72"/>
    <w:multiLevelType w:val="hybridMultilevel"/>
    <w:tmpl w:val="4222A8D8"/>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2" w15:restartNumberingAfterBreak="0">
    <w:nsid w:val="1BE42FC1"/>
    <w:multiLevelType w:val="hybridMultilevel"/>
    <w:tmpl w:val="C296AEE6"/>
    <w:lvl w:ilvl="0" w:tplc="B256063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 w15:restartNumberingAfterBreak="0">
    <w:nsid w:val="212C4DCE"/>
    <w:multiLevelType w:val="hybridMultilevel"/>
    <w:tmpl w:val="D4D47A08"/>
    <w:lvl w:ilvl="0" w:tplc="F062A1EA">
      <w:numFmt w:val="bullet"/>
      <w:lvlText w:val="-"/>
      <w:lvlJc w:val="left"/>
      <w:pPr>
        <w:ind w:left="720" w:hanging="360"/>
      </w:pPr>
      <w:rPr>
        <w:rFonts w:ascii="Arial" w:eastAsia="Times New Roman" w:hAnsi="Arial" w:cs="Arial"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3786F60"/>
    <w:multiLevelType w:val="hybridMultilevel"/>
    <w:tmpl w:val="3232EEBE"/>
    <w:lvl w:ilvl="0" w:tplc="491E844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A8B2CEC"/>
    <w:multiLevelType w:val="hybridMultilevel"/>
    <w:tmpl w:val="FDB00238"/>
    <w:lvl w:ilvl="0" w:tplc="BD9EF866">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44C57BCF"/>
    <w:multiLevelType w:val="hybridMultilevel"/>
    <w:tmpl w:val="3554269C"/>
    <w:lvl w:ilvl="0" w:tplc="F52C1D16">
      <w:numFmt w:val="bullet"/>
      <w:lvlText w:val="-"/>
      <w:lvlJc w:val="left"/>
      <w:pPr>
        <w:ind w:left="720" w:hanging="360"/>
      </w:pPr>
      <w:rPr>
        <w:rFonts w:ascii="Calibri" w:eastAsia="PMingLiU" w:hAnsi="Calibri" w:cs="Calibri"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84F41FF"/>
    <w:multiLevelType w:val="hybridMultilevel"/>
    <w:tmpl w:val="06ECF1A8"/>
    <w:lvl w:ilvl="0" w:tplc="7216123C">
      <w:start w:val="1"/>
      <w:numFmt w:val="bullet"/>
      <w:lvlText w:val="-"/>
      <w:lvlJc w:val="left"/>
      <w:pPr>
        <w:tabs>
          <w:tab w:val="num" w:pos="720"/>
        </w:tabs>
        <w:ind w:left="720" w:hanging="360"/>
      </w:pPr>
      <w:rPr>
        <w:rFonts w:ascii="Arial" w:hAnsi="Arial" w:hint="default"/>
      </w:rPr>
    </w:lvl>
    <w:lvl w:ilvl="1" w:tplc="D4D69B72" w:tentative="1">
      <w:start w:val="1"/>
      <w:numFmt w:val="bullet"/>
      <w:lvlText w:val="-"/>
      <w:lvlJc w:val="left"/>
      <w:pPr>
        <w:tabs>
          <w:tab w:val="num" w:pos="1440"/>
        </w:tabs>
        <w:ind w:left="1440" w:hanging="360"/>
      </w:pPr>
      <w:rPr>
        <w:rFonts w:ascii="Arial" w:hAnsi="Arial" w:hint="default"/>
      </w:rPr>
    </w:lvl>
    <w:lvl w:ilvl="2" w:tplc="F4A4DA8A" w:tentative="1">
      <w:start w:val="1"/>
      <w:numFmt w:val="bullet"/>
      <w:lvlText w:val="-"/>
      <w:lvlJc w:val="left"/>
      <w:pPr>
        <w:tabs>
          <w:tab w:val="num" w:pos="2160"/>
        </w:tabs>
        <w:ind w:left="2160" w:hanging="360"/>
      </w:pPr>
      <w:rPr>
        <w:rFonts w:ascii="Arial" w:hAnsi="Arial" w:hint="default"/>
      </w:rPr>
    </w:lvl>
    <w:lvl w:ilvl="3" w:tplc="992E1B1C" w:tentative="1">
      <w:start w:val="1"/>
      <w:numFmt w:val="bullet"/>
      <w:lvlText w:val="-"/>
      <w:lvlJc w:val="left"/>
      <w:pPr>
        <w:tabs>
          <w:tab w:val="num" w:pos="2880"/>
        </w:tabs>
        <w:ind w:left="2880" w:hanging="360"/>
      </w:pPr>
      <w:rPr>
        <w:rFonts w:ascii="Arial" w:hAnsi="Arial" w:hint="default"/>
      </w:rPr>
    </w:lvl>
    <w:lvl w:ilvl="4" w:tplc="87344526" w:tentative="1">
      <w:start w:val="1"/>
      <w:numFmt w:val="bullet"/>
      <w:lvlText w:val="-"/>
      <w:lvlJc w:val="left"/>
      <w:pPr>
        <w:tabs>
          <w:tab w:val="num" w:pos="3600"/>
        </w:tabs>
        <w:ind w:left="3600" w:hanging="360"/>
      </w:pPr>
      <w:rPr>
        <w:rFonts w:ascii="Arial" w:hAnsi="Arial" w:hint="default"/>
      </w:rPr>
    </w:lvl>
    <w:lvl w:ilvl="5" w:tplc="48FEB5AE" w:tentative="1">
      <w:start w:val="1"/>
      <w:numFmt w:val="bullet"/>
      <w:lvlText w:val="-"/>
      <w:lvlJc w:val="left"/>
      <w:pPr>
        <w:tabs>
          <w:tab w:val="num" w:pos="4320"/>
        </w:tabs>
        <w:ind w:left="4320" w:hanging="360"/>
      </w:pPr>
      <w:rPr>
        <w:rFonts w:ascii="Arial" w:hAnsi="Arial" w:hint="default"/>
      </w:rPr>
    </w:lvl>
    <w:lvl w:ilvl="6" w:tplc="53A2F4D2" w:tentative="1">
      <w:start w:val="1"/>
      <w:numFmt w:val="bullet"/>
      <w:lvlText w:val="-"/>
      <w:lvlJc w:val="left"/>
      <w:pPr>
        <w:tabs>
          <w:tab w:val="num" w:pos="5040"/>
        </w:tabs>
        <w:ind w:left="5040" w:hanging="360"/>
      </w:pPr>
      <w:rPr>
        <w:rFonts w:ascii="Arial" w:hAnsi="Arial" w:hint="default"/>
      </w:rPr>
    </w:lvl>
    <w:lvl w:ilvl="7" w:tplc="AEA686B4" w:tentative="1">
      <w:start w:val="1"/>
      <w:numFmt w:val="bullet"/>
      <w:lvlText w:val="-"/>
      <w:lvlJc w:val="left"/>
      <w:pPr>
        <w:tabs>
          <w:tab w:val="num" w:pos="5760"/>
        </w:tabs>
        <w:ind w:left="5760" w:hanging="360"/>
      </w:pPr>
      <w:rPr>
        <w:rFonts w:ascii="Arial" w:hAnsi="Arial" w:hint="default"/>
      </w:rPr>
    </w:lvl>
    <w:lvl w:ilvl="8" w:tplc="0F3A898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FF3628E"/>
    <w:multiLevelType w:val="hybridMultilevel"/>
    <w:tmpl w:val="771602E6"/>
    <w:lvl w:ilvl="0" w:tplc="30548F9A">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39763A7"/>
    <w:multiLevelType w:val="hybridMultilevel"/>
    <w:tmpl w:val="F904BEEC"/>
    <w:lvl w:ilvl="0" w:tplc="E0A2536E">
      <w:start w:val="202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F137D7D"/>
    <w:multiLevelType w:val="hybridMultilevel"/>
    <w:tmpl w:val="F856C146"/>
    <w:lvl w:ilvl="0" w:tplc="F37A31CE">
      <w:start w:val="10"/>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15:restartNumberingAfterBreak="0">
    <w:nsid w:val="6FA73130"/>
    <w:multiLevelType w:val="hybridMultilevel"/>
    <w:tmpl w:val="65281904"/>
    <w:lvl w:ilvl="0" w:tplc="DF56ABD4">
      <w:start w:val="11"/>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B26451B"/>
    <w:multiLevelType w:val="hybridMultilevel"/>
    <w:tmpl w:val="C1DEF65C"/>
    <w:lvl w:ilvl="0" w:tplc="0E7285A0">
      <w:numFmt w:val="bullet"/>
      <w:lvlText w:val="-"/>
      <w:lvlJc w:val="left"/>
      <w:pPr>
        <w:ind w:left="36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0"/>
  </w:num>
  <w:num w:numId="4">
    <w:abstractNumId w:val="7"/>
  </w:num>
  <w:num w:numId="5">
    <w:abstractNumId w:val="3"/>
  </w:num>
  <w:num w:numId="6">
    <w:abstractNumId w:val="4"/>
  </w:num>
  <w:num w:numId="7">
    <w:abstractNumId w:val="6"/>
  </w:num>
  <w:num w:numId="8">
    <w:abstractNumId w:val="12"/>
  </w:num>
  <w:num w:numId="9">
    <w:abstractNumId w:val="0"/>
  </w:num>
  <w:num w:numId="10">
    <w:abstractNumId w:val="9"/>
  </w:num>
  <w:num w:numId="11">
    <w:abstractNumId w:val="8"/>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943"/>
    <w:rsid w:val="00000169"/>
    <w:rsid w:val="00001E30"/>
    <w:rsid w:val="00004B58"/>
    <w:rsid w:val="00006087"/>
    <w:rsid w:val="00014977"/>
    <w:rsid w:val="0001513F"/>
    <w:rsid w:val="000162B2"/>
    <w:rsid w:val="00017461"/>
    <w:rsid w:val="00017F00"/>
    <w:rsid w:val="00023000"/>
    <w:rsid w:val="00026596"/>
    <w:rsid w:val="000349D8"/>
    <w:rsid w:val="000366C2"/>
    <w:rsid w:val="00036DD3"/>
    <w:rsid w:val="000419CA"/>
    <w:rsid w:val="00042ECE"/>
    <w:rsid w:val="00044002"/>
    <w:rsid w:val="00055376"/>
    <w:rsid w:val="000607E6"/>
    <w:rsid w:val="00062A8A"/>
    <w:rsid w:val="00066333"/>
    <w:rsid w:val="0007096D"/>
    <w:rsid w:val="00071B9F"/>
    <w:rsid w:val="000766D5"/>
    <w:rsid w:val="0008238B"/>
    <w:rsid w:val="00082CD7"/>
    <w:rsid w:val="00082E1D"/>
    <w:rsid w:val="000831A0"/>
    <w:rsid w:val="000861A3"/>
    <w:rsid w:val="00087849"/>
    <w:rsid w:val="00087A3D"/>
    <w:rsid w:val="00092ACE"/>
    <w:rsid w:val="00097B97"/>
    <w:rsid w:val="000A086B"/>
    <w:rsid w:val="000A1E1A"/>
    <w:rsid w:val="000A1EA1"/>
    <w:rsid w:val="000A2EC0"/>
    <w:rsid w:val="000A337A"/>
    <w:rsid w:val="000A461E"/>
    <w:rsid w:val="000A6730"/>
    <w:rsid w:val="000B1B0C"/>
    <w:rsid w:val="000B27C5"/>
    <w:rsid w:val="000B4814"/>
    <w:rsid w:val="000B6BEC"/>
    <w:rsid w:val="000C1155"/>
    <w:rsid w:val="000C1D98"/>
    <w:rsid w:val="000C552C"/>
    <w:rsid w:val="000D1977"/>
    <w:rsid w:val="000D2B81"/>
    <w:rsid w:val="000D5D2B"/>
    <w:rsid w:val="000D7C38"/>
    <w:rsid w:val="000E1A02"/>
    <w:rsid w:val="000E1DF8"/>
    <w:rsid w:val="000E3A69"/>
    <w:rsid w:val="000E5E2A"/>
    <w:rsid w:val="000E7086"/>
    <w:rsid w:val="000F34A7"/>
    <w:rsid w:val="000F790F"/>
    <w:rsid w:val="00100B73"/>
    <w:rsid w:val="001045A6"/>
    <w:rsid w:val="00104F4F"/>
    <w:rsid w:val="00105C84"/>
    <w:rsid w:val="0011443F"/>
    <w:rsid w:val="00114D42"/>
    <w:rsid w:val="00115379"/>
    <w:rsid w:val="00115462"/>
    <w:rsid w:val="00116425"/>
    <w:rsid w:val="0012304F"/>
    <w:rsid w:val="00124A05"/>
    <w:rsid w:val="00125474"/>
    <w:rsid w:val="001262D3"/>
    <w:rsid w:val="001362D6"/>
    <w:rsid w:val="00142834"/>
    <w:rsid w:val="00142FD3"/>
    <w:rsid w:val="00146F24"/>
    <w:rsid w:val="00147E43"/>
    <w:rsid w:val="00153D1F"/>
    <w:rsid w:val="00154824"/>
    <w:rsid w:val="00156D1E"/>
    <w:rsid w:val="00156EF2"/>
    <w:rsid w:val="001607D6"/>
    <w:rsid w:val="00162BB5"/>
    <w:rsid w:val="00164D55"/>
    <w:rsid w:val="001653C3"/>
    <w:rsid w:val="00165D62"/>
    <w:rsid w:val="00166404"/>
    <w:rsid w:val="001702E8"/>
    <w:rsid w:val="00171524"/>
    <w:rsid w:val="001802DE"/>
    <w:rsid w:val="00181E55"/>
    <w:rsid w:val="001828E8"/>
    <w:rsid w:val="00183BC5"/>
    <w:rsid w:val="00186E9F"/>
    <w:rsid w:val="00190861"/>
    <w:rsid w:val="001914C2"/>
    <w:rsid w:val="00191CB2"/>
    <w:rsid w:val="00195399"/>
    <w:rsid w:val="00195C6D"/>
    <w:rsid w:val="001960B2"/>
    <w:rsid w:val="00196910"/>
    <w:rsid w:val="0019764B"/>
    <w:rsid w:val="001A0A82"/>
    <w:rsid w:val="001A7E43"/>
    <w:rsid w:val="001B44EF"/>
    <w:rsid w:val="001B4FA1"/>
    <w:rsid w:val="001B5FE5"/>
    <w:rsid w:val="001B69C3"/>
    <w:rsid w:val="001B79B9"/>
    <w:rsid w:val="001C0927"/>
    <w:rsid w:val="001C0DF4"/>
    <w:rsid w:val="001C297A"/>
    <w:rsid w:val="001C576C"/>
    <w:rsid w:val="001C7F27"/>
    <w:rsid w:val="001D20AB"/>
    <w:rsid w:val="001D5BB9"/>
    <w:rsid w:val="001E4A94"/>
    <w:rsid w:val="001E4E51"/>
    <w:rsid w:val="001E6405"/>
    <w:rsid w:val="001E6A1E"/>
    <w:rsid w:val="001F783F"/>
    <w:rsid w:val="00204762"/>
    <w:rsid w:val="002050D0"/>
    <w:rsid w:val="00214323"/>
    <w:rsid w:val="002207A6"/>
    <w:rsid w:val="00221E42"/>
    <w:rsid w:val="00224038"/>
    <w:rsid w:val="00224284"/>
    <w:rsid w:val="00224F0E"/>
    <w:rsid w:val="002401B0"/>
    <w:rsid w:val="00242192"/>
    <w:rsid w:val="00244B0F"/>
    <w:rsid w:val="00245099"/>
    <w:rsid w:val="0024553D"/>
    <w:rsid w:val="00247943"/>
    <w:rsid w:val="002511A0"/>
    <w:rsid w:val="00251963"/>
    <w:rsid w:val="00254030"/>
    <w:rsid w:val="00261512"/>
    <w:rsid w:val="00261D55"/>
    <w:rsid w:val="002624E9"/>
    <w:rsid w:val="0026344C"/>
    <w:rsid w:val="002636B5"/>
    <w:rsid w:val="00263F96"/>
    <w:rsid w:val="00266E32"/>
    <w:rsid w:val="00267813"/>
    <w:rsid w:val="00267ACA"/>
    <w:rsid w:val="00272A8E"/>
    <w:rsid w:val="0027402B"/>
    <w:rsid w:val="002878FD"/>
    <w:rsid w:val="00290030"/>
    <w:rsid w:val="002A2B40"/>
    <w:rsid w:val="002A453F"/>
    <w:rsid w:val="002A7837"/>
    <w:rsid w:val="002B273C"/>
    <w:rsid w:val="002B3725"/>
    <w:rsid w:val="002B5D56"/>
    <w:rsid w:val="002C063C"/>
    <w:rsid w:val="002C4547"/>
    <w:rsid w:val="002C4F14"/>
    <w:rsid w:val="002D12BD"/>
    <w:rsid w:val="002D1376"/>
    <w:rsid w:val="002D38E1"/>
    <w:rsid w:val="002D6354"/>
    <w:rsid w:val="002D6B03"/>
    <w:rsid w:val="002E1078"/>
    <w:rsid w:val="002E18D7"/>
    <w:rsid w:val="002E39FF"/>
    <w:rsid w:val="002E3DF7"/>
    <w:rsid w:val="002E5008"/>
    <w:rsid w:val="002E732D"/>
    <w:rsid w:val="002E7CA6"/>
    <w:rsid w:val="002F3D6C"/>
    <w:rsid w:val="002F477C"/>
    <w:rsid w:val="002F6016"/>
    <w:rsid w:val="00302451"/>
    <w:rsid w:val="00302716"/>
    <w:rsid w:val="00303D8D"/>
    <w:rsid w:val="00304E17"/>
    <w:rsid w:val="00310201"/>
    <w:rsid w:val="00310D0B"/>
    <w:rsid w:val="003123D0"/>
    <w:rsid w:val="00315BAC"/>
    <w:rsid w:val="00316A23"/>
    <w:rsid w:val="00320075"/>
    <w:rsid w:val="00320A31"/>
    <w:rsid w:val="00320E84"/>
    <w:rsid w:val="003215CA"/>
    <w:rsid w:val="00325C91"/>
    <w:rsid w:val="00327407"/>
    <w:rsid w:val="00327E59"/>
    <w:rsid w:val="003305B2"/>
    <w:rsid w:val="003366D7"/>
    <w:rsid w:val="00337931"/>
    <w:rsid w:val="003401BC"/>
    <w:rsid w:val="00343CB8"/>
    <w:rsid w:val="00346FF6"/>
    <w:rsid w:val="00355435"/>
    <w:rsid w:val="0035571B"/>
    <w:rsid w:val="00356262"/>
    <w:rsid w:val="00356279"/>
    <w:rsid w:val="00360F61"/>
    <w:rsid w:val="00362759"/>
    <w:rsid w:val="00364371"/>
    <w:rsid w:val="0036442C"/>
    <w:rsid w:val="003654CD"/>
    <w:rsid w:val="00365B2D"/>
    <w:rsid w:val="003668D4"/>
    <w:rsid w:val="00367D3B"/>
    <w:rsid w:val="00367F9E"/>
    <w:rsid w:val="0037051A"/>
    <w:rsid w:val="00370F35"/>
    <w:rsid w:val="003713E7"/>
    <w:rsid w:val="003724E9"/>
    <w:rsid w:val="003727EB"/>
    <w:rsid w:val="0037353B"/>
    <w:rsid w:val="00373D9D"/>
    <w:rsid w:val="00380C99"/>
    <w:rsid w:val="00383E25"/>
    <w:rsid w:val="00391FA6"/>
    <w:rsid w:val="003947A8"/>
    <w:rsid w:val="003952ED"/>
    <w:rsid w:val="00395434"/>
    <w:rsid w:val="003959FD"/>
    <w:rsid w:val="00397F9F"/>
    <w:rsid w:val="003A1647"/>
    <w:rsid w:val="003A30BE"/>
    <w:rsid w:val="003A5DED"/>
    <w:rsid w:val="003B61CD"/>
    <w:rsid w:val="003C3D7F"/>
    <w:rsid w:val="003C3DCB"/>
    <w:rsid w:val="003C7394"/>
    <w:rsid w:val="003D104A"/>
    <w:rsid w:val="003D14D7"/>
    <w:rsid w:val="003D5446"/>
    <w:rsid w:val="003E0E58"/>
    <w:rsid w:val="003E31EA"/>
    <w:rsid w:val="003E3DCB"/>
    <w:rsid w:val="003F1CB9"/>
    <w:rsid w:val="003F2B91"/>
    <w:rsid w:val="003F2C24"/>
    <w:rsid w:val="003F34F2"/>
    <w:rsid w:val="003F7F31"/>
    <w:rsid w:val="0040072F"/>
    <w:rsid w:val="00401262"/>
    <w:rsid w:val="00401322"/>
    <w:rsid w:val="00402738"/>
    <w:rsid w:val="00405C26"/>
    <w:rsid w:val="00416028"/>
    <w:rsid w:val="00416A62"/>
    <w:rsid w:val="0041781B"/>
    <w:rsid w:val="00420888"/>
    <w:rsid w:val="00421049"/>
    <w:rsid w:val="0042113A"/>
    <w:rsid w:val="00422611"/>
    <w:rsid w:val="00425C7D"/>
    <w:rsid w:val="004300C6"/>
    <w:rsid w:val="00435C21"/>
    <w:rsid w:val="00437589"/>
    <w:rsid w:val="004475DD"/>
    <w:rsid w:val="00453E1C"/>
    <w:rsid w:val="00454547"/>
    <w:rsid w:val="004551CA"/>
    <w:rsid w:val="0045664E"/>
    <w:rsid w:val="00462589"/>
    <w:rsid w:val="00463781"/>
    <w:rsid w:val="00471FFB"/>
    <w:rsid w:val="00474A86"/>
    <w:rsid w:val="00476BD0"/>
    <w:rsid w:val="004775B8"/>
    <w:rsid w:val="00484A70"/>
    <w:rsid w:val="00484DC6"/>
    <w:rsid w:val="00490B34"/>
    <w:rsid w:val="00490B90"/>
    <w:rsid w:val="0049113D"/>
    <w:rsid w:val="0049132F"/>
    <w:rsid w:val="00493B15"/>
    <w:rsid w:val="00495A30"/>
    <w:rsid w:val="0049605B"/>
    <w:rsid w:val="004A1724"/>
    <w:rsid w:val="004A1735"/>
    <w:rsid w:val="004A2FAE"/>
    <w:rsid w:val="004A7ABD"/>
    <w:rsid w:val="004A7D28"/>
    <w:rsid w:val="004B16A5"/>
    <w:rsid w:val="004B4E22"/>
    <w:rsid w:val="004C1B31"/>
    <w:rsid w:val="004C389E"/>
    <w:rsid w:val="004C5DF3"/>
    <w:rsid w:val="004D1CED"/>
    <w:rsid w:val="004D5EDF"/>
    <w:rsid w:val="004D63E3"/>
    <w:rsid w:val="004D7651"/>
    <w:rsid w:val="004E1AC6"/>
    <w:rsid w:val="004E3A25"/>
    <w:rsid w:val="004E6615"/>
    <w:rsid w:val="004F0729"/>
    <w:rsid w:val="004F1275"/>
    <w:rsid w:val="004F4A74"/>
    <w:rsid w:val="00503095"/>
    <w:rsid w:val="005044E1"/>
    <w:rsid w:val="005057E6"/>
    <w:rsid w:val="00505850"/>
    <w:rsid w:val="00505C9C"/>
    <w:rsid w:val="00506DF1"/>
    <w:rsid w:val="00517111"/>
    <w:rsid w:val="00520AEA"/>
    <w:rsid w:val="00520C82"/>
    <w:rsid w:val="00521B07"/>
    <w:rsid w:val="005228D2"/>
    <w:rsid w:val="005239F8"/>
    <w:rsid w:val="00523A88"/>
    <w:rsid w:val="0052616E"/>
    <w:rsid w:val="0052644D"/>
    <w:rsid w:val="00527304"/>
    <w:rsid w:val="00527C61"/>
    <w:rsid w:val="005354AE"/>
    <w:rsid w:val="00536B9B"/>
    <w:rsid w:val="00537515"/>
    <w:rsid w:val="00537656"/>
    <w:rsid w:val="00537C68"/>
    <w:rsid w:val="00545533"/>
    <w:rsid w:val="0054661B"/>
    <w:rsid w:val="00550C81"/>
    <w:rsid w:val="005531EC"/>
    <w:rsid w:val="00553FBC"/>
    <w:rsid w:val="00555B91"/>
    <w:rsid w:val="00561FB6"/>
    <w:rsid w:val="00562D02"/>
    <w:rsid w:val="0056315C"/>
    <w:rsid w:val="005642DD"/>
    <w:rsid w:val="00564C9B"/>
    <w:rsid w:val="00571647"/>
    <w:rsid w:val="00576028"/>
    <w:rsid w:val="00577677"/>
    <w:rsid w:val="00577F08"/>
    <w:rsid w:val="005864AD"/>
    <w:rsid w:val="00587061"/>
    <w:rsid w:val="00587F82"/>
    <w:rsid w:val="00593090"/>
    <w:rsid w:val="005954B4"/>
    <w:rsid w:val="00595CAD"/>
    <w:rsid w:val="00596CED"/>
    <w:rsid w:val="005A2501"/>
    <w:rsid w:val="005A2AF1"/>
    <w:rsid w:val="005A44FF"/>
    <w:rsid w:val="005A5299"/>
    <w:rsid w:val="005A6109"/>
    <w:rsid w:val="005A7A4D"/>
    <w:rsid w:val="005B12FA"/>
    <w:rsid w:val="005B4768"/>
    <w:rsid w:val="005C01AE"/>
    <w:rsid w:val="005C1943"/>
    <w:rsid w:val="005C3C3C"/>
    <w:rsid w:val="005C41EF"/>
    <w:rsid w:val="005C60BB"/>
    <w:rsid w:val="005C6A0D"/>
    <w:rsid w:val="005C6D52"/>
    <w:rsid w:val="005C6DB6"/>
    <w:rsid w:val="005C7415"/>
    <w:rsid w:val="005D053D"/>
    <w:rsid w:val="005D0910"/>
    <w:rsid w:val="005D42A6"/>
    <w:rsid w:val="005E0622"/>
    <w:rsid w:val="005E1864"/>
    <w:rsid w:val="005E20CA"/>
    <w:rsid w:val="005E58E1"/>
    <w:rsid w:val="005E5B24"/>
    <w:rsid w:val="005E5B52"/>
    <w:rsid w:val="005F0A8A"/>
    <w:rsid w:val="005F3FF0"/>
    <w:rsid w:val="005F4524"/>
    <w:rsid w:val="005F5EB0"/>
    <w:rsid w:val="005F772B"/>
    <w:rsid w:val="005F7A84"/>
    <w:rsid w:val="006028B1"/>
    <w:rsid w:val="00603141"/>
    <w:rsid w:val="00603B91"/>
    <w:rsid w:val="00604274"/>
    <w:rsid w:val="0060552B"/>
    <w:rsid w:val="00611C5C"/>
    <w:rsid w:val="00611EFE"/>
    <w:rsid w:val="00612725"/>
    <w:rsid w:val="006146A8"/>
    <w:rsid w:val="00614E76"/>
    <w:rsid w:val="006155CF"/>
    <w:rsid w:val="00626065"/>
    <w:rsid w:val="00626382"/>
    <w:rsid w:val="00634862"/>
    <w:rsid w:val="00635F63"/>
    <w:rsid w:val="00640878"/>
    <w:rsid w:val="00643505"/>
    <w:rsid w:val="0064499D"/>
    <w:rsid w:val="006454CC"/>
    <w:rsid w:val="0064668C"/>
    <w:rsid w:val="006478ED"/>
    <w:rsid w:val="00647974"/>
    <w:rsid w:val="00650A73"/>
    <w:rsid w:val="00652044"/>
    <w:rsid w:val="006529D6"/>
    <w:rsid w:val="00653FBB"/>
    <w:rsid w:val="0065675B"/>
    <w:rsid w:val="006600CB"/>
    <w:rsid w:val="00660A8C"/>
    <w:rsid w:val="00661D3B"/>
    <w:rsid w:val="00663D34"/>
    <w:rsid w:val="006642E5"/>
    <w:rsid w:val="0066436B"/>
    <w:rsid w:val="00664659"/>
    <w:rsid w:val="006648C4"/>
    <w:rsid w:val="006669D1"/>
    <w:rsid w:val="00667BA1"/>
    <w:rsid w:val="0067027E"/>
    <w:rsid w:val="00670BEE"/>
    <w:rsid w:val="0067201E"/>
    <w:rsid w:val="0067330A"/>
    <w:rsid w:val="006733E8"/>
    <w:rsid w:val="006745EA"/>
    <w:rsid w:val="006756FC"/>
    <w:rsid w:val="00675D0C"/>
    <w:rsid w:val="00675EBD"/>
    <w:rsid w:val="00677AB9"/>
    <w:rsid w:val="00680B54"/>
    <w:rsid w:val="00682D20"/>
    <w:rsid w:val="0068337D"/>
    <w:rsid w:val="00683E88"/>
    <w:rsid w:val="00686180"/>
    <w:rsid w:val="0068657C"/>
    <w:rsid w:val="00686C6F"/>
    <w:rsid w:val="006952F0"/>
    <w:rsid w:val="006963D2"/>
    <w:rsid w:val="006A437E"/>
    <w:rsid w:val="006A54C3"/>
    <w:rsid w:val="006A5DB5"/>
    <w:rsid w:val="006B03F0"/>
    <w:rsid w:val="006B19D1"/>
    <w:rsid w:val="006B2ADD"/>
    <w:rsid w:val="006B2F86"/>
    <w:rsid w:val="006B3B72"/>
    <w:rsid w:val="006B60A6"/>
    <w:rsid w:val="006B68CC"/>
    <w:rsid w:val="006B7DE5"/>
    <w:rsid w:val="006C035F"/>
    <w:rsid w:val="006C3AF8"/>
    <w:rsid w:val="006C4385"/>
    <w:rsid w:val="006C6CFF"/>
    <w:rsid w:val="006C6D8D"/>
    <w:rsid w:val="006C6DCB"/>
    <w:rsid w:val="006D0B7D"/>
    <w:rsid w:val="006D1635"/>
    <w:rsid w:val="006D23EF"/>
    <w:rsid w:val="006D3D9F"/>
    <w:rsid w:val="006D7467"/>
    <w:rsid w:val="006D74B0"/>
    <w:rsid w:val="006E008E"/>
    <w:rsid w:val="006E0634"/>
    <w:rsid w:val="006E0DB3"/>
    <w:rsid w:val="006E18EC"/>
    <w:rsid w:val="006E1DBB"/>
    <w:rsid w:val="006E335A"/>
    <w:rsid w:val="006E3A3B"/>
    <w:rsid w:val="006E6C76"/>
    <w:rsid w:val="006F0636"/>
    <w:rsid w:val="006F0FDF"/>
    <w:rsid w:val="006F4936"/>
    <w:rsid w:val="006F5022"/>
    <w:rsid w:val="006F74AC"/>
    <w:rsid w:val="007000AB"/>
    <w:rsid w:val="00700BFA"/>
    <w:rsid w:val="007075B3"/>
    <w:rsid w:val="00710350"/>
    <w:rsid w:val="007204F9"/>
    <w:rsid w:val="00723643"/>
    <w:rsid w:val="00725295"/>
    <w:rsid w:val="00726439"/>
    <w:rsid w:val="00730B38"/>
    <w:rsid w:val="00734471"/>
    <w:rsid w:val="00742303"/>
    <w:rsid w:val="00742971"/>
    <w:rsid w:val="0074441D"/>
    <w:rsid w:val="00744504"/>
    <w:rsid w:val="00746582"/>
    <w:rsid w:val="00747C2E"/>
    <w:rsid w:val="00752180"/>
    <w:rsid w:val="00754744"/>
    <w:rsid w:val="00755B46"/>
    <w:rsid w:val="00757E86"/>
    <w:rsid w:val="00761A85"/>
    <w:rsid w:val="00761C3F"/>
    <w:rsid w:val="0076384E"/>
    <w:rsid w:val="007642B3"/>
    <w:rsid w:val="00764738"/>
    <w:rsid w:val="0076510E"/>
    <w:rsid w:val="00765606"/>
    <w:rsid w:val="007656CF"/>
    <w:rsid w:val="007673D0"/>
    <w:rsid w:val="007725F7"/>
    <w:rsid w:val="00772E8C"/>
    <w:rsid w:val="00774549"/>
    <w:rsid w:val="00783610"/>
    <w:rsid w:val="007836B5"/>
    <w:rsid w:val="00786866"/>
    <w:rsid w:val="007868FC"/>
    <w:rsid w:val="007948B6"/>
    <w:rsid w:val="00794DCF"/>
    <w:rsid w:val="00794FB6"/>
    <w:rsid w:val="007A7909"/>
    <w:rsid w:val="007A7D73"/>
    <w:rsid w:val="007A7D83"/>
    <w:rsid w:val="007B02A8"/>
    <w:rsid w:val="007B17AD"/>
    <w:rsid w:val="007B48F0"/>
    <w:rsid w:val="007B5D5A"/>
    <w:rsid w:val="007C1FCA"/>
    <w:rsid w:val="007C27F4"/>
    <w:rsid w:val="007C2872"/>
    <w:rsid w:val="007C2F0D"/>
    <w:rsid w:val="007C4C83"/>
    <w:rsid w:val="007C5704"/>
    <w:rsid w:val="007C58D4"/>
    <w:rsid w:val="007C64E9"/>
    <w:rsid w:val="007D02A1"/>
    <w:rsid w:val="007D1A1C"/>
    <w:rsid w:val="007D4025"/>
    <w:rsid w:val="007D52B7"/>
    <w:rsid w:val="007D666C"/>
    <w:rsid w:val="007D6C66"/>
    <w:rsid w:val="007E0BF1"/>
    <w:rsid w:val="007E33A6"/>
    <w:rsid w:val="007E4E82"/>
    <w:rsid w:val="007F16CA"/>
    <w:rsid w:val="007F1F07"/>
    <w:rsid w:val="007F208D"/>
    <w:rsid w:val="007F40D6"/>
    <w:rsid w:val="007F61C7"/>
    <w:rsid w:val="007F6300"/>
    <w:rsid w:val="00801132"/>
    <w:rsid w:val="008015FA"/>
    <w:rsid w:val="008030F5"/>
    <w:rsid w:val="00803E55"/>
    <w:rsid w:val="0080505A"/>
    <w:rsid w:val="00806F9C"/>
    <w:rsid w:val="00807F85"/>
    <w:rsid w:val="00810C9A"/>
    <w:rsid w:val="00811FE2"/>
    <w:rsid w:val="00812D69"/>
    <w:rsid w:val="00814B91"/>
    <w:rsid w:val="008270D7"/>
    <w:rsid w:val="008315F2"/>
    <w:rsid w:val="00833844"/>
    <w:rsid w:val="0083413A"/>
    <w:rsid w:val="00835E99"/>
    <w:rsid w:val="008404DA"/>
    <w:rsid w:val="008462A8"/>
    <w:rsid w:val="00847E22"/>
    <w:rsid w:val="00851A29"/>
    <w:rsid w:val="0085374C"/>
    <w:rsid w:val="00854190"/>
    <w:rsid w:val="00856019"/>
    <w:rsid w:val="00862465"/>
    <w:rsid w:val="00864495"/>
    <w:rsid w:val="00864AC0"/>
    <w:rsid w:val="008667B0"/>
    <w:rsid w:val="008676B2"/>
    <w:rsid w:val="008676BC"/>
    <w:rsid w:val="00870102"/>
    <w:rsid w:val="00870D1C"/>
    <w:rsid w:val="008722D9"/>
    <w:rsid w:val="00872847"/>
    <w:rsid w:val="0087441A"/>
    <w:rsid w:val="00882583"/>
    <w:rsid w:val="008825F4"/>
    <w:rsid w:val="0088279B"/>
    <w:rsid w:val="00884E72"/>
    <w:rsid w:val="008857AA"/>
    <w:rsid w:val="00890D45"/>
    <w:rsid w:val="008910AF"/>
    <w:rsid w:val="00893FAA"/>
    <w:rsid w:val="00895ED5"/>
    <w:rsid w:val="00895EF3"/>
    <w:rsid w:val="008961EA"/>
    <w:rsid w:val="00897332"/>
    <w:rsid w:val="00897C57"/>
    <w:rsid w:val="008A0F96"/>
    <w:rsid w:val="008A594F"/>
    <w:rsid w:val="008B1328"/>
    <w:rsid w:val="008B3232"/>
    <w:rsid w:val="008B6D55"/>
    <w:rsid w:val="008C3B72"/>
    <w:rsid w:val="008C3E6D"/>
    <w:rsid w:val="008C4379"/>
    <w:rsid w:val="008C5FB5"/>
    <w:rsid w:val="008C67EB"/>
    <w:rsid w:val="008C7E08"/>
    <w:rsid w:val="008D0F71"/>
    <w:rsid w:val="008D1230"/>
    <w:rsid w:val="008D5313"/>
    <w:rsid w:val="008D576F"/>
    <w:rsid w:val="008D6FF5"/>
    <w:rsid w:val="008E1BD7"/>
    <w:rsid w:val="008E265E"/>
    <w:rsid w:val="008F06AA"/>
    <w:rsid w:val="008F11D5"/>
    <w:rsid w:val="008F6494"/>
    <w:rsid w:val="008F6F41"/>
    <w:rsid w:val="008F7C58"/>
    <w:rsid w:val="009047C8"/>
    <w:rsid w:val="0090528F"/>
    <w:rsid w:val="009065D8"/>
    <w:rsid w:val="00907818"/>
    <w:rsid w:val="00910CBA"/>
    <w:rsid w:val="00912FEF"/>
    <w:rsid w:val="009139AF"/>
    <w:rsid w:val="00915CEC"/>
    <w:rsid w:val="0091603D"/>
    <w:rsid w:val="009224FC"/>
    <w:rsid w:val="009263C2"/>
    <w:rsid w:val="009308CD"/>
    <w:rsid w:val="00934899"/>
    <w:rsid w:val="00935A2E"/>
    <w:rsid w:val="009430BD"/>
    <w:rsid w:val="00943C78"/>
    <w:rsid w:val="00944D10"/>
    <w:rsid w:val="00947AC8"/>
    <w:rsid w:val="00950AD8"/>
    <w:rsid w:val="0095568B"/>
    <w:rsid w:val="00957974"/>
    <w:rsid w:val="00957FF9"/>
    <w:rsid w:val="00962A49"/>
    <w:rsid w:val="009638B3"/>
    <w:rsid w:val="00970853"/>
    <w:rsid w:val="00976653"/>
    <w:rsid w:val="00977317"/>
    <w:rsid w:val="00977832"/>
    <w:rsid w:val="0098288C"/>
    <w:rsid w:val="00983579"/>
    <w:rsid w:val="0098366D"/>
    <w:rsid w:val="009A1DCA"/>
    <w:rsid w:val="009A24CC"/>
    <w:rsid w:val="009A3086"/>
    <w:rsid w:val="009A3F3F"/>
    <w:rsid w:val="009A4429"/>
    <w:rsid w:val="009A4D08"/>
    <w:rsid w:val="009A5048"/>
    <w:rsid w:val="009A6092"/>
    <w:rsid w:val="009B4FEE"/>
    <w:rsid w:val="009B7D7F"/>
    <w:rsid w:val="009C181E"/>
    <w:rsid w:val="009C4DDF"/>
    <w:rsid w:val="009C63C2"/>
    <w:rsid w:val="009D150F"/>
    <w:rsid w:val="009D5E6C"/>
    <w:rsid w:val="009D73C5"/>
    <w:rsid w:val="009F012D"/>
    <w:rsid w:val="009F1744"/>
    <w:rsid w:val="009F569C"/>
    <w:rsid w:val="009F5C2E"/>
    <w:rsid w:val="00A00BF5"/>
    <w:rsid w:val="00A01EB4"/>
    <w:rsid w:val="00A020B8"/>
    <w:rsid w:val="00A02527"/>
    <w:rsid w:val="00A037CB"/>
    <w:rsid w:val="00A071F3"/>
    <w:rsid w:val="00A07E80"/>
    <w:rsid w:val="00A10A9C"/>
    <w:rsid w:val="00A144A3"/>
    <w:rsid w:val="00A15B2C"/>
    <w:rsid w:val="00A2430B"/>
    <w:rsid w:val="00A257D9"/>
    <w:rsid w:val="00A2750F"/>
    <w:rsid w:val="00A336E8"/>
    <w:rsid w:val="00A41BA7"/>
    <w:rsid w:val="00A42EAA"/>
    <w:rsid w:val="00A43387"/>
    <w:rsid w:val="00A4779D"/>
    <w:rsid w:val="00A51840"/>
    <w:rsid w:val="00A60208"/>
    <w:rsid w:val="00A6286E"/>
    <w:rsid w:val="00A62EED"/>
    <w:rsid w:val="00A6400E"/>
    <w:rsid w:val="00A64535"/>
    <w:rsid w:val="00A65BBC"/>
    <w:rsid w:val="00A7019E"/>
    <w:rsid w:val="00A7149F"/>
    <w:rsid w:val="00A71A8B"/>
    <w:rsid w:val="00A71F9A"/>
    <w:rsid w:val="00A72EC7"/>
    <w:rsid w:val="00A73218"/>
    <w:rsid w:val="00A732A1"/>
    <w:rsid w:val="00A81442"/>
    <w:rsid w:val="00A84275"/>
    <w:rsid w:val="00A84AA0"/>
    <w:rsid w:val="00A8617F"/>
    <w:rsid w:val="00A8750A"/>
    <w:rsid w:val="00A90878"/>
    <w:rsid w:val="00A94C70"/>
    <w:rsid w:val="00A97F2F"/>
    <w:rsid w:val="00AA1435"/>
    <w:rsid w:val="00AA16B8"/>
    <w:rsid w:val="00AA24D9"/>
    <w:rsid w:val="00AA2604"/>
    <w:rsid w:val="00AA2D4E"/>
    <w:rsid w:val="00AA3035"/>
    <w:rsid w:val="00AA6103"/>
    <w:rsid w:val="00AA6453"/>
    <w:rsid w:val="00AA66C1"/>
    <w:rsid w:val="00AB12AC"/>
    <w:rsid w:val="00AB24BA"/>
    <w:rsid w:val="00AB39A4"/>
    <w:rsid w:val="00AB4419"/>
    <w:rsid w:val="00AB773F"/>
    <w:rsid w:val="00AB7EAA"/>
    <w:rsid w:val="00AC08E3"/>
    <w:rsid w:val="00AC1037"/>
    <w:rsid w:val="00AC3C60"/>
    <w:rsid w:val="00AC57E5"/>
    <w:rsid w:val="00AC75B5"/>
    <w:rsid w:val="00AD0B10"/>
    <w:rsid w:val="00AD2C6F"/>
    <w:rsid w:val="00AE125F"/>
    <w:rsid w:val="00AE3164"/>
    <w:rsid w:val="00AE69C7"/>
    <w:rsid w:val="00AF11ED"/>
    <w:rsid w:val="00AF218D"/>
    <w:rsid w:val="00AF36FE"/>
    <w:rsid w:val="00AF4DF3"/>
    <w:rsid w:val="00B00AF2"/>
    <w:rsid w:val="00B03E8F"/>
    <w:rsid w:val="00B04775"/>
    <w:rsid w:val="00B067AB"/>
    <w:rsid w:val="00B06E15"/>
    <w:rsid w:val="00B10C17"/>
    <w:rsid w:val="00B16F18"/>
    <w:rsid w:val="00B224E6"/>
    <w:rsid w:val="00B235CA"/>
    <w:rsid w:val="00B25E96"/>
    <w:rsid w:val="00B2720B"/>
    <w:rsid w:val="00B27646"/>
    <w:rsid w:val="00B3003D"/>
    <w:rsid w:val="00B3068D"/>
    <w:rsid w:val="00B32114"/>
    <w:rsid w:val="00B3228D"/>
    <w:rsid w:val="00B34EF4"/>
    <w:rsid w:val="00B36071"/>
    <w:rsid w:val="00B403E8"/>
    <w:rsid w:val="00B4285D"/>
    <w:rsid w:val="00B445A6"/>
    <w:rsid w:val="00B447B3"/>
    <w:rsid w:val="00B4671E"/>
    <w:rsid w:val="00B4716E"/>
    <w:rsid w:val="00B506AC"/>
    <w:rsid w:val="00B518BF"/>
    <w:rsid w:val="00B52170"/>
    <w:rsid w:val="00B56366"/>
    <w:rsid w:val="00B57E29"/>
    <w:rsid w:val="00B639BE"/>
    <w:rsid w:val="00B64423"/>
    <w:rsid w:val="00B64486"/>
    <w:rsid w:val="00B65508"/>
    <w:rsid w:val="00B671B0"/>
    <w:rsid w:val="00B76371"/>
    <w:rsid w:val="00B80CC0"/>
    <w:rsid w:val="00B82C4A"/>
    <w:rsid w:val="00B83E9D"/>
    <w:rsid w:val="00B85767"/>
    <w:rsid w:val="00B87B58"/>
    <w:rsid w:val="00B941DB"/>
    <w:rsid w:val="00B95673"/>
    <w:rsid w:val="00B9723F"/>
    <w:rsid w:val="00B97579"/>
    <w:rsid w:val="00B97D6A"/>
    <w:rsid w:val="00BA49C9"/>
    <w:rsid w:val="00BA5EDD"/>
    <w:rsid w:val="00BC0374"/>
    <w:rsid w:val="00BC15D2"/>
    <w:rsid w:val="00BC61FC"/>
    <w:rsid w:val="00BD052E"/>
    <w:rsid w:val="00BD2C14"/>
    <w:rsid w:val="00BD51B7"/>
    <w:rsid w:val="00BD64FB"/>
    <w:rsid w:val="00BD7B5A"/>
    <w:rsid w:val="00BF0D5A"/>
    <w:rsid w:val="00BF1E98"/>
    <w:rsid w:val="00BF410B"/>
    <w:rsid w:val="00BF48A4"/>
    <w:rsid w:val="00BF58BD"/>
    <w:rsid w:val="00BF5C5A"/>
    <w:rsid w:val="00BF73F4"/>
    <w:rsid w:val="00C019C0"/>
    <w:rsid w:val="00C01CB1"/>
    <w:rsid w:val="00C01EA6"/>
    <w:rsid w:val="00C04531"/>
    <w:rsid w:val="00C0609E"/>
    <w:rsid w:val="00C10771"/>
    <w:rsid w:val="00C1402D"/>
    <w:rsid w:val="00C15C17"/>
    <w:rsid w:val="00C17244"/>
    <w:rsid w:val="00C23A88"/>
    <w:rsid w:val="00C253FE"/>
    <w:rsid w:val="00C25EA6"/>
    <w:rsid w:val="00C31BC2"/>
    <w:rsid w:val="00C31CD3"/>
    <w:rsid w:val="00C33B31"/>
    <w:rsid w:val="00C34E11"/>
    <w:rsid w:val="00C47EF2"/>
    <w:rsid w:val="00C50104"/>
    <w:rsid w:val="00C552C2"/>
    <w:rsid w:val="00C5653F"/>
    <w:rsid w:val="00C617BE"/>
    <w:rsid w:val="00C62B5E"/>
    <w:rsid w:val="00C62C4C"/>
    <w:rsid w:val="00C64001"/>
    <w:rsid w:val="00C64546"/>
    <w:rsid w:val="00C66678"/>
    <w:rsid w:val="00C66EF2"/>
    <w:rsid w:val="00C71B8F"/>
    <w:rsid w:val="00C73708"/>
    <w:rsid w:val="00C7383D"/>
    <w:rsid w:val="00C74048"/>
    <w:rsid w:val="00C83793"/>
    <w:rsid w:val="00C84C93"/>
    <w:rsid w:val="00C87CCA"/>
    <w:rsid w:val="00C92B85"/>
    <w:rsid w:val="00C93158"/>
    <w:rsid w:val="00C93EFF"/>
    <w:rsid w:val="00C94438"/>
    <w:rsid w:val="00C94C33"/>
    <w:rsid w:val="00C94DCE"/>
    <w:rsid w:val="00C94E04"/>
    <w:rsid w:val="00C9579A"/>
    <w:rsid w:val="00C975C9"/>
    <w:rsid w:val="00C97815"/>
    <w:rsid w:val="00CA0CF8"/>
    <w:rsid w:val="00CA5805"/>
    <w:rsid w:val="00CA6B72"/>
    <w:rsid w:val="00CA7415"/>
    <w:rsid w:val="00CA7866"/>
    <w:rsid w:val="00CB2CC6"/>
    <w:rsid w:val="00CB3A76"/>
    <w:rsid w:val="00CB5392"/>
    <w:rsid w:val="00CB5C47"/>
    <w:rsid w:val="00CB6D21"/>
    <w:rsid w:val="00CB6EC2"/>
    <w:rsid w:val="00CB79A1"/>
    <w:rsid w:val="00CC2DDE"/>
    <w:rsid w:val="00CC7510"/>
    <w:rsid w:val="00CD149B"/>
    <w:rsid w:val="00CD214E"/>
    <w:rsid w:val="00CD5288"/>
    <w:rsid w:val="00CD7450"/>
    <w:rsid w:val="00CE0212"/>
    <w:rsid w:val="00CE1014"/>
    <w:rsid w:val="00CE165F"/>
    <w:rsid w:val="00CE5DCA"/>
    <w:rsid w:val="00CE6179"/>
    <w:rsid w:val="00CE6DF9"/>
    <w:rsid w:val="00CF04CA"/>
    <w:rsid w:val="00CF2B5A"/>
    <w:rsid w:val="00CF3EF5"/>
    <w:rsid w:val="00CF54A9"/>
    <w:rsid w:val="00CF6D15"/>
    <w:rsid w:val="00D03EA1"/>
    <w:rsid w:val="00D04098"/>
    <w:rsid w:val="00D04BC7"/>
    <w:rsid w:val="00D10717"/>
    <w:rsid w:val="00D10FC9"/>
    <w:rsid w:val="00D13645"/>
    <w:rsid w:val="00D15085"/>
    <w:rsid w:val="00D157A4"/>
    <w:rsid w:val="00D17D09"/>
    <w:rsid w:val="00D20916"/>
    <w:rsid w:val="00D20E42"/>
    <w:rsid w:val="00D2261D"/>
    <w:rsid w:val="00D236FC"/>
    <w:rsid w:val="00D242FD"/>
    <w:rsid w:val="00D24ACA"/>
    <w:rsid w:val="00D30A6F"/>
    <w:rsid w:val="00D347D2"/>
    <w:rsid w:val="00D36FE1"/>
    <w:rsid w:val="00D45BA3"/>
    <w:rsid w:val="00D46A43"/>
    <w:rsid w:val="00D47140"/>
    <w:rsid w:val="00D4786E"/>
    <w:rsid w:val="00D520B2"/>
    <w:rsid w:val="00D5386B"/>
    <w:rsid w:val="00D54C57"/>
    <w:rsid w:val="00D558FC"/>
    <w:rsid w:val="00D57204"/>
    <w:rsid w:val="00D61603"/>
    <w:rsid w:val="00D62A65"/>
    <w:rsid w:val="00D67A35"/>
    <w:rsid w:val="00D7105D"/>
    <w:rsid w:val="00D72373"/>
    <w:rsid w:val="00D72C77"/>
    <w:rsid w:val="00D73A84"/>
    <w:rsid w:val="00D73B30"/>
    <w:rsid w:val="00D7566D"/>
    <w:rsid w:val="00D7765B"/>
    <w:rsid w:val="00D77C73"/>
    <w:rsid w:val="00D87B97"/>
    <w:rsid w:val="00D91982"/>
    <w:rsid w:val="00D9338E"/>
    <w:rsid w:val="00D939E7"/>
    <w:rsid w:val="00D97A26"/>
    <w:rsid w:val="00D97E49"/>
    <w:rsid w:val="00DA19AF"/>
    <w:rsid w:val="00DA282C"/>
    <w:rsid w:val="00DA2C5D"/>
    <w:rsid w:val="00DA4328"/>
    <w:rsid w:val="00DA61AD"/>
    <w:rsid w:val="00DB46CC"/>
    <w:rsid w:val="00DB4EAB"/>
    <w:rsid w:val="00DB5DA9"/>
    <w:rsid w:val="00DB7083"/>
    <w:rsid w:val="00DB7417"/>
    <w:rsid w:val="00DC328A"/>
    <w:rsid w:val="00DC4924"/>
    <w:rsid w:val="00DC556E"/>
    <w:rsid w:val="00DC7164"/>
    <w:rsid w:val="00DD32C9"/>
    <w:rsid w:val="00DD4A8E"/>
    <w:rsid w:val="00DD5178"/>
    <w:rsid w:val="00DD65C7"/>
    <w:rsid w:val="00DE08F5"/>
    <w:rsid w:val="00DE3055"/>
    <w:rsid w:val="00DE3268"/>
    <w:rsid w:val="00DE5DB4"/>
    <w:rsid w:val="00DE70AE"/>
    <w:rsid w:val="00DF0C5E"/>
    <w:rsid w:val="00DF2C13"/>
    <w:rsid w:val="00DF7024"/>
    <w:rsid w:val="00DF7A07"/>
    <w:rsid w:val="00DF7FD9"/>
    <w:rsid w:val="00E00755"/>
    <w:rsid w:val="00E00EC4"/>
    <w:rsid w:val="00E03E1A"/>
    <w:rsid w:val="00E0427D"/>
    <w:rsid w:val="00E04FC0"/>
    <w:rsid w:val="00E07861"/>
    <w:rsid w:val="00E10053"/>
    <w:rsid w:val="00E10472"/>
    <w:rsid w:val="00E11110"/>
    <w:rsid w:val="00E1389E"/>
    <w:rsid w:val="00E14498"/>
    <w:rsid w:val="00E22F3F"/>
    <w:rsid w:val="00E23E0B"/>
    <w:rsid w:val="00E23F00"/>
    <w:rsid w:val="00E330B7"/>
    <w:rsid w:val="00E3317B"/>
    <w:rsid w:val="00E3386F"/>
    <w:rsid w:val="00E3424D"/>
    <w:rsid w:val="00E3785B"/>
    <w:rsid w:val="00E52EE1"/>
    <w:rsid w:val="00E708D5"/>
    <w:rsid w:val="00E732C9"/>
    <w:rsid w:val="00E74C2F"/>
    <w:rsid w:val="00E76C3A"/>
    <w:rsid w:val="00E77101"/>
    <w:rsid w:val="00E77EE7"/>
    <w:rsid w:val="00E8230A"/>
    <w:rsid w:val="00E82C0C"/>
    <w:rsid w:val="00E83DD6"/>
    <w:rsid w:val="00E858A7"/>
    <w:rsid w:val="00E8716B"/>
    <w:rsid w:val="00E8787F"/>
    <w:rsid w:val="00E900AF"/>
    <w:rsid w:val="00E92D8C"/>
    <w:rsid w:val="00E960DA"/>
    <w:rsid w:val="00E966FD"/>
    <w:rsid w:val="00EA05BA"/>
    <w:rsid w:val="00EA2DCF"/>
    <w:rsid w:val="00EA3EEC"/>
    <w:rsid w:val="00EA5E6A"/>
    <w:rsid w:val="00EA6FE9"/>
    <w:rsid w:val="00EB2C64"/>
    <w:rsid w:val="00EB2F2C"/>
    <w:rsid w:val="00EB36AD"/>
    <w:rsid w:val="00EB3C69"/>
    <w:rsid w:val="00EB531D"/>
    <w:rsid w:val="00EB62D7"/>
    <w:rsid w:val="00EB6C50"/>
    <w:rsid w:val="00EB6F2B"/>
    <w:rsid w:val="00EC126D"/>
    <w:rsid w:val="00EC720E"/>
    <w:rsid w:val="00ED1237"/>
    <w:rsid w:val="00ED2F8C"/>
    <w:rsid w:val="00ED452D"/>
    <w:rsid w:val="00ED4B86"/>
    <w:rsid w:val="00EE0927"/>
    <w:rsid w:val="00EE7D8D"/>
    <w:rsid w:val="00EF0D43"/>
    <w:rsid w:val="00EF1FB7"/>
    <w:rsid w:val="00F00875"/>
    <w:rsid w:val="00F01005"/>
    <w:rsid w:val="00F0109D"/>
    <w:rsid w:val="00F01F41"/>
    <w:rsid w:val="00F1406D"/>
    <w:rsid w:val="00F14133"/>
    <w:rsid w:val="00F20F0C"/>
    <w:rsid w:val="00F21E02"/>
    <w:rsid w:val="00F24239"/>
    <w:rsid w:val="00F24AFC"/>
    <w:rsid w:val="00F32F3A"/>
    <w:rsid w:val="00F35ABF"/>
    <w:rsid w:val="00F37DC9"/>
    <w:rsid w:val="00F40053"/>
    <w:rsid w:val="00F438E3"/>
    <w:rsid w:val="00F43D1E"/>
    <w:rsid w:val="00F464BF"/>
    <w:rsid w:val="00F46BA9"/>
    <w:rsid w:val="00F52243"/>
    <w:rsid w:val="00F52FD1"/>
    <w:rsid w:val="00F54329"/>
    <w:rsid w:val="00F545AC"/>
    <w:rsid w:val="00F55301"/>
    <w:rsid w:val="00F56999"/>
    <w:rsid w:val="00F573F1"/>
    <w:rsid w:val="00F60422"/>
    <w:rsid w:val="00F60644"/>
    <w:rsid w:val="00F615BD"/>
    <w:rsid w:val="00F6767A"/>
    <w:rsid w:val="00F67E6A"/>
    <w:rsid w:val="00F71485"/>
    <w:rsid w:val="00F746A4"/>
    <w:rsid w:val="00F80A00"/>
    <w:rsid w:val="00F854D8"/>
    <w:rsid w:val="00F860E1"/>
    <w:rsid w:val="00F860F7"/>
    <w:rsid w:val="00F93181"/>
    <w:rsid w:val="00F97C75"/>
    <w:rsid w:val="00FA2D2A"/>
    <w:rsid w:val="00FA325B"/>
    <w:rsid w:val="00FA3413"/>
    <w:rsid w:val="00FA60BD"/>
    <w:rsid w:val="00FA7186"/>
    <w:rsid w:val="00FB115F"/>
    <w:rsid w:val="00FB19F5"/>
    <w:rsid w:val="00FB4A1C"/>
    <w:rsid w:val="00FB504D"/>
    <w:rsid w:val="00FB51DC"/>
    <w:rsid w:val="00FB5BF0"/>
    <w:rsid w:val="00FB5CD9"/>
    <w:rsid w:val="00FB6924"/>
    <w:rsid w:val="00FB795F"/>
    <w:rsid w:val="00FC7377"/>
    <w:rsid w:val="00FD0D68"/>
    <w:rsid w:val="00FD12DB"/>
    <w:rsid w:val="00FD3C84"/>
    <w:rsid w:val="00FD57E2"/>
    <w:rsid w:val="00FD64E5"/>
    <w:rsid w:val="00FE03F5"/>
    <w:rsid w:val="00FE37A0"/>
    <w:rsid w:val="00FE493E"/>
    <w:rsid w:val="00FE5DF6"/>
    <w:rsid w:val="00FF3C7C"/>
    <w:rsid w:val="00FF5794"/>
    <w:rsid w:val="00FF69E1"/>
    <w:rsid w:val="00FF6B3D"/>
    <w:rsid w:val="00FF7A81"/>
  </w:rsids>
  <m:mathPr>
    <m:mathFont m:val="Cambria Math"/>
    <m:brkBin m:val="before"/>
    <m:brkBinSub m:val="--"/>
    <m:smallFrac m:val="0"/>
    <m:dispDef/>
    <m:lMargin m:val="0"/>
    <m:rMargin m:val="0"/>
    <m:defJc m:val="centerGroup"/>
    <m:wrapIndent m:val="1440"/>
    <m:intLim m:val="subSup"/>
    <m:naryLim m:val="undOvr"/>
  </m:mathPr>
  <w:themeFontLang w:val="cs-CZ"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3594D"/>
  <w15:docId w15:val="{AE278A13-9C2A-4D53-8A14-E27E9B8F7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501"/>
    <w:pPr>
      <w:overflowPunct w:val="0"/>
      <w:autoSpaceDE w:val="0"/>
      <w:autoSpaceDN w:val="0"/>
      <w:adjustRightInd w:val="0"/>
      <w:spacing w:after="0" w:line="240" w:lineRule="auto"/>
      <w:jc w:val="both"/>
      <w:textAlignment w:val="baseline"/>
    </w:pPr>
    <w:rPr>
      <w:rFonts w:ascii="Arial" w:eastAsia="Times New Roman" w:hAnsi="Arial" w:cs="Times New Roman"/>
      <w:sz w:val="18"/>
      <w:szCs w:val="20"/>
      <w:lang w:eastAsia="cs-CZ"/>
    </w:rPr>
  </w:style>
  <w:style w:type="paragraph" w:styleId="Heading2">
    <w:name w:val="heading 2"/>
    <w:basedOn w:val="Normal"/>
    <w:next w:val="Normal"/>
    <w:link w:val="Heading2Char"/>
    <w:uiPriority w:val="9"/>
    <w:unhideWhenUsed/>
    <w:qFormat/>
    <w:rsid w:val="00561F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3F1"/>
    <w:pPr>
      <w:tabs>
        <w:tab w:val="center" w:pos="4536"/>
        <w:tab w:val="right" w:pos="9072"/>
      </w:tabs>
    </w:pPr>
  </w:style>
  <w:style w:type="character" w:customStyle="1" w:styleId="HeaderChar">
    <w:name w:val="Header Char"/>
    <w:basedOn w:val="DefaultParagraphFont"/>
    <w:link w:val="Header"/>
    <w:uiPriority w:val="99"/>
    <w:rsid w:val="00F573F1"/>
  </w:style>
  <w:style w:type="paragraph" w:styleId="Footer">
    <w:name w:val="footer"/>
    <w:basedOn w:val="Normal"/>
    <w:link w:val="FooterChar"/>
    <w:uiPriority w:val="99"/>
    <w:unhideWhenUsed/>
    <w:rsid w:val="00F573F1"/>
    <w:pPr>
      <w:tabs>
        <w:tab w:val="center" w:pos="4536"/>
        <w:tab w:val="right" w:pos="9072"/>
      </w:tabs>
    </w:pPr>
  </w:style>
  <w:style w:type="character" w:customStyle="1" w:styleId="FooterChar">
    <w:name w:val="Footer Char"/>
    <w:basedOn w:val="DefaultParagraphFont"/>
    <w:link w:val="Footer"/>
    <w:uiPriority w:val="99"/>
    <w:rsid w:val="00F573F1"/>
  </w:style>
  <w:style w:type="paragraph" w:customStyle="1" w:styleId="Standard">
    <w:name w:val="Standard"/>
    <w:rsid w:val="00F573F1"/>
    <w:pPr>
      <w:suppressAutoHyphens/>
      <w:autoSpaceDN w:val="0"/>
      <w:spacing w:after="0" w:line="240" w:lineRule="auto"/>
      <w:jc w:val="both"/>
      <w:textAlignment w:val="baseline"/>
    </w:pPr>
    <w:rPr>
      <w:rFonts w:ascii="Arial" w:eastAsia="Times New Roman" w:hAnsi="Arial" w:cs="Arial Unicode MS"/>
      <w:kern w:val="3"/>
      <w:sz w:val="18"/>
      <w:szCs w:val="20"/>
      <w:lang w:eastAsia="zh-CN" w:bidi="hi-IN"/>
    </w:rPr>
  </w:style>
  <w:style w:type="character" w:styleId="Hyperlink">
    <w:name w:val="Hyperlink"/>
    <w:basedOn w:val="DefaultParagraphFont"/>
    <w:uiPriority w:val="99"/>
    <w:rsid w:val="005A2501"/>
    <w:rPr>
      <w:rFonts w:cs="Times New Roman"/>
      <w:color w:val="0000FF"/>
      <w:u w:val="single"/>
    </w:rPr>
  </w:style>
  <w:style w:type="paragraph" w:styleId="NormalWeb">
    <w:name w:val="Normal (Web)"/>
    <w:basedOn w:val="Normal"/>
    <w:uiPriority w:val="99"/>
    <w:rsid w:val="005A2501"/>
    <w:pPr>
      <w:overflowPunct/>
      <w:autoSpaceDE/>
      <w:autoSpaceDN/>
      <w:adjustRightInd/>
      <w:spacing w:before="100" w:beforeAutospacing="1" w:after="100" w:afterAutospacing="1"/>
      <w:jc w:val="left"/>
      <w:textAlignment w:val="auto"/>
    </w:pPr>
    <w:rPr>
      <w:rFonts w:ascii="Times New Roman" w:eastAsia="Calibri" w:hAnsi="Times New Roman"/>
      <w:sz w:val="24"/>
      <w:szCs w:val="24"/>
    </w:rPr>
  </w:style>
  <w:style w:type="paragraph" w:styleId="ListParagraph">
    <w:name w:val="List Paragraph"/>
    <w:basedOn w:val="Normal"/>
    <w:uiPriority w:val="34"/>
    <w:qFormat/>
    <w:rsid w:val="00517111"/>
    <w:pPr>
      <w:ind w:left="720"/>
      <w:contextualSpacing/>
    </w:pPr>
  </w:style>
  <w:style w:type="paragraph" w:styleId="BalloonText">
    <w:name w:val="Balloon Text"/>
    <w:basedOn w:val="Normal"/>
    <w:link w:val="BalloonTextChar"/>
    <w:uiPriority w:val="99"/>
    <w:semiHidden/>
    <w:unhideWhenUsed/>
    <w:rsid w:val="009139AF"/>
    <w:rPr>
      <w:rFonts w:cs="Arial"/>
      <w:szCs w:val="18"/>
    </w:rPr>
  </w:style>
  <w:style w:type="character" w:customStyle="1" w:styleId="BalloonTextChar">
    <w:name w:val="Balloon Text Char"/>
    <w:basedOn w:val="DefaultParagraphFont"/>
    <w:link w:val="BalloonText"/>
    <w:uiPriority w:val="99"/>
    <w:semiHidden/>
    <w:rsid w:val="009139AF"/>
    <w:rPr>
      <w:rFonts w:ascii="Arial" w:eastAsia="Times New Roman" w:hAnsi="Arial" w:cs="Arial"/>
      <w:sz w:val="18"/>
      <w:szCs w:val="18"/>
      <w:lang w:eastAsia="cs-CZ"/>
    </w:rPr>
  </w:style>
  <w:style w:type="character" w:styleId="CommentReference">
    <w:name w:val="annotation reference"/>
    <w:basedOn w:val="DefaultParagraphFont"/>
    <w:uiPriority w:val="99"/>
    <w:semiHidden/>
    <w:unhideWhenUsed/>
    <w:rsid w:val="00744504"/>
    <w:rPr>
      <w:sz w:val="16"/>
      <w:szCs w:val="16"/>
    </w:rPr>
  </w:style>
  <w:style w:type="paragraph" w:styleId="CommentText">
    <w:name w:val="annotation text"/>
    <w:basedOn w:val="Normal"/>
    <w:link w:val="CommentTextChar"/>
    <w:uiPriority w:val="99"/>
    <w:unhideWhenUsed/>
    <w:rsid w:val="00744504"/>
    <w:rPr>
      <w:sz w:val="20"/>
    </w:rPr>
  </w:style>
  <w:style w:type="character" w:customStyle="1" w:styleId="CommentTextChar">
    <w:name w:val="Comment Text Char"/>
    <w:basedOn w:val="DefaultParagraphFont"/>
    <w:link w:val="CommentText"/>
    <w:uiPriority w:val="99"/>
    <w:rsid w:val="00744504"/>
    <w:rPr>
      <w:rFonts w:ascii="Arial" w:eastAsia="Times New Roman" w:hAnsi="Arial" w:cs="Times New Roman"/>
      <w:sz w:val="20"/>
      <w:szCs w:val="20"/>
      <w:lang w:eastAsia="cs-CZ"/>
    </w:rPr>
  </w:style>
  <w:style w:type="paragraph" w:styleId="CommentSubject">
    <w:name w:val="annotation subject"/>
    <w:basedOn w:val="CommentText"/>
    <w:next w:val="CommentText"/>
    <w:link w:val="CommentSubjectChar"/>
    <w:uiPriority w:val="99"/>
    <w:semiHidden/>
    <w:unhideWhenUsed/>
    <w:rsid w:val="00744504"/>
    <w:rPr>
      <w:b/>
      <w:bCs/>
    </w:rPr>
  </w:style>
  <w:style w:type="character" w:customStyle="1" w:styleId="CommentSubjectChar">
    <w:name w:val="Comment Subject Char"/>
    <w:basedOn w:val="CommentTextChar"/>
    <w:link w:val="CommentSubject"/>
    <w:uiPriority w:val="99"/>
    <w:semiHidden/>
    <w:rsid w:val="00744504"/>
    <w:rPr>
      <w:rFonts w:ascii="Arial" w:eastAsia="Times New Roman" w:hAnsi="Arial" w:cs="Times New Roman"/>
      <w:b/>
      <w:bCs/>
      <w:sz w:val="20"/>
      <w:szCs w:val="20"/>
      <w:lang w:eastAsia="cs-CZ"/>
    </w:rPr>
  </w:style>
  <w:style w:type="paragraph" w:customStyle="1" w:styleId="Default">
    <w:name w:val="Default"/>
    <w:rsid w:val="006E1DBB"/>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747C2E"/>
    <w:pPr>
      <w:spacing w:after="0" w:line="240" w:lineRule="auto"/>
    </w:pPr>
    <w:rPr>
      <w:rFonts w:ascii="Arial" w:eastAsia="Times New Roman" w:hAnsi="Arial" w:cs="Times New Roman"/>
      <w:sz w:val="18"/>
      <w:szCs w:val="20"/>
      <w:lang w:eastAsia="cs-CZ"/>
    </w:rPr>
  </w:style>
  <w:style w:type="paragraph" w:styleId="FootnoteText">
    <w:name w:val="footnote text"/>
    <w:basedOn w:val="Normal"/>
    <w:link w:val="FootnoteTextChar"/>
    <w:uiPriority w:val="99"/>
    <w:semiHidden/>
    <w:unhideWhenUsed/>
    <w:rsid w:val="00AA6453"/>
    <w:rPr>
      <w:sz w:val="20"/>
    </w:rPr>
  </w:style>
  <w:style w:type="character" w:customStyle="1" w:styleId="FootnoteTextChar">
    <w:name w:val="Footnote Text Char"/>
    <w:basedOn w:val="DefaultParagraphFont"/>
    <w:link w:val="FootnoteText"/>
    <w:uiPriority w:val="99"/>
    <w:semiHidden/>
    <w:rsid w:val="00AA6453"/>
    <w:rPr>
      <w:rFonts w:ascii="Arial" w:eastAsia="Times New Roman" w:hAnsi="Arial" w:cs="Times New Roman"/>
      <w:sz w:val="20"/>
      <w:szCs w:val="20"/>
      <w:lang w:eastAsia="cs-CZ"/>
    </w:rPr>
  </w:style>
  <w:style w:type="character" w:styleId="FootnoteReference">
    <w:name w:val="footnote reference"/>
    <w:basedOn w:val="DefaultParagraphFont"/>
    <w:uiPriority w:val="99"/>
    <w:semiHidden/>
    <w:unhideWhenUsed/>
    <w:rsid w:val="00AA6453"/>
    <w:rPr>
      <w:vertAlign w:val="superscript"/>
    </w:rPr>
  </w:style>
  <w:style w:type="character" w:customStyle="1" w:styleId="cf01">
    <w:name w:val="cf01"/>
    <w:basedOn w:val="DefaultParagraphFont"/>
    <w:rsid w:val="00983579"/>
    <w:rPr>
      <w:rFonts w:ascii="Segoe UI" w:hAnsi="Segoe UI" w:cs="Segoe UI" w:hint="default"/>
      <w:sz w:val="18"/>
      <w:szCs w:val="18"/>
    </w:rPr>
  </w:style>
  <w:style w:type="character" w:customStyle="1" w:styleId="Heading2Char">
    <w:name w:val="Heading 2 Char"/>
    <w:basedOn w:val="DefaultParagraphFont"/>
    <w:link w:val="Heading2"/>
    <w:uiPriority w:val="9"/>
    <w:rsid w:val="00561FB6"/>
    <w:rPr>
      <w:rFonts w:asciiTheme="majorHAnsi" w:eastAsiaTheme="majorEastAsia" w:hAnsiTheme="majorHAnsi" w:cstheme="majorBidi"/>
      <w:color w:val="2E74B5" w:themeColor="accent1" w:themeShade="BF"/>
      <w:sz w:val="26"/>
      <w:szCs w:val="26"/>
      <w:lang w:eastAsia="cs-CZ"/>
    </w:rPr>
  </w:style>
  <w:style w:type="character" w:styleId="Strong">
    <w:name w:val="Strong"/>
    <w:basedOn w:val="DefaultParagraphFont"/>
    <w:uiPriority w:val="22"/>
    <w:qFormat/>
    <w:rsid w:val="007C2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4939">
      <w:bodyDiv w:val="1"/>
      <w:marLeft w:val="0"/>
      <w:marRight w:val="0"/>
      <w:marTop w:val="0"/>
      <w:marBottom w:val="0"/>
      <w:divBdr>
        <w:top w:val="none" w:sz="0" w:space="0" w:color="auto"/>
        <w:left w:val="none" w:sz="0" w:space="0" w:color="auto"/>
        <w:bottom w:val="none" w:sz="0" w:space="0" w:color="auto"/>
        <w:right w:val="none" w:sz="0" w:space="0" w:color="auto"/>
      </w:divBdr>
    </w:div>
    <w:div w:id="125004222">
      <w:bodyDiv w:val="1"/>
      <w:marLeft w:val="0"/>
      <w:marRight w:val="0"/>
      <w:marTop w:val="0"/>
      <w:marBottom w:val="0"/>
      <w:divBdr>
        <w:top w:val="none" w:sz="0" w:space="0" w:color="auto"/>
        <w:left w:val="none" w:sz="0" w:space="0" w:color="auto"/>
        <w:bottom w:val="none" w:sz="0" w:space="0" w:color="auto"/>
        <w:right w:val="none" w:sz="0" w:space="0" w:color="auto"/>
      </w:divBdr>
    </w:div>
    <w:div w:id="171840413">
      <w:bodyDiv w:val="1"/>
      <w:marLeft w:val="0"/>
      <w:marRight w:val="0"/>
      <w:marTop w:val="0"/>
      <w:marBottom w:val="0"/>
      <w:divBdr>
        <w:top w:val="none" w:sz="0" w:space="0" w:color="auto"/>
        <w:left w:val="none" w:sz="0" w:space="0" w:color="auto"/>
        <w:bottom w:val="none" w:sz="0" w:space="0" w:color="auto"/>
        <w:right w:val="none" w:sz="0" w:space="0" w:color="auto"/>
      </w:divBdr>
    </w:div>
    <w:div w:id="175772208">
      <w:bodyDiv w:val="1"/>
      <w:marLeft w:val="0"/>
      <w:marRight w:val="0"/>
      <w:marTop w:val="0"/>
      <w:marBottom w:val="0"/>
      <w:divBdr>
        <w:top w:val="none" w:sz="0" w:space="0" w:color="auto"/>
        <w:left w:val="none" w:sz="0" w:space="0" w:color="auto"/>
        <w:bottom w:val="none" w:sz="0" w:space="0" w:color="auto"/>
        <w:right w:val="none" w:sz="0" w:space="0" w:color="auto"/>
      </w:divBdr>
    </w:div>
    <w:div w:id="213080258">
      <w:bodyDiv w:val="1"/>
      <w:marLeft w:val="0"/>
      <w:marRight w:val="0"/>
      <w:marTop w:val="0"/>
      <w:marBottom w:val="0"/>
      <w:divBdr>
        <w:top w:val="none" w:sz="0" w:space="0" w:color="auto"/>
        <w:left w:val="none" w:sz="0" w:space="0" w:color="auto"/>
        <w:bottom w:val="none" w:sz="0" w:space="0" w:color="auto"/>
        <w:right w:val="none" w:sz="0" w:space="0" w:color="auto"/>
      </w:divBdr>
    </w:div>
    <w:div w:id="235168362">
      <w:bodyDiv w:val="1"/>
      <w:marLeft w:val="0"/>
      <w:marRight w:val="0"/>
      <w:marTop w:val="0"/>
      <w:marBottom w:val="0"/>
      <w:divBdr>
        <w:top w:val="none" w:sz="0" w:space="0" w:color="auto"/>
        <w:left w:val="none" w:sz="0" w:space="0" w:color="auto"/>
        <w:bottom w:val="none" w:sz="0" w:space="0" w:color="auto"/>
        <w:right w:val="none" w:sz="0" w:space="0" w:color="auto"/>
      </w:divBdr>
    </w:div>
    <w:div w:id="278924704">
      <w:bodyDiv w:val="1"/>
      <w:marLeft w:val="0"/>
      <w:marRight w:val="0"/>
      <w:marTop w:val="0"/>
      <w:marBottom w:val="0"/>
      <w:divBdr>
        <w:top w:val="none" w:sz="0" w:space="0" w:color="auto"/>
        <w:left w:val="none" w:sz="0" w:space="0" w:color="auto"/>
        <w:bottom w:val="none" w:sz="0" w:space="0" w:color="auto"/>
        <w:right w:val="none" w:sz="0" w:space="0" w:color="auto"/>
      </w:divBdr>
    </w:div>
    <w:div w:id="313801545">
      <w:bodyDiv w:val="1"/>
      <w:marLeft w:val="0"/>
      <w:marRight w:val="0"/>
      <w:marTop w:val="0"/>
      <w:marBottom w:val="0"/>
      <w:divBdr>
        <w:top w:val="none" w:sz="0" w:space="0" w:color="auto"/>
        <w:left w:val="none" w:sz="0" w:space="0" w:color="auto"/>
        <w:bottom w:val="none" w:sz="0" w:space="0" w:color="auto"/>
        <w:right w:val="none" w:sz="0" w:space="0" w:color="auto"/>
      </w:divBdr>
    </w:div>
    <w:div w:id="320087060">
      <w:bodyDiv w:val="1"/>
      <w:marLeft w:val="0"/>
      <w:marRight w:val="0"/>
      <w:marTop w:val="0"/>
      <w:marBottom w:val="0"/>
      <w:divBdr>
        <w:top w:val="none" w:sz="0" w:space="0" w:color="auto"/>
        <w:left w:val="none" w:sz="0" w:space="0" w:color="auto"/>
        <w:bottom w:val="none" w:sz="0" w:space="0" w:color="auto"/>
        <w:right w:val="none" w:sz="0" w:space="0" w:color="auto"/>
      </w:divBdr>
    </w:div>
    <w:div w:id="383871093">
      <w:bodyDiv w:val="1"/>
      <w:marLeft w:val="0"/>
      <w:marRight w:val="0"/>
      <w:marTop w:val="0"/>
      <w:marBottom w:val="0"/>
      <w:divBdr>
        <w:top w:val="none" w:sz="0" w:space="0" w:color="auto"/>
        <w:left w:val="none" w:sz="0" w:space="0" w:color="auto"/>
        <w:bottom w:val="none" w:sz="0" w:space="0" w:color="auto"/>
        <w:right w:val="none" w:sz="0" w:space="0" w:color="auto"/>
      </w:divBdr>
    </w:div>
    <w:div w:id="389623159">
      <w:bodyDiv w:val="1"/>
      <w:marLeft w:val="0"/>
      <w:marRight w:val="0"/>
      <w:marTop w:val="0"/>
      <w:marBottom w:val="0"/>
      <w:divBdr>
        <w:top w:val="none" w:sz="0" w:space="0" w:color="auto"/>
        <w:left w:val="none" w:sz="0" w:space="0" w:color="auto"/>
        <w:bottom w:val="none" w:sz="0" w:space="0" w:color="auto"/>
        <w:right w:val="none" w:sz="0" w:space="0" w:color="auto"/>
      </w:divBdr>
    </w:div>
    <w:div w:id="433131831">
      <w:bodyDiv w:val="1"/>
      <w:marLeft w:val="0"/>
      <w:marRight w:val="0"/>
      <w:marTop w:val="0"/>
      <w:marBottom w:val="0"/>
      <w:divBdr>
        <w:top w:val="none" w:sz="0" w:space="0" w:color="auto"/>
        <w:left w:val="none" w:sz="0" w:space="0" w:color="auto"/>
        <w:bottom w:val="none" w:sz="0" w:space="0" w:color="auto"/>
        <w:right w:val="none" w:sz="0" w:space="0" w:color="auto"/>
      </w:divBdr>
    </w:div>
    <w:div w:id="434447739">
      <w:bodyDiv w:val="1"/>
      <w:marLeft w:val="0"/>
      <w:marRight w:val="0"/>
      <w:marTop w:val="0"/>
      <w:marBottom w:val="0"/>
      <w:divBdr>
        <w:top w:val="none" w:sz="0" w:space="0" w:color="auto"/>
        <w:left w:val="none" w:sz="0" w:space="0" w:color="auto"/>
        <w:bottom w:val="none" w:sz="0" w:space="0" w:color="auto"/>
        <w:right w:val="none" w:sz="0" w:space="0" w:color="auto"/>
      </w:divBdr>
    </w:div>
    <w:div w:id="622227915">
      <w:bodyDiv w:val="1"/>
      <w:marLeft w:val="0"/>
      <w:marRight w:val="0"/>
      <w:marTop w:val="0"/>
      <w:marBottom w:val="0"/>
      <w:divBdr>
        <w:top w:val="none" w:sz="0" w:space="0" w:color="auto"/>
        <w:left w:val="none" w:sz="0" w:space="0" w:color="auto"/>
        <w:bottom w:val="none" w:sz="0" w:space="0" w:color="auto"/>
        <w:right w:val="none" w:sz="0" w:space="0" w:color="auto"/>
      </w:divBdr>
    </w:div>
    <w:div w:id="693072444">
      <w:bodyDiv w:val="1"/>
      <w:marLeft w:val="0"/>
      <w:marRight w:val="0"/>
      <w:marTop w:val="0"/>
      <w:marBottom w:val="0"/>
      <w:divBdr>
        <w:top w:val="none" w:sz="0" w:space="0" w:color="auto"/>
        <w:left w:val="none" w:sz="0" w:space="0" w:color="auto"/>
        <w:bottom w:val="none" w:sz="0" w:space="0" w:color="auto"/>
        <w:right w:val="none" w:sz="0" w:space="0" w:color="auto"/>
      </w:divBdr>
    </w:div>
    <w:div w:id="740103959">
      <w:bodyDiv w:val="1"/>
      <w:marLeft w:val="0"/>
      <w:marRight w:val="0"/>
      <w:marTop w:val="0"/>
      <w:marBottom w:val="0"/>
      <w:divBdr>
        <w:top w:val="none" w:sz="0" w:space="0" w:color="auto"/>
        <w:left w:val="none" w:sz="0" w:space="0" w:color="auto"/>
        <w:bottom w:val="none" w:sz="0" w:space="0" w:color="auto"/>
        <w:right w:val="none" w:sz="0" w:space="0" w:color="auto"/>
      </w:divBdr>
    </w:div>
    <w:div w:id="744883708">
      <w:bodyDiv w:val="1"/>
      <w:marLeft w:val="0"/>
      <w:marRight w:val="0"/>
      <w:marTop w:val="0"/>
      <w:marBottom w:val="0"/>
      <w:divBdr>
        <w:top w:val="none" w:sz="0" w:space="0" w:color="auto"/>
        <w:left w:val="none" w:sz="0" w:space="0" w:color="auto"/>
        <w:bottom w:val="none" w:sz="0" w:space="0" w:color="auto"/>
        <w:right w:val="none" w:sz="0" w:space="0" w:color="auto"/>
      </w:divBdr>
    </w:div>
    <w:div w:id="775829942">
      <w:bodyDiv w:val="1"/>
      <w:marLeft w:val="0"/>
      <w:marRight w:val="0"/>
      <w:marTop w:val="0"/>
      <w:marBottom w:val="0"/>
      <w:divBdr>
        <w:top w:val="none" w:sz="0" w:space="0" w:color="auto"/>
        <w:left w:val="none" w:sz="0" w:space="0" w:color="auto"/>
        <w:bottom w:val="none" w:sz="0" w:space="0" w:color="auto"/>
        <w:right w:val="none" w:sz="0" w:space="0" w:color="auto"/>
      </w:divBdr>
    </w:div>
    <w:div w:id="794324714">
      <w:bodyDiv w:val="1"/>
      <w:marLeft w:val="0"/>
      <w:marRight w:val="0"/>
      <w:marTop w:val="0"/>
      <w:marBottom w:val="0"/>
      <w:divBdr>
        <w:top w:val="none" w:sz="0" w:space="0" w:color="auto"/>
        <w:left w:val="none" w:sz="0" w:space="0" w:color="auto"/>
        <w:bottom w:val="none" w:sz="0" w:space="0" w:color="auto"/>
        <w:right w:val="none" w:sz="0" w:space="0" w:color="auto"/>
      </w:divBdr>
    </w:div>
    <w:div w:id="844367420">
      <w:bodyDiv w:val="1"/>
      <w:marLeft w:val="0"/>
      <w:marRight w:val="0"/>
      <w:marTop w:val="0"/>
      <w:marBottom w:val="0"/>
      <w:divBdr>
        <w:top w:val="none" w:sz="0" w:space="0" w:color="auto"/>
        <w:left w:val="none" w:sz="0" w:space="0" w:color="auto"/>
        <w:bottom w:val="none" w:sz="0" w:space="0" w:color="auto"/>
        <w:right w:val="none" w:sz="0" w:space="0" w:color="auto"/>
      </w:divBdr>
    </w:div>
    <w:div w:id="860356969">
      <w:bodyDiv w:val="1"/>
      <w:marLeft w:val="0"/>
      <w:marRight w:val="0"/>
      <w:marTop w:val="0"/>
      <w:marBottom w:val="0"/>
      <w:divBdr>
        <w:top w:val="none" w:sz="0" w:space="0" w:color="auto"/>
        <w:left w:val="none" w:sz="0" w:space="0" w:color="auto"/>
        <w:bottom w:val="none" w:sz="0" w:space="0" w:color="auto"/>
        <w:right w:val="none" w:sz="0" w:space="0" w:color="auto"/>
      </w:divBdr>
    </w:div>
    <w:div w:id="874662016">
      <w:bodyDiv w:val="1"/>
      <w:marLeft w:val="0"/>
      <w:marRight w:val="0"/>
      <w:marTop w:val="0"/>
      <w:marBottom w:val="0"/>
      <w:divBdr>
        <w:top w:val="none" w:sz="0" w:space="0" w:color="auto"/>
        <w:left w:val="none" w:sz="0" w:space="0" w:color="auto"/>
        <w:bottom w:val="none" w:sz="0" w:space="0" w:color="auto"/>
        <w:right w:val="none" w:sz="0" w:space="0" w:color="auto"/>
      </w:divBdr>
    </w:div>
    <w:div w:id="881596654">
      <w:bodyDiv w:val="1"/>
      <w:marLeft w:val="0"/>
      <w:marRight w:val="0"/>
      <w:marTop w:val="0"/>
      <w:marBottom w:val="0"/>
      <w:divBdr>
        <w:top w:val="none" w:sz="0" w:space="0" w:color="auto"/>
        <w:left w:val="none" w:sz="0" w:space="0" w:color="auto"/>
        <w:bottom w:val="none" w:sz="0" w:space="0" w:color="auto"/>
        <w:right w:val="none" w:sz="0" w:space="0" w:color="auto"/>
      </w:divBdr>
    </w:div>
    <w:div w:id="952638638">
      <w:bodyDiv w:val="1"/>
      <w:marLeft w:val="0"/>
      <w:marRight w:val="0"/>
      <w:marTop w:val="0"/>
      <w:marBottom w:val="0"/>
      <w:divBdr>
        <w:top w:val="none" w:sz="0" w:space="0" w:color="auto"/>
        <w:left w:val="none" w:sz="0" w:space="0" w:color="auto"/>
        <w:bottom w:val="none" w:sz="0" w:space="0" w:color="auto"/>
        <w:right w:val="none" w:sz="0" w:space="0" w:color="auto"/>
      </w:divBdr>
    </w:div>
    <w:div w:id="972368172">
      <w:bodyDiv w:val="1"/>
      <w:marLeft w:val="0"/>
      <w:marRight w:val="0"/>
      <w:marTop w:val="0"/>
      <w:marBottom w:val="0"/>
      <w:divBdr>
        <w:top w:val="none" w:sz="0" w:space="0" w:color="auto"/>
        <w:left w:val="none" w:sz="0" w:space="0" w:color="auto"/>
        <w:bottom w:val="none" w:sz="0" w:space="0" w:color="auto"/>
        <w:right w:val="none" w:sz="0" w:space="0" w:color="auto"/>
      </w:divBdr>
    </w:div>
    <w:div w:id="974721017">
      <w:bodyDiv w:val="1"/>
      <w:marLeft w:val="0"/>
      <w:marRight w:val="0"/>
      <w:marTop w:val="0"/>
      <w:marBottom w:val="0"/>
      <w:divBdr>
        <w:top w:val="none" w:sz="0" w:space="0" w:color="auto"/>
        <w:left w:val="none" w:sz="0" w:space="0" w:color="auto"/>
        <w:bottom w:val="none" w:sz="0" w:space="0" w:color="auto"/>
        <w:right w:val="none" w:sz="0" w:space="0" w:color="auto"/>
      </w:divBdr>
    </w:div>
    <w:div w:id="1031538979">
      <w:bodyDiv w:val="1"/>
      <w:marLeft w:val="0"/>
      <w:marRight w:val="0"/>
      <w:marTop w:val="0"/>
      <w:marBottom w:val="0"/>
      <w:divBdr>
        <w:top w:val="none" w:sz="0" w:space="0" w:color="auto"/>
        <w:left w:val="none" w:sz="0" w:space="0" w:color="auto"/>
        <w:bottom w:val="none" w:sz="0" w:space="0" w:color="auto"/>
        <w:right w:val="none" w:sz="0" w:space="0" w:color="auto"/>
      </w:divBdr>
    </w:div>
    <w:div w:id="1053165063">
      <w:bodyDiv w:val="1"/>
      <w:marLeft w:val="0"/>
      <w:marRight w:val="0"/>
      <w:marTop w:val="0"/>
      <w:marBottom w:val="0"/>
      <w:divBdr>
        <w:top w:val="none" w:sz="0" w:space="0" w:color="auto"/>
        <w:left w:val="none" w:sz="0" w:space="0" w:color="auto"/>
        <w:bottom w:val="none" w:sz="0" w:space="0" w:color="auto"/>
        <w:right w:val="none" w:sz="0" w:space="0" w:color="auto"/>
      </w:divBdr>
    </w:div>
    <w:div w:id="1149251152">
      <w:bodyDiv w:val="1"/>
      <w:marLeft w:val="0"/>
      <w:marRight w:val="0"/>
      <w:marTop w:val="0"/>
      <w:marBottom w:val="0"/>
      <w:divBdr>
        <w:top w:val="none" w:sz="0" w:space="0" w:color="auto"/>
        <w:left w:val="none" w:sz="0" w:space="0" w:color="auto"/>
        <w:bottom w:val="none" w:sz="0" w:space="0" w:color="auto"/>
        <w:right w:val="none" w:sz="0" w:space="0" w:color="auto"/>
      </w:divBdr>
    </w:div>
    <w:div w:id="1247962172">
      <w:bodyDiv w:val="1"/>
      <w:marLeft w:val="0"/>
      <w:marRight w:val="0"/>
      <w:marTop w:val="0"/>
      <w:marBottom w:val="0"/>
      <w:divBdr>
        <w:top w:val="none" w:sz="0" w:space="0" w:color="auto"/>
        <w:left w:val="none" w:sz="0" w:space="0" w:color="auto"/>
        <w:bottom w:val="none" w:sz="0" w:space="0" w:color="auto"/>
        <w:right w:val="none" w:sz="0" w:space="0" w:color="auto"/>
      </w:divBdr>
    </w:div>
    <w:div w:id="1285036963">
      <w:bodyDiv w:val="1"/>
      <w:marLeft w:val="0"/>
      <w:marRight w:val="0"/>
      <w:marTop w:val="0"/>
      <w:marBottom w:val="0"/>
      <w:divBdr>
        <w:top w:val="none" w:sz="0" w:space="0" w:color="auto"/>
        <w:left w:val="none" w:sz="0" w:space="0" w:color="auto"/>
        <w:bottom w:val="none" w:sz="0" w:space="0" w:color="auto"/>
        <w:right w:val="none" w:sz="0" w:space="0" w:color="auto"/>
      </w:divBdr>
    </w:div>
    <w:div w:id="1303655994">
      <w:bodyDiv w:val="1"/>
      <w:marLeft w:val="0"/>
      <w:marRight w:val="0"/>
      <w:marTop w:val="0"/>
      <w:marBottom w:val="0"/>
      <w:divBdr>
        <w:top w:val="none" w:sz="0" w:space="0" w:color="auto"/>
        <w:left w:val="none" w:sz="0" w:space="0" w:color="auto"/>
        <w:bottom w:val="none" w:sz="0" w:space="0" w:color="auto"/>
        <w:right w:val="none" w:sz="0" w:space="0" w:color="auto"/>
      </w:divBdr>
    </w:div>
    <w:div w:id="1350253804">
      <w:bodyDiv w:val="1"/>
      <w:marLeft w:val="0"/>
      <w:marRight w:val="0"/>
      <w:marTop w:val="0"/>
      <w:marBottom w:val="0"/>
      <w:divBdr>
        <w:top w:val="none" w:sz="0" w:space="0" w:color="auto"/>
        <w:left w:val="none" w:sz="0" w:space="0" w:color="auto"/>
        <w:bottom w:val="none" w:sz="0" w:space="0" w:color="auto"/>
        <w:right w:val="none" w:sz="0" w:space="0" w:color="auto"/>
      </w:divBdr>
    </w:div>
    <w:div w:id="1366446254">
      <w:bodyDiv w:val="1"/>
      <w:marLeft w:val="0"/>
      <w:marRight w:val="0"/>
      <w:marTop w:val="0"/>
      <w:marBottom w:val="0"/>
      <w:divBdr>
        <w:top w:val="none" w:sz="0" w:space="0" w:color="auto"/>
        <w:left w:val="none" w:sz="0" w:space="0" w:color="auto"/>
        <w:bottom w:val="none" w:sz="0" w:space="0" w:color="auto"/>
        <w:right w:val="none" w:sz="0" w:space="0" w:color="auto"/>
      </w:divBdr>
    </w:div>
    <w:div w:id="1509517607">
      <w:bodyDiv w:val="1"/>
      <w:marLeft w:val="0"/>
      <w:marRight w:val="0"/>
      <w:marTop w:val="0"/>
      <w:marBottom w:val="0"/>
      <w:divBdr>
        <w:top w:val="none" w:sz="0" w:space="0" w:color="auto"/>
        <w:left w:val="none" w:sz="0" w:space="0" w:color="auto"/>
        <w:bottom w:val="none" w:sz="0" w:space="0" w:color="auto"/>
        <w:right w:val="none" w:sz="0" w:space="0" w:color="auto"/>
      </w:divBdr>
    </w:div>
    <w:div w:id="1553422533">
      <w:bodyDiv w:val="1"/>
      <w:marLeft w:val="0"/>
      <w:marRight w:val="0"/>
      <w:marTop w:val="0"/>
      <w:marBottom w:val="0"/>
      <w:divBdr>
        <w:top w:val="none" w:sz="0" w:space="0" w:color="auto"/>
        <w:left w:val="none" w:sz="0" w:space="0" w:color="auto"/>
        <w:bottom w:val="none" w:sz="0" w:space="0" w:color="auto"/>
        <w:right w:val="none" w:sz="0" w:space="0" w:color="auto"/>
      </w:divBdr>
    </w:div>
    <w:div w:id="1615551508">
      <w:bodyDiv w:val="1"/>
      <w:marLeft w:val="0"/>
      <w:marRight w:val="0"/>
      <w:marTop w:val="0"/>
      <w:marBottom w:val="0"/>
      <w:divBdr>
        <w:top w:val="none" w:sz="0" w:space="0" w:color="auto"/>
        <w:left w:val="none" w:sz="0" w:space="0" w:color="auto"/>
        <w:bottom w:val="none" w:sz="0" w:space="0" w:color="auto"/>
        <w:right w:val="none" w:sz="0" w:space="0" w:color="auto"/>
      </w:divBdr>
    </w:div>
    <w:div w:id="1727532493">
      <w:bodyDiv w:val="1"/>
      <w:marLeft w:val="0"/>
      <w:marRight w:val="0"/>
      <w:marTop w:val="0"/>
      <w:marBottom w:val="0"/>
      <w:divBdr>
        <w:top w:val="none" w:sz="0" w:space="0" w:color="auto"/>
        <w:left w:val="none" w:sz="0" w:space="0" w:color="auto"/>
        <w:bottom w:val="none" w:sz="0" w:space="0" w:color="auto"/>
        <w:right w:val="none" w:sz="0" w:space="0" w:color="auto"/>
      </w:divBdr>
    </w:div>
    <w:div w:id="1757242897">
      <w:bodyDiv w:val="1"/>
      <w:marLeft w:val="0"/>
      <w:marRight w:val="0"/>
      <w:marTop w:val="0"/>
      <w:marBottom w:val="0"/>
      <w:divBdr>
        <w:top w:val="none" w:sz="0" w:space="0" w:color="auto"/>
        <w:left w:val="none" w:sz="0" w:space="0" w:color="auto"/>
        <w:bottom w:val="none" w:sz="0" w:space="0" w:color="auto"/>
        <w:right w:val="none" w:sz="0" w:space="0" w:color="auto"/>
      </w:divBdr>
    </w:div>
    <w:div w:id="1775709910">
      <w:bodyDiv w:val="1"/>
      <w:marLeft w:val="0"/>
      <w:marRight w:val="0"/>
      <w:marTop w:val="0"/>
      <w:marBottom w:val="0"/>
      <w:divBdr>
        <w:top w:val="none" w:sz="0" w:space="0" w:color="auto"/>
        <w:left w:val="none" w:sz="0" w:space="0" w:color="auto"/>
        <w:bottom w:val="none" w:sz="0" w:space="0" w:color="auto"/>
        <w:right w:val="none" w:sz="0" w:space="0" w:color="auto"/>
      </w:divBdr>
      <w:divsChild>
        <w:div w:id="1008944210">
          <w:marLeft w:val="547"/>
          <w:marRight w:val="0"/>
          <w:marTop w:val="0"/>
          <w:marBottom w:val="0"/>
          <w:divBdr>
            <w:top w:val="none" w:sz="0" w:space="0" w:color="auto"/>
            <w:left w:val="none" w:sz="0" w:space="0" w:color="auto"/>
            <w:bottom w:val="none" w:sz="0" w:space="0" w:color="auto"/>
            <w:right w:val="none" w:sz="0" w:space="0" w:color="auto"/>
          </w:divBdr>
        </w:div>
      </w:divsChild>
    </w:div>
    <w:div w:id="1777214021">
      <w:bodyDiv w:val="1"/>
      <w:marLeft w:val="0"/>
      <w:marRight w:val="0"/>
      <w:marTop w:val="0"/>
      <w:marBottom w:val="0"/>
      <w:divBdr>
        <w:top w:val="none" w:sz="0" w:space="0" w:color="auto"/>
        <w:left w:val="none" w:sz="0" w:space="0" w:color="auto"/>
        <w:bottom w:val="none" w:sz="0" w:space="0" w:color="auto"/>
        <w:right w:val="none" w:sz="0" w:space="0" w:color="auto"/>
      </w:divBdr>
    </w:div>
    <w:div w:id="1824738871">
      <w:bodyDiv w:val="1"/>
      <w:marLeft w:val="0"/>
      <w:marRight w:val="0"/>
      <w:marTop w:val="0"/>
      <w:marBottom w:val="0"/>
      <w:divBdr>
        <w:top w:val="none" w:sz="0" w:space="0" w:color="auto"/>
        <w:left w:val="none" w:sz="0" w:space="0" w:color="auto"/>
        <w:bottom w:val="none" w:sz="0" w:space="0" w:color="auto"/>
        <w:right w:val="none" w:sz="0" w:space="0" w:color="auto"/>
      </w:divBdr>
    </w:div>
    <w:div w:id="1863548730">
      <w:bodyDiv w:val="1"/>
      <w:marLeft w:val="0"/>
      <w:marRight w:val="0"/>
      <w:marTop w:val="0"/>
      <w:marBottom w:val="0"/>
      <w:divBdr>
        <w:top w:val="none" w:sz="0" w:space="0" w:color="auto"/>
        <w:left w:val="none" w:sz="0" w:space="0" w:color="auto"/>
        <w:bottom w:val="none" w:sz="0" w:space="0" w:color="auto"/>
        <w:right w:val="none" w:sz="0" w:space="0" w:color="auto"/>
      </w:divBdr>
    </w:div>
    <w:div w:id="1882788502">
      <w:bodyDiv w:val="1"/>
      <w:marLeft w:val="0"/>
      <w:marRight w:val="0"/>
      <w:marTop w:val="0"/>
      <w:marBottom w:val="0"/>
      <w:divBdr>
        <w:top w:val="none" w:sz="0" w:space="0" w:color="auto"/>
        <w:left w:val="none" w:sz="0" w:space="0" w:color="auto"/>
        <w:bottom w:val="none" w:sz="0" w:space="0" w:color="auto"/>
        <w:right w:val="none" w:sz="0" w:space="0" w:color="auto"/>
      </w:divBdr>
    </w:div>
    <w:div w:id="2033920408">
      <w:bodyDiv w:val="1"/>
      <w:marLeft w:val="0"/>
      <w:marRight w:val="0"/>
      <w:marTop w:val="0"/>
      <w:marBottom w:val="0"/>
      <w:divBdr>
        <w:top w:val="none" w:sz="0" w:space="0" w:color="auto"/>
        <w:left w:val="none" w:sz="0" w:space="0" w:color="auto"/>
        <w:bottom w:val="none" w:sz="0" w:space="0" w:color="auto"/>
        <w:right w:val="none" w:sz="0" w:space="0" w:color="auto"/>
      </w:divBdr>
    </w:div>
    <w:div w:id="2048217982">
      <w:bodyDiv w:val="1"/>
      <w:marLeft w:val="0"/>
      <w:marRight w:val="0"/>
      <w:marTop w:val="0"/>
      <w:marBottom w:val="0"/>
      <w:divBdr>
        <w:top w:val="none" w:sz="0" w:space="0" w:color="auto"/>
        <w:left w:val="none" w:sz="0" w:space="0" w:color="auto"/>
        <w:bottom w:val="none" w:sz="0" w:space="0" w:color="auto"/>
        <w:right w:val="none" w:sz="0" w:space="0" w:color="auto"/>
      </w:divBdr>
    </w:div>
    <w:div w:id="2071535983">
      <w:bodyDiv w:val="1"/>
      <w:marLeft w:val="0"/>
      <w:marRight w:val="0"/>
      <w:marTop w:val="0"/>
      <w:marBottom w:val="0"/>
      <w:divBdr>
        <w:top w:val="none" w:sz="0" w:space="0" w:color="auto"/>
        <w:left w:val="none" w:sz="0" w:space="0" w:color="auto"/>
        <w:bottom w:val="none" w:sz="0" w:space="0" w:color="auto"/>
        <w:right w:val="none" w:sz="0" w:space="0" w:color="auto"/>
      </w:divBdr>
    </w:div>
    <w:div w:id="212133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Vlastní 1">
      <a:majorFont>
        <a:latin typeface="Calibri Light"/>
        <a:ea typeface=""/>
        <a:cs typeface=""/>
      </a:majorFont>
      <a:minorFont>
        <a:latin typeface="Calibri Light"/>
        <a:ea typeface=""/>
        <a:cs typeface=""/>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088650-8B43-417C-931A-06049C169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1755</Words>
  <Characters>10358</Characters>
  <Application>Microsoft Office Word</Application>
  <DocSecurity>0</DocSecurity>
  <Lines>86</Lines>
  <Paragraphs>24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UGIS</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vlachova</dc:creator>
  <cp:lastModifiedBy>Jakub Seidler</cp:lastModifiedBy>
  <cp:revision>5</cp:revision>
  <cp:lastPrinted>2021-11-10T10:12:00Z</cp:lastPrinted>
  <dcterms:created xsi:type="dcterms:W3CDTF">2021-11-10T21:30:00Z</dcterms:created>
  <dcterms:modified xsi:type="dcterms:W3CDTF">2021-11-11T07:43:00Z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0254f4-34d0-49c5-b888-af4abf762ef7_Enabled">
    <vt:lpwstr>True</vt:lpwstr>
  </property>
  <property fmtid="{D5CDD505-2E9C-101B-9397-08002B2CF9AE}" pid="3" name="MSIP_Label_390254f4-34d0-49c5-b888-af4abf762ef7_SiteId">
    <vt:lpwstr>2cc49ce9-66a1-41ac-a96b-bdc54247696a</vt:lpwstr>
  </property>
  <property fmtid="{D5CDD505-2E9C-101B-9397-08002B2CF9AE}" pid="4" name="MSIP_Label_390254f4-34d0-49c5-b888-af4abf762ef7_Owner">
    <vt:lpwstr>Pavel.Sobisek@unicreditgroup.cz</vt:lpwstr>
  </property>
  <property fmtid="{D5CDD505-2E9C-101B-9397-08002B2CF9AE}" pid="5" name="MSIP_Label_390254f4-34d0-49c5-b888-af4abf762ef7_SetDate">
    <vt:lpwstr>2020-01-15T16:11:29.8787231Z</vt:lpwstr>
  </property>
  <property fmtid="{D5CDD505-2E9C-101B-9397-08002B2CF9AE}" pid="6" name="MSIP_Label_390254f4-34d0-49c5-b888-af4abf762ef7_Name">
    <vt:lpwstr>Internal Use Only</vt:lpwstr>
  </property>
  <property fmtid="{D5CDD505-2E9C-101B-9397-08002B2CF9AE}" pid="7" name="MSIP_Label_390254f4-34d0-49c5-b888-af4abf762ef7_Application">
    <vt:lpwstr>Microsoft Azure Information Protection</vt:lpwstr>
  </property>
  <property fmtid="{D5CDD505-2E9C-101B-9397-08002B2CF9AE}" pid="8" name="MSIP_Label_390254f4-34d0-49c5-b888-af4abf762ef7_ActionId">
    <vt:lpwstr>43f3763f-d3c6-435c-ae50-a4a40081b5fb</vt:lpwstr>
  </property>
  <property fmtid="{D5CDD505-2E9C-101B-9397-08002B2CF9AE}" pid="9" name="MSIP_Label_390254f4-34d0-49c5-b888-af4abf762ef7_Extended_MSFT_Method">
    <vt:lpwstr>Automatic</vt:lpwstr>
  </property>
  <property fmtid="{D5CDD505-2E9C-101B-9397-08002B2CF9AE}" pid="10" name="MSIP_Label_faa92781-1fcb-4da3-a1a2-e534c28a25f3_Enabled">
    <vt:lpwstr>True</vt:lpwstr>
  </property>
  <property fmtid="{D5CDD505-2E9C-101B-9397-08002B2CF9AE}" pid="11" name="MSIP_Label_faa92781-1fcb-4da3-a1a2-e534c28a25f3_SiteId">
    <vt:lpwstr>2cc49ce9-66a1-41ac-a96b-bdc54247696a</vt:lpwstr>
  </property>
  <property fmtid="{D5CDD505-2E9C-101B-9397-08002B2CF9AE}" pid="12" name="MSIP_Label_faa92781-1fcb-4da3-a1a2-e534c28a25f3_Owner">
    <vt:lpwstr>Pavel.Sobisek@unicreditgroup.cz</vt:lpwstr>
  </property>
  <property fmtid="{D5CDD505-2E9C-101B-9397-08002B2CF9AE}" pid="13" name="MSIP_Label_faa92781-1fcb-4da3-a1a2-e534c28a25f3_SetDate">
    <vt:lpwstr>2020-01-15T16:11:29.8787231Z</vt:lpwstr>
  </property>
  <property fmtid="{D5CDD505-2E9C-101B-9397-08002B2CF9AE}" pid="14" name="MSIP_Label_faa92781-1fcb-4da3-a1a2-e534c28a25f3_Name">
    <vt:lpwstr>in UniCredit Group - no visual markings</vt:lpwstr>
  </property>
  <property fmtid="{D5CDD505-2E9C-101B-9397-08002B2CF9AE}" pid="15" name="MSIP_Label_faa92781-1fcb-4da3-a1a2-e534c28a25f3_Application">
    <vt:lpwstr>Microsoft Azure Information Protection</vt:lpwstr>
  </property>
  <property fmtid="{D5CDD505-2E9C-101B-9397-08002B2CF9AE}" pid="16" name="MSIP_Label_faa92781-1fcb-4da3-a1a2-e534c28a25f3_ActionId">
    <vt:lpwstr>43f3763f-d3c6-435c-ae50-a4a40081b5fb</vt:lpwstr>
  </property>
  <property fmtid="{D5CDD505-2E9C-101B-9397-08002B2CF9AE}" pid="17" name="MSIP_Label_faa92781-1fcb-4da3-a1a2-e534c28a25f3_Parent">
    <vt:lpwstr>390254f4-34d0-49c5-b888-af4abf762ef7</vt:lpwstr>
  </property>
  <property fmtid="{D5CDD505-2E9C-101B-9397-08002B2CF9AE}" pid="18" name="MSIP_Label_faa92781-1fcb-4da3-a1a2-e534c28a25f3_Extended_MSFT_Method">
    <vt:lpwstr>Automatic</vt:lpwstr>
  </property>
  <property fmtid="{D5CDD505-2E9C-101B-9397-08002B2CF9AE}" pid="19" name="Sensitivity">
    <vt:lpwstr>Internal Use Only in UniCredit Group - no visual markings</vt:lpwstr>
  </property>
  <property fmtid="{D5CDD505-2E9C-101B-9397-08002B2CF9AE}" pid="20" name="MSIP_Label_2b3a104e-2916-42dc-a2f6-6210338509ed_Enabled">
    <vt:lpwstr>True</vt:lpwstr>
  </property>
  <property fmtid="{D5CDD505-2E9C-101B-9397-08002B2CF9AE}" pid="21" name="MSIP_Label_2b3a104e-2916-42dc-a2f6-6210338509ed_SiteId">
    <vt:lpwstr>e70aafb3-2e89-46a5-ba50-66803e8a4411</vt:lpwstr>
  </property>
  <property fmtid="{D5CDD505-2E9C-101B-9397-08002B2CF9AE}" pid="22" name="MSIP_Label_2b3a104e-2916-42dc-a2f6-6210338509ed_Owner">
    <vt:lpwstr>cen87316@csin.cz</vt:lpwstr>
  </property>
  <property fmtid="{D5CDD505-2E9C-101B-9397-08002B2CF9AE}" pid="23" name="MSIP_Label_2b3a104e-2916-42dc-a2f6-6210338509ed_SetDate">
    <vt:lpwstr>2020-01-17T08:10:02.3455520Z</vt:lpwstr>
  </property>
  <property fmtid="{D5CDD505-2E9C-101B-9397-08002B2CF9AE}" pid="24" name="MSIP_Label_2b3a104e-2916-42dc-a2f6-6210338509ed_Name">
    <vt:lpwstr>CS Internal</vt:lpwstr>
  </property>
  <property fmtid="{D5CDD505-2E9C-101B-9397-08002B2CF9AE}" pid="25" name="MSIP_Label_2b3a104e-2916-42dc-a2f6-6210338509ed_Application">
    <vt:lpwstr>Microsoft Azure Information Protection</vt:lpwstr>
  </property>
  <property fmtid="{D5CDD505-2E9C-101B-9397-08002B2CF9AE}" pid="26" name="MSIP_Label_2b3a104e-2916-42dc-a2f6-6210338509ed_ActionId">
    <vt:lpwstr>60b9ebe4-46ae-459c-bf59-6a05f328379e</vt:lpwstr>
  </property>
  <property fmtid="{D5CDD505-2E9C-101B-9397-08002B2CF9AE}" pid="27" name="MSIP_Label_2b3a104e-2916-42dc-a2f6-6210338509ed_Extended_MSFT_Method">
    <vt:lpwstr>Automatic</vt:lpwstr>
  </property>
  <property fmtid="{D5CDD505-2E9C-101B-9397-08002B2CF9AE}" pid="28" name="MSIP_Label_076d9757-80ae-4c87-b4d7-9ffa7a0710d0_Enabled">
    <vt:lpwstr>true</vt:lpwstr>
  </property>
  <property fmtid="{D5CDD505-2E9C-101B-9397-08002B2CF9AE}" pid="29" name="MSIP_Label_076d9757-80ae-4c87-b4d7-9ffa7a0710d0_SetDate">
    <vt:lpwstr>2021-05-09T16:09:36Z</vt:lpwstr>
  </property>
  <property fmtid="{D5CDD505-2E9C-101B-9397-08002B2CF9AE}" pid="30" name="MSIP_Label_076d9757-80ae-4c87-b4d7-9ffa7a0710d0_Method">
    <vt:lpwstr>Standard</vt:lpwstr>
  </property>
  <property fmtid="{D5CDD505-2E9C-101B-9397-08002B2CF9AE}" pid="31" name="MSIP_Label_076d9757-80ae-4c87-b4d7-9ffa7a0710d0_Name">
    <vt:lpwstr>C1 - Internal</vt:lpwstr>
  </property>
  <property fmtid="{D5CDD505-2E9C-101B-9397-08002B2CF9AE}" pid="32" name="MSIP_Label_076d9757-80ae-4c87-b4d7-9ffa7a0710d0_SiteId">
    <vt:lpwstr>c79e7c80-cff5-4503-b468-3702cea89272</vt:lpwstr>
  </property>
  <property fmtid="{D5CDD505-2E9C-101B-9397-08002B2CF9AE}" pid="33" name="MSIP_Label_076d9757-80ae-4c87-b4d7-9ffa7a0710d0_ActionId">
    <vt:lpwstr>e6da5af1-39f2-4f2b-b59b-984e27099740</vt:lpwstr>
  </property>
  <property fmtid="{D5CDD505-2E9C-101B-9397-08002B2CF9AE}" pid="34" name="MSIP_Label_076d9757-80ae-4c87-b4d7-9ffa7a0710d0_ContentBits">
    <vt:lpwstr>0</vt:lpwstr>
  </property>
  <property fmtid="{D5CDD505-2E9C-101B-9397-08002B2CF9AE}" pid="35" name="Kod_Duvernosti">
    <vt:lpwstr>KB_C1_INTERNAL_992521</vt:lpwstr>
  </property>
  <property fmtid="{D5CDD505-2E9C-101B-9397-08002B2CF9AE}" pid="36" name="MSIP_Label_2a6524ed-fb1a-49fd-bafe-15c5e5ffd047_Enabled">
    <vt:lpwstr>true</vt:lpwstr>
  </property>
  <property fmtid="{D5CDD505-2E9C-101B-9397-08002B2CF9AE}" pid="37" name="MSIP_Label_2a6524ed-fb1a-49fd-bafe-15c5e5ffd047_SetDate">
    <vt:lpwstr>2021-05-10T05:54:55Z</vt:lpwstr>
  </property>
  <property fmtid="{D5CDD505-2E9C-101B-9397-08002B2CF9AE}" pid="38" name="MSIP_Label_2a6524ed-fb1a-49fd-bafe-15c5e5ffd047_Method">
    <vt:lpwstr>Standard</vt:lpwstr>
  </property>
  <property fmtid="{D5CDD505-2E9C-101B-9397-08002B2CF9AE}" pid="39" name="MSIP_Label_2a6524ed-fb1a-49fd-bafe-15c5e5ffd047_Name">
    <vt:lpwstr>Internal</vt:lpwstr>
  </property>
  <property fmtid="{D5CDD505-2E9C-101B-9397-08002B2CF9AE}" pid="40" name="MSIP_Label_2a6524ed-fb1a-49fd-bafe-15c5e5ffd047_SiteId">
    <vt:lpwstr>9b511fda-f0b1-43a5-b06e-1e720f64520a</vt:lpwstr>
  </property>
  <property fmtid="{D5CDD505-2E9C-101B-9397-08002B2CF9AE}" pid="41" name="MSIP_Label_2a6524ed-fb1a-49fd-bafe-15c5e5ffd047_ActionId">
    <vt:lpwstr>6e16e441-bca8-45fa-8e42-4b14b422a2ce</vt:lpwstr>
  </property>
  <property fmtid="{D5CDD505-2E9C-101B-9397-08002B2CF9AE}" pid="42" name="MSIP_Label_2a6524ed-fb1a-49fd-bafe-15c5e5ffd047_ContentBits">
    <vt:lpwstr>0</vt:lpwstr>
  </property>
</Properties>
</file>