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245D2" w14:textId="6DC90918" w:rsidR="00266E32" w:rsidRPr="00DD4A8E" w:rsidRDefault="00266E32" w:rsidP="00266E32">
      <w:pPr>
        <w:rPr>
          <w:rFonts w:ascii="Calibri" w:hAnsi="Calibri" w:cs="Arial"/>
          <w:b/>
          <w:color w:val="13576B"/>
          <w:sz w:val="36"/>
          <w:szCs w:val="36"/>
        </w:rPr>
      </w:pPr>
      <w:r w:rsidRPr="00DD4A8E">
        <w:rPr>
          <w:rFonts w:ascii="Calibri" w:hAnsi="Calibri" w:cs="Arial"/>
          <w:b/>
          <w:color w:val="13576B"/>
          <w:sz w:val="36"/>
          <w:szCs w:val="36"/>
        </w:rPr>
        <w:t xml:space="preserve">MAKROEKONOMICKÁ PROGNÓZA </w:t>
      </w:r>
      <w:r>
        <w:rPr>
          <w:rFonts w:ascii="Calibri" w:hAnsi="Calibri" w:cs="Arial"/>
          <w:b/>
          <w:color w:val="13576B"/>
          <w:sz w:val="36"/>
          <w:szCs w:val="36"/>
        </w:rPr>
        <w:t>ČBA</w:t>
      </w:r>
    </w:p>
    <w:p w14:paraId="3E5D8033" w14:textId="77777777" w:rsidR="00266E32" w:rsidRPr="00DD4A8E" w:rsidRDefault="00266E32" w:rsidP="00266E32">
      <w:pPr>
        <w:rPr>
          <w:rFonts w:ascii="Calibri" w:hAnsi="Calibri" w:cs="Arial"/>
          <w:b/>
          <w:color w:val="13576B"/>
          <w:sz w:val="28"/>
          <w:szCs w:val="28"/>
        </w:rPr>
      </w:pPr>
    </w:p>
    <w:p w14:paraId="240C088F" w14:textId="1BD932C1" w:rsidR="00266E32" w:rsidRPr="00DD4A8E" w:rsidRDefault="000366C2" w:rsidP="00266E32">
      <w:pPr>
        <w:jc w:val="left"/>
        <w:rPr>
          <w:rFonts w:ascii="Calibri" w:hAnsi="Calibri" w:cs="Arial"/>
          <w:b/>
          <w:color w:val="13576B"/>
          <w:sz w:val="32"/>
          <w:szCs w:val="32"/>
        </w:rPr>
      </w:pPr>
      <w:r>
        <w:rPr>
          <w:rFonts w:ascii="Calibri" w:hAnsi="Calibri" w:cs="Arial"/>
          <w:b/>
          <w:color w:val="13576B"/>
          <w:sz w:val="32"/>
          <w:szCs w:val="32"/>
        </w:rPr>
        <w:t xml:space="preserve">Listopad 2011: </w:t>
      </w:r>
      <w:r w:rsidR="00484DC6" w:rsidRPr="00484DC6">
        <w:rPr>
          <w:rFonts w:ascii="Calibri" w:hAnsi="Calibri" w:cs="Arial"/>
          <w:b/>
          <w:color w:val="13576B"/>
          <w:sz w:val="32"/>
          <w:szCs w:val="32"/>
        </w:rPr>
        <w:t>Česká ekonomika poroste letos pomaleji, než se čekalo, jen o 2,6 %. Příští rok zrychlí na 3,9</w:t>
      </w:r>
      <w:r w:rsidR="005E1864">
        <w:rPr>
          <w:rFonts w:ascii="Calibri" w:hAnsi="Calibri" w:cs="Arial"/>
          <w:b/>
          <w:color w:val="13576B"/>
          <w:sz w:val="32"/>
          <w:szCs w:val="32"/>
        </w:rPr>
        <w:t xml:space="preserve"> </w:t>
      </w:r>
      <w:r w:rsidR="00484DC6" w:rsidRPr="00484DC6">
        <w:rPr>
          <w:rFonts w:ascii="Calibri" w:hAnsi="Calibri" w:cs="Arial"/>
          <w:b/>
          <w:color w:val="13576B"/>
          <w:sz w:val="32"/>
          <w:szCs w:val="32"/>
        </w:rPr>
        <w:t xml:space="preserve">%, </w:t>
      </w:r>
      <w:r w:rsidR="00017F00">
        <w:rPr>
          <w:rFonts w:ascii="Calibri" w:hAnsi="Calibri" w:cs="Arial"/>
          <w:b/>
          <w:color w:val="13576B"/>
          <w:sz w:val="32"/>
          <w:szCs w:val="32"/>
        </w:rPr>
        <w:t>inflace však bude nejvyšší od roku 2008</w:t>
      </w:r>
      <w:r w:rsidR="00266E32">
        <w:rPr>
          <w:rFonts w:ascii="Calibri" w:hAnsi="Calibri" w:cs="Arial"/>
          <w:b/>
          <w:color w:val="13576B"/>
          <w:sz w:val="32"/>
          <w:szCs w:val="32"/>
        </w:rPr>
        <w:t xml:space="preserve">. </w:t>
      </w:r>
      <w:r w:rsidR="00266E32" w:rsidRPr="00DD4A8E">
        <w:rPr>
          <w:rFonts w:ascii="Calibri" w:hAnsi="Calibri" w:cs="Arial"/>
          <w:b/>
          <w:color w:val="13576B"/>
          <w:sz w:val="32"/>
          <w:szCs w:val="32"/>
        </w:rPr>
        <w:t xml:space="preserve"> </w:t>
      </w:r>
    </w:p>
    <w:p w14:paraId="47BA50B7" w14:textId="5B37E5DF" w:rsidR="008B1328" w:rsidRPr="00DD4A8E" w:rsidRDefault="00266E32" w:rsidP="00983579">
      <w:pPr>
        <w:pStyle w:val="Normlnweb"/>
        <w:jc w:val="both"/>
        <w:rPr>
          <w:rFonts w:ascii="Calibri" w:hAnsi="Calibri" w:cs="Calibri"/>
          <w:color w:val="13576B"/>
          <w:sz w:val="20"/>
        </w:rPr>
      </w:pPr>
      <w:r w:rsidRPr="00DD4A8E">
        <w:rPr>
          <w:rFonts w:ascii="Calibri" w:hAnsi="Calibri" w:cs="Calibri"/>
          <w:b/>
          <w:color w:val="13576B"/>
          <w:sz w:val="20"/>
        </w:rPr>
        <w:t>Praha, 1</w:t>
      </w:r>
      <w:r>
        <w:rPr>
          <w:rFonts w:ascii="Calibri" w:hAnsi="Calibri" w:cs="Calibri"/>
          <w:b/>
          <w:color w:val="13576B"/>
          <w:sz w:val="20"/>
        </w:rPr>
        <w:t>1</w:t>
      </w:r>
      <w:r w:rsidRPr="00DD4A8E">
        <w:rPr>
          <w:rFonts w:ascii="Calibri" w:hAnsi="Calibri" w:cs="Calibri"/>
          <w:b/>
          <w:color w:val="13576B"/>
          <w:sz w:val="20"/>
        </w:rPr>
        <w:t xml:space="preserve">. </w:t>
      </w:r>
      <w:r>
        <w:rPr>
          <w:rFonts w:ascii="Calibri" w:hAnsi="Calibri" w:cs="Calibri"/>
          <w:b/>
          <w:color w:val="13576B"/>
          <w:sz w:val="20"/>
        </w:rPr>
        <w:t>listopadu</w:t>
      </w:r>
      <w:r w:rsidRPr="00DD4A8E">
        <w:rPr>
          <w:rFonts w:ascii="Calibri" w:hAnsi="Calibri" w:cs="Calibri"/>
          <w:b/>
          <w:color w:val="13576B"/>
          <w:sz w:val="20"/>
        </w:rPr>
        <w:t xml:space="preserve"> 2021 – Hlavní ekonomové bank zastoupen</w:t>
      </w:r>
      <w:r w:rsidR="00067848">
        <w:rPr>
          <w:rFonts w:ascii="Calibri" w:hAnsi="Calibri" w:cs="Calibri"/>
          <w:b/>
          <w:color w:val="13576B"/>
          <w:sz w:val="20"/>
        </w:rPr>
        <w:t>i</w:t>
      </w:r>
      <w:r w:rsidRPr="00DD4A8E">
        <w:rPr>
          <w:rFonts w:ascii="Calibri" w:hAnsi="Calibri" w:cs="Calibri"/>
          <w:b/>
          <w:color w:val="13576B"/>
          <w:sz w:val="20"/>
        </w:rPr>
        <w:t xml:space="preserve"> v </w:t>
      </w:r>
      <w:r w:rsidR="005E1864">
        <w:rPr>
          <w:rFonts w:ascii="Calibri" w:hAnsi="Calibri" w:cs="Calibri"/>
          <w:b/>
          <w:color w:val="13576B"/>
          <w:sz w:val="20"/>
        </w:rPr>
        <w:t>p</w:t>
      </w:r>
      <w:r w:rsidRPr="00DD4A8E">
        <w:rPr>
          <w:rFonts w:ascii="Calibri" w:hAnsi="Calibri" w:cs="Calibri"/>
          <w:b/>
          <w:color w:val="13576B"/>
          <w:sz w:val="20"/>
        </w:rPr>
        <w:t xml:space="preserve">rognostickém panelu České bankovní asociace (ČBA) </w:t>
      </w:r>
      <w:r>
        <w:rPr>
          <w:rFonts w:ascii="Calibri" w:hAnsi="Calibri" w:cs="Calibri"/>
          <w:b/>
          <w:color w:val="13576B"/>
          <w:sz w:val="20"/>
        </w:rPr>
        <w:t xml:space="preserve">snížili odhad růstu tuzemské ekonomiky jak pro letošní, tak příští rok. Vzhledem k pokračujícím problémům v subdodavatelských řetězcích a rostoucí inflaci lze očekávat růst tuzemské ekonomiky pro letošní rok </w:t>
      </w:r>
      <w:r w:rsidR="00C9579A">
        <w:rPr>
          <w:rFonts w:ascii="Calibri" w:hAnsi="Calibri" w:cs="Calibri"/>
          <w:b/>
          <w:color w:val="13576B"/>
          <w:sz w:val="20"/>
        </w:rPr>
        <w:t xml:space="preserve">o </w:t>
      </w:r>
      <w:r>
        <w:rPr>
          <w:rFonts w:ascii="Calibri" w:hAnsi="Calibri" w:cs="Calibri"/>
          <w:b/>
          <w:color w:val="13576B"/>
          <w:sz w:val="20"/>
        </w:rPr>
        <w:t>2,6 % oproti srpnovému odhadu ve výši 3,4 %. O</w:t>
      </w:r>
      <w:r w:rsidRPr="00DD4A8E">
        <w:rPr>
          <w:rFonts w:ascii="Calibri" w:hAnsi="Calibri" w:cs="Calibri"/>
          <w:b/>
          <w:color w:val="13576B"/>
          <w:sz w:val="20"/>
        </w:rPr>
        <w:t xml:space="preserve">dhad pro rok 2022 </w:t>
      </w:r>
      <w:r>
        <w:rPr>
          <w:rFonts w:ascii="Calibri" w:hAnsi="Calibri" w:cs="Calibri"/>
          <w:b/>
          <w:color w:val="13576B"/>
          <w:sz w:val="20"/>
        </w:rPr>
        <w:t>byl také upraven směrem dolů, a to z 4,5 % na 3,9 %. Inflace by měla v příštím roce překonat 5% hranici</w:t>
      </w:r>
      <w:r w:rsidR="00C9579A">
        <w:rPr>
          <w:rFonts w:ascii="Calibri" w:hAnsi="Calibri" w:cs="Calibri"/>
          <w:b/>
          <w:color w:val="13576B"/>
          <w:sz w:val="20"/>
        </w:rPr>
        <w:t xml:space="preserve"> a bude nejvyšší od roku 2008. </w:t>
      </w:r>
      <w:r>
        <w:rPr>
          <w:rFonts w:ascii="Calibri" w:hAnsi="Calibri" w:cs="Calibri"/>
          <w:b/>
          <w:color w:val="13576B"/>
          <w:sz w:val="20"/>
        </w:rPr>
        <w:t xml:space="preserve">Nejistota prognózy je však citelná i z důvodu možné reakce vlády na současný mimořádný nárůst cen energií. </w:t>
      </w:r>
      <w:r w:rsidR="00490B90" w:rsidRPr="00490B90">
        <w:rPr>
          <w:rFonts w:ascii="Calibri" w:hAnsi="Calibri" w:cs="Calibri"/>
          <w:b/>
          <w:color w:val="13576B"/>
          <w:sz w:val="20"/>
        </w:rPr>
        <w:t xml:space="preserve">To by ovšem nemělo změnit trajektorii nárůstu úrokových sazeb </w:t>
      </w:r>
      <w:r w:rsidR="00726439">
        <w:rPr>
          <w:rFonts w:ascii="Calibri" w:hAnsi="Calibri" w:cs="Calibri"/>
          <w:b/>
          <w:color w:val="13576B"/>
          <w:sz w:val="20"/>
        </w:rPr>
        <w:t>Če</w:t>
      </w:r>
      <w:r w:rsidR="00490B90" w:rsidRPr="00490B90">
        <w:rPr>
          <w:rFonts w:ascii="Calibri" w:hAnsi="Calibri" w:cs="Calibri"/>
          <w:b/>
          <w:color w:val="13576B"/>
          <w:sz w:val="20"/>
        </w:rPr>
        <w:t xml:space="preserve">ské </w:t>
      </w:r>
      <w:r w:rsidR="00726439">
        <w:rPr>
          <w:rFonts w:ascii="Calibri" w:hAnsi="Calibri" w:cs="Calibri"/>
          <w:b/>
          <w:color w:val="13576B"/>
          <w:sz w:val="20"/>
        </w:rPr>
        <w:t>národní</w:t>
      </w:r>
      <w:r w:rsidR="00490B90" w:rsidRPr="00490B90">
        <w:rPr>
          <w:rFonts w:ascii="Calibri" w:hAnsi="Calibri" w:cs="Calibri"/>
          <w:b/>
          <w:color w:val="13576B"/>
          <w:sz w:val="20"/>
        </w:rPr>
        <w:t xml:space="preserve"> banky v následujících měsících. Koruna by navzdory tomu měla v příštím roce posílit jen mírně.</w:t>
      </w:r>
      <w:r w:rsidR="006B3B72">
        <w:rPr>
          <w:rFonts w:ascii="Calibri" w:hAnsi="Calibri" w:cs="Calibri"/>
          <w:b/>
          <w:color w:val="13576B"/>
          <w:sz w:val="20"/>
        </w:rPr>
        <w:t xml:space="preserve"> </w:t>
      </w:r>
    </w:p>
    <w:p w14:paraId="3D5DA6B2" w14:textId="7DA2C3E7" w:rsidR="00F32F3A" w:rsidRPr="00DD4A8E" w:rsidRDefault="00DA2C5D" w:rsidP="00E708D5">
      <w:pPr>
        <w:spacing w:before="120" w:after="120"/>
        <w:rPr>
          <w:rFonts w:ascii="Calibri" w:hAnsi="Calibri" w:cs="Calibri"/>
          <w:b/>
          <w:color w:val="13576B"/>
          <w:sz w:val="22"/>
          <w:szCs w:val="22"/>
        </w:rPr>
      </w:pPr>
      <w:r>
        <w:rPr>
          <w:rFonts w:ascii="Calibri" w:hAnsi="Calibri" w:cs="Calibri"/>
          <w:b/>
          <w:color w:val="13576B"/>
          <w:sz w:val="22"/>
          <w:szCs w:val="22"/>
        </w:rPr>
        <w:t>Pandemická situace nadále narušuje výrobu a omezuje zotavování globální ekonomiky</w:t>
      </w:r>
    </w:p>
    <w:p w14:paraId="7481E7CE" w14:textId="5B4902EC" w:rsidR="007836B5" w:rsidRDefault="00082CD7" w:rsidP="00786866">
      <w:pPr>
        <w:rPr>
          <w:rFonts w:ascii="Calibri" w:hAnsi="Calibri" w:cs="Calibri"/>
          <w:sz w:val="20"/>
        </w:rPr>
      </w:pPr>
      <w:r w:rsidRPr="00C15C17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E7E5370" wp14:editId="287BB6A5">
                <wp:simplePos x="0" y="0"/>
                <wp:positionH relativeFrom="margin">
                  <wp:posOffset>20320</wp:posOffset>
                </wp:positionH>
                <wp:positionV relativeFrom="paragraph">
                  <wp:posOffset>1501140</wp:posOffset>
                </wp:positionV>
                <wp:extent cx="6461760" cy="775970"/>
                <wp:effectExtent l="0" t="0" r="15240" b="2413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02031" w14:textId="61D59744" w:rsidR="00BF5C5A" w:rsidRPr="00FA325B" w:rsidRDefault="00BF5C5A" w:rsidP="00BF5C5A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</w:rPr>
                              <w:t>Jakub Seidler</w:t>
                            </w:r>
                            <w:r w:rsidRPr="00FA325B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</w:rPr>
                              <w:t>, hlavní ekonom České bankovní asociace:</w:t>
                            </w:r>
                          </w:p>
                          <w:p w14:paraId="06CFC5A8" w14:textId="5650416D" w:rsidR="00BF5C5A" w:rsidRPr="00F37DC9" w:rsidRDefault="00BF5C5A" w:rsidP="00BF5C5A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</w:rPr>
                              <w:t>„</w:t>
                            </w:r>
                            <w:r w:rsidR="00FF3C7C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</w:rPr>
                              <w:t>O</w:t>
                            </w:r>
                            <w:r w:rsidR="00A81442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</w:rPr>
                              <w:t xml:space="preserve">živování světové ekonomiky v druhé polovině letošního roku bylo stále citelně </w:t>
                            </w:r>
                            <w:r w:rsidR="00FF3C7C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</w:rPr>
                              <w:t>ovlivn</w:t>
                            </w:r>
                            <w:r w:rsidR="006B3B72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</w:rPr>
                              <w:t>ěn</w:t>
                            </w:r>
                            <w:r w:rsidR="00FF3C7C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</w:rPr>
                              <w:t>o</w:t>
                            </w:r>
                            <w:r w:rsidR="00A81442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</w:rPr>
                              <w:t xml:space="preserve"> </w:t>
                            </w:r>
                            <w:r w:rsidR="00FF3C7C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</w:rPr>
                              <w:t xml:space="preserve">narušenými </w:t>
                            </w:r>
                            <w:r w:rsidR="00A81442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</w:rPr>
                              <w:t>odběratelskými vztahy a nedostatk</w:t>
                            </w:r>
                            <w:r w:rsidR="00FF3C7C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</w:rPr>
                              <w:t>em</w:t>
                            </w:r>
                            <w:r w:rsidR="00A81442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</w:rPr>
                              <w:t xml:space="preserve"> materiálů</w:t>
                            </w:r>
                            <w:r w:rsidR="00FF3C7C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</w:rPr>
                              <w:t xml:space="preserve">. </w:t>
                            </w:r>
                            <w:r w:rsidR="00B3068D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</w:rPr>
                              <w:t xml:space="preserve">Tyto problémy sice mírně ustupují, budou však patrně přetrvávat i v první polovině příštího roku. </w:t>
                            </w:r>
                            <w:r w:rsidR="006B3B72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</w:rPr>
                              <w:t>K tomu se přidává energetická krize, kter</w:t>
                            </w:r>
                            <w:r w:rsidR="00B3068D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</w:rPr>
                              <w:t>á</w:t>
                            </w:r>
                            <w:r w:rsidR="006B3B72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</w:rPr>
                              <w:t xml:space="preserve"> nepříznivě dopadne jak na řadu firem, tak spotřebu domácností.</w:t>
                            </w:r>
                            <w:r w:rsidR="000366C2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</w:rPr>
                              <w:t>“</w:t>
                            </w:r>
                            <w:r w:rsidR="006B3B72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E537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.6pt;margin-top:118.2pt;width:508.8pt;height:61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">
                <v:textbox>
                  <w:txbxContent>
                    <w:p w14:paraId="33B02031" w14:textId="61D59744" w:rsidR="00BF5C5A" w:rsidRPr="00FA325B" w:rsidRDefault="00BF5C5A" w:rsidP="00BF5C5A">
                      <w:pPr>
                        <w:rPr>
                          <w:rFonts w:ascii="Calibri" w:hAnsi="Calibri" w:cs="Calibri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0"/>
                        </w:rPr>
                        <w:t>Jakub Seidler</w:t>
                      </w:r>
                      <w:r w:rsidRPr="00FA325B">
                        <w:rPr>
                          <w:rFonts w:ascii="Calibri" w:hAnsi="Calibri" w:cs="Calibri"/>
                          <w:b/>
                          <w:bCs/>
                          <w:sz w:val="20"/>
                        </w:rPr>
                        <w:t>, hlavní ekonom České bankovní asociace:</w:t>
                      </w:r>
                    </w:p>
                    <w:p w14:paraId="06CFC5A8" w14:textId="5650416D" w:rsidR="00BF5C5A" w:rsidRPr="00F37DC9" w:rsidRDefault="00BF5C5A" w:rsidP="00BF5C5A">
                      <w:pPr>
                        <w:rPr>
                          <w:rFonts w:ascii="Calibri" w:hAnsi="Calibri" w:cs="Calibri"/>
                          <w:i/>
                          <w:iCs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</w:rPr>
                        <w:t>„</w:t>
                      </w:r>
                      <w:r w:rsidR="00FF3C7C">
                        <w:rPr>
                          <w:rFonts w:ascii="Calibri" w:hAnsi="Calibri" w:cs="Calibri"/>
                          <w:i/>
                          <w:iCs/>
                          <w:sz w:val="20"/>
                        </w:rPr>
                        <w:t>O</w:t>
                      </w:r>
                      <w:r w:rsidR="00A81442">
                        <w:rPr>
                          <w:rFonts w:ascii="Calibri" w:hAnsi="Calibri" w:cs="Calibri"/>
                          <w:i/>
                          <w:iCs/>
                          <w:sz w:val="20"/>
                        </w:rPr>
                        <w:t xml:space="preserve">živování světové ekonomiky v druhé polovině letošního roku bylo stále citelně </w:t>
                      </w:r>
                      <w:r w:rsidR="00FF3C7C">
                        <w:rPr>
                          <w:rFonts w:ascii="Calibri" w:hAnsi="Calibri" w:cs="Calibri"/>
                          <w:i/>
                          <w:iCs/>
                          <w:sz w:val="20"/>
                        </w:rPr>
                        <w:t>ovlivn</w:t>
                      </w:r>
                      <w:r w:rsidR="006B3B72">
                        <w:rPr>
                          <w:rFonts w:ascii="Calibri" w:hAnsi="Calibri" w:cs="Calibri"/>
                          <w:i/>
                          <w:iCs/>
                          <w:sz w:val="20"/>
                        </w:rPr>
                        <w:t>ěn</w:t>
                      </w:r>
                      <w:r w:rsidR="00FF3C7C">
                        <w:rPr>
                          <w:rFonts w:ascii="Calibri" w:hAnsi="Calibri" w:cs="Calibri"/>
                          <w:i/>
                          <w:iCs/>
                          <w:sz w:val="20"/>
                        </w:rPr>
                        <w:t>o</w:t>
                      </w:r>
                      <w:r w:rsidR="00A81442">
                        <w:rPr>
                          <w:rFonts w:ascii="Calibri" w:hAnsi="Calibri" w:cs="Calibri"/>
                          <w:i/>
                          <w:iCs/>
                          <w:sz w:val="20"/>
                        </w:rPr>
                        <w:t xml:space="preserve"> </w:t>
                      </w:r>
                      <w:r w:rsidR="00FF3C7C">
                        <w:rPr>
                          <w:rFonts w:ascii="Calibri" w:hAnsi="Calibri" w:cs="Calibri"/>
                          <w:i/>
                          <w:iCs/>
                          <w:sz w:val="20"/>
                        </w:rPr>
                        <w:t xml:space="preserve">narušenými </w:t>
                      </w:r>
                      <w:r w:rsidR="00A81442">
                        <w:rPr>
                          <w:rFonts w:ascii="Calibri" w:hAnsi="Calibri" w:cs="Calibri"/>
                          <w:i/>
                          <w:iCs/>
                          <w:sz w:val="20"/>
                        </w:rPr>
                        <w:t>odběratelskými vztahy a nedostatk</w:t>
                      </w:r>
                      <w:r w:rsidR="00FF3C7C">
                        <w:rPr>
                          <w:rFonts w:ascii="Calibri" w:hAnsi="Calibri" w:cs="Calibri"/>
                          <w:i/>
                          <w:iCs/>
                          <w:sz w:val="20"/>
                        </w:rPr>
                        <w:t>em</w:t>
                      </w:r>
                      <w:r w:rsidR="00A81442">
                        <w:rPr>
                          <w:rFonts w:ascii="Calibri" w:hAnsi="Calibri" w:cs="Calibri"/>
                          <w:i/>
                          <w:iCs/>
                          <w:sz w:val="20"/>
                        </w:rPr>
                        <w:t xml:space="preserve"> materiálů</w:t>
                      </w:r>
                      <w:r w:rsidR="00FF3C7C">
                        <w:rPr>
                          <w:rFonts w:ascii="Calibri" w:hAnsi="Calibri" w:cs="Calibri"/>
                          <w:i/>
                          <w:iCs/>
                          <w:sz w:val="20"/>
                        </w:rPr>
                        <w:t xml:space="preserve">. </w:t>
                      </w:r>
                      <w:r w:rsidR="00B3068D">
                        <w:rPr>
                          <w:rFonts w:ascii="Calibri" w:hAnsi="Calibri" w:cs="Calibri"/>
                          <w:i/>
                          <w:iCs/>
                          <w:sz w:val="20"/>
                        </w:rPr>
                        <w:t xml:space="preserve">Tyto problémy sice mírně ustupují, budou však patrně přetrvávat i v první polovině příštího roku. </w:t>
                      </w:r>
                      <w:r w:rsidR="006B3B72">
                        <w:rPr>
                          <w:rFonts w:ascii="Calibri" w:hAnsi="Calibri" w:cs="Calibri"/>
                          <w:i/>
                          <w:iCs/>
                          <w:sz w:val="20"/>
                        </w:rPr>
                        <w:t>K tomu se přidává energetická krize, kter</w:t>
                      </w:r>
                      <w:r w:rsidR="00B3068D">
                        <w:rPr>
                          <w:rFonts w:ascii="Calibri" w:hAnsi="Calibri" w:cs="Calibri"/>
                          <w:i/>
                          <w:iCs/>
                          <w:sz w:val="20"/>
                        </w:rPr>
                        <w:t>á</w:t>
                      </w:r>
                      <w:r w:rsidR="006B3B72">
                        <w:rPr>
                          <w:rFonts w:ascii="Calibri" w:hAnsi="Calibri" w:cs="Calibri"/>
                          <w:i/>
                          <w:iCs/>
                          <w:sz w:val="20"/>
                        </w:rPr>
                        <w:t xml:space="preserve"> nepříznivě dopadne jak na řadu firem, tak spotřebu domácností.</w:t>
                      </w:r>
                      <w:r w:rsidR="000366C2">
                        <w:rPr>
                          <w:rFonts w:ascii="Calibri" w:hAnsi="Calibri" w:cs="Calibri"/>
                          <w:i/>
                          <w:iCs/>
                          <w:sz w:val="20"/>
                        </w:rPr>
                        <w:t>“</w:t>
                      </w:r>
                      <w:r w:rsidR="006B3B72">
                        <w:rPr>
                          <w:rFonts w:ascii="Calibri" w:hAnsi="Calibri" w:cs="Calibri"/>
                          <w:i/>
                          <w:iCs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0FDF">
        <w:rPr>
          <w:rFonts w:ascii="Calibri" w:hAnsi="Calibri" w:cs="Calibri"/>
          <w:sz w:val="20"/>
        </w:rPr>
        <w:t xml:space="preserve">Ekonomické indikátory posledních měsíců naznačují, </w:t>
      </w:r>
      <w:r w:rsidR="00AB39A4">
        <w:rPr>
          <w:rFonts w:ascii="Calibri" w:hAnsi="Calibri" w:cs="Calibri"/>
          <w:sz w:val="20"/>
        </w:rPr>
        <w:t xml:space="preserve">že post-pandemické oživování naráží na řadu problémů, které </w:t>
      </w:r>
      <w:r w:rsidR="008A0F96">
        <w:rPr>
          <w:rFonts w:ascii="Calibri" w:hAnsi="Calibri" w:cs="Calibri"/>
          <w:sz w:val="20"/>
        </w:rPr>
        <w:t>ustupují</w:t>
      </w:r>
      <w:r w:rsidR="00AB39A4">
        <w:rPr>
          <w:rFonts w:ascii="Calibri" w:hAnsi="Calibri" w:cs="Calibri"/>
          <w:sz w:val="20"/>
        </w:rPr>
        <w:t xml:space="preserve"> pomaleji, než se předpokládalo ještě v polovině roku. Závažn</w:t>
      </w:r>
      <w:r w:rsidR="00266E32">
        <w:rPr>
          <w:rFonts w:ascii="Calibri" w:hAnsi="Calibri" w:cs="Calibri"/>
          <w:sz w:val="20"/>
        </w:rPr>
        <w:t>ou</w:t>
      </w:r>
      <w:r w:rsidR="00AB39A4">
        <w:rPr>
          <w:rFonts w:ascii="Calibri" w:hAnsi="Calibri" w:cs="Calibri"/>
          <w:sz w:val="20"/>
        </w:rPr>
        <w:t xml:space="preserve"> </w:t>
      </w:r>
      <w:r w:rsidR="00266E32">
        <w:rPr>
          <w:rFonts w:ascii="Calibri" w:hAnsi="Calibri" w:cs="Calibri"/>
          <w:sz w:val="20"/>
        </w:rPr>
        <w:t xml:space="preserve">komplikací </w:t>
      </w:r>
      <w:r w:rsidR="00AB39A4">
        <w:rPr>
          <w:rFonts w:ascii="Calibri" w:hAnsi="Calibri" w:cs="Calibri"/>
          <w:sz w:val="20"/>
        </w:rPr>
        <w:t xml:space="preserve">zůstávají </w:t>
      </w:r>
      <w:r w:rsidR="006F0FDF">
        <w:rPr>
          <w:rFonts w:ascii="Calibri" w:hAnsi="Calibri" w:cs="Calibri"/>
          <w:sz w:val="20"/>
        </w:rPr>
        <w:t>narušené</w:t>
      </w:r>
      <w:r w:rsidR="008A0F96">
        <w:rPr>
          <w:rFonts w:ascii="Calibri" w:hAnsi="Calibri" w:cs="Calibri"/>
          <w:sz w:val="20"/>
        </w:rPr>
        <w:t xml:space="preserve"> subdodavatels</w:t>
      </w:r>
      <w:r w:rsidR="00603B91">
        <w:rPr>
          <w:rFonts w:ascii="Calibri" w:hAnsi="Calibri" w:cs="Calibri"/>
          <w:sz w:val="20"/>
        </w:rPr>
        <w:t>k</w:t>
      </w:r>
      <w:r w:rsidR="008A0F96">
        <w:rPr>
          <w:rFonts w:ascii="Calibri" w:hAnsi="Calibri" w:cs="Calibri"/>
          <w:sz w:val="20"/>
        </w:rPr>
        <w:t xml:space="preserve">é vztahy, které </w:t>
      </w:r>
      <w:r w:rsidR="00266E32">
        <w:rPr>
          <w:rFonts w:ascii="Calibri" w:hAnsi="Calibri" w:cs="Calibri"/>
          <w:sz w:val="20"/>
        </w:rPr>
        <w:t>ztěžují</w:t>
      </w:r>
      <w:r w:rsidR="008A0F96">
        <w:rPr>
          <w:rFonts w:ascii="Calibri" w:hAnsi="Calibri" w:cs="Calibri"/>
          <w:sz w:val="20"/>
        </w:rPr>
        <w:t xml:space="preserve"> dodávky potřebných dílů a způsobují rychlý růst jejich cen. </w:t>
      </w:r>
      <w:r w:rsidR="006E3A3B">
        <w:rPr>
          <w:rFonts w:ascii="Calibri" w:hAnsi="Calibri" w:cs="Calibri"/>
          <w:sz w:val="20"/>
        </w:rPr>
        <w:t xml:space="preserve">Problémem je, že pandemická situace se </w:t>
      </w:r>
      <w:r w:rsidR="00DA2C5D">
        <w:rPr>
          <w:rFonts w:ascii="Calibri" w:hAnsi="Calibri" w:cs="Calibri"/>
          <w:sz w:val="20"/>
        </w:rPr>
        <w:t>vyvíjí</w:t>
      </w:r>
      <w:r w:rsidR="006E3A3B">
        <w:rPr>
          <w:rFonts w:ascii="Calibri" w:hAnsi="Calibri" w:cs="Calibri"/>
          <w:sz w:val="20"/>
        </w:rPr>
        <w:t xml:space="preserve"> </w:t>
      </w:r>
      <w:r w:rsidR="00DA2C5D">
        <w:rPr>
          <w:rFonts w:ascii="Calibri" w:hAnsi="Calibri" w:cs="Calibri"/>
          <w:sz w:val="20"/>
        </w:rPr>
        <w:t xml:space="preserve">v rámci světové ekonomiky nesourodě. </w:t>
      </w:r>
      <w:r w:rsidR="00786866">
        <w:rPr>
          <w:rFonts w:ascii="Calibri" w:hAnsi="Calibri" w:cs="Calibri"/>
          <w:sz w:val="20"/>
        </w:rPr>
        <w:t>Řad</w:t>
      </w:r>
      <w:r w:rsidR="00F24239">
        <w:rPr>
          <w:rFonts w:ascii="Calibri" w:hAnsi="Calibri" w:cs="Calibri"/>
          <w:sz w:val="20"/>
        </w:rPr>
        <w:t>a</w:t>
      </w:r>
      <w:r w:rsidR="00786866">
        <w:rPr>
          <w:rFonts w:ascii="Calibri" w:hAnsi="Calibri" w:cs="Calibri"/>
          <w:sz w:val="20"/>
        </w:rPr>
        <w:t xml:space="preserve"> zemí tak i během léta bojovala s pandemií, což narušovalo jejich výrobní kapacity, zatímco v některých ekonomikách poptávka rostla s nadějí, že pandemie díky očkování skončila. Nesoulad mezi poptávkou a nabídkou tak přináší řadu nepříznivých efektů mezi n</w:t>
      </w:r>
      <w:r w:rsidR="005C01AE">
        <w:rPr>
          <w:rFonts w:ascii="Calibri" w:hAnsi="Calibri" w:cs="Calibri"/>
          <w:sz w:val="20"/>
        </w:rPr>
        <w:t>ěž</w:t>
      </w:r>
      <w:r w:rsidR="00786866">
        <w:rPr>
          <w:rFonts w:ascii="Calibri" w:hAnsi="Calibri" w:cs="Calibri"/>
          <w:sz w:val="20"/>
        </w:rPr>
        <w:t xml:space="preserve"> patří i</w:t>
      </w:r>
      <w:r w:rsidR="00603B91">
        <w:rPr>
          <w:rFonts w:ascii="Calibri" w:hAnsi="Calibri" w:cs="Calibri"/>
          <w:sz w:val="20"/>
        </w:rPr>
        <w:t xml:space="preserve"> nedostatek zboží a</w:t>
      </w:r>
      <w:r w:rsidR="00786866">
        <w:rPr>
          <w:rFonts w:ascii="Calibri" w:hAnsi="Calibri" w:cs="Calibri"/>
          <w:sz w:val="20"/>
        </w:rPr>
        <w:t xml:space="preserve"> růst </w:t>
      </w:r>
      <w:r w:rsidR="00603B91">
        <w:rPr>
          <w:rFonts w:ascii="Calibri" w:hAnsi="Calibri" w:cs="Calibri"/>
          <w:sz w:val="20"/>
        </w:rPr>
        <w:t xml:space="preserve">jejich </w:t>
      </w:r>
      <w:r w:rsidR="00786866">
        <w:rPr>
          <w:rFonts w:ascii="Calibri" w:hAnsi="Calibri" w:cs="Calibri"/>
          <w:sz w:val="20"/>
        </w:rPr>
        <w:t xml:space="preserve">cen. </w:t>
      </w:r>
      <w:r w:rsidR="00603B91">
        <w:rPr>
          <w:rFonts w:ascii="Calibri" w:hAnsi="Calibri" w:cs="Calibri"/>
          <w:sz w:val="20"/>
        </w:rPr>
        <w:t xml:space="preserve">V druhé polovině letošního roku pak zasáhla řadu ekonomik </w:t>
      </w:r>
      <w:r w:rsidR="00786866">
        <w:rPr>
          <w:rFonts w:ascii="Calibri" w:hAnsi="Calibri" w:cs="Calibri"/>
          <w:sz w:val="20"/>
        </w:rPr>
        <w:t>energetick</w:t>
      </w:r>
      <w:r w:rsidR="00603B91">
        <w:rPr>
          <w:rFonts w:ascii="Calibri" w:hAnsi="Calibri" w:cs="Calibri"/>
          <w:sz w:val="20"/>
        </w:rPr>
        <w:t>á</w:t>
      </w:r>
      <w:r w:rsidR="00786866">
        <w:rPr>
          <w:rFonts w:ascii="Calibri" w:hAnsi="Calibri" w:cs="Calibri"/>
          <w:sz w:val="20"/>
        </w:rPr>
        <w:t xml:space="preserve"> kriz</w:t>
      </w:r>
      <w:r w:rsidR="00603B91">
        <w:rPr>
          <w:rFonts w:ascii="Calibri" w:hAnsi="Calibri" w:cs="Calibri"/>
          <w:sz w:val="20"/>
        </w:rPr>
        <w:t>e přinášející</w:t>
      </w:r>
      <w:r w:rsidR="00786866">
        <w:rPr>
          <w:rFonts w:ascii="Calibri" w:hAnsi="Calibri" w:cs="Calibri"/>
          <w:sz w:val="20"/>
        </w:rPr>
        <w:t xml:space="preserve"> násobn</w:t>
      </w:r>
      <w:r w:rsidR="00603B91">
        <w:rPr>
          <w:rFonts w:ascii="Calibri" w:hAnsi="Calibri" w:cs="Calibri"/>
          <w:sz w:val="20"/>
        </w:rPr>
        <w:t>ý</w:t>
      </w:r>
      <w:r w:rsidR="00786866">
        <w:rPr>
          <w:rFonts w:ascii="Calibri" w:hAnsi="Calibri" w:cs="Calibri"/>
          <w:sz w:val="20"/>
        </w:rPr>
        <w:t xml:space="preserve"> růst cen </w:t>
      </w:r>
      <w:r w:rsidR="00B3068D">
        <w:rPr>
          <w:rFonts w:ascii="Calibri" w:hAnsi="Calibri" w:cs="Calibri"/>
          <w:sz w:val="20"/>
        </w:rPr>
        <w:t xml:space="preserve">energií, s </w:t>
      </w:r>
      <w:r w:rsidR="00786866">
        <w:rPr>
          <w:rFonts w:ascii="Calibri" w:hAnsi="Calibri" w:cs="Calibri"/>
          <w:sz w:val="20"/>
        </w:rPr>
        <w:t>čímž se potýk</w:t>
      </w:r>
      <w:r w:rsidR="000B27C5">
        <w:rPr>
          <w:rFonts w:ascii="Calibri" w:hAnsi="Calibri" w:cs="Calibri"/>
          <w:sz w:val="20"/>
        </w:rPr>
        <w:t>á</w:t>
      </w:r>
      <w:r w:rsidR="00786866">
        <w:rPr>
          <w:rFonts w:ascii="Calibri" w:hAnsi="Calibri" w:cs="Calibri"/>
          <w:sz w:val="20"/>
        </w:rPr>
        <w:t xml:space="preserve"> velká část světové ekonomiky</w:t>
      </w:r>
      <w:r w:rsidR="005C01AE">
        <w:rPr>
          <w:rFonts w:ascii="Calibri" w:hAnsi="Calibri" w:cs="Calibri"/>
          <w:sz w:val="20"/>
        </w:rPr>
        <w:t>.</w:t>
      </w:r>
      <w:r w:rsidR="00786866">
        <w:rPr>
          <w:rFonts w:ascii="Calibri" w:hAnsi="Calibri" w:cs="Calibri"/>
          <w:sz w:val="20"/>
        </w:rPr>
        <w:t xml:space="preserve"> </w:t>
      </w:r>
      <w:r w:rsidR="005C01AE">
        <w:rPr>
          <w:rFonts w:ascii="Calibri" w:hAnsi="Calibri" w:cs="Calibri"/>
          <w:sz w:val="20"/>
        </w:rPr>
        <w:t>V</w:t>
      </w:r>
      <w:r w:rsidR="005C01AE" w:rsidRPr="005C01AE">
        <w:rPr>
          <w:rFonts w:ascii="Calibri" w:hAnsi="Calibri" w:cs="Calibri"/>
          <w:sz w:val="20"/>
        </w:rPr>
        <w:t xml:space="preserve"> Evropě </w:t>
      </w:r>
      <w:r w:rsidR="005C01AE">
        <w:rPr>
          <w:rFonts w:ascii="Calibri" w:hAnsi="Calibri" w:cs="Calibri"/>
          <w:sz w:val="20"/>
        </w:rPr>
        <w:t xml:space="preserve">se situace </w:t>
      </w:r>
      <w:r w:rsidR="005C01AE" w:rsidRPr="005C01AE">
        <w:rPr>
          <w:rFonts w:ascii="Calibri" w:hAnsi="Calibri" w:cs="Calibri"/>
          <w:sz w:val="20"/>
        </w:rPr>
        <w:t xml:space="preserve">z titulu souběhu </w:t>
      </w:r>
      <w:r w:rsidR="005C01AE">
        <w:rPr>
          <w:rFonts w:ascii="Calibri" w:hAnsi="Calibri" w:cs="Calibri"/>
          <w:sz w:val="20"/>
        </w:rPr>
        <w:t xml:space="preserve">řady </w:t>
      </w:r>
      <w:r w:rsidR="005C01AE" w:rsidRPr="005C01AE">
        <w:rPr>
          <w:rFonts w:ascii="Calibri" w:hAnsi="Calibri" w:cs="Calibri"/>
          <w:sz w:val="20"/>
        </w:rPr>
        <w:t xml:space="preserve">nepříznivých </w:t>
      </w:r>
      <w:r w:rsidR="00F1406D">
        <w:rPr>
          <w:rFonts w:ascii="Calibri" w:hAnsi="Calibri" w:cs="Calibri"/>
          <w:sz w:val="20"/>
        </w:rPr>
        <w:t>vlivů</w:t>
      </w:r>
      <w:r w:rsidR="005C01AE" w:rsidRPr="005C01AE">
        <w:rPr>
          <w:rFonts w:ascii="Calibri" w:hAnsi="Calibri" w:cs="Calibri"/>
          <w:sz w:val="20"/>
        </w:rPr>
        <w:t xml:space="preserve"> dostala do velmi extrémní</w:t>
      </w:r>
      <w:r w:rsidR="005C01AE">
        <w:rPr>
          <w:rFonts w:ascii="Calibri" w:hAnsi="Calibri" w:cs="Calibri"/>
          <w:sz w:val="20"/>
        </w:rPr>
        <w:t xml:space="preserve"> roviny</w:t>
      </w:r>
      <w:r w:rsidR="005C01AE" w:rsidRPr="005C01AE">
        <w:rPr>
          <w:rFonts w:ascii="Calibri" w:hAnsi="Calibri" w:cs="Calibri"/>
          <w:sz w:val="20"/>
        </w:rPr>
        <w:t>. I tento fak</w:t>
      </w:r>
      <w:r w:rsidR="00F1406D">
        <w:rPr>
          <w:rFonts w:ascii="Calibri" w:hAnsi="Calibri" w:cs="Calibri"/>
          <w:sz w:val="20"/>
        </w:rPr>
        <w:t>tor</w:t>
      </w:r>
      <w:r w:rsidR="005C01AE" w:rsidRPr="005C01AE">
        <w:rPr>
          <w:rFonts w:ascii="Calibri" w:hAnsi="Calibri" w:cs="Calibri"/>
          <w:sz w:val="20"/>
        </w:rPr>
        <w:t xml:space="preserve"> bude narušovat oživování evropských ekonomik nejen v letošním roce, ale i v roce 2022.</w:t>
      </w:r>
    </w:p>
    <w:p w14:paraId="1204AFDB" w14:textId="77777777" w:rsidR="00E708D5" w:rsidRDefault="00E708D5" w:rsidP="00146F24">
      <w:pPr>
        <w:rPr>
          <w:rFonts w:ascii="Calibri" w:hAnsi="Calibri" w:cs="Calibri"/>
          <w:b/>
          <w:color w:val="13576B"/>
          <w:sz w:val="22"/>
          <w:szCs w:val="22"/>
        </w:rPr>
      </w:pPr>
    </w:p>
    <w:p w14:paraId="7306EF6D" w14:textId="72D5E024" w:rsidR="00F32F3A" w:rsidRDefault="00AB39A4" w:rsidP="00E708D5">
      <w:pPr>
        <w:spacing w:before="120" w:after="120"/>
        <w:rPr>
          <w:rFonts w:ascii="Calibri" w:hAnsi="Calibri" w:cs="Calibri"/>
          <w:b/>
          <w:color w:val="13576B"/>
          <w:sz w:val="22"/>
          <w:szCs w:val="22"/>
        </w:rPr>
      </w:pPr>
      <w:bookmarkStart w:id="0" w:name="_Hlk87441833"/>
      <w:r>
        <w:rPr>
          <w:rFonts w:ascii="Calibri" w:hAnsi="Calibri" w:cs="Calibri"/>
          <w:b/>
          <w:color w:val="13576B"/>
          <w:sz w:val="22"/>
          <w:szCs w:val="22"/>
        </w:rPr>
        <w:t>Růst tuzemské ekonomiky je slabší než se předpokládalo před prázdninovými měsíci</w:t>
      </w:r>
    </w:p>
    <w:bookmarkEnd w:id="0"/>
    <w:p w14:paraId="53647E43" w14:textId="38E57685" w:rsidR="00675EBD" w:rsidRDefault="00495A30" w:rsidP="00AB39A4">
      <w:pPr>
        <w:rPr>
          <w:rFonts w:ascii="Calibri" w:hAnsi="Calibri" w:cs="Calibri"/>
          <w:sz w:val="20"/>
        </w:rPr>
      </w:pPr>
      <w:r w:rsidRPr="00495A30">
        <w:rPr>
          <w:rFonts w:ascii="Calibri" w:hAnsi="Calibri" w:cs="Calibri"/>
          <w:b/>
          <w:bCs/>
          <w:sz w:val="20"/>
        </w:rPr>
        <w:t xml:space="preserve">Růst tuzemské ekonomiky </w:t>
      </w:r>
      <w:r w:rsidR="00B3068D">
        <w:rPr>
          <w:rFonts w:ascii="Calibri" w:hAnsi="Calibri" w:cs="Calibri"/>
          <w:b/>
          <w:bCs/>
          <w:sz w:val="20"/>
        </w:rPr>
        <w:t xml:space="preserve">dle nové prognózy ČBA </w:t>
      </w:r>
      <w:r w:rsidRPr="00495A30">
        <w:rPr>
          <w:rFonts w:ascii="Calibri" w:hAnsi="Calibri" w:cs="Calibri"/>
          <w:b/>
          <w:bCs/>
          <w:sz w:val="20"/>
        </w:rPr>
        <w:t xml:space="preserve">v letošním roce </w:t>
      </w:r>
      <w:r w:rsidR="00B3068D">
        <w:rPr>
          <w:rFonts w:ascii="Calibri" w:hAnsi="Calibri" w:cs="Calibri"/>
          <w:b/>
          <w:bCs/>
          <w:sz w:val="20"/>
        </w:rPr>
        <w:t xml:space="preserve">dosáhne </w:t>
      </w:r>
      <w:r w:rsidRPr="00495A30">
        <w:rPr>
          <w:rFonts w:ascii="Calibri" w:hAnsi="Calibri" w:cs="Calibri"/>
          <w:b/>
          <w:bCs/>
          <w:sz w:val="20"/>
        </w:rPr>
        <w:t>2,</w:t>
      </w:r>
      <w:r w:rsidR="00B3068D">
        <w:rPr>
          <w:rFonts w:ascii="Calibri" w:hAnsi="Calibri" w:cs="Calibri"/>
          <w:b/>
          <w:bCs/>
          <w:sz w:val="20"/>
        </w:rPr>
        <w:t>6</w:t>
      </w:r>
      <w:r w:rsidRPr="00495A30">
        <w:rPr>
          <w:rFonts w:ascii="Calibri" w:hAnsi="Calibri" w:cs="Calibri"/>
          <w:b/>
          <w:bCs/>
          <w:sz w:val="20"/>
        </w:rPr>
        <w:t xml:space="preserve"> %, </w:t>
      </w:r>
      <w:r w:rsidRPr="00454547">
        <w:rPr>
          <w:rFonts w:ascii="Calibri" w:hAnsi="Calibri" w:cs="Calibri"/>
          <w:b/>
          <w:bCs/>
          <w:sz w:val="20"/>
        </w:rPr>
        <w:t xml:space="preserve">zatímco srpnová prognóza čekala růst o 3,4 %. </w:t>
      </w:r>
      <w:r w:rsidR="00266E32" w:rsidRPr="00454547">
        <w:rPr>
          <w:rFonts w:ascii="Calibri" w:hAnsi="Calibri" w:cs="Calibri"/>
          <w:sz w:val="20"/>
        </w:rPr>
        <w:t>Tempo oživení</w:t>
      </w:r>
      <w:r w:rsidRPr="00454547">
        <w:rPr>
          <w:rFonts w:ascii="Calibri" w:hAnsi="Calibri" w:cs="Calibri"/>
          <w:sz w:val="20"/>
        </w:rPr>
        <w:t xml:space="preserve"> tuzemské ekonomiky v druhé polovině letošního roku </w:t>
      </w:r>
      <w:r w:rsidR="00B3068D" w:rsidRPr="00454547">
        <w:rPr>
          <w:rFonts w:ascii="Calibri" w:hAnsi="Calibri" w:cs="Calibri"/>
          <w:sz w:val="20"/>
        </w:rPr>
        <w:t xml:space="preserve">tak </w:t>
      </w:r>
      <w:r w:rsidRPr="00454547">
        <w:rPr>
          <w:rFonts w:ascii="Calibri" w:hAnsi="Calibri" w:cs="Calibri"/>
          <w:sz w:val="20"/>
        </w:rPr>
        <w:t xml:space="preserve">bude citelně za </w:t>
      </w:r>
      <w:r w:rsidR="00C62C4C" w:rsidRPr="00454547">
        <w:rPr>
          <w:rFonts w:ascii="Calibri" w:hAnsi="Calibri" w:cs="Calibri"/>
          <w:sz w:val="20"/>
        </w:rPr>
        <w:t>předpoklady</w:t>
      </w:r>
      <w:r w:rsidRPr="00454547">
        <w:rPr>
          <w:rFonts w:ascii="Calibri" w:hAnsi="Calibri" w:cs="Calibri"/>
          <w:sz w:val="20"/>
        </w:rPr>
        <w:t xml:space="preserve"> </w:t>
      </w:r>
      <w:r w:rsidR="00FF5794" w:rsidRPr="00454547">
        <w:rPr>
          <w:rFonts w:ascii="Calibri" w:hAnsi="Calibri" w:cs="Calibri"/>
          <w:sz w:val="20"/>
        </w:rPr>
        <w:t>minulé</w:t>
      </w:r>
      <w:r w:rsidRPr="00454547">
        <w:rPr>
          <w:rFonts w:ascii="Calibri" w:hAnsi="Calibri" w:cs="Calibri"/>
          <w:sz w:val="20"/>
        </w:rPr>
        <w:t xml:space="preserve"> prognózy. Nejen že růst ekonomiky ve třetím čtvrtletí </w:t>
      </w:r>
      <w:r w:rsidR="00C62C4C" w:rsidRPr="00454547">
        <w:rPr>
          <w:rFonts w:ascii="Calibri" w:hAnsi="Calibri" w:cs="Calibri"/>
          <w:sz w:val="20"/>
        </w:rPr>
        <w:t>mírně zklamal</w:t>
      </w:r>
      <w:r w:rsidRPr="00454547">
        <w:rPr>
          <w:rFonts w:ascii="Calibri" w:hAnsi="Calibri" w:cs="Calibri"/>
          <w:sz w:val="20"/>
        </w:rPr>
        <w:t xml:space="preserve">, ale ani v závěru letošního roku nelze vzhledem k přetrvávajícím problémům v subdodavatelských vztazích </w:t>
      </w:r>
      <w:r w:rsidR="00675EBD" w:rsidRPr="00454547">
        <w:rPr>
          <w:rFonts w:ascii="Calibri" w:hAnsi="Calibri" w:cs="Calibri"/>
          <w:sz w:val="20"/>
        </w:rPr>
        <w:t xml:space="preserve">a zrychlení inflace </w:t>
      </w:r>
      <w:r w:rsidRPr="00454547">
        <w:rPr>
          <w:rFonts w:ascii="Calibri" w:hAnsi="Calibri" w:cs="Calibri"/>
          <w:sz w:val="20"/>
        </w:rPr>
        <w:t>očekávat příliš optimistické hodnoty. Z</w:t>
      </w:r>
      <w:r w:rsidR="009308CD" w:rsidRPr="00454547">
        <w:rPr>
          <w:rFonts w:ascii="Calibri" w:hAnsi="Calibri" w:cs="Calibri"/>
          <w:sz w:val="20"/>
        </w:rPr>
        <w:t>atímco srpnová prognóz</w:t>
      </w:r>
      <w:r w:rsidR="005C01AE" w:rsidRPr="00454547">
        <w:rPr>
          <w:rFonts w:ascii="Calibri" w:hAnsi="Calibri" w:cs="Calibri"/>
          <w:sz w:val="20"/>
        </w:rPr>
        <w:t>a</w:t>
      </w:r>
      <w:r w:rsidR="009308CD" w:rsidRPr="00454547">
        <w:rPr>
          <w:rFonts w:ascii="Calibri" w:hAnsi="Calibri" w:cs="Calibri"/>
          <w:sz w:val="20"/>
        </w:rPr>
        <w:t xml:space="preserve"> </w:t>
      </w:r>
      <w:r w:rsidR="00C62C4C" w:rsidRPr="00454547">
        <w:rPr>
          <w:rFonts w:ascii="Calibri" w:hAnsi="Calibri" w:cs="Calibri"/>
          <w:sz w:val="20"/>
        </w:rPr>
        <w:t>odhadovala</w:t>
      </w:r>
      <w:r w:rsidR="009308CD" w:rsidRPr="00454547">
        <w:rPr>
          <w:rFonts w:ascii="Calibri" w:hAnsi="Calibri" w:cs="Calibri"/>
          <w:sz w:val="20"/>
        </w:rPr>
        <w:t xml:space="preserve"> růst v</w:t>
      </w:r>
      <w:r w:rsidRPr="00454547">
        <w:rPr>
          <w:rFonts w:ascii="Calibri" w:hAnsi="Calibri" w:cs="Calibri"/>
          <w:sz w:val="20"/>
        </w:rPr>
        <w:t> posledním čtvrtletí letošního roku</w:t>
      </w:r>
      <w:r w:rsidR="009308CD" w:rsidRPr="00454547">
        <w:rPr>
          <w:rFonts w:ascii="Calibri" w:hAnsi="Calibri" w:cs="Calibri"/>
          <w:sz w:val="20"/>
        </w:rPr>
        <w:t xml:space="preserve"> </w:t>
      </w:r>
      <w:r w:rsidR="005228D2" w:rsidRPr="00454547">
        <w:rPr>
          <w:rFonts w:ascii="Calibri" w:hAnsi="Calibri" w:cs="Calibri"/>
          <w:sz w:val="20"/>
        </w:rPr>
        <w:t>alespoň</w:t>
      </w:r>
      <w:r w:rsidR="009308CD" w:rsidRPr="00454547">
        <w:rPr>
          <w:rFonts w:ascii="Calibri" w:hAnsi="Calibri" w:cs="Calibri"/>
          <w:sz w:val="20"/>
        </w:rPr>
        <w:t xml:space="preserve"> o jedno procento, nyní konsensus</w:t>
      </w:r>
      <w:r>
        <w:rPr>
          <w:rFonts w:ascii="Calibri" w:hAnsi="Calibri" w:cs="Calibri"/>
          <w:sz w:val="20"/>
        </w:rPr>
        <w:t xml:space="preserve"> </w:t>
      </w:r>
      <w:r w:rsidR="00C62C4C">
        <w:rPr>
          <w:rFonts w:ascii="Calibri" w:hAnsi="Calibri" w:cs="Calibri"/>
          <w:sz w:val="20"/>
        </w:rPr>
        <w:t>vidí</w:t>
      </w:r>
      <w:r w:rsidR="00B3068D">
        <w:rPr>
          <w:rFonts w:ascii="Calibri" w:hAnsi="Calibri" w:cs="Calibri"/>
          <w:sz w:val="20"/>
        </w:rPr>
        <w:t xml:space="preserve"> </w:t>
      </w:r>
      <w:r w:rsidR="00F1406D">
        <w:rPr>
          <w:rFonts w:ascii="Calibri" w:hAnsi="Calibri" w:cs="Calibri"/>
          <w:sz w:val="20"/>
        </w:rPr>
        <w:t xml:space="preserve">pro poslední kvartál </w:t>
      </w:r>
      <w:r w:rsidR="00B3068D">
        <w:rPr>
          <w:rFonts w:ascii="Calibri" w:hAnsi="Calibri" w:cs="Calibri"/>
          <w:sz w:val="20"/>
        </w:rPr>
        <w:t xml:space="preserve">mezičtvrtletní </w:t>
      </w:r>
      <w:r w:rsidR="009308CD">
        <w:rPr>
          <w:rFonts w:ascii="Calibri" w:hAnsi="Calibri" w:cs="Calibri"/>
          <w:sz w:val="20"/>
        </w:rPr>
        <w:t>stagnac</w:t>
      </w:r>
      <w:r>
        <w:rPr>
          <w:rFonts w:ascii="Calibri" w:hAnsi="Calibri" w:cs="Calibri"/>
          <w:sz w:val="20"/>
        </w:rPr>
        <w:t>i</w:t>
      </w:r>
      <w:r w:rsidR="009308CD">
        <w:rPr>
          <w:rFonts w:ascii="Calibri" w:hAnsi="Calibri" w:cs="Calibri"/>
          <w:sz w:val="20"/>
        </w:rPr>
        <w:t xml:space="preserve"> a některé odhady předpokládají i mírný propad ekonomiky.</w:t>
      </w:r>
      <w:r w:rsidR="005228D2">
        <w:rPr>
          <w:rFonts w:ascii="Calibri" w:hAnsi="Calibri" w:cs="Calibri"/>
          <w:sz w:val="20"/>
        </w:rPr>
        <w:t xml:space="preserve"> </w:t>
      </w:r>
      <w:r w:rsidR="006D1635">
        <w:rPr>
          <w:rFonts w:ascii="Calibri" w:hAnsi="Calibri" w:cs="Calibri"/>
          <w:sz w:val="20"/>
        </w:rPr>
        <w:t xml:space="preserve">Negativně do posledního čtvrtletí promluví zejména pozastavení výroby v automobilkách v průběhu října. </w:t>
      </w:r>
    </w:p>
    <w:p w14:paraId="4C3BCCF8" w14:textId="77777777" w:rsidR="006D1635" w:rsidRDefault="006D1635" w:rsidP="00AB39A4">
      <w:pPr>
        <w:rPr>
          <w:rFonts w:ascii="Calibri" w:hAnsi="Calibri" w:cs="Calibri"/>
          <w:b/>
          <w:bCs/>
          <w:sz w:val="20"/>
        </w:rPr>
      </w:pPr>
    </w:p>
    <w:p w14:paraId="16F1DEC6" w14:textId="14A86EC4" w:rsidR="00AB39A4" w:rsidRDefault="00CE165F" w:rsidP="00AB39A4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bCs/>
          <w:sz w:val="20"/>
        </w:rPr>
        <w:t xml:space="preserve">V příštím roce </w:t>
      </w:r>
      <w:r w:rsidR="00D4786E">
        <w:rPr>
          <w:rFonts w:ascii="Calibri" w:hAnsi="Calibri" w:cs="Calibri"/>
          <w:b/>
          <w:bCs/>
          <w:sz w:val="20"/>
        </w:rPr>
        <w:t xml:space="preserve">pak </w:t>
      </w:r>
      <w:r w:rsidR="00FF5794">
        <w:rPr>
          <w:rFonts w:ascii="Calibri" w:hAnsi="Calibri" w:cs="Calibri"/>
          <w:b/>
          <w:bCs/>
          <w:sz w:val="20"/>
        </w:rPr>
        <w:t>prognostický</w:t>
      </w:r>
      <w:r w:rsidR="00D4786E">
        <w:rPr>
          <w:rFonts w:ascii="Calibri" w:hAnsi="Calibri" w:cs="Calibri"/>
          <w:b/>
          <w:bCs/>
          <w:sz w:val="20"/>
        </w:rPr>
        <w:t xml:space="preserve"> panel ČBA </w:t>
      </w:r>
      <w:r w:rsidR="00AF36FE">
        <w:rPr>
          <w:rFonts w:ascii="Calibri" w:hAnsi="Calibri" w:cs="Calibri"/>
          <w:b/>
          <w:bCs/>
          <w:sz w:val="20"/>
        </w:rPr>
        <w:t>předpokládá růst ekonomiky o 3,9 %.</w:t>
      </w:r>
      <w:r w:rsidR="00AF36FE" w:rsidRPr="00675EBD">
        <w:rPr>
          <w:rFonts w:ascii="Calibri" w:hAnsi="Calibri" w:cs="Calibri"/>
          <w:sz w:val="20"/>
        </w:rPr>
        <w:t xml:space="preserve"> Oproti dřívější prognóze</w:t>
      </w:r>
      <w:r w:rsidR="00675EBD">
        <w:rPr>
          <w:rFonts w:ascii="Calibri" w:hAnsi="Calibri" w:cs="Calibri"/>
          <w:sz w:val="20"/>
        </w:rPr>
        <w:t xml:space="preserve"> očekávající růst o 4,5 % jde tak o slabší</w:t>
      </w:r>
      <w:r w:rsidR="006D1635">
        <w:rPr>
          <w:rFonts w:ascii="Calibri" w:hAnsi="Calibri" w:cs="Calibri"/>
          <w:sz w:val="20"/>
        </w:rPr>
        <w:t xml:space="preserve"> hodnotu</w:t>
      </w:r>
      <w:r w:rsidR="00675EBD">
        <w:rPr>
          <w:rFonts w:ascii="Calibri" w:hAnsi="Calibri" w:cs="Calibri"/>
          <w:sz w:val="20"/>
        </w:rPr>
        <w:t xml:space="preserve"> zejména z titulu </w:t>
      </w:r>
      <w:r w:rsidR="006D1635">
        <w:rPr>
          <w:rFonts w:ascii="Calibri" w:hAnsi="Calibri" w:cs="Calibri"/>
          <w:sz w:val="20"/>
        </w:rPr>
        <w:t>rychlejší inflace dopadající na spotřebu domácností a také stále pokračujících problém</w:t>
      </w:r>
      <w:r w:rsidR="00B3068D">
        <w:rPr>
          <w:rFonts w:ascii="Calibri" w:hAnsi="Calibri" w:cs="Calibri"/>
          <w:sz w:val="20"/>
        </w:rPr>
        <w:t>ů</w:t>
      </w:r>
      <w:r w:rsidR="006D1635">
        <w:rPr>
          <w:rFonts w:ascii="Calibri" w:hAnsi="Calibri" w:cs="Calibri"/>
          <w:sz w:val="20"/>
        </w:rPr>
        <w:t xml:space="preserve"> v subdodavatelských vztazích. Ty se sice postupně zlepšují, ale budou patrně alespoň částečně přetrvávat i během první poloviny příštího roku.</w:t>
      </w:r>
      <w:r w:rsidR="00462589" w:rsidRPr="00675EBD">
        <w:rPr>
          <w:rFonts w:ascii="Calibri" w:hAnsi="Calibri" w:cs="Calibri"/>
          <w:sz w:val="20"/>
        </w:rPr>
        <w:t xml:space="preserve"> Tahounem růstu </w:t>
      </w:r>
      <w:r w:rsidR="006D1635">
        <w:rPr>
          <w:rFonts w:ascii="Calibri" w:hAnsi="Calibri" w:cs="Calibri"/>
          <w:sz w:val="20"/>
        </w:rPr>
        <w:t>by však</w:t>
      </w:r>
      <w:r w:rsidR="00462589" w:rsidRPr="00675EBD">
        <w:rPr>
          <w:rFonts w:ascii="Calibri" w:hAnsi="Calibri" w:cs="Calibri"/>
          <w:sz w:val="20"/>
        </w:rPr>
        <w:t xml:space="preserve"> měla být</w:t>
      </w:r>
      <w:r w:rsidR="006D1635">
        <w:rPr>
          <w:rFonts w:ascii="Calibri" w:hAnsi="Calibri" w:cs="Calibri"/>
          <w:sz w:val="20"/>
        </w:rPr>
        <w:t xml:space="preserve"> </w:t>
      </w:r>
      <w:r w:rsidR="00462589" w:rsidRPr="00675EBD">
        <w:rPr>
          <w:rFonts w:ascii="Calibri" w:hAnsi="Calibri" w:cs="Calibri"/>
          <w:sz w:val="20"/>
        </w:rPr>
        <w:t>investiční aktivita, kter</w:t>
      </w:r>
      <w:r w:rsidR="00484DC6">
        <w:rPr>
          <w:rFonts w:ascii="Calibri" w:hAnsi="Calibri" w:cs="Calibri"/>
          <w:sz w:val="20"/>
        </w:rPr>
        <w:t>á</w:t>
      </w:r>
      <w:r w:rsidR="00462589" w:rsidRPr="00675EBD">
        <w:rPr>
          <w:rFonts w:ascii="Calibri" w:hAnsi="Calibri" w:cs="Calibri"/>
          <w:sz w:val="20"/>
        </w:rPr>
        <w:t xml:space="preserve"> by měla oproti letošnímu roku </w:t>
      </w:r>
      <w:r w:rsidR="00484DC6">
        <w:rPr>
          <w:rFonts w:ascii="Calibri" w:hAnsi="Calibri" w:cs="Calibri"/>
          <w:sz w:val="20"/>
        </w:rPr>
        <w:t>znatelně</w:t>
      </w:r>
      <w:r w:rsidR="00462589" w:rsidRPr="00675EBD">
        <w:rPr>
          <w:rFonts w:ascii="Calibri" w:hAnsi="Calibri" w:cs="Calibri"/>
          <w:sz w:val="20"/>
        </w:rPr>
        <w:t xml:space="preserve"> zrychlit</w:t>
      </w:r>
      <w:r w:rsidR="001D20AB">
        <w:rPr>
          <w:rFonts w:ascii="Calibri" w:hAnsi="Calibri" w:cs="Calibri"/>
          <w:sz w:val="20"/>
        </w:rPr>
        <w:t>. U spotřeby domácností exis</w:t>
      </w:r>
      <w:r w:rsidR="005C01AE">
        <w:rPr>
          <w:rFonts w:ascii="Calibri" w:hAnsi="Calibri" w:cs="Calibri"/>
          <w:sz w:val="20"/>
        </w:rPr>
        <w:t>tují</w:t>
      </w:r>
      <w:r w:rsidR="001D20AB">
        <w:rPr>
          <w:rFonts w:ascii="Calibri" w:hAnsi="Calibri" w:cs="Calibri"/>
          <w:sz w:val="20"/>
        </w:rPr>
        <w:t xml:space="preserve"> mezi jednotlivými prognózami velké rozdíly (růst mezi 2,4 % až 6,5 %). </w:t>
      </w:r>
      <w:r w:rsidR="005C01AE" w:rsidRPr="005C01AE">
        <w:rPr>
          <w:rFonts w:ascii="Calibri" w:hAnsi="Calibri" w:cs="Calibri"/>
          <w:sz w:val="20"/>
        </w:rPr>
        <w:t xml:space="preserve">Některé odhady přepokládají citelnější zpomalení spotřeby domácností z titulu dopadu vyšší inflace a obecného </w:t>
      </w:r>
      <w:r w:rsidR="00266E32">
        <w:rPr>
          <w:rFonts w:ascii="Calibri" w:hAnsi="Calibri" w:cs="Calibri"/>
          <w:sz w:val="20"/>
        </w:rPr>
        <w:t>zvýšení</w:t>
      </w:r>
      <w:r w:rsidR="005C01AE" w:rsidRPr="005C01AE">
        <w:rPr>
          <w:rFonts w:ascii="Calibri" w:hAnsi="Calibri" w:cs="Calibri"/>
          <w:sz w:val="20"/>
        </w:rPr>
        <w:t xml:space="preserve"> zadlužení domácností, které ve spojení s vyššími úrokovými sazbami bude řadě domácností ubírat část příjmu na spotřebu. Naopak jiné odhady počítají s určitým rozpouštěním nahromaděných úspor a návrat</w:t>
      </w:r>
      <w:r w:rsidR="00484DC6">
        <w:rPr>
          <w:rFonts w:ascii="Calibri" w:hAnsi="Calibri" w:cs="Calibri"/>
          <w:sz w:val="20"/>
        </w:rPr>
        <w:t>em</w:t>
      </w:r>
      <w:r w:rsidR="005C01AE" w:rsidRPr="005C01AE">
        <w:rPr>
          <w:rFonts w:ascii="Calibri" w:hAnsi="Calibri" w:cs="Calibri"/>
          <w:sz w:val="20"/>
        </w:rPr>
        <w:t xml:space="preserve"> spotřeby k před pandemické úrovní</w:t>
      </w:r>
      <w:r w:rsidR="005C01AE">
        <w:rPr>
          <w:rFonts w:ascii="Calibri" w:hAnsi="Calibri" w:cs="Calibri"/>
          <w:sz w:val="20"/>
        </w:rPr>
        <w:t>.</w:t>
      </w:r>
    </w:p>
    <w:p w14:paraId="395BA904" w14:textId="77777777" w:rsidR="00146F24" w:rsidRDefault="00146F24" w:rsidP="00AB39A4">
      <w:pPr>
        <w:rPr>
          <w:rFonts w:ascii="Calibri" w:hAnsi="Calibri" w:cs="Calibri"/>
          <w:sz w:val="20"/>
        </w:rPr>
      </w:pPr>
    </w:p>
    <w:p w14:paraId="2FB25880" w14:textId="77305919" w:rsidR="005C60BB" w:rsidRPr="00DD4A8E" w:rsidRDefault="00F21E02" w:rsidP="00E708D5">
      <w:pPr>
        <w:spacing w:after="120"/>
        <w:rPr>
          <w:rFonts w:ascii="Calibri" w:hAnsi="Calibri" w:cs="Calibri"/>
          <w:b/>
          <w:color w:val="007E79"/>
          <w:sz w:val="22"/>
          <w:szCs w:val="22"/>
        </w:rPr>
      </w:pPr>
      <w:r>
        <w:rPr>
          <w:rFonts w:ascii="Calibri" w:hAnsi="Calibri" w:cs="Calibri"/>
          <w:b/>
          <w:color w:val="13576B"/>
          <w:sz w:val="22"/>
          <w:szCs w:val="22"/>
        </w:rPr>
        <w:lastRenderedPageBreak/>
        <w:t xml:space="preserve">Mzdy </w:t>
      </w:r>
      <w:r w:rsidR="00BA49C9">
        <w:rPr>
          <w:rFonts w:ascii="Calibri" w:hAnsi="Calibri" w:cs="Calibri"/>
          <w:b/>
          <w:color w:val="13576B"/>
          <w:sz w:val="22"/>
          <w:szCs w:val="22"/>
        </w:rPr>
        <w:t>porostou</w:t>
      </w:r>
      <w:r>
        <w:rPr>
          <w:rFonts w:ascii="Calibri" w:hAnsi="Calibri" w:cs="Calibri"/>
          <w:b/>
          <w:color w:val="13576B"/>
          <w:sz w:val="22"/>
          <w:szCs w:val="22"/>
        </w:rPr>
        <w:t xml:space="preserve">, nevykompenzují však </w:t>
      </w:r>
      <w:r w:rsidR="00603B91">
        <w:rPr>
          <w:rFonts w:ascii="Calibri" w:hAnsi="Calibri" w:cs="Calibri"/>
          <w:b/>
          <w:color w:val="13576B"/>
          <w:sz w:val="22"/>
          <w:szCs w:val="22"/>
        </w:rPr>
        <w:t xml:space="preserve">v příštím roce </w:t>
      </w:r>
      <w:r w:rsidR="00D30A6F">
        <w:rPr>
          <w:rFonts w:ascii="Calibri" w:hAnsi="Calibri" w:cs="Calibri"/>
          <w:b/>
          <w:color w:val="13576B"/>
          <w:sz w:val="22"/>
          <w:szCs w:val="22"/>
        </w:rPr>
        <w:t>ná</w:t>
      </w:r>
      <w:r>
        <w:rPr>
          <w:rFonts w:ascii="Calibri" w:hAnsi="Calibri" w:cs="Calibri"/>
          <w:b/>
          <w:color w:val="13576B"/>
          <w:sz w:val="22"/>
          <w:szCs w:val="22"/>
        </w:rPr>
        <w:t>růst infl</w:t>
      </w:r>
      <w:r w:rsidR="00603B91">
        <w:rPr>
          <w:rFonts w:ascii="Calibri" w:hAnsi="Calibri" w:cs="Calibri"/>
          <w:b/>
          <w:color w:val="13576B"/>
          <w:sz w:val="22"/>
          <w:szCs w:val="22"/>
        </w:rPr>
        <w:t>a</w:t>
      </w:r>
      <w:r>
        <w:rPr>
          <w:rFonts w:ascii="Calibri" w:hAnsi="Calibri" w:cs="Calibri"/>
          <w:b/>
          <w:color w:val="13576B"/>
          <w:sz w:val="22"/>
          <w:szCs w:val="22"/>
        </w:rPr>
        <w:t>ce</w:t>
      </w:r>
    </w:p>
    <w:p w14:paraId="1091B578" w14:textId="0807C076" w:rsidR="00D30A6F" w:rsidRDefault="00BA49C9" w:rsidP="00B4285D">
      <w:pPr>
        <w:rPr>
          <w:rFonts w:ascii="Calibri" w:hAnsi="Calibri" w:cs="Calibri"/>
          <w:sz w:val="20"/>
        </w:rPr>
      </w:pPr>
      <w:r w:rsidRPr="00C15C17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D58E977" wp14:editId="0882099C">
                <wp:simplePos x="0" y="0"/>
                <wp:positionH relativeFrom="margin">
                  <wp:posOffset>2540</wp:posOffset>
                </wp:positionH>
                <wp:positionV relativeFrom="paragraph">
                  <wp:posOffset>1417320</wp:posOffset>
                </wp:positionV>
                <wp:extent cx="6461760" cy="871855"/>
                <wp:effectExtent l="0" t="0" r="15240" b="23495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979F8" w14:textId="0756E811" w:rsidR="00F01F41" w:rsidRPr="00895ED5" w:rsidRDefault="00D30A6F" w:rsidP="00F01F41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</w:rPr>
                              <w:t xml:space="preserve">Jaromír </w:t>
                            </w:r>
                            <w:r w:rsidRPr="00895ED5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</w:rPr>
                              <w:t>Šindel</w:t>
                            </w:r>
                            <w:r w:rsidR="00F01F41" w:rsidRPr="00895ED5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</w:rPr>
                              <w:t xml:space="preserve">, </w:t>
                            </w:r>
                            <w:r w:rsidRPr="00895ED5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</w:rPr>
                              <w:t>hlavní ekonom Cit</w:t>
                            </w:r>
                            <w:r w:rsidR="006A437E" w:rsidRPr="00895ED5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</w:rPr>
                              <w:t>i</w:t>
                            </w:r>
                            <w:r w:rsidR="00082CD7" w:rsidRPr="00895ED5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</w:rPr>
                              <w:t>bank</w:t>
                            </w:r>
                            <w:r w:rsidR="00F01F41" w:rsidRPr="00895ED5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</w:rPr>
                              <w:t>:</w:t>
                            </w:r>
                          </w:p>
                          <w:p w14:paraId="3D18E4A1" w14:textId="168284EB" w:rsidR="00F01F41" w:rsidRPr="00F37DC9" w:rsidRDefault="00C93EFF" w:rsidP="00C93EFF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</w:pPr>
                            <w:r w:rsidRPr="00C93EFF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</w:rPr>
                              <w:t>"Trh práce se, pandemii navzdory, poměrně rychle navrátil k svému inflačnímu působení. Přispívá k tomu i relativně vysoký podíl zahraničních pracovníků, po nichž bude sílit poptávka od našich regionálních sousedů. U nich se totiž bude v následujících letech demografická situace zhoršovat rychleji než u nás. Navíc se zdá, že se problémy v auto průmyslu negativně nepromítají do poptávky po práci v jiných sektorech.“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8E977" id="Textové pole 1" o:spid="_x0000_s1027" type="#_x0000_t202" style="position:absolute;left:0;text-align:left;margin-left:.2pt;margin-top:111.6pt;width:508.8pt;height:68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">
                <v:textbox>
                  <w:txbxContent>
                    <w:p w14:paraId="288979F8" w14:textId="0756E811" w:rsidR="00F01F41" w:rsidRPr="00895ED5" w:rsidRDefault="00D30A6F" w:rsidP="00F01F41">
                      <w:pPr>
                        <w:rPr>
                          <w:rFonts w:ascii="Calibri" w:hAnsi="Calibri" w:cs="Calibri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0"/>
                        </w:rPr>
                        <w:t xml:space="preserve">Jaromír </w:t>
                      </w:r>
                      <w:r w:rsidRPr="00895ED5">
                        <w:rPr>
                          <w:rFonts w:ascii="Calibri" w:hAnsi="Calibri" w:cs="Calibri"/>
                          <w:b/>
                          <w:bCs/>
                          <w:sz w:val="20"/>
                        </w:rPr>
                        <w:t>Šindel</w:t>
                      </w:r>
                      <w:r w:rsidR="00F01F41" w:rsidRPr="00895ED5">
                        <w:rPr>
                          <w:rFonts w:ascii="Calibri" w:hAnsi="Calibri" w:cs="Calibri"/>
                          <w:b/>
                          <w:bCs/>
                          <w:sz w:val="20"/>
                        </w:rPr>
                        <w:t xml:space="preserve">, </w:t>
                      </w:r>
                      <w:r w:rsidRPr="00895ED5">
                        <w:rPr>
                          <w:rFonts w:ascii="Calibri" w:hAnsi="Calibri" w:cs="Calibri"/>
                          <w:b/>
                          <w:bCs/>
                          <w:sz w:val="20"/>
                        </w:rPr>
                        <w:t>hlavní ekonom Cit</w:t>
                      </w:r>
                      <w:r w:rsidR="006A437E" w:rsidRPr="00895ED5">
                        <w:rPr>
                          <w:rFonts w:ascii="Calibri" w:hAnsi="Calibri" w:cs="Calibri"/>
                          <w:b/>
                          <w:bCs/>
                          <w:sz w:val="20"/>
                        </w:rPr>
                        <w:t>i</w:t>
                      </w:r>
                      <w:r w:rsidR="00082CD7" w:rsidRPr="00895ED5">
                        <w:rPr>
                          <w:rFonts w:ascii="Calibri" w:hAnsi="Calibri" w:cs="Calibri"/>
                          <w:b/>
                          <w:bCs/>
                          <w:sz w:val="20"/>
                        </w:rPr>
                        <w:t>bank</w:t>
                      </w:r>
                      <w:r w:rsidR="00F01F41" w:rsidRPr="00895ED5">
                        <w:rPr>
                          <w:rFonts w:ascii="Calibri" w:hAnsi="Calibri" w:cs="Calibri"/>
                          <w:b/>
                          <w:bCs/>
                          <w:sz w:val="20"/>
                        </w:rPr>
                        <w:t>:</w:t>
                      </w:r>
                    </w:p>
                    <w:p w14:paraId="3D18E4A1" w14:textId="168284EB" w:rsidR="00F01F41" w:rsidRPr="00F37DC9" w:rsidRDefault="00C93EFF" w:rsidP="00C93EFF">
                      <w:pPr>
                        <w:rPr>
                          <w:rFonts w:ascii="Calibri" w:hAnsi="Calibri" w:cs="Calibri"/>
                          <w:i/>
                          <w:iCs/>
                        </w:rPr>
                      </w:pPr>
                      <w:r w:rsidRPr="00C93EFF">
                        <w:rPr>
                          <w:rFonts w:ascii="Calibri" w:hAnsi="Calibri" w:cs="Calibri"/>
                          <w:i/>
                          <w:iCs/>
                          <w:sz w:val="20"/>
                        </w:rPr>
                        <w:t>"Trh práce se, pandemii navzdory, poměrně rychle navrátil k svému inflačnímu působení. Přispívá k tomu i relativně vysoký podíl zahraničních pracovníků, po nichž bude sílit poptávka od našich regionálních sousedů. U nich se totiž bude v následujících letech demografická situace zhoršovat rychleji než u nás. Navíc se zdá, že se problémy v auto průmyslu negativně nepromítají do poptávky po práci v jiných sektorech.“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31A0">
        <w:rPr>
          <w:rFonts w:ascii="Calibri" w:hAnsi="Calibri" w:cs="Calibri"/>
          <w:sz w:val="20"/>
        </w:rPr>
        <w:t xml:space="preserve">Ačkoli trh práce v posledních </w:t>
      </w:r>
      <w:r w:rsidR="00156D1E">
        <w:rPr>
          <w:rFonts w:ascii="Calibri" w:hAnsi="Calibri" w:cs="Calibri"/>
          <w:sz w:val="20"/>
        </w:rPr>
        <w:t>měsících</w:t>
      </w:r>
      <w:r w:rsidR="000831A0">
        <w:rPr>
          <w:rFonts w:ascii="Calibri" w:hAnsi="Calibri" w:cs="Calibri"/>
          <w:sz w:val="20"/>
        </w:rPr>
        <w:t xml:space="preserve"> přestal být v</w:t>
      </w:r>
      <w:r w:rsidR="00484DC6">
        <w:rPr>
          <w:rFonts w:ascii="Calibri" w:hAnsi="Calibri" w:cs="Calibri"/>
          <w:sz w:val="20"/>
        </w:rPr>
        <w:t xml:space="preserve"> některých </w:t>
      </w:r>
      <w:r w:rsidR="000831A0">
        <w:rPr>
          <w:rFonts w:ascii="Calibri" w:hAnsi="Calibri" w:cs="Calibri"/>
          <w:sz w:val="20"/>
        </w:rPr>
        <w:t xml:space="preserve">šetřeních mezi firmami hlavní bariérou růstu a překonal jej nedostatek materiálu, neznamená to, že by se dostupnost pracovníků zlepšila – pouze se nedostatek materiálů stal akutnějším problémem. </w:t>
      </w:r>
      <w:r w:rsidR="000831A0" w:rsidRPr="00F24239">
        <w:rPr>
          <w:rFonts w:ascii="Calibri" w:hAnsi="Calibri" w:cs="Calibri"/>
          <w:b/>
          <w:bCs/>
          <w:sz w:val="20"/>
        </w:rPr>
        <w:t xml:space="preserve">Trh práce v tuzemské ekonomice tak stále zůstává </w:t>
      </w:r>
      <w:r w:rsidR="00156D1E" w:rsidRPr="00F24239">
        <w:rPr>
          <w:rFonts w:ascii="Calibri" w:hAnsi="Calibri" w:cs="Calibri"/>
          <w:b/>
          <w:bCs/>
          <w:sz w:val="20"/>
        </w:rPr>
        <w:t>přehřátý</w:t>
      </w:r>
      <w:r w:rsidR="000831A0" w:rsidRPr="00F24239">
        <w:rPr>
          <w:rFonts w:ascii="Calibri" w:hAnsi="Calibri" w:cs="Calibri"/>
          <w:b/>
          <w:bCs/>
          <w:sz w:val="20"/>
        </w:rPr>
        <w:t xml:space="preserve"> a komplikuje řadě firem další r</w:t>
      </w:r>
      <w:r w:rsidR="00266E32">
        <w:rPr>
          <w:rFonts w:ascii="Calibri" w:hAnsi="Calibri" w:cs="Calibri"/>
          <w:b/>
          <w:bCs/>
          <w:sz w:val="20"/>
        </w:rPr>
        <w:t>ozvoj</w:t>
      </w:r>
      <w:r w:rsidR="000831A0" w:rsidRPr="00F24239">
        <w:rPr>
          <w:rFonts w:ascii="Calibri" w:hAnsi="Calibri" w:cs="Calibri"/>
          <w:b/>
          <w:bCs/>
          <w:sz w:val="20"/>
        </w:rPr>
        <w:t>.</w:t>
      </w:r>
      <w:r w:rsidR="000831A0">
        <w:rPr>
          <w:rFonts w:ascii="Calibri" w:hAnsi="Calibri" w:cs="Calibri"/>
          <w:sz w:val="20"/>
        </w:rPr>
        <w:t xml:space="preserve"> Přitom t</w:t>
      </w:r>
      <w:r w:rsidR="00BA5EDD">
        <w:rPr>
          <w:rFonts w:ascii="Calibri" w:hAnsi="Calibri" w:cs="Calibri"/>
          <w:sz w:val="20"/>
        </w:rPr>
        <w:t>ak</w:t>
      </w:r>
      <w:r w:rsidR="000831A0">
        <w:rPr>
          <w:rFonts w:ascii="Calibri" w:hAnsi="Calibri" w:cs="Calibri"/>
          <w:sz w:val="20"/>
        </w:rPr>
        <w:t xml:space="preserve"> jako v</w:t>
      </w:r>
      <w:r w:rsidR="00895ED5">
        <w:rPr>
          <w:rFonts w:ascii="Calibri" w:hAnsi="Calibri" w:cs="Calibri"/>
          <w:sz w:val="20"/>
        </w:rPr>
        <w:t> </w:t>
      </w:r>
      <w:r w:rsidR="000831A0">
        <w:rPr>
          <w:rFonts w:ascii="Calibri" w:hAnsi="Calibri" w:cs="Calibri"/>
          <w:sz w:val="20"/>
        </w:rPr>
        <w:t>minulost</w:t>
      </w:r>
      <w:r>
        <w:rPr>
          <w:rFonts w:ascii="Calibri" w:hAnsi="Calibri" w:cs="Calibri"/>
          <w:sz w:val="20"/>
        </w:rPr>
        <w:t>i</w:t>
      </w:r>
      <w:r w:rsidR="00895ED5">
        <w:rPr>
          <w:rFonts w:ascii="Calibri" w:hAnsi="Calibri" w:cs="Calibri"/>
          <w:sz w:val="20"/>
        </w:rPr>
        <w:t>,</w:t>
      </w:r>
      <w:r w:rsidR="000831A0">
        <w:rPr>
          <w:rFonts w:ascii="Calibri" w:hAnsi="Calibri" w:cs="Calibri"/>
          <w:sz w:val="20"/>
        </w:rPr>
        <w:t xml:space="preserve"> začínají odhady vývoje nezaměstnanosti </w:t>
      </w:r>
      <w:r w:rsidR="00A72EC7">
        <w:rPr>
          <w:rFonts w:ascii="Calibri" w:hAnsi="Calibri" w:cs="Calibri"/>
          <w:sz w:val="20"/>
        </w:rPr>
        <w:t xml:space="preserve">pozitivně </w:t>
      </w:r>
      <w:r w:rsidR="00B941DB">
        <w:rPr>
          <w:rFonts w:ascii="Calibri" w:hAnsi="Calibri" w:cs="Calibri"/>
          <w:sz w:val="20"/>
        </w:rPr>
        <w:t xml:space="preserve">překvapovat a </w:t>
      </w:r>
      <w:r w:rsidR="000831A0">
        <w:rPr>
          <w:rFonts w:ascii="Calibri" w:hAnsi="Calibri" w:cs="Calibri"/>
          <w:sz w:val="20"/>
        </w:rPr>
        <w:t xml:space="preserve">opět </w:t>
      </w:r>
      <w:r w:rsidR="00B941DB">
        <w:rPr>
          <w:rFonts w:ascii="Calibri" w:hAnsi="Calibri" w:cs="Calibri"/>
          <w:sz w:val="20"/>
        </w:rPr>
        <w:t xml:space="preserve">se </w:t>
      </w:r>
      <w:r w:rsidR="000831A0">
        <w:rPr>
          <w:rFonts w:ascii="Calibri" w:hAnsi="Calibri" w:cs="Calibri"/>
          <w:sz w:val="20"/>
        </w:rPr>
        <w:t>posouvat směrem k</w:t>
      </w:r>
      <w:r w:rsidR="00B941DB">
        <w:rPr>
          <w:rFonts w:ascii="Calibri" w:hAnsi="Calibri" w:cs="Calibri"/>
          <w:sz w:val="20"/>
        </w:rPr>
        <w:t xml:space="preserve"> nižším </w:t>
      </w:r>
      <w:r w:rsidR="000831A0">
        <w:rPr>
          <w:rFonts w:ascii="Calibri" w:hAnsi="Calibri" w:cs="Calibri"/>
          <w:sz w:val="20"/>
        </w:rPr>
        <w:t>hodnotám. Z letošních 3,8 % by se měl podíl nezaměstnaných osob snížit v příštím roce na 3,4 %</w:t>
      </w:r>
      <w:r w:rsidR="00D30A6F">
        <w:rPr>
          <w:rFonts w:ascii="Calibri" w:hAnsi="Calibri" w:cs="Calibri"/>
          <w:sz w:val="20"/>
        </w:rPr>
        <w:t>. To je jen nepatrně vyšší hodnota, než byla v roce 2018 (3,2 %</w:t>
      </w:r>
      <w:r w:rsidR="00454547">
        <w:rPr>
          <w:rFonts w:ascii="Calibri" w:hAnsi="Calibri" w:cs="Calibri"/>
          <w:sz w:val="20"/>
        </w:rPr>
        <w:t xml:space="preserve"> dle MPSV</w:t>
      </w:r>
      <w:r w:rsidR="00D30A6F">
        <w:rPr>
          <w:rFonts w:ascii="Calibri" w:hAnsi="Calibri" w:cs="Calibri"/>
          <w:sz w:val="20"/>
        </w:rPr>
        <w:t>). Ačkoli problémy v průmyslu mohou u některých firem způsobit propouštění, nesoulad mezi volnými pracovními místy a počtem nezaměstnaných osob je ta</w:t>
      </w:r>
      <w:r>
        <w:rPr>
          <w:rFonts w:ascii="Calibri" w:hAnsi="Calibri" w:cs="Calibri"/>
          <w:sz w:val="20"/>
        </w:rPr>
        <w:t>k</w:t>
      </w:r>
      <w:r w:rsidR="00D30A6F">
        <w:rPr>
          <w:rFonts w:ascii="Calibri" w:hAnsi="Calibri" w:cs="Calibri"/>
          <w:sz w:val="20"/>
        </w:rPr>
        <w:t xml:space="preserve"> výrazný, že panel ČBA nepředpokládá viditelný dopad do míry nezaměstnanosti.</w:t>
      </w:r>
    </w:p>
    <w:p w14:paraId="52223CA0" w14:textId="4935A4A3" w:rsidR="00B85767" w:rsidRDefault="00E708D5" w:rsidP="00B4285D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br/>
      </w:r>
      <w:r w:rsidR="00D30A6F">
        <w:rPr>
          <w:rFonts w:ascii="Calibri" w:hAnsi="Calibri" w:cs="Calibri"/>
          <w:sz w:val="20"/>
        </w:rPr>
        <w:t>Vzhledem k</w:t>
      </w:r>
      <w:r w:rsidR="00B941DB">
        <w:rPr>
          <w:rFonts w:ascii="Calibri" w:hAnsi="Calibri" w:cs="Calibri"/>
          <w:sz w:val="20"/>
        </w:rPr>
        <w:t>e zmíněném</w:t>
      </w:r>
      <w:r w:rsidR="005C01AE">
        <w:rPr>
          <w:rFonts w:ascii="Calibri" w:hAnsi="Calibri" w:cs="Calibri"/>
          <w:sz w:val="20"/>
        </w:rPr>
        <w:t>u</w:t>
      </w:r>
      <w:r w:rsidR="00D30A6F">
        <w:rPr>
          <w:rFonts w:ascii="Calibri" w:hAnsi="Calibri" w:cs="Calibri"/>
          <w:sz w:val="20"/>
        </w:rPr>
        <w:t> vývoji na trhu</w:t>
      </w:r>
      <w:r w:rsidR="00B941DB">
        <w:rPr>
          <w:rFonts w:ascii="Calibri" w:hAnsi="Calibri" w:cs="Calibri"/>
          <w:sz w:val="20"/>
        </w:rPr>
        <w:t xml:space="preserve"> práce</w:t>
      </w:r>
      <w:r w:rsidR="00D30A6F">
        <w:rPr>
          <w:rFonts w:ascii="Calibri" w:hAnsi="Calibri" w:cs="Calibri"/>
          <w:sz w:val="20"/>
        </w:rPr>
        <w:t xml:space="preserve"> se</w:t>
      </w:r>
      <w:r w:rsidR="00B80CC0">
        <w:rPr>
          <w:rFonts w:ascii="Calibri" w:hAnsi="Calibri" w:cs="Calibri"/>
          <w:sz w:val="20"/>
        </w:rPr>
        <w:t xml:space="preserve"> předpokládá</w:t>
      </w:r>
      <w:r w:rsidR="00FB5BF0">
        <w:rPr>
          <w:rFonts w:ascii="Calibri" w:hAnsi="Calibri" w:cs="Calibri"/>
          <w:sz w:val="20"/>
        </w:rPr>
        <w:t>, že růst mezd</w:t>
      </w:r>
      <w:r w:rsidR="00146F24">
        <w:rPr>
          <w:rFonts w:ascii="Calibri" w:hAnsi="Calibri" w:cs="Calibri"/>
          <w:sz w:val="20"/>
        </w:rPr>
        <w:t xml:space="preserve"> a platů</w:t>
      </w:r>
      <w:r w:rsidR="00FB5BF0">
        <w:rPr>
          <w:rFonts w:ascii="Calibri" w:hAnsi="Calibri" w:cs="Calibri"/>
          <w:sz w:val="20"/>
        </w:rPr>
        <w:t xml:space="preserve"> bude letos nakonec rychlejší, a to i vlivem mimořádných odměn ve zdravotnictví. </w:t>
      </w:r>
      <w:r w:rsidR="00FB5BF0" w:rsidRPr="00F24239">
        <w:rPr>
          <w:rFonts w:ascii="Calibri" w:hAnsi="Calibri" w:cs="Calibri"/>
          <w:b/>
          <w:bCs/>
          <w:sz w:val="20"/>
        </w:rPr>
        <w:t>V letošním roce se očekává</w:t>
      </w:r>
      <w:r w:rsidR="00266E32">
        <w:rPr>
          <w:rFonts w:ascii="Calibri" w:hAnsi="Calibri" w:cs="Calibri"/>
          <w:b/>
          <w:bCs/>
          <w:sz w:val="20"/>
        </w:rPr>
        <w:t xml:space="preserve"> zvýšení</w:t>
      </w:r>
      <w:r w:rsidR="00FB5BF0" w:rsidRPr="00F24239">
        <w:rPr>
          <w:rFonts w:ascii="Calibri" w:hAnsi="Calibri" w:cs="Calibri"/>
          <w:b/>
          <w:bCs/>
          <w:sz w:val="20"/>
        </w:rPr>
        <w:t xml:space="preserve"> mezd</w:t>
      </w:r>
      <w:r w:rsidR="00146F24">
        <w:rPr>
          <w:rFonts w:ascii="Calibri" w:hAnsi="Calibri" w:cs="Calibri"/>
          <w:b/>
          <w:bCs/>
          <w:sz w:val="20"/>
        </w:rPr>
        <w:t xml:space="preserve"> a platů</w:t>
      </w:r>
      <w:r w:rsidR="00FB5BF0" w:rsidRPr="00F24239">
        <w:rPr>
          <w:rFonts w:ascii="Calibri" w:hAnsi="Calibri" w:cs="Calibri"/>
          <w:b/>
          <w:bCs/>
          <w:sz w:val="20"/>
        </w:rPr>
        <w:t xml:space="preserve"> o 5,8 %. V příštím roce bude růst p</w:t>
      </w:r>
      <w:r w:rsidR="00B941DB" w:rsidRPr="00F24239">
        <w:rPr>
          <w:rFonts w:ascii="Calibri" w:hAnsi="Calibri" w:cs="Calibri"/>
          <w:b/>
          <w:bCs/>
          <w:sz w:val="20"/>
        </w:rPr>
        <w:t>o</w:t>
      </w:r>
      <w:r w:rsidR="00FB5BF0" w:rsidRPr="00F24239">
        <w:rPr>
          <w:rFonts w:ascii="Calibri" w:hAnsi="Calibri" w:cs="Calibri"/>
          <w:b/>
          <w:bCs/>
          <w:sz w:val="20"/>
        </w:rPr>
        <w:t xml:space="preserve">kračovat, částečně bude </w:t>
      </w:r>
      <w:r w:rsidR="00146F24">
        <w:rPr>
          <w:rFonts w:ascii="Calibri" w:hAnsi="Calibri" w:cs="Calibri"/>
          <w:b/>
          <w:bCs/>
          <w:sz w:val="20"/>
        </w:rPr>
        <w:t xml:space="preserve">totiž </w:t>
      </w:r>
      <w:r w:rsidR="00FB5BF0" w:rsidRPr="00F24239">
        <w:rPr>
          <w:rFonts w:ascii="Calibri" w:hAnsi="Calibri" w:cs="Calibri"/>
          <w:b/>
          <w:bCs/>
          <w:sz w:val="20"/>
        </w:rPr>
        <w:t>podpořen i 6,6%</w:t>
      </w:r>
      <w:r w:rsidR="00266E32">
        <w:rPr>
          <w:rFonts w:ascii="Calibri" w:hAnsi="Calibri" w:cs="Calibri"/>
          <w:b/>
          <w:bCs/>
          <w:sz w:val="20"/>
        </w:rPr>
        <w:t xml:space="preserve"> zvýšením </w:t>
      </w:r>
      <w:r w:rsidR="00FB5BF0" w:rsidRPr="00F24239">
        <w:rPr>
          <w:rFonts w:ascii="Calibri" w:hAnsi="Calibri" w:cs="Calibri"/>
          <w:b/>
          <w:bCs/>
          <w:sz w:val="20"/>
        </w:rPr>
        <w:t>minimální mzdy a spojených zaručených mezd.</w:t>
      </w:r>
      <w:r w:rsidR="00FB5BF0">
        <w:rPr>
          <w:rFonts w:ascii="Calibri" w:hAnsi="Calibri" w:cs="Calibri"/>
          <w:sz w:val="20"/>
        </w:rPr>
        <w:t xml:space="preserve"> Opačným </w:t>
      </w:r>
      <w:r w:rsidR="00A72EC7">
        <w:rPr>
          <w:rFonts w:ascii="Calibri" w:hAnsi="Calibri" w:cs="Calibri"/>
          <w:sz w:val="20"/>
        </w:rPr>
        <w:t xml:space="preserve">směrem bude působit očekávaný nižší </w:t>
      </w:r>
      <w:r w:rsidR="00FB5BF0">
        <w:rPr>
          <w:rFonts w:ascii="Calibri" w:hAnsi="Calibri" w:cs="Calibri"/>
          <w:sz w:val="20"/>
        </w:rPr>
        <w:t xml:space="preserve">růst mezd ve veřejném sektoru. Kombinace rychlejší inflace a </w:t>
      </w:r>
      <w:r w:rsidR="00BA49C9">
        <w:rPr>
          <w:rFonts w:ascii="Calibri" w:hAnsi="Calibri" w:cs="Calibri"/>
          <w:sz w:val="20"/>
        </w:rPr>
        <w:t xml:space="preserve">přetrvávajících </w:t>
      </w:r>
      <w:r w:rsidR="00B941DB">
        <w:rPr>
          <w:rFonts w:ascii="Calibri" w:hAnsi="Calibri" w:cs="Calibri"/>
          <w:sz w:val="20"/>
        </w:rPr>
        <w:t>ekonomi</w:t>
      </w:r>
      <w:r w:rsidR="00BA49C9">
        <w:rPr>
          <w:rFonts w:ascii="Calibri" w:hAnsi="Calibri" w:cs="Calibri"/>
          <w:sz w:val="20"/>
        </w:rPr>
        <w:t>ckých</w:t>
      </w:r>
      <w:r w:rsidR="00FB5BF0">
        <w:rPr>
          <w:rFonts w:ascii="Calibri" w:hAnsi="Calibri" w:cs="Calibri"/>
          <w:sz w:val="20"/>
        </w:rPr>
        <w:t xml:space="preserve"> nejistot v letošním roce omezující vyjednávací sílu zaměstnanců tak patrně</w:t>
      </w:r>
      <w:r w:rsidR="00B941DB">
        <w:rPr>
          <w:rFonts w:ascii="Calibri" w:hAnsi="Calibri" w:cs="Calibri"/>
          <w:sz w:val="20"/>
        </w:rPr>
        <w:t xml:space="preserve"> povede k</w:t>
      </w:r>
      <w:r w:rsidR="00A72EC7">
        <w:rPr>
          <w:rFonts w:ascii="Calibri" w:hAnsi="Calibri" w:cs="Calibri"/>
          <w:sz w:val="20"/>
        </w:rPr>
        <w:t> mírnému poklesu</w:t>
      </w:r>
      <w:r w:rsidR="00156D1E">
        <w:rPr>
          <w:rFonts w:ascii="Calibri" w:hAnsi="Calibri" w:cs="Calibri"/>
          <w:sz w:val="20"/>
        </w:rPr>
        <w:t xml:space="preserve"> </w:t>
      </w:r>
      <w:r w:rsidR="00FB5BF0">
        <w:rPr>
          <w:rFonts w:ascii="Calibri" w:hAnsi="Calibri" w:cs="Calibri"/>
          <w:sz w:val="20"/>
        </w:rPr>
        <w:t>reálné mzdy v příštím roce</w:t>
      </w:r>
      <w:r w:rsidR="005C01AE">
        <w:rPr>
          <w:rFonts w:ascii="Calibri" w:hAnsi="Calibri" w:cs="Calibri"/>
          <w:sz w:val="20"/>
        </w:rPr>
        <w:t xml:space="preserve">, </w:t>
      </w:r>
      <w:r w:rsidR="005C01AE" w:rsidRPr="005C01AE">
        <w:rPr>
          <w:rFonts w:ascii="Calibri" w:hAnsi="Calibri" w:cs="Calibri"/>
          <w:sz w:val="20"/>
        </w:rPr>
        <w:t>což pravděpodobně bude doprovázeno úbytkem úspor</w:t>
      </w:r>
      <w:r w:rsidR="005C01AE">
        <w:rPr>
          <w:rFonts w:ascii="Calibri" w:hAnsi="Calibri" w:cs="Calibri"/>
          <w:sz w:val="20"/>
        </w:rPr>
        <w:t>.</w:t>
      </w:r>
    </w:p>
    <w:p w14:paraId="40CF3F6C" w14:textId="69C0E9AC" w:rsidR="00FB5BF0" w:rsidRDefault="00FB5BF0" w:rsidP="00B4285D">
      <w:pPr>
        <w:rPr>
          <w:rFonts w:ascii="Calibri" w:hAnsi="Calibri" w:cs="Calibri"/>
          <w:sz w:val="20"/>
        </w:rPr>
      </w:pPr>
    </w:p>
    <w:p w14:paraId="71CF0BE4" w14:textId="3A7C8243" w:rsidR="00B941DB" w:rsidRPr="0074441D" w:rsidRDefault="00B941DB" w:rsidP="00E708D5">
      <w:pPr>
        <w:spacing w:before="120" w:after="120"/>
        <w:rPr>
          <w:rFonts w:ascii="Calibri" w:hAnsi="Calibri" w:cs="Calibri"/>
          <w:b/>
          <w:color w:val="13576B"/>
          <w:sz w:val="22"/>
          <w:szCs w:val="22"/>
        </w:rPr>
      </w:pPr>
      <w:r w:rsidRPr="0074441D">
        <w:rPr>
          <w:rFonts w:ascii="Calibri" w:hAnsi="Calibri" w:cs="Calibri"/>
          <w:b/>
          <w:color w:val="13576B"/>
          <w:sz w:val="22"/>
          <w:szCs w:val="22"/>
        </w:rPr>
        <w:t xml:space="preserve">Inflace zrychlí a může dosáhnout </w:t>
      </w:r>
      <w:r w:rsidRPr="00146F24">
        <w:rPr>
          <w:rFonts w:ascii="Calibri" w:hAnsi="Calibri" w:cs="Calibri"/>
          <w:b/>
          <w:color w:val="13576B"/>
          <w:sz w:val="22"/>
          <w:szCs w:val="22"/>
        </w:rPr>
        <w:t>hodnot</w:t>
      </w:r>
      <w:r w:rsidRPr="0074441D">
        <w:rPr>
          <w:rFonts w:ascii="Calibri" w:hAnsi="Calibri" w:cs="Calibri"/>
          <w:b/>
          <w:color w:val="13576B"/>
          <w:sz w:val="22"/>
          <w:szCs w:val="22"/>
        </w:rPr>
        <w:t xml:space="preserve"> z roku 2008</w:t>
      </w:r>
    </w:p>
    <w:p w14:paraId="40A790CA" w14:textId="133E74C4" w:rsidR="00B941DB" w:rsidRDefault="00156D1E" w:rsidP="00B941DB">
      <w:pPr>
        <w:rPr>
          <w:rFonts w:ascii="Calibri" w:hAnsi="Calibri" w:cs="Calibri"/>
          <w:sz w:val="20"/>
        </w:rPr>
      </w:pPr>
      <w:r w:rsidRPr="005F7A84">
        <w:rPr>
          <w:rFonts w:ascii="Calibri" w:hAnsi="Calibri" w:cs="Calibri"/>
          <w:b/>
          <w:bCs/>
          <w:sz w:val="20"/>
        </w:rPr>
        <w:t xml:space="preserve">Zrychlení inflace v druhé polovině letošního roku bylo nad očekávání a vedlo k výrazným revizím </w:t>
      </w:r>
      <w:r w:rsidR="00BA49C9">
        <w:rPr>
          <w:rFonts w:ascii="Calibri" w:hAnsi="Calibri" w:cs="Calibri"/>
          <w:b/>
          <w:bCs/>
          <w:sz w:val="20"/>
        </w:rPr>
        <w:t xml:space="preserve">odhadů </w:t>
      </w:r>
      <w:r w:rsidRPr="005F7A84">
        <w:rPr>
          <w:rFonts w:ascii="Calibri" w:hAnsi="Calibri" w:cs="Calibri"/>
          <w:b/>
          <w:bCs/>
          <w:sz w:val="20"/>
        </w:rPr>
        <w:t>inflace v letošním i příštím roce</w:t>
      </w:r>
      <w:r>
        <w:rPr>
          <w:rFonts w:ascii="Calibri" w:hAnsi="Calibri" w:cs="Calibri"/>
          <w:sz w:val="20"/>
        </w:rPr>
        <w:t>. Zrychlení bude s</w:t>
      </w:r>
      <w:r w:rsidR="005F7A84">
        <w:rPr>
          <w:rFonts w:ascii="Calibri" w:hAnsi="Calibri" w:cs="Calibri"/>
          <w:sz w:val="20"/>
        </w:rPr>
        <w:t>p</w:t>
      </w:r>
      <w:r>
        <w:rPr>
          <w:rFonts w:ascii="Calibri" w:hAnsi="Calibri" w:cs="Calibri"/>
          <w:sz w:val="20"/>
        </w:rPr>
        <w:t xml:space="preserve">ojeno zejména s cenami bydlení, kdy </w:t>
      </w:r>
      <w:r w:rsidR="005F7A84">
        <w:rPr>
          <w:rFonts w:ascii="Calibri" w:hAnsi="Calibri" w:cs="Calibri"/>
          <w:sz w:val="20"/>
        </w:rPr>
        <w:t xml:space="preserve">se </w:t>
      </w:r>
      <w:r>
        <w:rPr>
          <w:rFonts w:ascii="Calibri" w:hAnsi="Calibri" w:cs="Calibri"/>
          <w:sz w:val="20"/>
        </w:rPr>
        <w:t>v závěru roku očekává citelnější zdražení cen energií, které doposud tuzemskou inflaci tolik neovlivňoval</w:t>
      </w:r>
      <w:r w:rsidR="005F7A84">
        <w:rPr>
          <w:rFonts w:ascii="Calibri" w:hAnsi="Calibri" w:cs="Calibri"/>
          <w:sz w:val="20"/>
        </w:rPr>
        <w:t>o</w:t>
      </w:r>
      <w:r>
        <w:rPr>
          <w:rFonts w:ascii="Calibri" w:hAnsi="Calibri" w:cs="Calibri"/>
          <w:sz w:val="20"/>
        </w:rPr>
        <w:t>. V závěru letošního roku se ta</w:t>
      </w:r>
      <w:r w:rsidR="005F7A84">
        <w:rPr>
          <w:rFonts w:ascii="Calibri" w:hAnsi="Calibri" w:cs="Calibri"/>
          <w:sz w:val="20"/>
        </w:rPr>
        <w:t>k</w:t>
      </w:r>
      <w:r>
        <w:rPr>
          <w:rFonts w:ascii="Calibri" w:hAnsi="Calibri" w:cs="Calibri"/>
          <w:sz w:val="20"/>
        </w:rPr>
        <w:t xml:space="preserve"> </w:t>
      </w:r>
      <w:r w:rsidR="005F7A84">
        <w:rPr>
          <w:rFonts w:ascii="Calibri" w:hAnsi="Calibri" w:cs="Calibri"/>
          <w:sz w:val="20"/>
        </w:rPr>
        <w:t>inflace</w:t>
      </w:r>
      <w:r>
        <w:rPr>
          <w:rFonts w:ascii="Calibri" w:hAnsi="Calibri" w:cs="Calibri"/>
          <w:sz w:val="20"/>
        </w:rPr>
        <w:t xml:space="preserve"> bude pohybovat kolem 6 %, její </w:t>
      </w:r>
      <w:r w:rsidR="005F7A84">
        <w:rPr>
          <w:rFonts w:ascii="Calibri" w:hAnsi="Calibri" w:cs="Calibri"/>
          <w:sz w:val="20"/>
        </w:rPr>
        <w:t xml:space="preserve">případné </w:t>
      </w:r>
      <w:r>
        <w:rPr>
          <w:rFonts w:ascii="Calibri" w:hAnsi="Calibri" w:cs="Calibri"/>
          <w:sz w:val="20"/>
        </w:rPr>
        <w:t xml:space="preserve">další zrychlení bude tlumit plánované snížení DPH </w:t>
      </w:r>
      <w:r w:rsidR="005F7A84">
        <w:rPr>
          <w:rFonts w:ascii="Calibri" w:hAnsi="Calibri" w:cs="Calibri"/>
          <w:sz w:val="20"/>
        </w:rPr>
        <w:t>u energií</w:t>
      </w:r>
      <w:r>
        <w:rPr>
          <w:rFonts w:ascii="Calibri" w:hAnsi="Calibri" w:cs="Calibri"/>
          <w:sz w:val="20"/>
        </w:rPr>
        <w:t>. Za celý letošní rok inflace dosáhne</w:t>
      </w:r>
      <w:r w:rsidR="00124A05">
        <w:rPr>
          <w:rFonts w:ascii="Calibri" w:hAnsi="Calibri" w:cs="Calibri"/>
          <w:sz w:val="20"/>
        </w:rPr>
        <w:t xml:space="preserve"> v průměru</w:t>
      </w:r>
      <w:r>
        <w:rPr>
          <w:rFonts w:ascii="Calibri" w:hAnsi="Calibri" w:cs="Calibri"/>
          <w:sz w:val="20"/>
        </w:rPr>
        <w:t xml:space="preserve"> 3,8 %. </w:t>
      </w:r>
      <w:r w:rsidR="005F7A84">
        <w:rPr>
          <w:rFonts w:ascii="Calibri" w:hAnsi="Calibri" w:cs="Calibri"/>
          <w:sz w:val="20"/>
        </w:rPr>
        <w:t xml:space="preserve"> </w:t>
      </w:r>
      <w:r w:rsidRPr="005F7A84">
        <w:rPr>
          <w:rFonts w:ascii="Calibri" w:hAnsi="Calibri" w:cs="Calibri"/>
          <w:b/>
          <w:bCs/>
          <w:sz w:val="20"/>
        </w:rPr>
        <w:t>Odhady infl</w:t>
      </w:r>
      <w:r w:rsidR="005F7A84" w:rsidRPr="005F7A84">
        <w:rPr>
          <w:rFonts w:ascii="Calibri" w:hAnsi="Calibri" w:cs="Calibri"/>
          <w:b/>
          <w:bCs/>
          <w:sz w:val="20"/>
        </w:rPr>
        <w:t>a</w:t>
      </w:r>
      <w:r w:rsidRPr="005F7A84">
        <w:rPr>
          <w:rFonts w:ascii="Calibri" w:hAnsi="Calibri" w:cs="Calibri"/>
          <w:b/>
          <w:bCs/>
          <w:sz w:val="20"/>
        </w:rPr>
        <w:t xml:space="preserve">ce na příští rok jsou zatíženy výraznou nejistotou, jelikož není patrné, zda přetrvá snížení DPH na energie, případně v jaké </w:t>
      </w:r>
      <w:r w:rsidR="005F7A84" w:rsidRPr="005F7A84">
        <w:rPr>
          <w:rFonts w:ascii="Calibri" w:hAnsi="Calibri" w:cs="Calibri"/>
          <w:b/>
          <w:bCs/>
          <w:sz w:val="20"/>
        </w:rPr>
        <w:t xml:space="preserve">snížené </w:t>
      </w:r>
      <w:r w:rsidRPr="005F7A84">
        <w:rPr>
          <w:rFonts w:ascii="Calibri" w:hAnsi="Calibri" w:cs="Calibri"/>
          <w:b/>
          <w:bCs/>
          <w:sz w:val="20"/>
        </w:rPr>
        <w:t>sazbě.</w:t>
      </w:r>
      <w:r>
        <w:rPr>
          <w:rFonts w:ascii="Calibri" w:hAnsi="Calibri" w:cs="Calibri"/>
          <w:sz w:val="20"/>
        </w:rPr>
        <w:t xml:space="preserve"> V tomto ohledu se předpoklady jednotli</w:t>
      </w:r>
      <w:r w:rsidR="005F7A84">
        <w:rPr>
          <w:rFonts w:ascii="Calibri" w:hAnsi="Calibri" w:cs="Calibri"/>
          <w:sz w:val="20"/>
        </w:rPr>
        <w:t>v</w:t>
      </w:r>
      <w:r>
        <w:rPr>
          <w:rFonts w:ascii="Calibri" w:hAnsi="Calibri" w:cs="Calibri"/>
          <w:sz w:val="20"/>
        </w:rPr>
        <w:t xml:space="preserve">ých prognóz v panelu liší. </w:t>
      </w:r>
      <w:r w:rsidR="005F7A84">
        <w:rPr>
          <w:rFonts w:ascii="Calibri" w:hAnsi="Calibri" w:cs="Calibri"/>
          <w:sz w:val="20"/>
        </w:rPr>
        <w:t xml:space="preserve">Ačkoli </w:t>
      </w:r>
      <w:r w:rsidR="005F7A84" w:rsidRPr="005F7A84">
        <w:rPr>
          <w:rFonts w:ascii="Calibri" w:hAnsi="Calibri" w:cs="Calibri"/>
          <w:b/>
          <w:bCs/>
          <w:sz w:val="20"/>
        </w:rPr>
        <w:t>mediánová infl</w:t>
      </w:r>
      <w:r w:rsidR="005F7A84">
        <w:rPr>
          <w:rFonts w:ascii="Calibri" w:hAnsi="Calibri" w:cs="Calibri"/>
          <w:b/>
          <w:bCs/>
          <w:sz w:val="20"/>
        </w:rPr>
        <w:t>a</w:t>
      </w:r>
      <w:r w:rsidR="005F7A84" w:rsidRPr="005F7A84">
        <w:rPr>
          <w:rFonts w:ascii="Calibri" w:hAnsi="Calibri" w:cs="Calibri"/>
          <w:b/>
          <w:bCs/>
          <w:sz w:val="20"/>
        </w:rPr>
        <w:t xml:space="preserve">ce na příští rok činí 5,1 %, některé odhady se blíží </w:t>
      </w:r>
      <w:r w:rsidR="00895ED5">
        <w:rPr>
          <w:rFonts w:ascii="Calibri" w:hAnsi="Calibri" w:cs="Calibri"/>
          <w:b/>
          <w:bCs/>
          <w:sz w:val="20"/>
        </w:rPr>
        <w:t xml:space="preserve">k </w:t>
      </w:r>
      <w:r w:rsidR="005F7A84" w:rsidRPr="005F7A84">
        <w:rPr>
          <w:rFonts w:ascii="Calibri" w:hAnsi="Calibri" w:cs="Calibri"/>
          <w:b/>
          <w:bCs/>
          <w:sz w:val="20"/>
        </w:rPr>
        <w:t xml:space="preserve">6 % a obecně převládal mezi </w:t>
      </w:r>
      <w:r w:rsidR="00FF5794">
        <w:rPr>
          <w:rFonts w:ascii="Calibri" w:hAnsi="Calibri" w:cs="Calibri"/>
          <w:b/>
          <w:bCs/>
          <w:sz w:val="20"/>
        </w:rPr>
        <w:t>experty prognostického panelu</w:t>
      </w:r>
      <w:r w:rsidR="005F7A84" w:rsidRPr="005F7A84">
        <w:rPr>
          <w:rFonts w:ascii="Calibri" w:hAnsi="Calibri" w:cs="Calibri"/>
          <w:b/>
          <w:bCs/>
          <w:sz w:val="20"/>
        </w:rPr>
        <w:t xml:space="preserve"> názor, že inflace má potenciál překvapit v první polovině roku vyššími hodnotami</w:t>
      </w:r>
      <w:r w:rsidR="005F7A84">
        <w:rPr>
          <w:rFonts w:ascii="Calibri" w:hAnsi="Calibri" w:cs="Calibri"/>
          <w:sz w:val="20"/>
        </w:rPr>
        <w:t>. Zdražení bude poměrně plošné následkem průsaku vysokých cen energií. Dle současných odhadů by měla inflace dosáhnout vrcholu v 1. čtvrtletí</w:t>
      </w:r>
      <w:r w:rsidR="007D1A1C">
        <w:rPr>
          <w:rFonts w:ascii="Calibri" w:hAnsi="Calibri" w:cs="Calibri"/>
          <w:sz w:val="20"/>
        </w:rPr>
        <w:t xml:space="preserve"> příštího roku</w:t>
      </w:r>
      <w:r w:rsidR="005F7A84">
        <w:rPr>
          <w:rFonts w:ascii="Calibri" w:hAnsi="Calibri" w:cs="Calibri"/>
          <w:sz w:val="20"/>
        </w:rPr>
        <w:t xml:space="preserve">. Většina </w:t>
      </w:r>
      <w:r w:rsidR="001362D6">
        <w:rPr>
          <w:rFonts w:ascii="Calibri" w:hAnsi="Calibri" w:cs="Calibri"/>
          <w:sz w:val="20"/>
        </w:rPr>
        <w:t>prognóz</w:t>
      </w:r>
      <w:r w:rsidR="005F7A84">
        <w:rPr>
          <w:rFonts w:ascii="Calibri" w:hAnsi="Calibri" w:cs="Calibri"/>
          <w:sz w:val="20"/>
        </w:rPr>
        <w:t xml:space="preserve"> však nepředpokládá, že by s</w:t>
      </w:r>
      <w:r w:rsidR="00AA16B8">
        <w:rPr>
          <w:rFonts w:ascii="Calibri" w:hAnsi="Calibri" w:cs="Calibri"/>
          <w:sz w:val="20"/>
        </w:rPr>
        <w:t>e</w:t>
      </w:r>
      <w:r w:rsidR="005F7A84">
        <w:rPr>
          <w:rFonts w:ascii="Calibri" w:hAnsi="Calibri" w:cs="Calibri"/>
          <w:sz w:val="20"/>
        </w:rPr>
        <w:t xml:space="preserve"> do konce příštího roku vrátila</w:t>
      </w:r>
      <w:r w:rsidR="007D1A1C">
        <w:rPr>
          <w:rFonts w:ascii="Calibri" w:hAnsi="Calibri" w:cs="Calibri"/>
          <w:sz w:val="20"/>
        </w:rPr>
        <w:t xml:space="preserve"> </w:t>
      </w:r>
      <w:r w:rsidR="005F7A84">
        <w:rPr>
          <w:rFonts w:ascii="Calibri" w:hAnsi="Calibri" w:cs="Calibri"/>
          <w:sz w:val="20"/>
        </w:rPr>
        <w:t>pod 3% hranici horního tolerančního pásma ČNB.</w:t>
      </w:r>
    </w:p>
    <w:p w14:paraId="1E60B73D" w14:textId="7F62522F" w:rsidR="00B941DB" w:rsidRDefault="00B941DB" w:rsidP="00B941DB">
      <w:pPr>
        <w:rPr>
          <w:rFonts w:ascii="Calibri" w:hAnsi="Calibri" w:cs="Calibri"/>
          <w:sz w:val="20"/>
        </w:rPr>
      </w:pPr>
    </w:p>
    <w:p w14:paraId="79F7C9A9" w14:textId="208EFF17" w:rsidR="00B941DB" w:rsidRDefault="00146F24" w:rsidP="00E708D5">
      <w:pPr>
        <w:spacing w:before="120" w:after="120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color w:val="13576B"/>
          <w:sz w:val="22"/>
          <w:szCs w:val="22"/>
        </w:rPr>
        <w:t>Sazby ČNB se ještě zvýší, navzdory tomu se nepřepokládá citelné posílení koruny v příštím roce</w:t>
      </w:r>
    </w:p>
    <w:p w14:paraId="1F212B88" w14:textId="3A595622" w:rsidR="007B17AD" w:rsidRDefault="007B17AD" w:rsidP="00B941DB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bCs/>
          <w:sz w:val="20"/>
        </w:rPr>
        <w:t>Nad očekávání</w:t>
      </w:r>
      <w:r w:rsidR="0074441D">
        <w:rPr>
          <w:rFonts w:ascii="Calibri" w:hAnsi="Calibri" w:cs="Calibri"/>
          <w:b/>
          <w:bCs/>
          <w:sz w:val="20"/>
        </w:rPr>
        <w:t xml:space="preserve"> rychlejší růst cen se promítl v podstatně rychlejším růstu </w:t>
      </w:r>
      <w:r>
        <w:rPr>
          <w:rFonts w:ascii="Calibri" w:hAnsi="Calibri" w:cs="Calibri"/>
          <w:b/>
          <w:bCs/>
          <w:sz w:val="20"/>
        </w:rPr>
        <w:t>úrokových</w:t>
      </w:r>
      <w:r w:rsidR="0074441D">
        <w:rPr>
          <w:rFonts w:ascii="Calibri" w:hAnsi="Calibri" w:cs="Calibri"/>
          <w:b/>
          <w:bCs/>
          <w:sz w:val="20"/>
        </w:rPr>
        <w:t xml:space="preserve"> sazeb ze strany České národní banky.</w:t>
      </w:r>
      <w:r w:rsidR="007B5D5A">
        <w:rPr>
          <w:rFonts w:ascii="Calibri" w:hAnsi="Calibri" w:cs="Calibri"/>
          <w:b/>
          <w:bCs/>
          <w:sz w:val="20"/>
        </w:rPr>
        <w:t xml:space="preserve"> Ta v letošním roce přistoupila k bezprecedentní rychlosti zvyšování sazeb a během několik měsíců zvýšila svou základní úrokovou sazbu z 0,25 % na 2,75 %</w:t>
      </w:r>
      <w:r w:rsidR="00FF5794">
        <w:rPr>
          <w:rFonts w:ascii="Calibri" w:hAnsi="Calibri" w:cs="Calibri"/>
          <w:b/>
          <w:bCs/>
          <w:sz w:val="20"/>
        </w:rPr>
        <w:t>.</w:t>
      </w:r>
      <w:r w:rsidR="00A071F3">
        <w:rPr>
          <w:rFonts w:ascii="Calibri" w:hAnsi="Calibri" w:cs="Calibri"/>
          <w:b/>
          <w:bCs/>
          <w:sz w:val="20"/>
        </w:rPr>
        <w:t xml:space="preserve"> </w:t>
      </w:r>
      <w:r w:rsidR="007B5D5A">
        <w:rPr>
          <w:rFonts w:ascii="Calibri" w:hAnsi="Calibri" w:cs="Calibri"/>
          <w:b/>
          <w:bCs/>
          <w:sz w:val="20"/>
        </w:rPr>
        <w:t xml:space="preserve"> </w:t>
      </w:r>
      <w:r w:rsidR="00A071F3">
        <w:rPr>
          <w:rFonts w:ascii="Calibri" w:hAnsi="Calibri" w:cs="Calibri"/>
          <w:b/>
          <w:bCs/>
          <w:sz w:val="20"/>
        </w:rPr>
        <w:t>P</w:t>
      </w:r>
      <w:r w:rsidR="007B5D5A">
        <w:rPr>
          <w:rFonts w:ascii="Calibri" w:hAnsi="Calibri" w:cs="Calibri"/>
          <w:b/>
          <w:bCs/>
          <w:sz w:val="20"/>
        </w:rPr>
        <w:t>odle</w:t>
      </w:r>
      <w:r w:rsidR="00A071F3">
        <w:rPr>
          <w:rFonts w:ascii="Calibri" w:hAnsi="Calibri" w:cs="Calibri"/>
          <w:b/>
          <w:bCs/>
          <w:sz w:val="20"/>
        </w:rPr>
        <w:t xml:space="preserve"> prognózy ČBA však ještě </w:t>
      </w:r>
      <w:r w:rsidR="007B5D5A">
        <w:rPr>
          <w:rFonts w:ascii="Calibri" w:hAnsi="Calibri" w:cs="Calibri"/>
          <w:b/>
          <w:bCs/>
          <w:sz w:val="20"/>
        </w:rPr>
        <w:t>neřekla letos poslední slov</w:t>
      </w:r>
      <w:r w:rsidR="00FF5794">
        <w:rPr>
          <w:rFonts w:ascii="Calibri" w:hAnsi="Calibri" w:cs="Calibri"/>
          <w:b/>
          <w:bCs/>
          <w:sz w:val="20"/>
        </w:rPr>
        <w:t>o</w:t>
      </w:r>
      <w:r w:rsidR="007B5D5A">
        <w:rPr>
          <w:rFonts w:ascii="Calibri" w:hAnsi="Calibri" w:cs="Calibri"/>
          <w:b/>
          <w:bCs/>
          <w:sz w:val="20"/>
        </w:rPr>
        <w:t>.</w:t>
      </w:r>
      <w:r w:rsidR="0074441D">
        <w:rPr>
          <w:rFonts w:ascii="Calibri" w:hAnsi="Calibri" w:cs="Calibri"/>
          <w:b/>
          <w:bCs/>
          <w:sz w:val="20"/>
        </w:rPr>
        <w:t xml:space="preserve"> </w:t>
      </w:r>
      <w:r w:rsidR="007D1A1C">
        <w:rPr>
          <w:rFonts w:ascii="Calibri" w:hAnsi="Calibri" w:cs="Calibri"/>
          <w:b/>
          <w:bCs/>
          <w:sz w:val="20"/>
        </w:rPr>
        <w:t>Základní úroková sazb</w:t>
      </w:r>
      <w:r w:rsidR="00124A05">
        <w:rPr>
          <w:rFonts w:ascii="Calibri" w:hAnsi="Calibri" w:cs="Calibri"/>
          <w:b/>
          <w:bCs/>
          <w:sz w:val="20"/>
        </w:rPr>
        <w:t>a</w:t>
      </w:r>
      <w:r w:rsidR="0074441D">
        <w:rPr>
          <w:rFonts w:ascii="Calibri" w:hAnsi="Calibri" w:cs="Calibri"/>
          <w:b/>
          <w:bCs/>
          <w:sz w:val="20"/>
        </w:rPr>
        <w:t xml:space="preserve"> by se koncem letošního roku měla pohybovat na úrovni 3,25 %. </w:t>
      </w:r>
      <w:r w:rsidR="0074441D">
        <w:rPr>
          <w:rFonts w:ascii="Calibri" w:hAnsi="Calibri" w:cs="Calibri"/>
          <w:sz w:val="20"/>
        </w:rPr>
        <w:t xml:space="preserve">Dle </w:t>
      </w:r>
      <w:r>
        <w:rPr>
          <w:rFonts w:ascii="Calibri" w:hAnsi="Calibri" w:cs="Calibri"/>
          <w:sz w:val="20"/>
        </w:rPr>
        <w:t>p</w:t>
      </w:r>
      <w:r w:rsidR="0074441D">
        <w:rPr>
          <w:rFonts w:ascii="Calibri" w:hAnsi="Calibri" w:cs="Calibri"/>
          <w:sz w:val="20"/>
        </w:rPr>
        <w:t>anelu ČBA však v příštím roce již</w:t>
      </w:r>
      <w:r>
        <w:rPr>
          <w:rFonts w:ascii="Calibri" w:hAnsi="Calibri" w:cs="Calibri"/>
          <w:sz w:val="20"/>
        </w:rPr>
        <w:t xml:space="preserve"> zvyšování sazeb bude </w:t>
      </w:r>
      <w:r w:rsidR="007D1A1C">
        <w:rPr>
          <w:rFonts w:ascii="Calibri" w:hAnsi="Calibri" w:cs="Calibri"/>
          <w:sz w:val="20"/>
        </w:rPr>
        <w:t>podstatně mírnější</w:t>
      </w:r>
      <w:r>
        <w:rPr>
          <w:rFonts w:ascii="Calibri" w:hAnsi="Calibri" w:cs="Calibri"/>
          <w:sz w:val="20"/>
        </w:rPr>
        <w:t xml:space="preserve"> a me</w:t>
      </w:r>
      <w:r w:rsidR="0074441D">
        <w:rPr>
          <w:rFonts w:ascii="Calibri" w:hAnsi="Calibri" w:cs="Calibri"/>
          <w:sz w:val="20"/>
        </w:rPr>
        <w:t xml:space="preserve">diánový odhad </w:t>
      </w:r>
      <w:r w:rsidR="007D1A1C">
        <w:rPr>
          <w:rFonts w:ascii="Calibri" w:hAnsi="Calibri" w:cs="Calibri"/>
          <w:sz w:val="20"/>
        </w:rPr>
        <w:t xml:space="preserve">předpokládá koncem roku sazby v rozmezí </w:t>
      </w:r>
      <w:r>
        <w:rPr>
          <w:rFonts w:ascii="Calibri" w:hAnsi="Calibri" w:cs="Calibri"/>
          <w:sz w:val="20"/>
        </w:rPr>
        <w:t>3,25 a 3,5 %</w:t>
      </w:r>
      <w:r w:rsidR="00124A05">
        <w:rPr>
          <w:rFonts w:ascii="Calibri" w:hAnsi="Calibri" w:cs="Calibri"/>
          <w:sz w:val="20"/>
        </w:rPr>
        <w:t>.</w:t>
      </w:r>
      <w:r>
        <w:rPr>
          <w:rFonts w:ascii="Calibri" w:hAnsi="Calibri" w:cs="Calibri"/>
          <w:sz w:val="20"/>
        </w:rPr>
        <w:t xml:space="preserve"> </w:t>
      </w:r>
      <w:r w:rsidR="00124A05">
        <w:rPr>
          <w:rFonts w:ascii="Calibri" w:hAnsi="Calibri" w:cs="Calibri"/>
          <w:sz w:val="20"/>
        </w:rPr>
        <w:t>N</w:t>
      </w:r>
      <w:r>
        <w:rPr>
          <w:rFonts w:ascii="Calibri" w:hAnsi="Calibri" w:cs="Calibri"/>
          <w:sz w:val="20"/>
        </w:rPr>
        <w:t xml:space="preserve">ěkteří </w:t>
      </w:r>
      <w:r w:rsidR="007D1A1C">
        <w:rPr>
          <w:rFonts w:ascii="Calibri" w:hAnsi="Calibri" w:cs="Calibri"/>
          <w:sz w:val="20"/>
        </w:rPr>
        <w:t xml:space="preserve">členové panelu </w:t>
      </w:r>
      <w:r w:rsidR="00124A05">
        <w:rPr>
          <w:rFonts w:ascii="Calibri" w:hAnsi="Calibri" w:cs="Calibri"/>
          <w:sz w:val="20"/>
        </w:rPr>
        <w:t>navíc očekávají</w:t>
      </w:r>
      <w:r>
        <w:rPr>
          <w:rFonts w:ascii="Calibri" w:hAnsi="Calibri" w:cs="Calibri"/>
          <w:sz w:val="20"/>
        </w:rPr>
        <w:t>, že ČNB začne v druhé polovině příštího roku již sazby opět snižovat s vidinou zpomalující inflace za horizontem roku 2022.</w:t>
      </w:r>
    </w:p>
    <w:p w14:paraId="64FCD3DA" w14:textId="77777777" w:rsidR="007B17AD" w:rsidRDefault="007B17AD" w:rsidP="00B941DB">
      <w:pPr>
        <w:rPr>
          <w:rFonts w:ascii="Calibri" w:hAnsi="Calibri" w:cs="Calibri"/>
          <w:sz w:val="20"/>
        </w:rPr>
      </w:pPr>
    </w:p>
    <w:p w14:paraId="7983F7BA" w14:textId="02832932" w:rsidR="0074441D" w:rsidRDefault="007B17AD" w:rsidP="00B941DB">
      <w:pPr>
        <w:rPr>
          <w:rFonts w:ascii="Calibri" w:hAnsi="Calibri" w:cs="Calibri"/>
          <w:sz w:val="20"/>
        </w:rPr>
      </w:pPr>
      <w:r w:rsidRPr="007D1A1C">
        <w:rPr>
          <w:rFonts w:ascii="Calibri" w:hAnsi="Calibri" w:cs="Calibri"/>
          <w:b/>
          <w:bCs/>
          <w:sz w:val="20"/>
        </w:rPr>
        <w:t>Navzdory růstu úrokových sazeb</w:t>
      </w:r>
      <w:r w:rsidR="00FF5794">
        <w:rPr>
          <w:rFonts w:ascii="Calibri" w:hAnsi="Calibri" w:cs="Calibri"/>
          <w:b/>
          <w:bCs/>
          <w:sz w:val="20"/>
        </w:rPr>
        <w:t xml:space="preserve"> prognostický</w:t>
      </w:r>
      <w:r w:rsidRPr="007D1A1C">
        <w:rPr>
          <w:rFonts w:ascii="Calibri" w:hAnsi="Calibri" w:cs="Calibri"/>
          <w:b/>
          <w:bCs/>
          <w:sz w:val="20"/>
        </w:rPr>
        <w:t xml:space="preserve"> panel ČBA nepředpokládá výraznější posílení koruny. </w:t>
      </w:r>
      <w:r>
        <w:rPr>
          <w:rFonts w:ascii="Calibri" w:hAnsi="Calibri" w:cs="Calibri"/>
          <w:sz w:val="20"/>
        </w:rPr>
        <w:t xml:space="preserve">Průměrná hodnota v příštím roce dosahuje 24,9 Kč za euro, ale ani závěrem roku </w:t>
      </w:r>
      <w:r w:rsidR="00B34EF4">
        <w:rPr>
          <w:rFonts w:ascii="Calibri" w:hAnsi="Calibri" w:cs="Calibri"/>
          <w:sz w:val="20"/>
        </w:rPr>
        <w:t>se nedostává výrazněji pod hranici 25 Kč za euro. V tomto ohled</w:t>
      </w:r>
      <w:r w:rsidR="00FF5794">
        <w:rPr>
          <w:rFonts w:ascii="Calibri" w:hAnsi="Calibri" w:cs="Calibri"/>
          <w:sz w:val="20"/>
        </w:rPr>
        <w:t>u</w:t>
      </w:r>
      <w:r w:rsidR="00B34EF4">
        <w:rPr>
          <w:rFonts w:ascii="Calibri" w:hAnsi="Calibri" w:cs="Calibri"/>
          <w:sz w:val="20"/>
        </w:rPr>
        <w:t xml:space="preserve"> se tak odhady panelu ČBA liší výrazněji od poslední prognózy ČNB, kter</w:t>
      </w:r>
      <w:r w:rsidR="00124A05">
        <w:rPr>
          <w:rFonts w:ascii="Calibri" w:hAnsi="Calibri" w:cs="Calibri"/>
          <w:sz w:val="20"/>
        </w:rPr>
        <w:t xml:space="preserve">ý naznačuje </w:t>
      </w:r>
      <w:r w:rsidR="00B34EF4">
        <w:rPr>
          <w:rFonts w:ascii="Calibri" w:hAnsi="Calibri" w:cs="Calibri"/>
          <w:sz w:val="20"/>
        </w:rPr>
        <w:t>do konce příštího roku posílení koruny k hranici 24 Kč za euro.</w:t>
      </w:r>
      <w:r>
        <w:rPr>
          <w:rFonts w:ascii="Calibri" w:hAnsi="Calibri" w:cs="Calibri"/>
          <w:sz w:val="20"/>
        </w:rPr>
        <w:t xml:space="preserve"> </w:t>
      </w:r>
    </w:p>
    <w:p w14:paraId="17B9ABDD" w14:textId="397B6426" w:rsidR="006C6CFF" w:rsidRPr="00DD4A8E" w:rsidRDefault="00146F24" w:rsidP="00AD0B10">
      <w:pPr>
        <w:spacing w:after="1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color w:val="13576B"/>
          <w:sz w:val="22"/>
          <w:szCs w:val="22"/>
        </w:rPr>
        <w:lastRenderedPageBreak/>
        <w:t>V</w:t>
      </w:r>
      <w:r w:rsidR="00FB5BF0">
        <w:rPr>
          <w:rFonts w:ascii="Calibri" w:hAnsi="Calibri" w:cs="Calibri"/>
          <w:b/>
          <w:color w:val="13576B"/>
          <w:sz w:val="22"/>
          <w:szCs w:val="22"/>
        </w:rPr>
        <w:t>yšší inflace sníží ukazatel dluhu vůči HDP</w:t>
      </w:r>
    </w:p>
    <w:p w14:paraId="3701BD55" w14:textId="38D7C88D" w:rsidR="00DB46CC" w:rsidRPr="00DD4A8E" w:rsidRDefault="00FB5BF0" w:rsidP="00247943">
      <w:pPr>
        <w:rPr>
          <w:rFonts w:ascii="Calibri" w:hAnsi="Calibri" w:cs="Calibri"/>
          <w:sz w:val="20"/>
        </w:rPr>
      </w:pPr>
      <w:r w:rsidRPr="00C15C17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D2C25A2" wp14:editId="4BE30C7E">
                <wp:simplePos x="0" y="0"/>
                <wp:positionH relativeFrom="margin">
                  <wp:posOffset>2540</wp:posOffset>
                </wp:positionH>
                <wp:positionV relativeFrom="paragraph">
                  <wp:posOffset>1122045</wp:posOffset>
                </wp:positionV>
                <wp:extent cx="6461760" cy="577850"/>
                <wp:effectExtent l="0" t="0" r="15240" b="12700"/>
                <wp:wrapSquare wrapText="bothSides"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2BB6C" w14:textId="62588B89" w:rsidR="001802DE" w:rsidRPr="00F37DC9" w:rsidRDefault="00675EBD" w:rsidP="001802DE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</w:rPr>
                              <w:t>Petr Gapko</w:t>
                            </w:r>
                            <w:r w:rsidR="001802DE" w:rsidRPr="00DA61AD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</w:rPr>
                              <w:t>,</w:t>
                            </w:r>
                            <w:r w:rsidR="00B34EF4" w:rsidRPr="00DA61AD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</w:rPr>
                              <w:t xml:space="preserve"> hlavní ekonom M</w:t>
                            </w:r>
                            <w:r w:rsidR="00082CD7" w:rsidRPr="00DA61AD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</w:rPr>
                              <w:t>ONETA</w:t>
                            </w:r>
                            <w:r w:rsidR="00B34EF4" w:rsidRPr="00DA61AD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</w:rPr>
                              <w:t xml:space="preserve"> Money Bank</w:t>
                            </w:r>
                            <w:r w:rsidR="001802DE" w:rsidRPr="00DA61AD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</w:rPr>
                              <w:t>:</w:t>
                            </w:r>
                          </w:p>
                          <w:p w14:paraId="32CCDFE0" w14:textId="22D0C433" w:rsidR="001802DE" w:rsidRPr="00F37DC9" w:rsidRDefault="002C063C" w:rsidP="002C063C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</w:pPr>
                            <w:r w:rsidRPr="002C063C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</w:rPr>
                              <w:t>„Zadlužování státu je aktuálně jedním z nejpalčivějších ekonomických problémů. V příštím roce pravděpodobně částečně pomůže mírnit dluhy inflace, ale v letech následujících musí znatelně zabrat vláda.“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C25A2" id="Textové pole 3" o:spid="_x0000_s1028" type="#_x0000_t202" style="position:absolute;left:0;text-align:left;margin-left:.2pt;margin-top:88.35pt;width:508.8pt;height:45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">
                <v:textbox>
                  <w:txbxContent>
                    <w:p w14:paraId="1BB2BB6C" w14:textId="62588B89" w:rsidR="001802DE" w:rsidRPr="00F37DC9" w:rsidRDefault="00675EBD" w:rsidP="001802DE">
                      <w:pPr>
                        <w:rPr>
                          <w:rFonts w:ascii="Calibri" w:hAnsi="Calibri" w:cs="Calibri"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0"/>
                        </w:rPr>
                        <w:t>Petr Gapko</w:t>
                      </w:r>
                      <w:r w:rsidR="001802DE" w:rsidRPr="00DA61AD">
                        <w:rPr>
                          <w:rFonts w:ascii="Calibri" w:hAnsi="Calibri" w:cs="Calibri"/>
                          <w:b/>
                          <w:bCs/>
                          <w:sz w:val="20"/>
                        </w:rPr>
                        <w:t>,</w:t>
                      </w:r>
                      <w:r w:rsidR="00B34EF4" w:rsidRPr="00DA61AD">
                        <w:rPr>
                          <w:rFonts w:ascii="Calibri" w:hAnsi="Calibri" w:cs="Calibri"/>
                          <w:b/>
                          <w:bCs/>
                          <w:sz w:val="20"/>
                        </w:rPr>
                        <w:t xml:space="preserve"> hlavní ekonom M</w:t>
                      </w:r>
                      <w:r w:rsidR="00082CD7" w:rsidRPr="00DA61AD">
                        <w:rPr>
                          <w:rFonts w:ascii="Calibri" w:hAnsi="Calibri" w:cs="Calibri"/>
                          <w:b/>
                          <w:bCs/>
                          <w:sz w:val="20"/>
                        </w:rPr>
                        <w:t>ONETA</w:t>
                      </w:r>
                      <w:r w:rsidR="00B34EF4" w:rsidRPr="00DA61AD">
                        <w:rPr>
                          <w:rFonts w:ascii="Calibri" w:hAnsi="Calibri" w:cs="Calibri"/>
                          <w:b/>
                          <w:bCs/>
                          <w:sz w:val="20"/>
                        </w:rPr>
                        <w:t xml:space="preserve"> Money Bank</w:t>
                      </w:r>
                      <w:r w:rsidR="001802DE" w:rsidRPr="00DA61AD">
                        <w:rPr>
                          <w:rFonts w:ascii="Calibri" w:hAnsi="Calibri" w:cs="Calibri"/>
                          <w:b/>
                          <w:bCs/>
                          <w:sz w:val="20"/>
                        </w:rPr>
                        <w:t>:</w:t>
                      </w:r>
                    </w:p>
                    <w:p w14:paraId="32CCDFE0" w14:textId="22D0C433" w:rsidR="001802DE" w:rsidRPr="00F37DC9" w:rsidRDefault="002C063C" w:rsidP="002C063C">
                      <w:pPr>
                        <w:rPr>
                          <w:rFonts w:ascii="Calibri" w:hAnsi="Calibri" w:cs="Calibri"/>
                          <w:i/>
                          <w:iCs/>
                        </w:rPr>
                      </w:pPr>
                      <w:r w:rsidRPr="002C063C">
                        <w:rPr>
                          <w:rFonts w:ascii="Calibri" w:hAnsi="Calibri" w:cs="Calibri"/>
                          <w:i/>
                          <w:iCs/>
                          <w:sz w:val="20"/>
                        </w:rPr>
                        <w:t>„Zadlužování státu je aktuálně jedním z nejpalčivějších ekonomických problémů. V příštím roce pravděpodobně částečně pomůže mírnit dluhy inflace, ale v letech následujících musí znatelně zabrat vláda.“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C4379">
        <w:rPr>
          <w:rFonts w:ascii="Calibri" w:hAnsi="Calibri" w:cs="Calibri"/>
          <w:sz w:val="20"/>
        </w:rPr>
        <w:t>Deficit hospodaření</w:t>
      </w:r>
      <w:r w:rsidR="00124A05">
        <w:rPr>
          <w:rFonts w:ascii="Calibri" w:hAnsi="Calibri" w:cs="Calibri"/>
          <w:sz w:val="20"/>
        </w:rPr>
        <w:t xml:space="preserve"> státu</w:t>
      </w:r>
      <w:r w:rsidR="008C4379">
        <w:rPr>
          <w:rFonts w:ascii="Calibri" w:hAnsi="Calibri" w:cs="Calibri"/>
          <w:sz w:val="20"/>
        </w:rPr>
        <w:t xml:space="preserve"> pro letošní rok odhaduje prognóza ČBA na 7 % HDP oproti 7,3 %</w:t>
      </w:r>
      <w:r w:rsidR="00FF5794">
        <w:rPr>
          <w:rFonts w:ascii="Calibri" w:hAnsi="Calibri" w:cs="Calibri"/>
          <w:sz w:val="20"/>
        </w:rPr>
        <w:t>, které očekávala v srpnu.</w:t>
      </w:r>
      <w:r w:rsidR="008C4379">
        <w:rPr>
          <w:rFonts w:ascii="Calibri" w:hAnsi="Calibri" w:cs="Calibri"/>
          <w:sz w:val="20"/>
        </w:rPr>
        <w:t xml:space="preserve"> V příštím roce by pak měl deficit poklesnout na 4,7 %</w:t>
      </w:r>
      <w:r w:rsidR="006F0FDF">
        <w:rPr>
          <w:rFonts w:ascii="Calibri" w:hAnsi="Calibri" w:cs="Calibri"/>
          <w:sz w:val="20"/>
        </w:rPr>
        <w:t>, výhled na rok 2022</w:t>
      </w:r>
      <w:r w:rsidR="00FF5794">
        <w:rPr>
          <w:rFonts w:ascii="Calibri" w:hAnsi="Calibri" w:cs="Calibri"/>
          <w:sz w:val="20"/>
        </w:rPr>
        <w:t xml:space="preserve"> se tak oproti srpnové prognóze</w:t>
      </w:r>
      <w:r w:rsidR="006F0FDF">
        <w:rPr>
          <w:rFonts w:ascii="Calibri" w:hAnsi="Calibri" w:cs="Calibri"/>
          <w:sz w:val="20"/>
        </w:rPr>
        <w:t xml:space="preserve"> příliš nezměnil.</w:t>
      </w:r>
      <w:r w:rsidR="008C4379">
        <w:rPr>
          <w:rFonts w:ascii="Calibri" w:hAnsi="Calibri" w:cs="Calibri"/>
          <w:sz w:val="20"/>
        </w:rPr>
        <w:t xml:space="preserve"> Obecně ekonomové panelu</w:t>
      </w:r>
      <w:r w:rsidR="00DA61AD">
        <w:rPr>
          <w:rFonts w:ascii="Calibri" w:hAnsi="Calibri" w:cs="Calibri"/>
          <w:sz w:val="20"/>
        </w:rPr>
        <w:t xml:space="preserve"> ČBA</w:t>
      </w:r>
      <w:r w:rsidR="008C4379">
        <w:rPr>
          <w:rFonts w:ascii="Calibri" w:hAnsi="Calibri" w:cs="Calibri"/>
          <w:sz w:val="20"/>
        </w:rPr>
        <w:t xml:space="preserve"> předpokládali určitou vyšší míru konsolidace</w:t>
      </w:r>
      <w:r w:rsidR="006B68CC">
        <w:rPr>
          <w:rFonts w:ascii="Calibri" w:hAnsi="Calibri" w:cs="Calibri"/>
          <w:sz w:val="20"/>
        </w:rPr>
        <w:t>,</w:t>
      </w:r>
      <w:r w:rsidR="008C4379">
        <w:rPr>
          <w:rFonts w:ascii="Calibri" w:hAnsi="Calibri" w:cs="Calibri"/>
          <w:sz w:val="20"/>
        </w:rPr>
        <w:t xml:space="preserve"> než naznačovala předvolební rétorika pro jakoukoli vládu, která by vznikla z letošních parlamentních voleb do poslanecké sněmovny. </w:t>
      </w:r>
      <w:r w:rsidR="006F0FDF">
        <w:rPr>
          <w:rFonts w:ascii="Calibri" w:hAnsi="Calibri" w:cs="Calibri"/>
          <w:sz w:val="20"/>
        </w:rPr>
        <w:t>Vyšší růst inflace</w:t>
      </w:r>
      <w:r w:rsidR="001362D6">
        <w:rPr>
          <w:rFonts w:ascii="Calibri" w:hAnsi="Calibri" w:cs="Calibri"/>
          <w:sz w:val="20"/>
        </w:rPr>
        <w:t>,</w:t>
      </w:r>
      <w:r w:rsidR="006F0FDF">
        <w:rPr>
          <w:rFonts w:ascii="Calibri" w:hAnsi="Calibri" w:cs="Calibri"/>
          <w:sz w:val="20"/>
        </w:rPr>
        <w:t xml:space="preserve"> a tudíž i nominálního HDP</w:t>
      </w:r>
      <w:r w:rsidR="001362D6">
        <w:rPr>
          <w:rFonts w:ascii="Calibri" w:hAnsi="Calibri" w:cs="Calibri"/>
          <w:sz w:val="20"/>
        </w:rPr>
        <w:t>,</w:t>
      </w:r>
      <w:r w:rsidR="006F0FDF">
        <w:rPr>
          <w:rFonts w:ascii="Calibri" w:hAnsi="Calibri" w:cs="Calibri"/>
          <w:sz w:val="20"/>
        </w:rPr>
        <w:t xml:space="preserve"> je</w:t>
      </w:r>
      <w:r w:rsidR="007D1A1C">
        <w:rPr>
          <w:rFonts w:ascii="Calibri" w:hAnsi="Calibri" w:cs="Calibri"/>
          <w:sz w:val="20"/>
        </w:rPr>
        <w:t xml:space="preserve"> však</w:t>
      </w:r>
      <w:r w:rsidR="006F0FDF">
        <w:rPr>
          <w:rFonts w:ascii="Calibri" w:hAnsi="Calibri" w:cs="Calibri"/>
          <w:sz w:val="20"/>
        </w:rPr>
        <w:t xml:space="preserve"> patrný v revizi celkového za</w:t>
      </w:r>
      <w:r w:rsidR="00082CD7">
        <w:rPr>
          <w:rFonts w:ascii="Calibri" w:hAnsi="Calibri" w:cs="Calibri"/>
          <w:sz w:val="20"/>
        </w:rPr>
        <w:t>d</w:t>
      </w:r>
      <w:r w:rsidR="006F0FDF">
        <w:rPr>
          <w:rFonts w:ascii="Calibri" w:hAnsi="Calibri" w:cs="Calibri"/>
          <w:sz w:val="20"/>
        </w:rPr>
        <w:t xml:space="preserve">lužení </w:t>
      </w:r>
      <w:r w:rsidR="007D1A1C">
        <w:rPr>
          <w:rFonts w:ascii="Calibri" w:hAnsi="Calibri" w:cs="Calibri"/>
          <w:sz w:val="20"/>
        </w:rPr>
        <w:t xml:space="preserve">státu </w:t>
      </w:r>
      <w:r w:rsidR="006F0FDF">
        <w:rPr>
          <w:rFonts w:ascii="Calibri" w:hAnsi="Calibri" w:cs="Calibri"/>
          <w:sz w:val="20"/>
        </w:rPr>
        <w:t>vůči</w:t>
      </w:r>
      <w:r w:rsidR="00082CD7">
        <w:rPr>
          <w:rFonts w:ascii="Calibri" w:hAnsi="Calibri" w:cs="Calibri"/>
          <w:sz w:val="20"/>
        </w:rPr>
        <w:t xml:space="preserve"> </w:t>
      </w:r>
      <w:r w:rsidR="006F0FDF">
        <w:rPr>
          <w:rFonts w:ascii="Calibri" w:hAnsi="Calibri" w:cs="Calibri"/>
          <w:sz w:val="20"/>
        </w:rPr>
        <w:t xml:space="preserve">HDP, které by mělo v příštím roce dosáhnout 43,6 %, zatímco srpnová prognóza i s vyšším růstem ekonomiky </w:t>
      </w:r>
      <w:r w:rsidR="006B68CC">
        <w:rPr>
          <w:rFonts w:ascii="Calibri" w:hAnsi="Calibri" w:cs="Calibri"/>
          <w:sz w:val="20"/>
        </w:rPr>
        <w:t>čekala</w:t>
      </w:r>
      <w:r w:rsidR="006F0FDF">
        <w:rPr>
          <w:rFonts w:ascii="Calibri" w:hAnsi="Calibri" w:cs="Calibri"/>
          <w:sz w:val="20"/>
        </w:rPr>
        <w:t xml:space="preserve"> zadlužení pře</w:t>
      </w:r>
      <w:r w:rsidR="006B68CC">
        <w:rPr>
          <w:rFonts w:ascii="Calibri" w:hAnsi="Calibri" w:cs="Calibri"/>
          <w:sz w:val="20"/>
        </w:rPr>
        <w:t>s</w:t>
      </w:r>
      <w:r w:rsidR="006F0FDF">
        <w:rPr>
          <w:rFonts w:ascii="Calibri" w:hAnsi="Calibri" w:cs="Calibri"/>
          <w:sz w:val="20"/>
        </w:rPr>
        <w:t xml:space="preserve"> 45 % HDP. </w:t>
      </w:r>
      <w:r w:rsidR="00C04531" w:rsidRPr="00DD4A8E">
        <w:rPr>
          <w:rFonts w:ascii="Calibri" w:hAnsi="Calibri" w:cs="Calibri"/>
          <w:sz w:val="20"/>
        </w:rPr>
        <w:t xml:space="preserve"> </w:t>
      </w:r>
    </w:p>
    <w:p w14:paraId="1844E173" w14:textId="77777777" w:rsidR="00AD0B10" w:rsidRDefault="00AD0B10" w:rsidP="00EB6C50">
      <w:pPr>
        <w:spacing w:after="120"/>
        <w:rPr>
          <w:rFonts w:ascii="Calibri" w:hAnsi="Calibri" w:cs="Calibri"/>
          <w:b/>
          <w:color w:val="13576B"/>
          <w:sz w:val="22"/>
          <w:szCs w:val="22"/>
        </w:rPr>
      </w:pPr>
    </w:p>
    <w:p w14:paraId="6A2F513C" w14:textId="67393220" w:rsidR="002D12BD" w:rsidRPr="00DD4A8E" w:rsidRDefault="00082CD7" w:rsidP="00EB6C50">
      <w:pPr>
        <w:spacing w:after="120"/>
        <w:rPr>
          <w:rFonts w:ascii="Calibri" w:hAnsi="Calibri" w:cs="Calibri"/>
          <w:b/>
          <w:color w:val="13576B"/>
          <w:sz w:val="22"/>
          <w:szCs w:val="22"/>
        </w:rPr>
      </w:pPr>
      <w:r>
        <w:rPr>
          <w:rFonts w:ascii="Calibri" w:hAnsi="Calibri" w:cs="Calibri"/>
          <w:b/>
          <w:color w:val="13576B"/>
          <w:sz w:val="22"/>
          <w:szCs w:val="22"/>
        </w:rPr>
        <w:t>Korporátní úvěry by měly příští rok zrychlit</w:t>
      </w:r>
    </w:p>
    <w:p w14:paraId="7E571DDB" w14:textId="5B2DDE08" w:rsidR="00F37DC9" w:rsidRPr="00DD4A8E" w:rsidRDefault="00587061" w:rsidP="00B4285D">
      <w:pPr>
        <w:rPr>
          <w:rFonts w:ascii="Calibri" w:hAnsi="Calibri" w:cs="Calibri"/>
          <w:szCs w:val="18"/>
        </w:rPr>
      </w:pPr>
      <w:r>
        <w:rPr>
          <w:rFonts w:ascii="Calibri" w:hAnsi="Calibri" w:cs="Calibri"/>
          <w:sz w:val="20"/>
        </w:rPr>
        <w:t>Dynamika růstu hypotečních úvěru v letošním roce je zcela nadstandardní</w:t>
      </w:r>
      <w:r w:rsidR="00564C9B">
        <w:rPr>
          <w:rFonts w:ascii="Calibri" w:hAnsi="Calibri" w:cs="Calibri"/>
          <w:sz w:val="20"/>
        </w:rPr>
        <w:t xml:space="preserve">, což se </w:t>
      </w:r>
      <w:r w:rsidR="006B68CC">
        <w:rPr>
          <w:rFonts w:ascii="Calibri" w:hAnsi="Calibri" w:cs="Calibri"/>
          <w:sz w:val="20"/>
        </w:rPr>
        <w:t xml:space="preserve">odráží </w:t>
      </w:r>
      <w:r w:rsidR="00564C9B">
        <w:rPr>
          <w:rFonts w:ascii="Calibri" w:hAnsi="Calibri" w:cs="Calibri"/>
          <w:sz w:val="20"/>
        </w:rPr>
        <w:t>v</w:t>
      </w:r>
      <w:r w:rsidR="001362D6">
        <w:rPr>
          <w:rFonts w:ascii="Calibri" w:hAnsi="Calibri" w:cs="Calibri"/>
          <w:sz w:val="20"/>
        </w:rPr>
        <w:t>e</w:t>
      </w:r>
      <w:r w:rsidR="00564C9B">
        <w:rPr>
          <w:rFonts w:ascii="Calibri" w:hAnsi="Calibri" w:cs="Calibri"/>
          <w:sz w:val="20"/>
        </w:rPr>
        <w:t> dvouciferném meziročním růstu objemu hypotečních úvěrů. V příštím roce však</w:t>
      </w:r>
      <w:r w:rsidR="00647974">
        <w:rPr>
          <w:rFonts w:ascii="Calibri" w:hAnsi="Calibri" w:cs="Calibri"/>
          <w:sz w:val="20"/>
        </w:rPr>
        <w:t xml:space="preserve"> prognostický</w:t>
      </w:r>
      <w:r w:rsidR="00564C9B">
        <w:rPr>
          <w:rFonts w:ascii="Calibri" w:hAnsi="Calibri" w:cs="Calibri"/>
          <w:sz w:val="20"/>
        </w:rPr>
        <w:t xml:space="preserve"> panel ČBA předpokládá, že dynamika růstu úvěru domácnostem zvolní a dosáhne v průměru 6 %. Naopak rychlejší úvěrový růst by měly zaznamenat v příštím roce korporátní úvěry, a to nejen z titulu </w:t>
      </w:r>
      <w:r w:rsidR="00FF3C7C">
        <w:rPr>
          <w:rFonts w:ascii="Calibri" w:hAnsi="Calibri" w:cs="Calibri"/>
          <w:sz w:val="20"/>
        </w:rPr>
        <w:t>obnovené</w:t>
      </w:r>
      <w:r w:rsidR="00564C9B">
        <w:rPr>
          <w:rFonts w:ascii="Calibri" w:hAnsi="Calibri" w:cs="Calibri"/>
          <w:sz w:val="20"/>
        </w:rPr>
        <w:t xml:space="preserve"> investiční aktivity, ale i potřeby provozního financování. Zatímco tak meziroční dynamika korporátních úvěrů </w:t>
      </w:r>
      <w:r w:rsidR="006B68CC">
        <w:rPr>
          <w:rFonts w:ascii="Calibri" w:hAnsi="Calibri" w:cs="Calibri"/>
          <w:sz w:val="20"/>
        </w:rPr>
        <w:t>letos</w:t>
      </w:r>
      <w:r w:rsidR="00564C9B">
        <w:rPr>
          <w:rFonts w:ascii="Calibri" w:hAnsi="Calibri" w:cs="Calibri"/>
          <w:sz w:val="20"/>
        </w:rPr>
        <w:t xml:space="preserve"> patrně mírně poklesne, </w:t>
      </w:r>
      <w:r w:rsidR="006B68CC">
        <w:rPr>
          <w:rFonts w:ascii="Calibri" w:hAnsi="Calibri" w:cs="Calibri"/>
          <w:sz w:val="20"/>
        </w:rPr>
        <w:t>napřesrok</w:t>
      </w:r>
      <w:r w:rsidR="00564C9B">
        <w:rPr>
          <w:rFonts w:ascii="Calibri" w:hAnsi="Calibri" w:cs="Calibri"/>
          <w:sz w:val="20"/>
        </w:rPr>
        <w:t xml:space="preserve"> by měla v průměru růst o 4 %. Oproti předešlé prognóze je očekávaná dynamika</w:t>
      </w:r>
      <w:r w:rsidR="006B3B72">
        <w:rPr>
          <w:rFonts w:ascii="Calibri" w:hAnsi="Calibri" w:cs="Calibri"/>
          <w:sz w:val="20"/>
        </w:rPr>
        <w:t xml:space="preserve"> slabší</w:t>
      </w:r>
      <w:r w:rsidR="00564C9B">
        <w:rPr>
          <w:rFonts w:ascii="Calibri" w:hAnsi="Calibri" w:cs="Calibri"/>
          <w:sz w:val="20"/>
        </w:rPr>
        <w:t xml:space="preserve">, což souvisí i s vyššími úrokovými sazbami, které budou poptávku po úvěrech tlumit. </w:t>
      </w:r>
    </w:p>
    <w:p w14:paraId="76A4FED4" w14:textId="734CDE40" w:rsidR="007D666C" w:rsidRPr="00DD4A8E" w:rsidRDefault="007D666C" w:rsidP="00635F63">
      <w:pPr>
        <w:rPr>
          <w:rFonts w:ascii="Calibri" w:hAnsi="Calibri" w:cs="Calibri"/>
          <w:b/>
          <w:color w:val="007E79"/>
          <w:sz w:val="20"/>
        </w:rPr>
      </w:pPr>
    </w:p>
    <w:p w14:paraId="0FC19613" w14:textId="60630BC6" w:rsidR="00C93158" w:rsidRPr="00AD0B10" w:rsidRDefault="00C93158" w:rsidP="00B4285D">
      <w:pPr>
        <w:rPr>
          <w:rFonts w:ascii="Calibri" w:hAnsi="Calibri" w:cs="Calibri"/>
          <w:b/>
          <w:color w:val="007E79"/>
          <w:sz w:val="22"/>
          <w:szCs w:val="22"/>
        </w:rPr>
      </w:pPr>
      <w:r w:rsidRPr="00AD0B10">
        <w:rPr>
          <w:rFonts w:ascii="Calibri" w:hAnsi="Calibri" w:cs="Calibri"/>
          <w:b/>
          <w:color w:val="13576B"/>
          <w:sz w:val="22"/>
          <w:szCs w:val="22"/>
        </w:rPr>
        <w:t>Makroekonomická prognóza ČBA v číslech</w:t>
      </w:r>
    </w:p>
    <w:p w14:paraId="10A71CAA" w14:textId="5C88FB90" w:rsidR="00C93158" w:rsidRPr="00F37DC9" w:rsidRDefault="00C93158" w:rsidP="00B4285D">
      <w:pPr>
        <w:rPr>
          <w:rFonts w:ascii="Calibri" w:hAnsi="Calibri" w:cs="Calibri"/>
          <w:sz w:val="20"/>
          <w:szCs w:val="18"/>
        </w:rPr>
      </w:pPr>
    </w:p>
    <w:tbl>
      <w:tblPr>
        <w:tblW w:w="1024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1694"/>
        <w:gridCol w:w="1843"/>
        <w:gridCol w:w="1607"/>
      </w:tblGrid>
      <w:tr w:rsidR="00156EF2" w:rsidRPr="00F37DC9" w14:paraId="4B1594D4" w14:textId="5AF73129" w:rsidTr="007B5D5A">
        <w:trPr>
          <w:trHeight w:val="90"/>
          <w:jc w:val="center"/>
        </w:trPr>
        <w:tc>
          <w:tcPr>
            <w:tcW w:w="51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3576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568ED" w14:textId="77777777" w:rsidR="00156EF2" w:rsidRPr="00F37DC9" w:rsidRDefault="00156EF2" w:rsidP="00B4285D">
            <w:pPr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Cs w:val="18"/>
              </w:rPr>
            </w:pPr>
            <w:r w:rsidRPr="00F37DC9">
              <w:rPr>
                <w:rFonts w:ascii="Calibri" w:hAnsi="Calibri" w:cs="Calibri"/>
                <w:b/>
                <w:bCs/>
                <w:color w:val="FFFFFF" w:themeColor="light1"/>
                <w:kern w:val="24"/>
                <w:szCs w:val="18"/>
              </w:rPr>
              <w:t>Ukazatel</w:t>
            </w:r>
          </w:p>
        </w:tc>
        <w:tc>
          <w:tcPr>
            <w:tcW w:w="169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3576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2BA5F" w14:textId="77777777" w:rsidR="00F37DC9" w:rsidRDefault="00156EF2" w:rsidP="00B4285D">
            <w:pPr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FFFFFF" w:themeColor="light1"/>
                <w:kern w:val="24"/>
                <w:szCs w:val="18"/>
              </w:rPr>
            </w:pPr>
            <w:r w:rsidRPr="00F37DC9">
              <w:rPr>
                <w:rFonts w:ascii="Calibri" w:hAnsi="Calibri" w:cs="Calibri"/>
                <w:b/>
                <w:bCs/>
                <w:color w:val="FFFFFF" w:themeColor="light1"/>
                <w:kern w:val="24"/>
                <w:szCs w:val="18"/>
              </w:rPr>
              <w:t>20</w:t>
            </w:r>
            <w:r w:rsidR="007204F9" w:rsidRPr="00F37DC9">
              <w:rPr>
                <w:rFonts w:ascii="Calibri" w:hAnsi="Calibri" w:cs="Calibri"/>
                <w:b/>
                <w:bCs/>
                <w:color w:val="FFFFFF" w:themeColor="light1"/>
                <w:kern w:val="24"/>
                <w:szCs w:val="18"/>
              </w:rPr>
              <w:t>20</w:t>
            </w:r>
            <w:r w:rsidRPr="00F37DC9">
              <w:rPr>
                <w:rFonts w:ascii="Calibri" w:hAnsi="Calibri" w:cs="Calibri"/>
                <w:b/>
                <w:bCs/>
                <w:color w:val="FFFFFF" w:themeColor="light1"/>
                <w:kern w:val="24"/>
                <w:szCs w:val="18"/>
              </w:rPr>
              <w:t xml:space="preserve"> </w:t>
            </w:r>
          </w:p>
          <w:p w14:paraId="28E7FCB5" w14:textId="7D0EA5FC" w:rsidR="00156EF2" w:rsidRPr="00F37DC9" w:rsidRDefault="00156EF2" w:rsidP="00B4285D">
            <w:pPr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Cs w:val="18"/>
              </w:rPr>
            </w:pPr>
            <w:r w:rsidRPr="00F37DC9">
              <w:rPr>
                <w:rFonts w:ascii="Calibri" w:hAnsi="Calibri" w:cs="Calibri"/>
                <w:b/>
                <w:bCs/>
                <w:color w:val="FFFFFF" w:themeColor="light1"/>
                <w:kern w:val="24"/>
                <w:szCs w:val="18"/>
              </w:rPr>
              <w:t>(</w:t>
            </w:r>
            <w:r w:rsidRPr="00DD4A8E">
              <w:rPr>
                <w:rFonts w:ascii="Calibri" w:hAnsi="Calibri" w:cs="Calibri"/>
                <w:b/>
                <w:bCs/>
                <w:color w:val="FFFFFF" w:themeColor="background1"/>
                <w:kern w:val="24"/>
                <w:szCs w:val="18"/>
              </w:rPr>
              <w:t>skutečnost</w:t>
            </w:r>
            <w:r w:rsidRPr="00F37DC9">
              <w:rPr>
                <w:rFonts w:ascii="Calibri" w:hAnsi="Calibri" w:cs="Calibri"/>
                <w:b/>
                <w:bCs/>
                <w:color w:val="FFFFFF" w:themeColor="light1"/>
                <w:kern w:val="24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3576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9A869" w14:textId="4593D707" w:rsidR="00B83E9D" w:rsidRPr="00F37DC9" w:rsidRDefault="00156EF2" w:rsidP="00B4285D">
            <w:pPr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FFFFFF" w:themeColor="light1"/>
                <w:kern w:val="24"/>
                <w:szCs w:val="18"/>
              </w:rPr>
            </w:pPr>
            <w:r w:rsidRPr="00F37DC9">
              <w:rPr>
                <w:rFonts w:ascii="Calibri" w:hAnsi="Calibri" w:cs="Calibri"/>
                <w:b/>
                <w:bCs/>
                <w:color w:val="FFFFFF" w:themeColor="light1"/>
                <w:kern w:val="24"/>
                <w:szCs w:val="18"/>
              </w:rPr>
              <w:t>202</w:t>
            </w:r>
            <w:r w:rsidR="007204F9" w:rsidRPr="00F37DC9">
              <w:rPr>
                <w:rFonts w:ascii="Calibri" w:hAnsi="Calibri" w:cs="Calibri"/>
                <w:b/>
                <w:bCs/>
                <w:color w:val="FFFFFF" w:themeColor="light1"/>
                <w:kern w:val="24"/>
                <w:szCs w:val="18"/>
              </w:rPr>
              <w:t>1</w:t>
            </w:r>
            <w:r w:rsidRPr="00F37DC9">
              <w:rPr>
                <w:rFonts w:ascii="Calibri" w:hAnsi="Calibri" w:cs="Calibri"/>
                <w:b/>
                <w:bCs/>
                <w:color w:val="FFFFFF" w:themeColor="light1"/>
                <w:kern w:val="24"/>
                <w:szCs w:val="18"/>
              </w:rPr>
              <w:t xml:space="preserve"> </w:t>
            </w:r>
          </w:p>
          <w:p w14:paraId="66D66CB7" w14:textId="2D8628D8" w:rsidR="00156EF2" w:rsidRPr="00F37DC9" w:rsidRDefault="00156EF2" w:rsidP="00B4285D">
            <w:pPr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Cs w:val="18"/>
              </w:rPr>
            </w:pPr>
            <w:r w:rsidRPr="00F37DC9">
              <w:rPr>
                <w:rFonts w:ascii="Calibri" w:hAnsi="Calibri" w:cs="Calibri"/>
                <w:b/>
                <w:bCs/>
                <w:color w:val="FFFFFF" w:themeColor="light1"/>
                <w:kern w:val="24"/>
                <w:szCs w:val="18"/>
              </w:rPr>
              <w:t>(prognóza)</w:t>
            </w:r>
          </w:p>
        </w:tc>
        <w:tc>
          <w:tcPr>
            <w:tcW w:w="16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3576B"/>
            <w:vAlign w:val="center"/>
          </w:tcPr>
          <w:p w14:paraId="38B58E05" w14:textId="674BBD8B" w:rsidR="00B83E9D" w:rsidRPr="00F37DC9" w:rsidRDefault="007204F9" w:rsidP="00B4285D">
            <w:pPr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FFFFFF" w:themeColor="light1"/>
                <w:kern w:val="24"/>
                <w:szCs w:val="18"/>
              </w:rPr>
            </w:pPr>
            <w:r w:rsidRPr="00F37DC9">
              <w:rPr>
                <w:rFonts w:ascii="Calibri" w:hAnsi="Calibri" w:cs="Calibri"/>
                <w:b/>
                <w:bCs/>
                <w:color w:val="FFFFFF" w:themeColor="light1"/>
                <w:kern w:val="24"/>
                <w:szCs w:val="18"/>
              </w:rPr>
              <w:t>2022</w:t>
            </w:r>
            <w:r w:rsidR="00156EF2" w:rsidRPr="00F37DC9">
              <w:rPr>
                <w:rFonts w:ascii="Calibri" w:hAnsi="Calibri" w:cs="Calibri"/>
                <w:b/>
                <w:bCs/>
                <w:color w:val="FFFFFF" w:themeColor="light1"/>
                <w:kern w:val="24"/>
                <w:szCs w:val="18"/>
              </w:rPr>
              <w:t xml:space="preserve"> </w:t>
            </w:r>
          </w:p>
          <w:p w14:paraId="5825E283" w14:textId="20C4CB3C" w:rsidR="00156EF2" w:rsidRPr="00F37DC9" w:rsidRDefault="00156EF2" w:rsidP="00B4285D">
            <w:pPr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FFFFFF" w:themeColor="light1"/>
                <w:kern w:val="24"/>
                <w:szCs w:val="18"/>
              </w:rPr>
            </w:pPr>
            <w:r w:rsidRPr="00F37DC9">
              <w:rPr>
                <w:rFonts w:ascii="Calibri" w:hAnsi="Calibri" w:cs="Calibri"/>
                <w:b/>
                <w:bCs/>
                <w:color w:val="FFFFFF" w:themeColor="light1"/>
                <w:kern w:val="24"/>
                <w:szCs w:val="18"/>
              </w:rPr>
              <w:t>(prognóza)</w:t>
            </w:r>
          </w:p>
        </w:tc>
      </w:tr>
      <w:tr w:rsidR="00647974" w:rsidRPr="00F37DC9" w14:paraId="6C6060CF" w14:textId="406F95A7" w:rsidTr="007B5D5A">
        <w:trPr>
          <w:trHeight w:val="89"/>
          <w:jc w:val="center"/>
        </w:trPr>
        <w:tc>
          <w:tcPr>
            <w:tcW w:w="51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3576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B5585" w14:textId="77777777" w:rsidR="00647974" w:rsidRPr="00F37DC9" w:rsidRDefault="00647974" w:rsidP="00647974">
            <w:pPr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Cs w:val="18"/>
              </w:rPr>
            </w:pPr>
            <w:r w:rsidRPr="00F37DC9">
              <w:rPr>
                <w:rFonts w:ascii="Calibri" w:hAnsi="Calibri" w:cs="Calibri"/>
                <w:b/>
                <w:bCs/>
                <w:color w:val="FFFFFF" w:themeColor="light1"/>
                <w:kern w:val="24"/>
                <w:szCs w:val="18"/>
              </w:rPr>
              <w:t>Růst reálného HDP (%)</w:t>
            </w:r>
          </w:p>
        </w:tc>
        <w:tc>
          <w:tcPr>
            <w:tcW w:w="169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2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A0394A" w14:textId="388AC166" w:rsidR="00647974" w:rsidRPr="00DD4A8E" w:rsidRDefault="00647974" w:rsidP="0064797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D6F10">
              <w:rPr>
                <w:rFonts w:ascii="Calibri" w:hAnsi="Calibri" w:cs="Calibri"/>
                <w:color w:val="1F497D"/>
                <w:sz w:val="20"/>
              </w:rPr>
              <w:t>-5</w:t>
            </w:r>
            <w:r>
              <w:rPr>
                <w:rFonts w:ascii="Calibri" w:hAnsi="Calibri" w:cs="Calibri"/>
                <w:color w:val="1F497D"/>
                <w:sz w:val="20"/>
              </w:rPr>
              <w:t>,</w:t>
            </w:r>
            <w:r w:rsidRPr="002D6F10">
              <w:rPr>
                <w:rFonts w:ascii="Calibri" w:hAnsi="Calibri" w:cs="Calibri"/>
                <w:color w:val="1F497D"/>
                <w:sz w:val="20"/>
              </w:rPr>
              <w:t>8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2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C27DCA" w14:textId="73D6DD66" w:rsidR="00647974" w:rsidRPr="00254030" w:rsidRDefault="00647974" w:rsidP="00647974">
            <w:pPr>
              <w:overflowPunct/>
              <w:autoSpaceDE/>
              <w:autoSpaceDN/>
              <w:adjustRightInd/>
              <w:jc w:val="center"/>
              <w:textAlignment w:val="bottom"/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</w:pPr>
            <w:r w:rsidRPr="002D6F10">
              <w:rPr>
                <w:rFonts w:ascii="Calibri" w:hAnsi="Calibri" w:cs="Calibri"/>
                <w:b/>
                <w:bCs/>
                <w:color w:val="FF0000"/>
                <w:sz w:val="20"/>
              </w:rPr>
              <w:t>2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</w:rPr>
              <w:t>,</w:t>
            </w:r>
            <w:r w:rsidRPr="002D6F10">
              <w:rPr>
                <w:rFonts w:ascii="Calibri" w:hAnsi="Calibri" w:cs="Calibri"/>
                <w:b/>
                <w:bCs/>
                <w:color w:val="FF0000"/>
                <w:sz w:val="20"/>
              </w:rPr>
              <w:t>6</w:t>
            </w:r>
          </w:p>
        </w:tc>
        <w:tc>
          <w:tcPr>
            <w:tcW w:w="16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2" w:color="auto" w:fill="auto"/>
            <w:vAlign w:val="center"/>
          </w:tcPr>
          <w:p w14:paraId="13CD0E3F" w14:textId="1C695E3F" w:rsidR="00647974" w:rsidRPr="00254030" w:rsidRDefault="00647974" w:rsidP="00647974">
            <w:pPr>
              <w:overflowPunct/>
              <w:autoSpaceDE/>
              <w:autoSpaceDN/>
              <w:adjustRightInd/>
              <w:jc w:val="center"/>
              <w:textAlignment w:val="bottom"/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</w:pPr>
            <w:r w:rsidRPr="002D6F10">
              <w:rPr>
                <w:rFonts w:ascii="Calibri" w:hAnsi="Calibri" w:cs="Calibri"/>
                <w:b/>
                <w:bCs/>
                <w:color w:val="FF0000"/>
                <w:sz w:val="20"/>
              </w:rPr>
              <w:t>3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</w:rPr>
              <w:t>,</w:t>
            </w:r>
            <w:r w:rsidRPr="002D6F10">
              <w:rPr>
                <w:rFonts w:ascii="Calibri" w:hAnsi="Calibri" w:cs="Calibri"/>
                <w:b/>
                <w:bCs/>
                <w:color w:val="FF0000"/>
                <w:sz w:val="20"/>
              </w:rPr>
              <w:t>9</w:t>
            </w:r>
          </w:p>
        </w:tc>
      </w:tr>
      <w:tr w:rsidR="00647974" w:rsidRPr="00F37DC9" w14:paraId="646474FC" w14:textId="3CA853EA" w:rsidTr="007B5D5A">
        <w:trPr>
          <w:trHeight w:val="93"/>
          <w:jc w:val="center"/>
        </w:trPr>
        <w:tc>
          <w:tcPr>
            <w:tcW w:w="5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3576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EC867" w14:textId="77777777" w:rsidR="00647974" w:rsidRPr="00F37DC9" w:rsidRDefault="00647974" w:rsidP="00647974">
            <w:pPr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Cs w:val="18"/>
              </w:rPr>
            </w:pPr>
            <w:r w:rsidRPr="00F37DC9">
              <w:rPr>
                <w:rFonts w:ascii="Calibri" w:hAnsi="Calibri" w:cs="Calibri"/>
                <w:b/>
                <w:bCs/>
                <w:color w:val="FFFFFF" w:themeColor="light1"/>
                <w:kern w:val="24"/>
                <w:szCs w:val="18"/>
              </w:rPr>
              <w:t>Podíl nezaměstnaných osob (MPSV): průměr (%)</w:t>
            </w:r>
          </w:p>
        </w:tc>
        <w:tc>
          <w:tcPr>
            <w:tcW w:w="1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2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AAAA210" w14:textId="799E20EC" w:rsidR="00647974" w:rsidRPr="00DD4A8E" w:rsidRDefault="00647974" w:rsidP="0064797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D6F10">
              <w:rPr>
                <w:rFonts w:ascii="Calibri" w:hAnsi="Calibri" w:cs="Calibri"/>
                <w:color w:val="1F497D"/>
                <w:sz w:val="20"/>
              </w:rPr>
              <w:t>3</w:t>
            </w:r>
            <w:r>
              <w:rPr>
                <w:rFonts w:ascii="Calibri" w:hAnsi="Calibri" w:cs="Calibri"/>
                <w:color w:val="1F497D"/>
                <w:sz w:val="20"/>
              </w:rPr>
              <w:t>,</w:t>
            </w:r>
            <w:r w:rsidRPr="002D6F10">
              <w:rPr>
                <w:rFonts w:ascii="Calibri" w:hAnsi="Calibri" w:cs="Calibri"/>
                <w:color w:val="1F497D"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2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F17F024" w14:textId="461AFD8E" w:rsidR="00647974" w:rsidRPr="00254030" w:rsidRDefault="00647974" w:rsidP="00647974">
            <w:pPr>
              <w:overflowPunct/>
              <w:autoSpaceDE/>
              <w:autoSpaceDN/>
              <w:adjustRightInd/>
              <w:jc w:val="center"/>
              <w:textAlignment w:val="bottom"/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</w:pPr>
            <w:r w:rsidRPr="002D6F10">
              <w:rPr>
                <w:rFonts w:ascii="Calibri" w:hAnsi="Calibri" w:cs="Calibri"/>
                <w:b/>
                <w:bCs/>
                <w:color w:val="FF0000"/>
                <w:sz w:val="20"/>
              </w:rPr>
              <w:t>3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</w:rPr>
              <w:t>,</w:t>
            </w:r>
            <w:r w:rsidRPr="002D6F10">
              <w:rPr>
                <w:rFonts w:ascii="Calibri" w:hAnsi="Calibri" w:cs="Calibri"/>
                <w:b/>
                <w:bCs/>
                <w:color w:val="FF0000"/>
                <w:sz w:val="20"/>
              </w:rPr>
              <w:t>8</w:t>
            </w:r>
          </w:p>
        </w:tc>
        <w:tc>
          <w:tcPr>
            <w:tcW w:w="16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2" w:color="auto" w:fill="auto"/>
            <w:vAlign w:val="center"/>
          </w:tcPr>
          <w:p w14:paraId="20A8075C" w14:textId="4317E11F" w:rsidR="00647974" w:rsidRPr="00254030" w:rsidRDefault="00647974" w:rsidP="00647974">
            <w:pPr>
              <w:overflowPunct/>
              <w:autoSpaceDE/>
              <w:autoSpaceDN/>
              <w:adjustRightInd/>
              <w:jc w:val="center"/>
              <w:textAlignment w:val="bottom"/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</w:pPr>
            <w:r w:rsidRPr="002D6F10">
              <w:rPr>
                <w:rFonts w:ascii="Calibri" w:hAnsi="Calibri" w:cs="Calibri"/>
                <w:b/>
                <w:bCs/>
                <w:color w:val="FF0000"/>
                <w:sz w:val="20"/>
              </w:rPr>
              <w:t>3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</w:rPr>
              <w:t>,</w:t>
            </w:r>
            <w:r w:rsidRPr="002D6F10">
              <w:rPr>
                <w:rFonts w:ascii="Calibri" w:hAnsi="Calibri" w:cs="Calibri"/>
                <w:b/>
                <w:bCs/>
                <w:color w:val="FF0000"/>
                <w:sz w:val="20"/>
              </w:rPr>
              <w:t>4</w:t>
            </w:r>
          </w:p>
        </w:tc>
      </w:tr>
      <w:tr w:rsidR="00647974" w:rsidRPr="00F37DC9" w14:paraId="636D37C4" w14:textId="692F159B" w:rsidTr="007B5D5A">
        <w:trPr>
          <w:trHeight w:val="89"/>
          <w:jc w:val="center"/>
        </w:trPr>
        <w:tc>
          <w:tcPr>
            <w:tcW w:w="5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3576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8D490" w14:textId="77777777" w:rsidR="00647974" w:rsidRPr="00F37DC9" w:rsidRDefault="00647974" w:rsidP="00647974">
            <w:pPr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Cs w:val="18"/>
              </w:rPr>
            </w:pPr>
            <w:r w:rsidRPr="00F37DC9">
              <w:rPr>
                <w:rFonts w:ascii="Calibri" w:hAnsi="Calibri" w:cs="Calibri"/>
                <w:b/>
                <w:bCs/>
                <w:color w:val="FFFFFF" w:themeColor="light1"/>
                <w:kern w:val="24"/>
                <w:szCs w:val="18"/>
              </w:rPr>
              <w:t>Průměrná nominální mzda (růst v %)</w:t>
            </w:r>
          </w:p>
        </w:tc>
        <w:tc>
          <w:tcPr>
            <w:tcW w:w="1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2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DA15EC4" w14:textId="38675481" w:rsidR="00647974" w:rsidRPr="00DD4A8E" w:rsidRDefault="00647974" w:rsidP="0064797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D6F10">
              <w:rPr>
                <w:rFonts w:ascii="Calibri" w:hAnsi="Calibri" w:cs="Calibri"/>
                <w:color w:val="1F497D"/>
                <w:sz w:val="20"/>
              </w:rPr>
              <w:t>3</w:t>
            </w:r>
            <w:r>
              <w:rPr>
                <w:rFonts w:ascii="Calibri" w:hAnsi="Calibri" w:cs="Calibri"/>
                <w:color w:val="1F497D"/>
                <w:sz w:val="20"/>
              </w:rPr>
              <w:t>,</w:t>
            </w:r>
            <w:r w:rsidRPr="002D6F10">
              <w:rPr>
                <w:rFonts w:ascii="Calibri" w:hAnsi="Calibri" w:cs="Calibri"/>
                <w:color w:val="1F497D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2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2BD4E2E" w14:textId="79F41F04" w:rsidR="00647974" w:rsidRPr="00254030" w:rsidRDefault="00647974" w:rsidP="00647974">
            <w:pPr>
              <w:overflowPunct/>
              <w:autoSpaceDE/>
              <w:autoSpaceDN/>
              <w:adjustRightInd/>
              <w:jc w:val="center"/>
              <w:textAlignment w:val="bottom"/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</w:pPr>
            <w:r w:rsidRPr="002D6F10">
              <w:rPr>
                <w:rFonts w:ascii="Calibri" w:hAnsi="Calibri" w:cs="Calibri"/>
                <w:b/>
                <w:bCs/>
                <w:color w:val="FF0000"/>
                <w:sz w:val="20"/>
              </w:rPr>
              <w:t>5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</w:rPr>
              <w:t>,</w:t>
            </w:r>
            <w:r w:rsidRPr="002D6F10">
              <w:rPr>
                <w:rFonts w:ascii="Calibri" w:hAnsi="Calibri" w:cs="Calibri"/>
                <w:b/>
                <w:bCs/>
                <w:color w:val="FF0000"/>
                <w:sz w:val="20"/>
              </w:rPr>
              <w:t>8</w:t>
            </w:r>
          </w:p>
        </w:tc>
        <w:tc>
          <w:tcPr>
            <w:tcW w:w="16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2" w:color="auto" w:fill="auto"/>
            <w:vAlign w:val="center"/>
          </w:tcPr>
          <w:p w14:paraId="4E5CDC8F" w14:textId="11DD1974" w:rsidR="00647974" w:rsidRPr="00254030" w:rsidRDefault="00647974" w:rsidP="00647974">
            <w:pPr>
              <w:overflowPunct/>
              <w:autoSpaceDE/>
              <w:autoSpaceDN/>
              <w:adjustRightInd/>
              <w:jc w:val="center"/>
              <w:textAlignment w:val="bottom"/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</w:pPr>
            <w:r w:rsidRPr="002D6F10">
              <w:rPr>
                <w:rFonts w:ascii="Calibri" w:hAnsi="Calibri" w:cs="Calibri"/>
                <w:b/>
                <w:bCs/>
                <w:color w:val="FF0000"/>
                <w:sz w:val="20"/>
              </w:rPr>
              <w:t>4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</w:rPr>
              <w:t>,</w:t>
            </w:r>
            <w:r w:rsidRPr="002D6F10">
              <w:rPr>
                <w:rFonts w:ascii="Calibri" w:hAnsi="Calibri" w:cs="Calibri"/>
                <w:b/>
                <w:bCs/>
                <w:color w:val="FF0000"/>
                <w:sz w:val="20"/>
              </w:rPr>
              <w:t>9</w:t>
            </w:r>
          </w:p>
        </w:tc>
      </w:tr>
      <w:tr w:rsidR="00647974" w:rsidRPr="00F37DC9" w14:paraId="3BA814CF" w14:textId="5B864073" w:rsidTr="007B5D5A">
        <w:trPr>
          <w:trHeight w:val="89"/>
          <w:jc w:val="center"/>
        </w:trPr>
        <w:tc>
          <w:tcPr>
            <w:tcW w:w="5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3576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13A2F" w14:textId="77777777" w:rsidR="00647974" w:rsidRPr="00F37DC9" w:rsidRDefault="00647974" w:rsidP="00647974">
            <w:pPr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Cs w:val="18"/>
              </w:rPr>
            </w:pPr>
            <w:r w:rsidRPr="00F37DC9">
              <w:rPr>
                <w:rFonts w:ascii="Calibri" w:hAnsi="Calibri" w:cs="Calibri"/>
                <w:b/>
                <w:bCs/>
                <w:color w:val="FFFFFF" w:themeColor="light1"/>
                <w:kern w:val="24"/>
                <w:szCs w:val="18"/>
              </w:rPr>
              <w:t>Míra inflace: CPI (%) průměr</w:t>
            </w:r>
          </w:p>
        </w:tc>
        <w:tc>
          <w:tcPr>
            <w:tcW w:w="1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2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F5738C" w14:textId="53F32FF1" w:rsidR="00647974" w:rsidRPr="00DD4A8E" w:rsidRDefault="00647974" w:rsidP="00647974">
            <w:pPr>
              <w:overflowPunct/>
              <w:autoSpaceDE/>
              <w:autoSpaceDN/>
              <w:adjustRightInd/>
              <w:jc w:val="center"/>
              <w:textAlignment w:val="bottom"/>
              <w:rPr>
                <w:rFonts w:ascii="Calibri" w:eastAsia="PMingLiU" w:hAnsi="Calibri" w:cs="Calibri"/>
                <w:b/>
                <w:bCs/>
                <w:kern w:val="24"/>
                <w:szCs w:val="18"/>
              </w:rPr>
            </w:pPr>
            <w:r w:rsidRPr="002D6F10">
              <w:rPr>
                <w:rFonts w:ascii="Calibri" w:hAnsi="Calibri" w:cs="Calibri"/>
                <w:color w:val="1F497D"/>
                <w:sz w:val="20"/>
              </w:rPr>
              <w:t>3</w:t>
            </w:r>
            <w:r>
              <w:rPr>
                <w:rFonts w:ascii="Calibri" w:hAnsi="Calibri" w:cs="Calibri"/>
                <w:color w:val="1F497D"/>
                <w:sz w:val="20"/>
              </w:rPr>
              <w:t>,</w:t>
            </w:r>
            <w:r w:rsidRPr="002D6F10">
              <w:rPr>
                <w:rFonts w:ascii="Calibri" w:hAnsi="Calibri" w:cs="Calibri"/>
                <w:color w:val="1F497D"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2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E5E8884" w14:textId="4729795E" w:rsidR="00647974" w:rsidRPr="00254030" w:rsidRDefault="00647974" w:rsidP="00647974">
            <w:pPr>
              <w:overflowPunct/>
              <w:autoSpaceDE/>
              <w:autoSpaceDN/>
              <w:adjustRightInd/>
              <w:jc w:val="center"/>
              <w:textAlignment w:val="bottom"/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</w:pPr>
            <w:r w:rsidRPr="002D6F10">
              <w:rPr>
                <w:rFonts w:ascii="Calibri" w:hAnsi="Calibri" w:cs="Calibri"/>
                <w:b/>
                <w:bCs/>
                <w:color w:val="FF0000"/>
                <w:sz w:val="20"/>
              </w:rPr>
              <w:t>3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</w:rPr>
              <w:t>,</w:t>
            </w:r>
            <w:r w:rsidRPr="002D6F10">
              <w:rPr>
                <w:rFonts w:ascii="Calibri" w:hAnsi="Calibri" w:cs="Calibri"/>
                <w:b/>
                <w:bCs/>
                <w:color w:val="FF0000"/>
                <w:sz w:val="20"/>
              </w:rPr>
              <w:t>8</w:t>
            </w:r>
          </w:p>
        </w:tc>
        <w:tc>
          <w:tcPr>
            <w:tcW w:w="16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2" w:color="auto" w:fill="auto"/>
            <w:vAlign w:val="center"/>
          </w:tcPr>
          <w:p w14:paraId="48636833" w14:textId="3971630A" w:rsidR="00647974" w:rsidRPr="00254030" w:rsidRDefault="00647974" w:rsidP="00647974">
            <w:pPr>
              <w:overflowPunct/>
              <w:autoSpaceDE/>
              <w:autoSpaceDN/>
              <w:adjustRightInd/>
              <w:jc w:val="center"/>
              <w:textAlignment w:val="bottom"/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</w:pPr>
            <w:r w:rsidRPr="002D6F10">
              <w:rPr>
                <w:rFonts w:ascii="Calibri" w:hAnsi="Calibri" w:cs="Calibri"/>
                <w:b/>
                <w:bCs/>
                <w:color w:val="FF0000"/>
                <w:sz w:val="20"/>
              </w:rPr>
              <w:t>5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</w:rPr>
              <w:t>,</w:t>
            </w:r>
            <w:r w:rsidRPr="002D6F10">
              <w:rPr>
                <w:rFonts w:ascii="Calibri" w:hAnsi="Calibri" w:cs="Calibri"/>
                <w:b/>
                <w:bCs/>
                <w:color w:val="FF0000"/>
                <w:sz w:val="20"/>
              </w:rPr>
              <w:t>1</w:t>
            </w:r>
          </w:p>
        </w:tc>
      </w:tr>
      <w:tr w:rsidR="00647974" w:rsidRPr="00F37DC9" w14:paraId="521233EC" w14:textId="28A14000" w:rsidTr="007B5D5A">
        <w:trPr>
          <w:trHeight w:val="89"/>
          <w:jc w:val="center"/>
        </w:trPr>
        <w:tc>
          <w:tcPr>
            <w:tcW w:w="5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3576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30F8F" w14:textId="77777777" w:rsidR="00647974" w:rsidRPr="00F37DC9" w:rsidRDefault="00647974" w:rsidP="00647974">
            <w:pPr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Cs w:val="18"/>
              </w:rPr>
            </w:pPr>
            <w:r w:rsidRPr="00F37DC9">
              <w:rPr>
                <w:rFonts w:ascii="Calibri" w:hAnsi="Calibri" w:cs="Calibri"/>
                <w:b/>
                <w:bCs/>
                <w:color w:val="FFFFFF" w:themeColor="light1"/>
                <w:kern w:val="24"/>
                <w:szCs w:val="18"/>
              </w:rPr>
              <w:t>Vládní deficit/přebytek (% HDP)</w:t>
            </w:r>
          </w:p>
        </w:tc>
        <w:tc>
          <w:tcPr>
            <w:tcW w:w="1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2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FCBE628" w14:textId="24BF17B7" w:rsidR="00647974" w:rsidRPr="00DD4A8E" w:rsidRDefault="00647974" w:rsidP="0064797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D6F10">
              <w:rPr>
                <w:rFonts w:ascii="Calibri" w:hAnsi="Calibri" w:cs="Calibri"/>
                <w:color w:val="1F497D"/>
                <w:sz w:val="20"/>
              </w:rPr>
              <w:t>-</w:t>
            </w:r>
            <w:r w:rsidR="00FB19F5">
              <w:rPr>
                <w:rFonts w:ascii="Calibri" w:hAnsi="Calibri" w:cs="Calibri"/>
                <w:color w:val="1F497D"/>
                <w:sz w:val="20"/>
              </w:rPr>
              <w:t>5</w:t>
            </w:r>
            <w:r>
              <w:rPr>
                <w:rFonts w:ascii="Calibri" w:hAnsi="Calibri" w:cs="Calibri"/>
                <w:color w:val="1F497D"/>
                <w:sz w:val="20"/>
              </w:rPr>
              <w:t>,</w:t>
            </w:r>
            <w:r w:rsidR="00FB19F5">
              <w:rPr>
                <w:rFonts w:ascii="Calibri" w:hAnsi="Calibri" w:cs="Calibri"/>
                <w:color w:val="1F497D"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2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494613" w14:textId="099C1928" w:rsidR="00647974" w:rsidRPr="00254030" w:rsidRDefault="00647974" w:rsidP="00647974">
            <w:pPr>
              <w:overflowPunct/>
              <w:autoSpaceDE/>
              <w:autoSpaceDN/>
              <w:adjustRightInd/>
              <w:jc w:val="center"/>
              <w:textAlignment w:val="bottom"/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</w:pPr>
            <w:r w:rsidRPr="002D6F10">
              <w:rPr>
                <w:rFonts w:ascii="Calibri" w:hAnsi="Calibri" w:cs="Calibri"/>
                <w:b/>
                <w:bCs/>
                <w:color w:val="FF0000"/>
                <w:sz w:val="20"/>
              </w:rPr>
              <w:t>-7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</w:rPr>
              <w:t>,</w:t>
            </w:r>
            <w:r w:rsidRPr="002D6F10">
              <w:rPr>
                <w:rFonts w:ascii="Calibri" w:hAnsi="Calibri" w:cs="Calibri"/>
                <w:b/>
                <w:bCs/>
                <w:color w:val="FF0000"/>
                <w:sz w:val="20"/>
              </w:rPr>
              <w:t>0</w:t>
            </w:r>
          </w:p>
        </w:tc>
        <w:tc>
          <w:tcPr>
            <w:tcW w:w="16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2" w:color="auto" w:fill="auto"/>
            <w:vAlign w:val="center"/>
          </w:tcPr>
          <w:p w14:paraId="4D2100D0" w14:textId="27D28EB4" w:rsidR="00647974" w:rsidRPr="00254030" w:rsidRDefault="00647974" w:rsidP="00647974">
            <w:pPr>
              <w:overflowPunct/>
              <w:autoSpaceDE/>
              <w:autoSpaceDN/>
              <w:adjustRightInd/>
              <w:jc w:val="center"/>
              <w:textAlignment w:val="bottom"/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</w:pPr>
            <w:r w:rsidRPr="002D6F10">
              <w:rPr>
                <w:rFonts w:ascii="Calibri" w:hAnsi="Calibri" w:cs="Calibri"/>
                <w:b/>
                <w:bCs/>
                <w:color w:val="FF0000"/>
                <w:sz w:val="20"/>
              </w:rPr>
              <w:t>-4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</w:rPr>
              <w:t>,</w:t>
            </w:r>
            <w:r w:rsidRPr="002D6F10">
              <w:rPr>
                <w:rFonts w:ascii="Calibri" w:hAnsi="Calibri" w:cs="Calibri"/>
                <w:b/>
                <w:bCs/>
                <w:color w:val="FF0000"/>
                <w:sz w:val="20"/>
              </w:rPr>
              <w:t>7</w:t>
            </w:r>
          </w:p>
        </w:tc>
      </w:tr>
      <w:tr w:rsidR="00647974" w:rsidRPr="00F37DC9" w14:paraId="14378C53" w14:textId="062909FA" w:rsidTr="007B5D5A">
        <w:trPr>
          <w:trHeight w:val="89"/>
          <w:jc w:val="center"/>
        </w:trPr>
        <w:tc>
          <w:tcPr>
            <w:tcW w:w="5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3576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EC9AA" w14:textId="77777777" w:rsidR="00647974" w:rsidRPr="00F37DC9" w:rsidRDefault="00647974" w:rsidP="00647974">
            <w:pPr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Cs w:val="18"/>
              </w:rPr>
            </w:pPr>
            <w:r w:rsidRPr="00F37DC9">
              <w:rPr>
                <w:rFonts w:ascii="Calibri" w:hAnsi="Calibri" w:cs="Calibri"/>
                <w:b/>
                <w:bCs/>
                <w:color w:val="FFFFFF" w:themeColor="light1"/>
                <w:kern w:val="24"/>
                <w:szCs w:val="18"/>
              </w:rPr>
              <w:t xml:space="preserve">Vládní dluh (% HDP) </w:t>
            </w:r>
          </w:p>
        </w:tc>
        <w:tc>
          <w:tcPr>
            <w:tcW w:w="1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2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94CED1C" w14:textId="79F4FBE5" w:rsidR="00647974" w:rsidRPr="00DD4A8E" w:rsidRDefault="00647974" w:rsidP="0064797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D6F10">
              <w:rPr>
                <w:rFonts w:ascii="Calibri" w:hAnsi="Calibri" w:cs="Calibri"/>
                <w:color w:val="1F497D"/>
                <w:sz w:val="20"/>
              </w:rPr>
              <w:t>3</w:t>
            </w:r>
            <w:r w:rsidR="00FB19F5">
              <w:rPr>
                <w:rFonts w:ascii="Calibri" w:hAnsi="Calibri" w:cs="Calibri"/>
                <w:color w:val="1F497D"/>
                <w:sz w:val="20"/>
              </w:rPr>
              <w:t>7</w:t>
            </w:r>
            <w:r>
              <w:rPr>
                <w:rFonts w:ascii="Calibri" w:hAnsi="Calibri" w:cs="Calibri"/>
                <w:color w:val="1F497D"/>
                <w:sz w:val="20"/>
              </w:rPr>
              <w:t>,</w:t>
            </w:r>
            <w:r w:rsidR="00FB19F5">
              <w:rPr>
                <w:rFonts w:ascii="Calibri" w:hAnsi="Calibri" w:cs="Calibri"/>
                <w:color w:val="1F497D"/>
                <w:sz w:val="20"/>
              </w:rPr>
              <w:t>7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2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7312A7B" w14:textId="50EDF2B1" w:rsidR="00647974" w:rsidRPr="00254030" w:rsidRDefault="00647974" w:rsidP="00647974">
            <w:pPr>
              <w:overflowPunct/>
              <w:autoSpaceDE/>
              <w:autoSpaceDN/>
              <w:adjustRightInd/>
              <w:jc w:val="center"/>
              <w:textAlignment w:val="bottom"/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</w:pPr>
            <w:r w:rsidRPr="002D6F10">
              <w:rPr>
                <w:rFonts w:ascii="Calibri" w:hAnsi="Calibri" w:cs="Calibri"/>
                <w:b/>
                <w:bCs/>
                <w:color w:val="FF0000"/>
                <w:sz w:val="20"/>
              </w:rPr>
              <w:t>42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</w:rPr>
              <w:t>,</w:t>
            </w:r>
            <w:r w:rsidRPr="002D6F10">
              <w:rPr>
                <w:rFonts w:ascii="Calibri" w:hAnsi="Calibri" w:cs="Calibri"/>
                <w:b/>
                <w:bCs/>
                <w:color w:val="FF0000"/>
                <w:sz w:val="20"/>
              </w:rPr>
              <w:t>4</w:t>
            </w:r>
          </w:p>
        </w:tc>
        <w:tc>
          <w:tcPr>
            <w:tcW w:w="16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2" w:color="auto" w:fill="auto"/>
            <w:vAlign w:val="center"/>
          </w:tcPr>
          <w:p w14:paraId="6F706A33" w14:textId="16286CBA" w:rsidR="00647974" w:rsidRPr="00254030" w:rsidRDefault="00647974" w:rsidP="00647974">
            <w:pPr>
              <w:overflowPunct/>
              <w:autoSpaceDE/>
              <w:autoSpaceDN/>
              <w:adjustRightInd/>
              <w:jc w:val="center"/>
              <w:textAlignment w:val="bottom"/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</w:pPr>
            <w:r w:rsidRPr="002D6F10">
              <w:rPr>
                <w:rFonts w:ascii="Calibri" w:hAnsi="Calibri" w:cs="Calibri"/>
                <w:b/>
                <w:bCs/>
                <w:color w:val="FF0000"/>
                <w:sz w:val="20"/>
              </w:rPr>
              <w:t>43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</w:rPr>
              <w:t>,</w:t>
            </w:r>
            <w:r w:rsidRPr="002D6F10">
              <w:rPr>
                <w:rFonts w:ascii="Calibri" w:hAnsi="Calibri" w:cs="Calibri"/>
                <w:b/>
                <w:bCs/>
                <w:color w:val="FF0000"/>
                <w:sz w:val="20"/>
              </w:rPr>
              <w:t>6</w:t>
            </w:r>
          </w:p>
        </w:tc>
      </w:tr>
      <w:tr w:rsidR="00647974" w:rsidRPr="00F37DC9" w14:paraId="552BE0D0" w14:textId="46A71113" w:rsidTr="007B5D5A">
        <w:trPr>
          <w:trHeight w:val="89"/>
          <w:jc w:val="center"/>
        </w:trPr>
        <w:tc>
          <w:tcPr>
            <w:tcW w:w="5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3576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F0540" w14:textId="77777777" w:rsidR="00647974" w:rsidRPr="00F37DC9" w:rsidRDefault="00647974" w:rsidP="00647974">
            <w:pPr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Cs w:val="18"/>
              </w:rPr>
            </w:pPr>
            <w:r w:rsidRPr="00F37DC9">
              <w:rPr>
                <w:rFonts w:ascii="Calibri" w:hAnsi="Calibri" w:cs="Calibri"/>
                <w:b/>
                <w:bCs/>
                <w:color w:val="FFFFFF" w:themeColor="light1"/>
                <w:kern w:val="24"/>
                <w:szCs w:val="18"/>
              </w:rPr>
              <w:t>Růst spotřeby domácností (%) reálně</w:t>
            </w:r>
          </w:p>
        </w:tc>
        <w:tc>
          <w:tcPr>
            <w:tcW w:w="1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2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3152515" w14:textId="5013F129" w:rsidR="00647974" w:rsidRPr="00DD4A8E" w:rsidRDefault="00647974" w:rsidP="0064797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D6F10">
              <w:rPr>
                <w:rFonts w:ascii="Calibri" w:hAnsi="Calibri" w:cs="Calibri"/>
                <w:color w:val="1F497D"/>
                <w:sz w:val="20"/>
              </w:rPr>
              <w:t>-7</w:t>
            </w:r>
            <w:r>
              <w:rPr>
                <w:rFonts w:ascii="Calibri" w:hAnsi="Calibri" w:cs="Calibri"/>
                <w:color w:val="1F497D"/>
                <w:sz w:val="20"/>
              </w:rPr>
              <w:t>,</w:t>
            </w:r>
            <w:r w:rsidRPr="002D6F10">
              <w:rPr>
                <w:rFonts w:ascii="Calibri" w:hAnsi="Calibri" w:cs="Calibri"/>
                <w:color w:val="1F497D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2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D3C80F4" w14:textId="2AE556A2" w:rsidR="00647974" w:rsidRPr="00254030" w:rsidRDefault="00647974" w:rsidP="00647974">
            <w:pPr>
              <w:overflowPunct/>
              <w:autoSpaceDE/>
              <w:autoSpaceDN/>
              <w:adjustRightInd/>
              <w:jc w:val="center"/>
              <w:textAlignment w:val="bottom"/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</w:pPr>
            <w:r w:rsidRPr="002D6F10">
              <w:rPr>
                <w:rFonts w:ascii="Calibri" w:hAnsi="Calibri" w:cs="Calibri"/>
                <w:b/>
                <w:bCs/>
                <w:color w:val="FF0000"/>
                <w:sz w:val="20"/>
              </w:rPr>
              <w:t>3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</w:rPr>
              <w:t>,</w:t>
            </w:r>
            <w:r w:rsidRPr="002D6F10">
              <w:rPr>
                <w:rFonts w:ascii="Calibri" w:hAnsi="Calibri" w:cs="Calibri"/>
                <w:b/>
                <w:bCs/>
                <w:color w:val="FF0000"/>
                <w:sz w:val="20"/>
              </w:rPr>
              <w:t>0</w:t>
            </w:r>
          </w:p>
        </w:tc>
        <w:tc>
          <w:tcPr>
            <w:tcW w:w="16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2" w:color="auto" w:fill="auto"/>
            <w:vAlign w:val="center"/>
          </w:tcPr>
          <w:p w14:paraId="1246EB22" w14:textId="215D3036" w:rsidR="00647974" w:rsidRPr="00254030" w:rsidRDefault="00647974" w:rsidP="00647974">
            <w:pPr>
              <w:overflowPunct/>
              <w:autoSpaceDE/>
              <w:autoSpaceDN/>
              <w:adjustRightInd/>
              <w:jc w:val="center"/>
              <w:textAlignment w:val="bottom"/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</w:pPr>
            <w:r w:rsidRPr="002D6F10">
              <w:rPr>
                <w:rFonts w:ascii="Calibri" w:hAnsi="Calibri" w:cs="Calibri"/>
                <w:b/>
                <w:bCs/>
                <w:color w:val="FF0000"/>
                <w:sz w:val="20"/>
              </w:rPr>
              <w:t>4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</w:rPr>
              <w:t>,</w:t>
            </w:r>
            <w:r w:rsidRPr="002D6F10">
              <w:rPr>
                <w:rFonts w:ascii="Calibri" w:hAnsi="Calibri" w:cs="Calibri"/>
                <w:b/>
                <w:bCs/>
                <w:color w:val="FF0000"/>
                <w:sz w:val="20"/>
              </w:rPr>
              <w:t>4</w:t>
            </w:r>
          </w:p>
        </w:tc>
      </w:tr>
      <w:tr w:rsidR="00647974" w:rsidRPr="00F37DC9" w14:paraId="1648A5F3" w14:textId="45B73A0A" w:rsidTr="007B5D5A">
        <w:trPr>
          <w:trHeight w:val="89"/>
          <w:jc w:val="center"/>
        </w:trPr>
        <w:tc>
          <w:tcPr>
            <w:tcW w:w="5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3576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C730B" w14:textId="77777777" w:rsidR="00647974" w:rsidRPr="00F37DC9" w:rsidRDefault="00647974" w:rsidP="00647974">
            <w:pPr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Cs w:val="18"/>
              </w:rPr>
            </w:pPr>
            <w:r w:rsidRPr="00F37DC9">
              <w:rPr>
                <w:rFonts w:ascii="Calibri" w:hAnsi="Calibri" w:cs="Calibri"/>
                <w:b/>
                <w:bCs/>
                <w:color w:val="FFFFFF" w:themeColor="light1"/>
                <w:kern w:val="24"/>
                <w:szCs w:val="18"/>
              </w:rPr>
              <w:t>Růst vládní spotřeby (%) reálně</w:t>
            </w:r>
          </w:p>
        </w:tc>
        <w:tc>
          <w:tcPr>
            <w:tcW w:w="1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2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D257DD9" w14:textId="57213077" w:rsidR="00647974" w:rsidRPr="00DD4A8E" w:rsidRDefault="00647974" w:rsidP="0064797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D6F10">
              <w:rPr>
                <w:rFonts w:ascii="Calibri" w:hAnsi="Calibri" w:cs="Calibri"/>
                <w:color w:val="1F497D"/>
                <w:sz w:val="20"/>
              </w:rPr>
              <w:t>3</w:t>
            </w:r>
            <w:r>
              <w:rPr>
                <w:rFonts w:ascii="Calibri" w:hAnsi="Calibri" w:cs="Calibri"/>
                <w:color w:val="1F497D"/>
                <w:sz w:val="20"/>
              </w:rPr>
              <w:t>,</w:t>
            </w:r>
            <w:r w:rsidRPr="002D6F10">
              <w:rPr>
                <w:rFonts w:ascii="Calibri" w:hAnsi="Calibri" w:cs="Calibri"/>
                <w:color w:val="1F497D"/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2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59B385" w14:textId="3FFDC10F" w:rsidR="00647974" w:rsidRPr="00254030" w:rsidRDefault="00647974" w:rsidP="00647974">
            <w:pPr>
              <w:overflowPunct/>
              <w:autoSpaceDE/>
              <w:autoSpaceDN/>
              <w:adjustRightInd/>
              <w:jc w:val="center"/>
              <w:textAlignment w:val="bottom"/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</w:pPr>
            <w:r w:rsidRPr="002D6F10">
              <w:rPr>
                <w:rFonts w:ascii="Calibri" w:hAnsi="Calibri" w:cs="Calibri"/>
                <w:b/>
                <w:bCs/>
                <w:color w:val="FF0000"/>
                <w:sz w:val="20"/>
              </w:rPr>
              <w:t>2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</w:rPr>
              <w:t>,</w:t>
            </w:r>
            <w:r w:rsidRPr="002D6F10">
              <w:rPr>
                <w:rFonts w:ascii="Calibri" w:hAnsi="Calibri" w:cs="Calibri"/>
                <w:b/>
                <w:bCs/>
                <w:color w:val="FF0000"/>
                <w:sz w:val="20"/>
              </w:rPr>
              <w:t>4</w:t>
            </w:r>
          </w:p>
        </w:tc>
        <w:tc>
          <w:tcPr>
            <w:tcW w:w="16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2" w:color="auto" w:fill="auto"/>
            <w:vAlign w:val="center"/>
          </w:tcPr>
          <w:p w14:paraId="213A5E70" w14:textId="43BB52C5" w:rsidR="00647974" w:rsidRPr="00254030" w:rsidRDefault="00647974" w:rsidP="00647974">
            <w:pPr>
              <w:overflowPunct/>
              <w:autoSpaceDE/>
              <w:autoSpaceDN/>
              <w:adjustRightInd/>
              <w:jc w:val="center"/>
              <w:textAlignment w:val="bottom"/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</w:pPr>
            <w:r w:rsidRPr="002D6F10">
              <w:rPr>
                <w:rFonts w:ascii="Calibri" w:hAnsi="Calibri" w:cs="Calibri"/>
                <w:b/>
                <w:bCs/>
                <w:color w:val="FF0000"/>
                <w:sz w:val="20"/>
              </w:rPr>
              <w:t>1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</w:rPr>
              <w:t>,</w:t>
            </w:r>
            <w:r w:rsidRPr="002D6F10">
              <w:rPr>
                <w:rFonts w:ascii="Calibri" w:hAnsi="Calibri" w:cs="Calibri"/>
                <w:b/>
                <w:bCs/>
                <w:color w:val="FF0000"/>
                <w:sz w:val="20"/>
              </w:rPr>
              <w:t>0</w:t>
            </w:r>
          </w:p>
        </w:tc>
      </w:tr>
      <w:tr w:rsidR="00647974" w:rsidRPr="00F37DC9" w14:paraId="4EA7D3E3" w14:textId="5745A921" w:rsidTr="007B5D5A">
        <w:trPr>
          <w:trHeight w:val="89"/>
          <w:jc w:val="center"/>
        </w:trPr>
        <w:tc>
          <w:tcPr>
            <w:tcW w:w="5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3576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30A54" w14:textId="77777777" w:rsidR="00647974" w:rsidRPr="00F37DC9" w:rsidRDefault="00647974" w:rsidP="00647974">
            <w:pPr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Cs w:val="18"/>
              </w:rPr>
            </w:pPr>
            <w:r w:rsidRPr="00F37DC9">
              <w:rPr>
                <w:rFonts w:ascii="Calibri" w:hAnsi="Calibri" w:cs="Calibri"/>
                <w:b/>
                <w:bCs/>
                <w:color w:val="FFFFFF" w:themeColor="light1"/>
                <w:kern w:val="24"/>
                <w:szCs w:val="18"/>
              </w:rPr>
              <w:t>Růst investic (%) reálně</w:t>
            </w:r>
          </w:p>
        </w:tc>
        <w:tc>
          <w:tcPr>
            <w:tcW w:w="1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2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7437F0" w14:textId="68A60A11" w:rsidR="00647974" w:rsidRPr="00DD4A8E" w:rsidRDefault="00647974" w:rsidP="0064797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D6F10">
              <w:rPr>
                <w:rFonts w:ascii="Calibri" w:hAnsi="Calibri" w:cs="Calibri"/>
                <w:color w:val="1F497D"/>
                <w:sz w:val="20"/>
              </w:rPr>
              <w:t>-7</w:t>
            </w:r>
            <w:r>
              <w:rPr>
                <w:rFonts w:ascii="Calibri" w:hAnsi="Calibri" w:cs="Calibri"/>
                <w:color w:val="1F497D"/>
                <w:sz w:val="20"/>
              </w:rPr>
              <w:t>,</w:t>
            </w:r>
            <w:r w:rsidRPr="002D6F10">
              <w:rPr>
                <w:rFonts w:ascii="Calibri" w:hAnsi="Calibri" w:cs="Calibri"/>
                <w:color w:val="1F497D"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2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892B148" w14:textId="71EA8C32" w:rsidR="00647974" w:rsidRPr="00254030" w:rsidRDefault="00647974" w:rsidP="00647974">
            <w:pPr>
              <w:overflowPunct/>
              <w:autoSpaceDE/>
              <w:autoSpaceDN/>
              <w:adjustRightInd/>
              <w:jc w:val="center"/>
              <w:textAlignment w:val="bottom"/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</w:pPr>
            <w:r w:rsidRPr="002D6F10">
              <w:rPr>
                <w:rFonts w:ascii="Calibri" w:hAnsi="Calibri" w:cs="Calibri"/>
                <w:b/>
                <w:bCs/>
                <w:color w:val="FF0000"/>
                <w:sz w:val="20"/>
              </w:rPr>
              <w:t>2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</w:rPr>
              <w:t>,</w:t>
            </w:r>
            <w:r w:rsidRPr="002D6F10">
              <w:rPr>
                <w:rFonts w:ascii="Calibri" w:hAnsi="Calibri" w:cs="Calibri"/>
                <w:b/>
                <w:bCs/>
                <w:color w:val="FF0000"/>
                <w:sz w:val="20"/>
              </w:rPr>
              <w:t>4</w:t>
            </w:r>
          </w:p>
        </w:tc>
        <w:tc>
          <w:tcPr>
            <w:tcW w:w="16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2" w:color="auto" w:fill="auto"/>
            <w:vAlign w:val="center"/>
          </w:tcPr>
          <w:p w14:paraId="26764AE7" w14:textId="08C7D0DD" w:rsidR="00647974" w:rsidRPr="00254030" w:rsidRDefault="00647974" w:rsidP="00647974">
            <w:pPr>
              <w:overflowPunct/>
              <w:autoSpaceDE/>
              <w:autoSpaceDN/>
              <w:adjustRightInd/>
              <w:jc w:val="center"/>
              <w:textAlignment w:val="bottom"/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</w:pPr>
            <w:r w:rsidRPr="002D6F10">
              <w:rPr>
                <w:rFonts w:ascii="Calibri" w:hAnsi="Calibri" w:cs="Calibri"/>
                <w:b/>
                <w:bCs/>
                <w:color w:val="FF0000"/>
                <w:sz w:val="20"/>
              </w:rPr>
              <w:t>6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</w:rPr>
              <w:t>,</w:t>
            </w:r>
            <w:r w:rsidRPr="002D6F10">
              <w:rPr>
                <w:rFonts w:ascii="Calibri" w:hAnsi="Calibri" w:cs="Calibri"/>
                <w:b/>
                <w:bCs/>
                <w:color w:val="FF0000"/>
                <w:sz w:val="20"/>
              </w:rPr>
              <w:t>3</w:t>
            </w:r>
          </w:p>
        </w:tc>
      </w:tr>
      <w:tr w:rsidR="00647974" w:rsidRPr="00F37DC9" w14:paraId="10E01B12" w14:textId="77777777" w:rsidTr="007B5D5A">
        <w:trPr>
          <w:trHeight w:val="89"/>
          <w:jc w:val="center"/>
        </w:trPr>
        <w:tc>
          <w:tcPr>
            <w:tcW w:w="5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3576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926DDE6" w14:textId="5B6E0CA7" w:rsidR="00647974" w:rsidRPr="00F37DC9" w:rsidRDefault="00647974" w:rsidP="00647974">
            <w:pPr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bCs/>
                <w:color w:val="FFFFFF" w:themeColor="light1"/>
                <w:kern w:val="24"/>
                <w:szCs w:val="18"/>
              </w:rPr>
            </w:pPr>
            <w:r w:rsidRPr="00F37DC9">
              <w:rPr>
                <w:rFonts w:ascii="Calibri" w:hAnsi="Calibri" w:cs="Calibri"/>
                <w:b/>
                <w:bCs/>
                <w:color w:val="FFFFFF" w:themeColor="light1"/>
                <w:kern w:val="24"/>
                <w:szCs w:val="18"/>
              </w:rPr>
              <w:t>Růst vývozů (%) reálně</w:t>
            </w:r>
          </w:p>
        </w:tc>
        <w:tc>
          <w:tcPr>
            <w:tcW w:w="1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2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54F6FA" w14:textId="6360CF53" w:rsidR="00647974" w:rsidRPr="00DD4A8E" w:rsidRDefault="00647974" w:rsidP="0064797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D6F10">
              <w:rPr>
                <w:rFonts w:ascii="Calibri" w:hAnsi="Calibri" w:cs="Calibri"/>
                <w:color w:val="1F497D"/>
                <w:sz w:val="20"/>
              </w:rPr>
              <w:t>-7</w:t>
            </w:r>
            <w:r>
              <w:rPr>
                <w:rFonts w:ascii="Calibri" w:hAnsi="Calibri" w:cs="Calibri"/>
                <w:color w:val="1F497D"/>
                <w:sz w:val="20"/>
              </w:rPr>
              <w:t>,</w:t>
            </w:r>
            <w:r w:rsidRPr="002D6F10">
              <w:rPr>
                <w:rFonts w:ascii="Calibri" w:hAnsi="Calibri" w:cs="Calibri"/>
                <w:color w:val="1F497D"/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2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93902A" w14:textId="2A3DF233" w:rsidR="00647974" w:rsidRPr="00254030" w:rsidRDefault="00647974" w:rsidP="00647974">
            <w:pPr>
              <w:overflowPunct/>
              <w:autoSpaceDE/>
              <w:autoSpaceDN/>
              <w:adjustRightInd/>
              <w:jc w:val="center"/>
              <w:textAlignment w:val="bottom"/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</w:pPr>
            <w:r w:rsidRPr="002D6F10">
              <w:rPr>
                <w:rFonts w:ascii="Calibri" w:hAnsi="Calibri" w:cs="Calibri"/>
                <w:b/>
                <w:bCs/>
                <w:color w:val="FF0000"/>
                <w:sz w:val="20"/>
              </w:rPr>
              <w:t>8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</w:rPr>
              <w:t>,</w:t>
            </w:r>
            <w:r w:rsidRPr="002D6F10">
              <w:rPr>
                <w:rFonts w:ascii="Calibri" w:hAnsi="Calibri" w:cs="Calibri"/>
                <w:b/>
                <w:bCs/>
                <w:color w:val="FF0000"/>
                <w:sz w:val="20"/>
              </w:rPr>
              <w:t>4</w:t>
            </w:r>
          </w:p>
        </w:tc>
        <w:tc>
          <w:tcPr>
            <w:tcW w:w="16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2" w:color="auto" w:fill="auto"/>
            <w:vAlign w:val="center"/>
          </w:tcPr>
          <w:p w14:paraId="3C0E6FB4" w14:textId="6CDEDA3D" w:rsidR="00647974" w:rsidRPr="00254030" w:rsidRDefault="00647974" w:rsidP="00647974">
            <w:pPr>
              <w:overflowPunct/>
              <w:autoSpaceDE/>
              <w:autoSpaceDN/>
              <w:adjustRightInd/>
              <w:jc w:val="center"/>
              <w:textAlignment w:val="bottom"/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</w:pPr>
            <w:r w:rsidRPr="002D6F10">
              <w:rPr>
                <w:rFonts w:ascii="Calibri" w:hAnsi="Calibri" w:cs="Calibri"/>
                <w:b/>
                <w:bCs/>
                <w:color w:val="FF0000"/>
                <w:sz w:val="20"/>
              </w:rPr>
              <w:t>6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</w:rPr>
              <w:t>,</w:t>
            </w:r>
            <w:r w:rsidRPr="002D6F10">
              <w:rPr>
                <w:rFonts w:ascii="Calibri" w:hAnsi="Calibri" w:cs="Calibri"/>
                <w:b/>
                <w:bCs/>
                <w:color w:val="FF0000"/>
                <w:sz w:val="20"/>
              </w:rPr>
              <w:t>5</w:t>
            </w:r>
          </w:p>
        </w:tc>
      </w:tr>
      <w:tr w:rsidR="00647974" w:rsidRPr="00F37DC9" w14:paraId="630C8A48" w14:textId="77777777" w:rsidTr="007B5D5A">
        <w:trPr>
          <w:trHeight w:val="89"/>
          <w:jc w:val="center"/>
        </w:trPr>
        <w:tc>
          <w:tcPr>
            <w:tcW w:w="5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3576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925B36" w14:textId="5F366F9C" w:rsidR="00647974" w:rsidRPr="00F37DC9" w:rsidRDefault="00647974" w:rsidP="00647974">
            <w:pPr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bCs/>
                <w:color w:val="FFFFFF" w:themeColor="light1"/>
                <w:kern w:val="24"/>
                <w:szCs w:val="18"/>
              </w:rPr>
            </w:pPr>
            <w:r w:rsidRPr="00F37DC9">
              <w:rPr>
                <w:rFonts w:ascii="Calibri" w:hAnsi="Calibri" w:cs="Calibri"/>
                <w:b/>
                <w:bCs/>
                <w:color w:val="FFFFFF" w:themeColor="light1"/>
                <w:kern w:val="24"/>
                <w:szCs w:val="18"/>
              </w:rPr>
              <w:t>Růst dovozů (%) reálně</w:t>
            </w:r>
          </w:p>
        </w:tc>
        <w:tc>
          <w:tcPr>
            <w:tcW w:w="1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2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286ABA" w14:textId="5EF0F301" w:rsidR="00647974" w:rsidRPr="00DD4A8E" w:rsidRDefault="00647974" w:rsidP="0064797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D6F10">
              <w:rPr>
                <w:rFonts w:ascii="Calibri" w:hAnsi="Calibri" w:cs="Calibri"/>
                <w:color w:val="1F497D"/>
                <w:sz w:val="20"/>
              </w:rPr>
              <w:t>-6</w:t>
            </w:r>
            <w:r>
              <w:rPr>
                <w:rFonts w:ascii="Calibri" w:hAnsi="Calibri" w:cs="Calibri"/>
                <w:color w:val="1F497D"/>
                <w:sz w:val="20"/>
              </w:rPr>
              <w:t>,</w:t>
            </w:r>
            <w:r w:rsidRPr="002D6F10">
              <w:rPr>
                <w:rFonts w:ascii="Calibri" w:hAnsi="Calibri" w:cs="Calibri"/>
                <w:color w:val="1F497D"/>
                <w:sz w:val="20"/>
              </w:rPr>
              <w:t>9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2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79357BC" w14:textId="17F34C9C" w:rsidR="00647974" w:rsidRPr="00254030" w:rsidRDefault="00647974" w:rsidP="00647974">
            <w:pPr>
              <w:overflowPunct/>
              <w:autoSpaceDE/>
              <w:autoSpaceDN/>
              <w:adjustRightInd/>
              <w:jc w:val="center"/>
              <w:textAlignment w:val="bottom"/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</w:pPr>
            <w:r w:rsidRPr="002D6F10">
              <w:rPr>
                <w:rFonts w:ascii="Calibri" w:hAnsi="Calibri" w:cs="Calibri"/>
                <w:b/>
                <w:bCs/>
                <w:color w:val="FF0000"/>
                <w:sz w:val="20"/>
              </w:rPr>
              <w:t>11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</w:rPr>
              <w:t>,</w:t>
            </w:r>
            <w:r w:rsidRPr="002D6F10">
              <w:rPr>
                <w:rFonts w:ascii="Calibri" w:hAnsi="Calibri" w:cs="Calibri"/>
                <w:b/>
                <w:bCs/>
                <w:color w:val="FF0000"/>
                <w:sz w:val="20"/>
              </w:rPr>
              <w:t>8</w:t>
            </w:r>
          </w:p>
        </w:tc>
        <w:tc>
          <w:tcPr>
            <w:tcW w:w="16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2" w:color="auto" w:fill="auto"/>
            <w:vAlign w:val="center"/>
          </w:tcPr>
          <w:p w14:paraId="2A99A2F0" w14:textId="744E07B4" w:rsidR="00647974" w:rsidRPr="00254030" w:rsidRDefault="00647974" w:rsidP="00647974">
            <w:pPr>
              <w:overflowPunct/>
              <w:autoSpaceDE/>
              <w:autoSpaceDN/>
              <w:adjustRightInd/>
              <w:jc w:val="center"/>
              <w:textAlignment w:val="bottom"/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</w:pPr>
            <w:r w:rsidRPr="002D6F10">
              <w:rPr>
                <w:rFonts w:ascii="Calibri" w:hAnsi="Calibri" w:cs="Calibri"/>
                <w:b/>
                <w:bCs/>
                <w:color w:val="FF0000"/>
                <w:sz w:val="20"/>
              </w:rPr>
              <w:t>6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</w:rPr>
              <w:t>,</w:t>
            </w:r>
            <w:r w:rsidRPr="002D6F10">
              <w:rPr>
                <w:rFonts w:ascii="Calibri" w:hAnsi="Calibri" w:cs="Calibri"/>
                <w:b/>
                <w:bCs/>
                <w:color w:val="FF0000"/>
                <w:sz w:val="20"/>
              </w:rPr>
              <w:t>8</w:t>
            </w:r>
          </w:p>
        </w:tc>
      </w:tr>
      <w:tr w:rsidR="00647974" w:rsidRPr="00F37DC9" w14:paraId="6F4CA3D3" w14:textId="232459AF" w:rsidTr="007B5D5A">
        <w:trPr>
          <w:trHeight w:val="89"/>
          <w:jc w:val="center"/>
        </w:trPr>
        <w:tc>
          <w:tcPr>
            <w:tcW w:w="5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3576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87A8E" w14:textId="77777777" w:rsidR="00647974" w:rsidRPr="00F37DC9" w:rsidRDefault="00647974" w:rsidP="00647974">
            <w:pPr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Cs w:val="18"/>
              </w:rPr>
            </w:pPr>
            <w:r w:rsidRPr="00F37DC9">
              <w:rPr>
                <w:rFonts w:ascii="Calibri" w:hAnsi="Calibri" w:cs="Calibri"/>
                <w:b/>
                <w:bCs/>
                <w:color w:val="FFFFFF" w:themeColor="light1"/>
                <w:kern w:val="24"/>
                <w:szCs w:val="18"/>
              </w:rPr>
              <w:t>Růst reálného HDP v eurozóně (%)</w:t>
            </w:r>
          </w:p>
        </w:tc>
        <w:tc>
          <w:tcPr>
            <w:tcW w:w="1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2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89801DE" w14:textId="0E49BEBE" w:rsidR="00647974" w:rsidRPr="00DD4A8E" w:rsidRDefault="00647974" w:rsidP="0064797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D6F10">
              <w:rPr>
                <w:rFonts w:ascii="Calibri" w:hAnsi="Calibri" w:cs="Calibri"/>
                <w:color w:val="16365C"/>
                <w:sz w:val="20"/>
              </w:rPr>
              <w:t>-6</w:t>
            </w:r>
            <w:r>
              <w:rPr>
                <w:rFonts w:ascii="Calibri" w:hAnsi="Calibri" w:cs="Calibri"/>
                <w:color w:val="16365C"/>
                <w:sz w:val="20"/>
              </w:rPr>
              <w:t>,</w:t>
            </w:r>
            <w:r w:rsidRPr="002D6F10">
              <w:rPr>
                <w:rFonts w:ascii="Calibri" w:hAnsi="Calibri" w:cs="Calibri"/>
                <w:color w:val="16365C"/>
                <w:sz w:val="20"/>
              </w:rPr>
              <w:t>9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2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8C9C15" w14:textId="02D452A3" w:rsidR="00647974" w:rsidRPr="00254030" w:rsidRDefault="00647974" w:rsidP="00647974">
            <w:pPr>
              <w:overflowPunct/>
              <w:autoSpaceDE/>
              <w:autoSpaceDN/>
              <w:adjustRightInd/>
              <w:jc w:val="center"/>
              <w:textAlignment w:val="bottom"/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</w:pPr>
            <w:r w:rsidRPr="002D6F10">
              <w:rPr>
                <w:rFonts w:ascii="Calibri" w:hAnsi="Calibri" w:cs="Calibri"/>
                <w:b/>
                <w:bCs/>
                <w:color w:val="FF0000"/>
                <w:sz w:val="20"/>
              </w:rPr>
              <w:t>5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</w:rPr>
              <w:t>,</w:t>
            </w:r>
            <w:r w:rsidRPr="002D6F10">
              <w:rPr>
                <w:rFonts w:ascii="Calibri" w:hAnsi="Calibri" w:cs="Calibri"/>
                <w:b/>
                <w:bCs/>
                <w:color w:val="FF0000"/>
                <w:sz w:val="20"/>
              </w:rPr>
              <w:t>0</w:t>
            </w:r>
          </w:p>
        </w:tc>
        <w:tc>
          <w:tcPr>
            <w:tcW w:w="16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2" w:color="auto" w:fill="auto"/>
            <w:vAlign w:val="center"/>
          </w:tcPr>
          <w:p w14:paraId="44915947" w14:textId="24263D02" w:rsidR="00647974" w:rsidRPr="00254030" w:rsidRDefault="00647974" w:rsidP="00647974">
            <w:pPr>
              <w:overflowPunct/>
              <w:autoSpaceDE/>
              <w:autoSpaceDN/>
              <w:adjustRightInd/>
              <w:jc w:val="center"/>
              <w:textAlignment w:val="bottom"/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</w:pPr>
            <w:r w:rsidRPr="002D6F10">
              <w:rPr>
                <w:rFonts w:ascii="Calibri" w:hAnsi="Calibri" w:cs="Calibri"/>
                <w:b/>
                <w:bCs/>
                <w:color w:val="FF0000"/>
                <w:sz w:val="20"/>
              </w:rPr>
              <w:t>4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</w:rPr>
              <w:t>,</w:t>
            </w:r>
            <w:r w:rsidRPr="002D6F10">
              <w:rPr>
                <w:rFonts w:ascii="Calibri" w:hAnsi="Calibri" w:cs="Calibri"/>
                <w:b/>
                <w:bCs/>
                <w:color w:val="FF0000"/>
                <w:sz w:val="20"/>
              </w:rPr>
              <w:t>0</w:t>
            </w:r>
          </w:p>
        </w:tc>
      </w:tr>
      <w:tr w:rsidR="00647974" w:rsidRPr="00F37DC9" w14:paraId="60142AA4" w14:textId="171AD64E" w:rsidTr="007B5D5A">
        <w:trPr>
          <w:trHeight w:val="89"/>
          <w:jc w:val="center"/>
        </w:trPr>
        <w:tc>
          <w:tcPr>
            <w:tcW w:w="5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3576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5B974" w14:textId="77777777" w:rsidR="00647974" w:rsidRPr="00F37DC9" w:rsidRDefault="00647974" w:rsidP="00647974">
            <w:pPr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Cs w:val="18"/>
              </w:rPr>
            </w:pPr>
            <w:r w:rsidRPr="00F37DC9">
              <w:rPr>
                <w:rFonts w:ascii="Calibri" w:hAnsi="Calibri" w:cs="Calibri"/>
                <w:b/>
                <w:bCs/>
                <w:color w:val="FFFFFF" w:themeColor="light1"/>
                <w:kern w:val="24"/>
                <w:szCs w:val="18"/>
              </w:rPr>
              <w:t>Směnný kurz CZK/EUR: průměr</w:t>
            </w:r>
          </w:p>
        </w:tc>
        <w:tc>
          <w:tcPr>
            <w:tcW w:w="1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2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C226044" w14:textId="7FE1BEC5" w:rsidR="00647974" w:rsidRPr="00DD4A8E" w:rsidRDefault="00647974" w:rsidP="0064797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D6F10">
              <w:rPr>
                <w:rFonts w:ascii="Calibri" w:hAnsi="Calibri" w:cs="Calibri"/>
                <w:color w:val="1F497D"/>
                <w:sz w:val="20"/>
              </w:rPr>
              <w:t>26</w:t>
            </w:r>
            <w:r>
              <w:rPr>
                <w:rFonts w:ascii="Calibri" w:hAnsi="Calibri" w:cs="Calibri"/>
                <w:color w:val="1F497D"/>
                <w:sz w:val="20"/>
              </w:rPr>
              <w:t>,</w:t>
            </w:r>
            <w:r w:rsidRPr="002D6F10">
              <w:rPr>
                <w:rFonts w:ascii="Calibri" w:hAnsi="Calibri" w:cs="Calibri"/>
                <w:color w:val="1F497D"/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2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D3C408" w14:textId="1D65F050" w:rsidR="00647974" w:rsidRPr="00254030" w:rsidRDefault="00647974" w:rsidP="00647974">
            <w:pPr>
              <w:overflowPunct/>
              <w:autoSpaceDE/>
              <w:autoSpaceDN/>
              <w:adjustRightInd/>
              <w:jc w:val="center"/>
              <w:textAlignment w:val="bottom"/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</w:pPr>
            <w:r w:rsidRPr="002D6F10">
              <w:rPr>
                <w:rFonts w:ascii="Calibri" w:hAnsi="Calibri" w:cs="Calibri"/>
                <w:b/>
                <w:bCs/>
                <w:color w:val="FF0000"/>
                <w:sz w:val="20"/>
              </w:rPr>
              <w:t>25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</w:rPr>
              <w:t>,</w:t>
            </w:r>
            <w:r w:rsidRPr="002D6F10">
              <w:rPr>
                <w:rFonts w:ascii="Calibri" w:hAnsi="Calibri" w:cs="Calibri"/>
                <w:b/>
                <w:bCs/>
                <w:color w:val="FF0000"/>
                <w:sz w:val="20"/>
              </w:rPr>
              <w:t>6</w:t>
            </w:r>
          </w:p>
        </w:tc>
        <w:tc>
          <w:tcPr>
            <w:tcW w:w="16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2" w:color="auto" w:fill="auto"/>
            <w:vAlign w:val="center"/>
          </w:tcPr>
          <w:p w14:paraId="7B9C3C2F" w14:textId="06306BC3" w:rsidR="00647974" w:rsidRPr="00254030" w:rsidRDefault="00647974" w:rsidP="00647974">
            <w:pPr>
              <w:overflowPunct/>
              <w:autoSpaceDE/>
              <w:autoSpaceDN/>
              <w:adjustRightInd/>
              <w:jc w:val="center"/>
              <w:textAlignment w:val="bottom"/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</w:pPr>
            <w:r w:rsidRPr="002D6F10">
              <w:rPr>
                <w:rFonts w:ascii="Calibri" w:hAnsi="Calibri" w:cs="Calibri"/>
                <w:b/>
                <w:bCs/>
                <w:color w:val="FF0000"/>
                <w:sz w:val="20"/>
              </w:rPr>
              <w:t>24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</w:rPr>
              <w:t>,</w:t>
            </w:r>
            <w:r w:rsidRPr="002D6F10">
              <w:rPr>
                <w:rFonts w:ascii="Calibri" w:hAnsi="Calibri" w:cs="Calibri"/>
                <w:b/>
                <w:bCs/>
                <w:color w:val="FF0000"/>
                <w:sz w:val="20"/>
              </w:rPr>
              <w:t>9</w:t>
            </w:r>
          </w:p>
        </w:tc>
      </w:tr>
      <w:tr w:rsidR="00647974" w:rsidRPr="00F37DC9" w14:paraId="5A0AEB3B" w14:textId="77777777" w:rsidTr="007B5D5A">
        <w:trPr>
          <w:trHeight w:val="89"/>
          <w:jc w:val="center"/>
        </w:trPr>
        <w:tc>
          <w:tcPr>
            <w:tcW w:w="5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3576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5D98831" w14:textId="2E950CBB" w:rsidR="00647974" w:rsidRPr="00F37DC9" w:rsidRDefault="00647974" w:rsidP="00647974">
            <w:pPr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bCs/>
                <w:color w:val="FFFFFF" w:themeColor="light1"/>
                <w:kern w:val="24"/>
                <w:szCs w:val="18"/>
              </w:rPr>
            </w:pPr>
            <w:r w:rsidRPr="00F37DC9">
              <w:rPr>
                <w:rFonts w:ascii="Calibri" w:hAnsi="Calibri" w:cs="Calibri"/>
                <w:b/>
                <w:bCs/>
                <w:color w:val="FFFFFF" w:themeColor="light1"/>
                <w:kern w:val="24"/>
                <w:szCs w:val="18"/>
              </w:rPr>
              <w:t xml:space="preserve">Směnný kurz CZK/EUR: </w:t>
            </w:r>
            <w:r>
              <w:rPr>
                <w:rFonts w:ascii="Calibri" w:hAnsi="Calibri" w:cs="Calibri"/>
                <w:b/>
                <w:bCs/>
                <w:color w:val="FFFFFF" w:themeColor="light1"/>
                <w:kern w:val="24"/>
                <w:szCs w:val="18"/>
              </w:rPr>
              <w:t>konec roku</w:t>
            </w:r>
          </w:p>
        </w:tc>
        <w:tc>
          <w:tcPr>
            <w:tcW w:w="1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2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54AA542" w14:textId="244FFDBA" w:rsidR="00647974" w:rsidRPr="00DD4A8E" w:rsidRDefault="00647974" w:rsidP="0064797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D6F10">
              <w:rPr>
                <w:rFonts w:ascii="Calibri" w:hAnsi="Calibri" w:cs="Calibri"/>
                <w:color w:val="1F497D"/>
                <w:sz w:val="20"/>
              </w:rPr>
              <w:t>26</w:t>
            </w:r>
            <w:r>
              <w:rPr>
                <w:rFonts w:ascii="Calibri" w:hAnsi="Calibri" w:cs="Calibri"/>
                <w:color w:val="1F497D"/>
                <w:sz w:val="20"/>
              </w:rPr>
              <w:t>,</w:t>
            </w:r>
            <w:r w:rsidRPr="002D6F10">
              <w:rPr>
                <w:rFonts w:ascii="Calibri" w:hAnsi="Calibri" w:cs="Calibri"/>
                <w:color w:val="1F497D"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2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BB28634" w14:textId="5487AF43" w:rsidR="00647974" w:rsidRPr="00254030" w:rsidRDefault="00647974" w:rsidP="00647974">
            <w:pPr>
              <w:overflowPunct/>
              <w:autoSpaceDE/>
              <w:autoSpaceDN/>
              <w:adjustRightInd/>
              <w:jc w:val="center"/>
              <w:textAlignment w:val="bottom"/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</w:pPr>
            <w:r w:rsidRPr="002D6F10">
              <w:rPr>
                <w:rFonts w:ascii="Calibri" w:hAnsi="Calibri" w:cs="Calibri"/>
                <w:b/>
                <w:bCs/>
                <w:color w:val="FF0000"/>
                <w:sz w:val="20"/>
              </w:rPr>
              <w:t>25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</w:rPr>
              <w:t>,</w:t>
            </w:r>
            <w:r w:rsidRPr="002D6F10">
              <w:rPr>
                <w:rFonts w:ascii="Calibri" w:hAnsi="Calibri" w:cs="Calibri"/>
                <w:b/>
                <w:bCs/>
                <w:color w:val="FF0000"/>
                <w:sz w:val="20"/>
              </w:rPr>
              <w:t>2</w:t>
            </w:r>
          </w:p>
        </w:tc>
        <w:tc>
          <w:tcPr>
            <w:tcW w:w="16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2" w:color="auto" w:fill="auto"/>
            <w:vAlign w:val="center"/>
          </w:tcPr>
          <w:p w14:paraId="3AD35FB1" w14:textId="728AE1CE" w:rsidR="00647974" w:rsidRPr="00254030" w:rsidRDefault="00647974" w:rsidP="00647974">
            <w:pPr>
              <w:overflowPunct/>
              <w:autoSpaceDE/>
              <w:autoSpaceDN/>
              <w:adjustRightInd/>
              <w:jc w:val="center"/>
              <w:textAlignment w:val="bottom"/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</w:pPr>
            <w:r w:rsidRPr="002D6F10">
              <w:rPr>
                <w:rFonts w:ascii="Calibri" w:hAnsi="Calibri" w:cs="Calibri"/>
                <w:b/>
                <w:bCs/>
                <w:color w:val="FF0000"/>
                <w:sz w:val="20"/>
              </w:rPr>
              <w:t>24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</w:rPr>
              <w:t>,</w:t>
            </w:r>
            <w:r w:rsidRPr="002D6F10">
              <w:rPr>
                <w:rFonts w:ascii="Calibri" w:hAnsi="Calibri" w:cs="Calibri"/>
                <w:b/>
                <w:bCs/>
                <w:color w:val="FF0000"/>
                <w:sz w:val="20"/>
              </w:rPr>
              <w:t>8</w:t>
            </w:r>
          </w:p>
        </w:tc>
      </w:tr>
      <w:tr w:rsidR="00647974" w:rsidRPr="00F37DC9" w14:paraId="445C4C94" w14:textId="33BDCCB6" w:rsidTr="007B5D5A">
        <w:trPr>
          <w:trHeight w:val="89"/>
          <w:jc w:val="center"/>
        </w:trPr>
        <w:tc>
          <w:tcPr>
            <w:tcW w:w="5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3576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4B737" w14:textId="77777777" w:rsidR="00647974" w:rsidRPr="00F37DC9" w:rsidRDefault="00647974" w:rsidP="00647974">
            <w:pPr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Cs w:val="18"/>
              </w:rPr>
            </w:pPr>
            <w:r w:rsidRPr="00F37DC9">
              <w:rPr>
                <w:rFonts w:ascii="Calibri" w:hAnsi="Calibri" w:cs="Calibri"/>
                <w:b/>
                <w:bCs/>
                <w:color w:val="FFFFFF" w:themeColor="light1"/>
                <w:kern w:val="24"/>
                <w:szCs w:val="18"/>
              </w:rPr>
              <w:t>Ceny ropy (USD za barel): brent průměr</w:t>
            </w:r>
          </w:p>
        </w:tc>
        <w:tc>
          <w:tcPr>
            <w:tcW w:w="1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2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DA44B85" w14:textId="512395B1" w:rsidR="00647974" w:rsidRPr="00DD4A8E" w:rsidRDefault="00647974" w:rsidP="0064797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D6F10">
              <w:rPr>
                <w:rFonts w:ascii="Calibri" w:hAnsi="Calibri" w:cs="Calibri"/>
                <w:color w:val="1F497D"/>
                <w:sz w:val="20"/>
              </w:rPr>
              <w:t>43</w:t>
            </w:r>
            <w:r>
              <w:rPr>
                <w:rFonts w:ascii="Calibri" w:hAnsi="Calibri" w:cs="Calibri"/>
                <w:color w:val="1F497D"/>
                <w:sz w:val="20"/>
              </w:rPr>
              <w:t>,</w:t>
            </w:r>
            <w:r w:rsidRPr="002D6F10">
              <w:rPr>
                <w:rFonts w:ascii="Calibri" w:hAnsi="Calibri" w:cs="Calibri"/>
                <w:color w:val="1F497D"/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2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2F1E147" w14:textId="77AA9B90" w:rsidR="00647974" w:rsidRPr="00254030" w:rsidRDefault="00647974" w:rsidP="00647974">
            <w:pPr>
              <w:overflowPunct/>
              <w:autoSpaceDE/>
              <w:autoSpaceDN/>
              <w:adjustRightInd/>
              <w:jc w:val="center"/>
              <w:textAlignment w:val="bottom"/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</w:pPr>
            <w:r w:rsidRPr="002D6F10">
              <w:rPr>
                <w:rFonts w:ascii="Calibri" w:hAnsi="Calibri" w:cs="Calibri"/>
                <w:b/>
                <w:bCs/>
                <w:color w:val="FF0000"/>
                <w:sz w:val="20"/>
              </w:rPr>
              <w:t>71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</w:rPr>
              <w:t>,</w:t>
            </w:r>
            <w:r w:rsidRPr="002D6F10">
              <w:rPr>
                <w:rFonts w:ascii="Calibri" w:hAnsi="Calibri" w:cs="Calibri"/>
                <w:b/>
                <w:bCs/>
                <w:color w:val="FF0000"/>
                <w:sz w:val="20"/>
              </w:rPr>
              <w:t>1</w:t>
            </w:r>
          </w:p>
        </w:tc>
        <w:tc>
          <w:tcPr>
            <w:tcW w:w="16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2" w:color="auto" w:fill="auto"/>
            <w:vAlign w:val="center"/>
          </w:tcPr>
          <w:p w14:paraId="136342DA" w14:textId="26787739" w:rsidR="00647974" w:rsidRPr="00254030" w:rsidRDefault="00647974" w:rsidP="00647974">
            <w:pPr>
              <w:overflowPunct/>
              <w:autoSpaceDE/>
              <w:autoSpaceDN/>
              <w:adjustRightInd/>
              <w:jc w:val="center"/>
              <w:textAlignment w:val="bottom"/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</w:pPr>
            <w:r w:rsidRPr="002D6F10">
              <w:rPr>
                <w:rFonts w:ascii="Calibri" w:hAnsi="Calibri" w:cs="Calibri"/>
                <w:b/>
                <w:bCs/>
                <w:color w:val="FF0000"/>
                <w:sz w:val="20"/>
              </w:rPr>
              <w:t>73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</w:rPr>
              <w:t>,</w:t>
            </w:r>
            <w:r w:rsidRPr="002D6F10">
              <w:rPr>
                <w:rFonts w:ascii="Calibri" w:hAnsi="Calibri" w:cs="Calibri"/>
                <w:b/>
                <w:bCs/>
                <w:color w:val="FF0000"/>
                <w:sz w:val="20"/>
              </w:rPr>
              <w:t>5</w:t>
            </w:r>
          </w:p>
        </w:tc>
      </w:tr>
      <w:tr w:rsidR="00647974" w:rsidRPr="00F37DC9" w14:paraId="23861021" w14:textId="62086BC7" w:rsidTr="007B5D5A">
        <w:trPr>
          <w:trHeight w:val="89"/>
          <w:jc w:val="center"/>
        </w:trPr>
        <w:tc>
          <w:tcPr>
            <w:tcW w:w="5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3576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29BAA" w14:textId="77777777" w:rsidR="00647974" w:rsidRPr="00F37DC9" w:rsidRDefault="00647974" w:rsidP="00647974">
            <w:pPr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Cs w:val="18"/>
              </w:rPr>
            </w:pPr>
            <w:r w:rsidRPr="00F37DC9">
              <w:rPr>
                <w:rFonts w:ascii="Calibri" w:hAnsi="Calibri" w:cs="Calibri"/>
                <w:b/>
                <w:bCs/>
                <w:color w:val="FFFFFF" w:themeColor="light1"/>
                <w:kern w:val="24"/>
                <w:szCs w:val="18"/>
              </w:rPr>
              <w:t>Základní sazba ČNB 2T REPO (%): konec období</w:t>
            </w:r>
          </w:p>
        </w:tc>
        <w:tc>
          <w:tcPr>
            <w:tcW w:w="1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2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09D982A" w14:textId="091ED2D7" w:rsidR="00647974" w:rsidRPr="00DD4A8E" w:rsidRDefault="00647974" w:rsidP="0064797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D6F10">
              <w:rPr>
                <w:rFonts w:ascii="Calibri" w:hAnsi="Calibri" w:cs="Calibri"/>
                <w:color w:val="1F497D"/>
                <w:sz w:val="20"/>
              </w:rPr>
              <w:t>0</w:t>
            </w:r>
            <w:r>
              <w:rPr>
                <w:rFonts w:ascii="Calibri" w:hAnsi="Calibri" w:cs="Calibri"/>
                <w:color w:val="1F497D"/>
                <w:sz w:val="20"/>
              </w:rPr>
              <w:t>,</w:t>
            </w:r>
            <w:r w:rsidRPr="002D6F10">
              <w:rPr>
                <w:rFonts w:ascii="Calibri" w:hAnsi="Calibri" w:cs="Calibri"/>
                <w:color w:val="1F497D"/>
                <w:sz w:val="20"/>
              </w:rPr>
              <w:t>25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2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E35022" w14:textId="3F6511DA" w:rsidR="00647974" w:rsidRPr="00254030" w:rsidRDefault="00647974" w:rsidP="00647974">
            <w:pPr>
              <w:overflowPunct/>
              <w:autoSpaceDE/>
              <w:autoSpaceDN/>
              <w:adjustRightInd/>
              <w:jc w:val="center"/>
              <w:textAlignment w:val="bottom"/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</w:pPr>
            <w:r w:rsidRPr="002D6F10">
              <w:rPr>
                <w:rFonts w:ascii="Calibri" w:hAnsi="Calibri" w:cs="Calibri"/>
                <w:b/>
                <w:bCs/>
                <w:color w:val="FF0000"/>
                <w:sz w:val="20"/>
              </w:rPr>
              <w:t>3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</w:rPr>
              <w:t>,</w:t>
            </w:r>
            <w:r w:rsidRPr="002D6F10">
              <w:rPr>
                <w:rFonts w:ascii="Calibri" w:hAnsi="Calibri" w:cs="Calibri"/>
                <w:b/>
                <w:bCs/>
                <w:color w:val="FF0000"/>
                <w:sz w:val="20"/>
              </w:rPr>
              <w:t>25</w:t>
            </w:r>
          </w:p>
        </w:tc>
        <w:tc>
          <w:tcPr>
            <w:tcW w:w="16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2" w:color="auto" w:fill="auto"/>
            <w:vAlign w:val="center"/>
          </w:tcPr>
          <w:p w14:paraId="781B8F2D" w14:textId="4CDB705C" w:rsidR="00647974" w:rsidRPr="00254030" w:rsidRDefault="00647974" w:rsidP="00647974">
            <w:pPr>
              <w:overflowPunct/>
              <w:autoSpaceDE/>
              <w:autoSpaceDN/>
              <w:adjustRightInd/>
              <w:jc w:val="center"/>
              <w:textAlignment w:val="bottom"/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</w:pPr>
            <w:r w:rsidRPr="002D6F10">
              <w:rPr>
                <w:rFonts w:ascii="Calibri" w:hAnsi="Calibri" w:cs="Calibri"/>
                <w:b/>
                <w:bCs/>
                <w:color w:val="FF0000"/>
                <w:sz w:val="20"/>
              </w:rPr>
              <w:t>3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</w:rPr>
              <w:t>,</w:t>
            </w:r>
            <w:r w:rsidRPr="002D6F10">
              <w:rPr>
                <w:rFonts w:ascii="Calibri" w:hAnsi="Calibri" w:cs="Calibri"/>
                <w:b/>
                <w:bCs/>
                <w:color w:val="FF0000"/>
                <w:sz w:val="20"/>
              </w:rPr>
              <w:t>38</w:t>
            </w:r>
          </w:p>
        </w:tc>
      </w:tr>
      <w:tr w:rsidR="00647974" w:rsidRPr="00F37DC9" w14:paraId="32A294F8" w14:textId="5450A20A" w:rsidTr="007B5D5A">
        <w:trPr>
          <w:trHeight w:val="89"/>
          <w:jc w:val="center"/>
        </w:trPr>
        <w:tc>
          <w:tcPr>
            <w:tcW w:w="5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3576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58B6A" w14:textId="77777777" w:rsidR="00647974" w:rsidRPr="00F37DC9" w:rsidRDefault="00647974" w:rsidP="00647974">
            <w:pPr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Cs w:val="18"/>
              </w:rPr>
            </w:pPr>
            <w:r w:rsidRPr="00F37DC9">
              <w:rPr>
                <w:rFonts w:ascii="Calibri" w:hAnsi="Calibri" w:cs="Calibri"/>
                <w:b/>
                <w:bCs/>
                <w:color w:val="FFFFFF" w:themeColor="light1"/>
                <w:kern w:val="24"/>
                <w:szCs w:val="18"/>
              </w:rPr>
              <w:t>Základní sazba ECB (%): konec období</w:t>
            </w:r>
          </w:p>
        </w:tc>
        <w:tc>
          <w:tcPr>
            <w:tcW w:w="1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2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956D446" w14:textId="509252CA" w:rsidR="00647974" w:rsidRPr="00DD4A8E" w:rsidRDefault="00647974" w:rsidP="00647974">
            <w:pPr>
              <w:overflowPunct/>
              <w:autoSpaceDE/>
              <w:autoSpaceDN/>
              <w:adjustRightInd/>
              <w:jc w:val="center"/>
              <w:textAlignment w:val="bottom"/>
              <w:rPr>
                <w:rFonts w:ascii="Calibri" w:eastAsia="PMingLiU" w:hAnsi="Calibri" w:cs="Calibri"/>
                <w:b/>
                <w:bCs/>
                <w:kern w:val="24"/>
                <w:szCs w:val="18"/>
              </w:rPr>
            </w:pPr>
            <w:r w:rsidRPr="002D6F10">
              <w:rPr>
                <w:rFonts w:ascii="Calibri" w:hAnsi="Calibri" w:cs="Calibri"/>
                <w:color w:val="1F497D"/>
                <w:sz w:val="20"/>
              </w:rPr>
              <w:t>0</w:t>
            </w:r>
            <w:r>
              <w:rPr>
                <w:rFonts w:ascii="Calibri" w:hAnsi="Calibri" w:cs="Calibri"/>
                <w:color w:val="1F497D"/>
                <w:sz w:val="20"/>
              </w:rPr>
              <w:t>,</w:t>
            </w:r>
            <w:r w:rsidRPr="002D6F10">
              <w:rPr>
                <w:rFonts w:ascii="Calibri" w:hAnsi="Calibri" w:cs="Calibri"/>
                <w:color w:val="1F497D"/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2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31A4A56" w14:textId="584FFB2C" w:rsidR="00647974" w:rsidRPr="00254030" w:rsidRDefault="00647974" w:rsidP="00647974">
            <w:pPr>
              <w:overflowPunct/>
              <w:autoSpaceDE/>
              <w:autoSpaceDN/>
              <w:adjustRightInd/>
              <w:jc w:val="center"/>
              <w:textAlignment w:val="bottom"/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</w:pPr>
            <w:r w:rsidRPr="002D6F10">
              <w:rPr>
                <w:rFonts w:ascii="Calibri" w:hAnsi="Calibri" w:cs="Calibri"/>
                <w:b/>
                <w:bCs/>
                <w:color w:val="FF0000"/>
                <w:sz w:val="20"/>
              </w:rPr>
              <w:t>0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</w:rPr>
              <w:t>,</w:t>
            </w:r>
            <w:r w:rsidRPr="002D6F10">
              <w:rPr>
                <w:rFonts w:ascii="Calibri" w:hAnsi="Calibri" w:cs="Calibri"/>
                <w:b/>
                <w:bCs/>
                <w:color w:val="FF0000"/>
                <w:sz w:val="20"/>
              </w:rPr>
              <w:t>0</w:t>
            </w:r>
          </w:p>
        </w:tc>
        <w:tc>
          <w:tcPr>
            <w:tcW w:w="16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2" w:color="auto" w:fill="auto"/>
            <w:vAlign w:val="center"/>
          </w:tcPr>
          <w:p w14:paraId="34653AAA" w14:textId="7B265B71" w:rsidR="00647974" w:rsidRPr="00254030" w:rsidRDefault="00647974" w:rsidP="00647974">
            <w:pPr>
              <w:overflowPunct/>
              <w:autoSpaceDE/>
              <w:autoSpaceDN/>
              <w:adjustRightInd/>
              <w:jc w:val="center"/>
              <w:textAlignment w:val="bottom"/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</w:pPr>
            <w:r w:rsidRPr="002D6F10">
              <w:rPr>
                <w:rFonts w:ascii="Calibri" w:hAnsi="Calibri" w:cs="Calibri"/>
                <w:b/>
                <w:bCs/>
                <w:color w:val="FF0000"/>
                <w:sz w:val="20"/>
              </w:rPr>
              <w:t>0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</w:rPr>
              <w:t>,</w:t>
            </w:r>
            <w:r w:rsidRPr="002D6F10">
              <w:rPr>
                <w:rFonts w:ascii="Calibri" w:hAnsi="Calibri" w:cs="Calibri"/>
                <w:b/>
                <w:bCs/>
                <w:color w:val="FF0000"/>
                <w:sz w:val="20"/>
              </w:rPr>
              <w:t>0</w:t>
            </w:r>
          </w:p>
        </w:tc>
      </w:tr>
      <w:tr w:rsidR="00647974" w:rsidRPr="00F37DC9" w14:paraId="72155F13" w14:textId="2A886E37" w:rsidTr="007B5D5A">
        <w:trPr>
          <w:trHeight w:val="89"/>
          <w:jc w:val="center"/>
        </w:trPr>
        <w:tc>
          <w:tcPr>
            <w:tcW w:w="5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3576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9ABC3" w14:textId="77777777" w:rsidR="00647974" w:rsidRPr="00F37DC9" w:rsidRDefault="00647974" w:rsidP="00647974">
            <w:pPr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Cs w:val="18"/>
              </w:rPr>
            </w:pPr>
            <w:r w:rsidRPr="00F37DC9">
              <w:rPr>
                <w:rFonts w:ascii="Calibri" w:hAnsi="Calibri" w:cs="Calibri"/>
                <w:b/>
                <w:bCs/>
                <w:color w:val="FFFFFF" w:themeColor="light1"/>
                <w:kern w:val="24"/>
                <w:szCs w:val="18"/>
              </w:rPr>
              <w:t>3M-PRIBOR (%): průměr</w:t>
            </w:r>
          </w:p>
        </w:tc>
        <w:tc>
          <w:tcPr>
            <w:tcW w:w="1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2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B373A3" w14:textId="4F0A465C" w:rsidR="00647974" w:rsidRPr="00DD4A8E" w:rsidRDefault="00647974" w:rsidP="0064797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D6F10">
              <w:rPr>
                <w:rFonts w:ascii="Calibri" w:hAnsi="Calibri" w:cs="Calibri"/>
                <w:color w:val="1F497D"/>
                <w:sz w:val="20"/>
              </w:rPr>
              <w:t>0</w:t>
            </w:r>
            <w:r>
              <w:rPr>
                <w:rFonts w:ascii="Calibri" w:hAnsi="Calibri" w:cs="Calibri"/>
                <w:color w:val="1F497D"/>
                <w:sz w:val="20"/>
              </w:rPr>
              <w:t>,</w:t>
            </w:r>
            <w:r w:rsidRPr="002D6F10">
              <w:rPr>
                <w:rFonts w:ascii="Calibri" w:hAnsi="Calibri" w:cs="Calibri"/>
                <w:color w:val="1F497D"/>
                <w:sz w:val="20"/>
              </w:rPr>
              <w:t>86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2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B680F07" w14:textId="4508BC48" w:rsidR="00647974" w:rsidRPr="00254030" w:rsidRDefault="00647974" w:rsidP="00647974">
            <w:pPr>
              <w:overflowPunct/>
              <w:autoSpaceDE/>
              <w:autoSpaceDN/>
              <w:adjustRightInd/>
              <w:jc w:val="center"/>
              <w:textAlignment w:val="bottom"/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</w:pPr>
            <w:r w:rsidRPr="002D6F10">
              <w:rPr>
                <w:rFonts w:ascii="Calibri" w:hAnsi="Calibri" w:cs="Calibri"/>
                <w:b/>
                <w:bCs/>
                <w:color w:val="FF0000"/>
                <w:sz w:val="20"/>
              </w:rPr>
              <w:t>1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</w:rPr>
              <w:t>,</w:t>
            </w:r>
            <w:r w:rsidRPr="002D6F10">
              <w:rPr>
                <w:rFonts w:ascii="Calibri" w:hAnsi="Calibri" w:cs="Calibri"/>
                <w:b/>
                <w:bCs/>
                <w:color w:val="FF0000"/>
                <w:sz w:val="20"/>
              </w:rPr>
              <w:t>14</w:t>
            </w:r>
          </w:p>
        </w:tc>
        <w:tc>
          <w:tcPr>
            <w:tcW w:w="16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2" w:color="auto" w:fill="auto"/>
            <w:vAlign w:val="center"/>
          </w:tcPr>
          <w:p w14:paraId="4EF90161" w14:textId="5F9A3BB2" w:rsidR="00647974" w:rsidRPr="00254030" w:rsidRDefault="00647974" w:rsidP="00647974">
            <w:pPr>
              <w:overflowPunct/>
              <w:autoSpaceDE/>
              <w:autoSpaceDN/>
              <w:adjustRightInd/>
              <w:jc w:val="center"/>
              <w:textAlignment w:val="bottom"/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</w:pPr>
            <w:r w:rsidRPr="002D6F10">
              <w:rPr>
                <w:rFonts w:ascii="Calibri" w:hAnsi="Calibri" w:cs="Calibri"/>
                <w:b/>
                <w:bCs/>
                <w:color w:val="FF0000"/>
                <w:sz w:val="20"/>
              </w:rPr>
              <w:t>3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</w:rPr>
              <w:t>,</w:t>
            </w:r>
            <w:r w:rsidRPr="002D6F10">
              <w:rPr>
                <w:rFonts w:ascii="Calibri" w:hAnsi="Calibri" w:cs="Calibri"/>
                <w:b/>
                <w:bCs/>
                <w:color w:val="FF0000"/>
                <w:sz w:val="20"/>
              </w:rPr>
              <w:t>40</w:t>
            </w:r>
          </w:p>
        </w:tc>
      </w:tr>
      <w:tr w:rsidR="00647974" w:rsidRPr="00F37DC9" w14:paraId="50544107" w14:textId="41B6D86E" w:rsidTr="007B5D5A">
        <w:trPr>
          <w:trHeight w:val="89"/>
          <w:jc w:val="center"/>
        </w:trPr>
        <w:tc>
          <w:tcPr>
            <w:tcW w:w="5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3576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D4C72" w14:textId="77777777" w:rsidR="00647974" w:rsidRPr="00F37DC9" w:rsidRDefault="00647974" w:rsidP="00647974">
            <w:pPr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Cs w:val="18"/>
              </w:rPr>
            </w:pPr>
            <w:r w:rsidRPr="00F37DC9">
              <w:rPr>
                <w:rFonts w:ascii="Calibri" w:hAnsi="Calibri" w:cs="Calibri"/>
                <w:b/>
                <w:bCs/>
                <w:color w:val="FFFFFF" w:themeColor="light1"/>
                <w:kern w:val="24"/>
                <w:szCs w:val="18"/>
              </w:rPr>
              <w:t>Růst bankovních úvěrů klientských (%)</w:t>
            </w:r>
          </w:p>
        </w:tc>
        <w:tc>
          <w:tcPr>
            <w:tcW w:w="1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2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CE019AA" w14:textId="4AD312D8" w:rsidR="00647974" w:rsidRPr="00DD4A8E" w:rsidRDefault="00647974" w:rsidP="0064797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D6F10">
              <w:rPr>
                <w:rFonts w:ascii="Calibri" w:hAnsi="Calibri" w:cs="Calibri"/>
                <w:color w:val="1F497D"/>
                <w:sz w:val="20"/>
              </w:rPr>
              <w:t>4</w:t>
            </w:r>
            <w:r>
              <w:rPr>
                <w:rFonts w:ascii="Calibri" w:hAnsi="Calibri" w:cs="Calibri"/>
                <w:color w:val="1F497D"/>
                <w:sz w:val="20"/>
              </w:rPr>
              <w:t>,</w:t>
            </w:r>
            <w:r w:rsidRPr="002D6F10">
              <w:rPr>
                <w:rFonts w:ascii="Calibri" w:hAnsi="Calibri" w:cs="Calibri"/>
                <w:color w:val="1F497D"/>
                <w:sz w:val="20"/>
              </w:rPr>
              <w:t>9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2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457989" w14:textId="31B3EF90" w:rsidR="00647974" w:rsidRPr="00254030" w:rsidRDefault="00647974" w:rsidP="00647974">
            <w:pPr>
              <w:overflowPunct/>
              <w:autoSpaceDE/>
              <w:autoSpaceDN/>
              <w:adjustRightInd/>
              <w:jc w:val="center"/>
              <w:textAlignment w:val="bottom"/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</w:pPr>
            <w:r w:rsidRPr="002D6F10">
              <w:rPr>
                <w:rFonts w:ascii="Calibri" w:hAnsi="Calibri" w:cs="Calibri"/>
                <w:b/>
                <w:bCs/>
                <w:color w:val="FF0000"/>
                <w:sz w:val="20"/>
              </w:rPr>
              <w:t>4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</w:rPr>
              <w:t>,</w:t>
            </w:r>
            <w:r w:rsidRPr="002D6F10">
              <w:rPr>
                <w:rFonts w:ascii="Calibri" w:hAnsi="Calibri" w:cs="Calibri"/>
                <w:b/>
                <w:bCs/>
                <w:color w:val="FF0000"/>
                <w:sz w:val="20"/>
              </w:rPr>
              <w:t>9</w:t>
            </w:r>
          </w:p>
        </w:tc>
        <w:tc>
          <w:tcPr>
            <w:tcW w:w="16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2" w:color="auto" w:fill="auto"/>
            <w:vAlign w:val="center"/>
          </w:tcPr>
          <w:p w14:paraId="1E99C6E9" w14:textId="4151CA76" w:rsidR="00647974" w:rsidRPr="00254030" w:rsidRDefault="00647974" w:rsidP="00647974">
            <w:pPr>
              <w:overflowPunct/>
              <w:autoSpaceDE/>
              <w:autoSpaceDN/>
              <w:adjustRightInd/>
              <w:jc w:val="center"/>
              <w:textAlignment w:val="bottom"/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</w:pPr>
            <w:r w:rsidRPr="002D6F10">
              <w:rPr>
                <w:rFonts w:ascii="Calibri" w:hAnsi="Calibri" w:cs="Calibri"/>
                <w:b/>
                <w:bCs/>
                <w:color w:val="FF0000"/>
                <w:sz w:val="20"/>
              </w:rPr>
              <w:t>5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</w:rPr>
              <w:t>,</w:t>
            </w:r>
            <w:r w:rsidRPr="002D6F10">
              <w:rPr>
                <w:rFonts w:ascii="Calibri" w:hAnsi="Calibri" w:cs="Calibri"/>
                <w:b/>
                <w:bCs/>
                <w:color w:val="FF0000"/>
                <w:sz w:val="20"/>
              </w:rPr>
              <w:t>1</w:t>
            </w:r>
          </w:p>
        </w:tc>
      </w:tr>
      <w:tr w:rsidR="00647974" w:rsidRPr="00F37DC9" w14:paraId="32076E5F" w14:textId="0C708F0C" w:rsidTr="007B5D5A">
        <w:trPr>
          <w:trHeight w:val="89"/>
          <w:jc w:val="center"/>
        </w:trPr>
        <w:tc>
          <w:tcPr>
            <w:tcW w:w="5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3576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F9597" w14:textId="77777777" w:rsidR="00647974" w:rsidRPr="00F37DC9" w:rsidRDefault="00647974" w:rsidP="00647974">
            <w:pPr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Cs w:val="18"/>
              </w:rPr>
            </w:pPr>
            <w:r w:rsidRPr="00F37DC9">
              <w:rPr>
                <w:rFonts w:ascii="Calibri" w:hAnsi="Calibri" w:cs="Calibri"/>
                <w:b/>
                <w:bCs/>
                <w:color w:val="FFFFFF" w:themeColor="light1"/>
                <w:kern w:val="24"/>
                <w:szCs w:val="18"/>
              </w:rPr>
              <w:t>Růst bankovních úvěrů domácnostem (%)</w:t>
            </w:r>
          </w:p>
        </w:tc>
        <w:tc>
          <w:tcPr>
            <w:tcW w:w="1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2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8369240" w14:textId="5EC333AF" w:rsidR="00647974" w:rsidRPr="00DD4A8E" w:rsidRDefault="00647974" w:rsidP="0064797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D6F10">
              <w:rPr>
                <w:rFonts w:ascii="Calibri" w:hAnsi="Calibri" w:cs="Calibri"/>
                <w:color w:val="1F497D"/>
                <w:sz w:val="20"/>
              </w:rPr>
              <w:t>6</w:t>
            </w:r>
            <w:r>
              <w:rPr>
                <w:rFonts w:ascii="Calibri" w:hAnsi="Calibri" w:cs="Calibri"/>
                <w:color w:val="1F497D"/>
                <w:sz w:val="20"/>
              </w:rPr>
              <w:t>,</w:t>
            </w:r>
            <w:r w:rsidRPr="002D6F10">
              <w:rPr>
                <w:rFonts w:ascii="Calibri" w:hAnsi="Calibri" w:cs="Calibri"/>
                <w:color w:val="1F497D"/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2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0957DC9" w14:textId="573598BB" w:rsidR="00647974" w:rsidRPr="00254030" w:rsidRDefault="00647974" w:rsidP="00647974">
            <w:pPr>
              <w:overflowPunct/>
              <w:autoSpaceDE/>
              <w:autoSpaceDN/>
              <w:adjustRightInd/>
              <w:jc w:val="center"/>
              <w:textAlignment w:val="bottom"/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</w:pPr>
            <w:r w:rsidRPr="002D6F10">
              <w:rPr>
                <w:rFonts w:ascii="Calibri" w:hAnsi="Calibri" w:cs="Calibri"/>
                <w:b/>
                <w:bCs/>
                <w:color w:val="FF0000"/>
                <w:sz w:val="20"/>
              </w:rPr>
              <w:t>7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</w:rPr>
              <w:t>,</w:t>
            </w:r>
            <w:r w:rsidRPr="002D6F10">
              <w:rPr>
                <w:rFonts w:ascii="Calibri" w:hAnsi="Calibri" w:cs="Calibri"/>
                <w:b/>
                <w:bCs/>
                <w:color w:val="FF0000"/>
                <w:sz w:val="20"/>
              </w:rPr>
              <w:t>7</w:t>
            </w:r>
          </w:p>
        </w:tc>
        <w:tc>
          <w:tcPr>
            <w:tcW w:w="16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2" w:color="auto" w:fill="auto"/>
            <w:vAlign w:val="center"/>
          </w:tcPr>
          <w:p w14:paraId="552C6DE4" w14:textId="7B5BB038" w:rsidR="00647974" w:rsidRPr="00254030" w:rsidRDefault="00647974" w:rsidP="00647974">
            <w:pPr>
              <w:overflowPunct/>
              <w:autoSpaceDE/>
              <w:autoSpaceDN/>
              <w:adjustRightInd/>
              <w:jc w:val="center"/>
              <w:textAlignment w:val="bottom"/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</w:pPr>
            <w:r w:rsidRPr="002D6F10">
              <w:rPr>
                <w:rFonts w:ascii="Calibri" w:hAnsi="Calibri" w:cs="Calibri"/>
                <w:b/>
                <w:bCs/>
                <w:color w:val="FF0000"/>
                <w:sz w:val="20"/>
              </w:rPr>
              <w:t>6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</w:rPr>
              <w:t>,</w:t>
            </w:r>
            <w:r w:rsidRPr="002D6F10">
              <w:rPr>
                <w:rFonts w:ascii="Calibri" w:hAnsi="Calibri" w:cs="Calibri"/>
                <w:b/>
                <w:bCs/>
                <w:color w:val="FF0000"/>
                <w:sz w:val="20"/>
              </w:rPr>
              <w:t>5</w:t>
            </w:r>
          </w:p>
        </w:tc>
      </w:tr>
      <w:tr w:rsidR="00647974" w:rsidRPr="00F37DC9" w14:paraId="418E71CA" w14:textId="248095F4" w:rsidTr="007B5D5A">
        <w:trPr>
          <w:trHeight w:val="86"/>
          <w:jc w:val="center"/>
        </w:trPr>
        <w:tc>
          <w:tcPr>
            <w:tcW w:w="5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3576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21125" w14:textId="77777777" w:rsidR="00647974" w:rsidRPr="00F37DC9" w:rsidRDefault="00647974" w:rsidP="00647974">
            <w:pPr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Cs w:val="18"/>
              </w:rPr>
            </w:pPr>
            <w:r w:rsidRPr="00F37DC9">
              <w:rPr>
                <w:rFonts w:ascii="Calibri" w:hAnsi="Calibri" w:cs="Calibri"/>
                <w:b/>
                <w:bCs/>
                <w:color w:val="FFFFFF" w:themeColor="light1"/>
                <w:kern w:val="24"/>
                <w:szCs w:val="18"/>
              </w:rPr>
              <w:t>Růst bankovních úvěrů (nefinančním) podnikům (%)</w:t>
            </w:r>
          </w:p>
        </w:tc>
        <w:tc>
          <w:tcPr>
            <w:tcW w:w="1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2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06F2A8B" w14:textId="79F738AD" w:rsidR="00647974" w:rsidRPr="00DD4A8E" w:rsidRDefault="00647974" w:rsidP="0064797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D6F10">
              <w:rPr>
                <w:rFonts w:ascii="Calibri" w:hAnsi="Calibri" w:cs="Calibri"/>
                <w:color w:val="1F497D"/>
                <w:sz w:val="20"/>
              </w:rPr>
              <w:t>3</w:t>
            </w:r>
            <w:r>
              <w:rPr>
                <w:rFonts w:ascii="Calibri" w:hAnsi="Calibri" w:cs="Calibri"/>
                <w:color w:val="1F497D"/>
                <w:sz w:val="20"/>
              </w:rPr>
              <w:t>,</w:t>
            </w:r>
            <w:r w:rsidRPr="002D6F10">
              <w:rPr>
                <w:rFonts w:ascii="Calibri" w:hAnsi="Calibri" w:cs="Calibri"/>
                <w:color w:val="1F497D"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2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3BFD657" w14:textId="4D6C85B6" w:rsidR="00647974" w:rsidRPr="00254030" w:rsidRDefault="00647974" w:rsidP="00647974">
            <w:pPr>
              <w:overflowPunct/>
              <w:autoSpaceDE/>
              <w:autoSpaceDN/>
              <w:adjustRightInd/>
              <w:jc w:val="center"/>
              <w:textAlignment w:val="bottom"/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</w:pPr>
            <w:r w:rsidRPr="002D6F10">
              <w:rPr>
                <w:rFonts w:ascii="Calibri" w:hAnsi="Calibri" w:cs="Calibri"/>
                <w:b/>
                <w:bCs/>
                <w:color w:val="FF0000"/>
                <w:sz w:val="20"/>
              </w:rPr>
              <w:t>-0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</w:rPr>
              <w:t>,</w:t>
            </w:r>
            <w:r w:rsidRPr="002D6F10">
              <w:rPr>
                <w:rFonts w:ascii="Calibri" w:hAnsi="Calibri" w:cs="Calibri"/>
                <w:b/>
                <w:bCs/>
                <w:color w:val="FF0000"/>
                <w:sz w:val="20"/>
              </w:rPr>
              <w:t>1</w:t>
            </w:r>
          </w:p>
        </w:tc>
        <w:tc>
          <w:tcPr>
            <w:tcW w:w="16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2" w:color="auto" w:fill="auto"/>
            <w:vAlign w:val="center"/>
          </w:tcPr>
          <w:p w14:paraId="7405681C" w14:textId="0F7F674B" w:rsidR="00647974" w:rsidRPr="00254030" w:rsidRDefault="00647974" w:rsidP="00647974">
            <w:pPr>
              <w:overflowPunct/>
              <w:autoSpaceDE/>
              <w:autoSpaceDN/>
              <w:adjustRightInd/>
              <w:jc w:val="center"/>
              <w:textAlignment w:val="bottom"/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</w:pPr>
            <w:r w:rsidRPr="002D6F10">
              <w:rPr>
                <w:rFonts w:ascii="Calibri" w:hAnsi="Calibri" w:cs="Calibri"/>
                <w:b/>
                <w:bCs/>
                <w:color w:val="FF0000"/>
                <w:sz w:val="20"/>
              </w:rPr>
              <w:t>4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</w:rPr>
              <w:t>,</w:t>
            </w:r>
            <w:r w:rsidRPr="002D6F10">
              <w:rPr>
                <w:rFonts w:ascii="Calibri" w:hAnsi="Calibri" w:cs="Calibri"/>
                <w:b/>
                <w:bCs/>
                <w:color w:val="FF0000"/>
                <w:sz w:val="20"/>
              </w:rPr>
              <w:t>3</w:t>
            </w:r>
          </w:p>
        </w:tc>
      </w:tr>
      <w:tr w:rsidR="00647974" w:rsidRPr="00F37DC9" w14:paraId="1C64EB0D" w14:textId="0E77FC67" w:rsidTr="007B5D5A">
        <w:trPr>
          <w:trHeight w:val="86"/>
          <w:jc w:val="center"/>
        </w:trPr>
        <w:tc>
          <w:tcPr>
            <w:tcW w:w="5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3576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03657" w14:textId="77777777" w:rsidR="00647974" w:rsidRPr="00F37DC9" w:rsidRDefault="00647974" w:rsidP="00647974">
            <w:pPr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Cs w:val="18"/>
              </w:rPr>
            </w:pPr>
            <w:r w:rsidRPr="00F37DC9">
              <w:rPr>
                <w:rFonts w:ascii="Calibri" w:hAnsi="Calibri" w:cs="Calibri"/>
                <w:b/>
                <w:bCs/>
                <w:color w:val="FFFFFF" w:themeColor="light1"/>
                <w:kern w:val="24"/>
                <w:szCs w:val="18"/>
              </w:rPr>
              <w:t>Růst bankovních vkladů klientských celkem (%)</w:t>
            </w:r>
          </w:p>
        </w:tc>
        <w:tc>
          <w:tcPr>
            <w:tcW w:w="1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2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37631DE" w14:textId="1448717A" w:rsidR="00647974" w:rsidRPr="00DD4A8E" w:rsidRDefault="00647974" w:rsidP="0064797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24537">
              <w:rPr>
                <w:rFonts w:ascii="Calibri" w:hAnsi="Calibri" w:cs="Calibri"/>
                <w:color w:val="1F497D"/>
                <w:sz w:val="20"/>
              </w:rPr>
              <w:t>10</w:t>
            </w:r>
            <w:r>
              <w:rPr>
                <w:rFonts w:ascii="Calibri" w:hAnsi="Calibri" w:cs="Calibri"/>
                <w:color w:val="1F497D"/>
                <w:sz w:val="20"/>
              </w:rPr>
              <w:t>,</w:t>
            </w:r>
            <w:r w:rsidRPr="00124537">
              <w:rPr>
                <w:rFonts w:ascii="Calibri" w:hAnsi="Calibri" w:cs="Calibri"/>
                <w:color w:val="1F497D"/>
                <w:sz w:val="20"/>
              </w:rPr>
              <w:t>8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2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63EC17" w14:textId="4604EB65" w:rsidR="00647974" w:rsidRPr="00254030" w:rsidRDefault="00647974" w:rsidP="00647974">
            <w:pPr>
              <w:overflowPunct/>
              <w:autoSpaceDE/>
              <w:autoSpaceDN/>
              <w:adjustRightInd/>
              <w:jc w:val="center"/>
              <w:textAlignment w:val="bottom"/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</w:pPr>
            <w:r w:rsidRPr="00124537">
              <w:rPr>
                <w:rFonts w:ascii="Calibri" w:hAnsi="Calibri" w:cs="Calibri"/>
                <w:b/>
                <w:bCs/>
                <w:color w:val="FF0000"/>
                <w:sz w:val="20"/>
              </w:rPr>
              <w:t>8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</w:rPr>
              <w:t>,</w:t>
            </w:r>
            <w:r w:rsidRPr="00124537">
              <w:rPr>
                <w:rFonts w:ascii="Calibri" w:hAnsi="Calibri" w:cs="Calibri"/>
                <w:b/>
                <w:bCs/>
                <w:color w:val="FF0000"/>
                <w:sz w:val="20"/>
              </w:rPr>
              <w:t>8</w:t>
            </w:r>
          </w:p>
        </w:tc>
        <w:tc>
          <w:tcPr>
            <w:tcW w:w="16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2" w:color="auto" w:fill="auto"/>
            <w:vAlign w:val="center"/>
          </w:tcPr>
          <w:p w14:paraId="2C1AA335" w14:textId="0A23B832" w:rsidR="00647974" w:rsidRPr="00254030" w:rsidRDefault="00647974" w:rsidP="00647974">
            <w:pPr>
              <w:overflowPunct/>
              <w:autoSpaceDE/>
              <w:autoSpaceDN/>
              <w:adjustRightInd/>
              <w:jc w:val="center"/>
              <w:textAlignment w:val="bottom"/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</w:pPr>
            <w:r w:rsidRPr="00124537">
              <w:rPr>
                <w:rFonts w:ascii="Calibri" w:hAnsi="Calibri" w:cs="Calibri"/>
                <w:b/>
                <w:bCs/>
                <w:color w:val="FF0000"/>
                <w:sz w:val="20"/>
              </w:rPr>
              <w:t>6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</w:rPr>
              <w:t>,</w:t>
            </w:r>
            <w:r w:rsidRPr="00124537">
              <w:rPr>
                <w:rFonts w:ascii="Calibri" w:hAnsi="Calibri" w:cs="Calibri"/>
                <w:b/>
                <w:bCs/>
                <w:color w:val="FF0000"/>
                <w:sz w:val="20"/>
              </w:rPr>
              <w:t>0</w:t>
            </w:r>
          </w:p>
        </w:tc>
      </w:tr>
    </w:tbl>
    <w:p w14:paraId="7561C03E" w14:textId="3145CFF3" w:rsidR="00F37DC9" w:rsidRDefault="00165D62" w:rsidP="00B4285D">
      <w:pPr>
        <w:rPr>
          <w:rFonts w:ascii="Calibri" w:eastAsiaTheme="minorEastAsia" w:hAnsi="Calibri" w:cs="Calibri"/>
        </w:rPr>
      </w:pPr>
      <w:r w:rsidRPr="00F37DC9">
        <w:rPr>
          <w:rFonts w:ascii="Calibri" w:eastAsiaTheme="minorEastAsia" w:hAnsi="Calibri" w:cs="Calibri"/>
        </w:rPr>
        <w:lastRenderedPageBreak/>
        <w:tab/>
      </w:r>
    </w:p>
    <w:p w14:paraId="52E6141C" w14:textId="16E75886" w:rsidR="00F37DC9" w:rsidRDefault="00F37DC9" w:rsidP="00B4285D">
      <w:pPr>
        <w:rPr>
          <w:rFonts w:ascii="Calibri" w:eastAsiaTheme="minorEastAsia" w:hAnsi="Calibri" w:cs="Calibri"/>
        </w:rPr>
      </w:pPr>
    </w:p>
    <w:p w14:paraId="59DD5F85" w14:textId="443BBC09" w:rsidR="00F37DC9" w:rsidRDefault="007B5D5A" w:rsidP="00B4285D">
      <w:pPr>
        <w:rPr>
          <w:rFonts w:ascii="Calibri" w:eastAsiaTheme="minorEastAsia" w:hAnsi="Calibri" w:cs="Calibri"/>
        </w:rPr>
      </w:pPr>
      <w:r w:rsidRPr="00C9674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1" locked="0" layoutInCell="1" hidden="0" allowOverlap="1" wp14:anchorId="3801A402" wp14:editId="42A97751">
                <wp:simplePos x="0" y="0"/>
                <wp:positionH relativeFrom="margin">
                  <wp:align>center</wp:align>
                </wp:positionH>
                <wp:positionV relativeFrom="paragraph">
                  <wp:posOffset>-172085</wp:posOffset>
                </wp:positionV>
                <wp:extent cx="6476365" cy="1089660"/>
                <wp:effectExtent l="0" t="0" r="635" b="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6365" cy="10896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313D1E" w14:textId="77777777" w:rsidR="00F37DC9" w:rsidRPr="00F37DC9" w:rsidRDefault="00F37DC9" w:rsidP="00F37DC9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Cs w:val="18"/>
                              </w:rPr>
                            </w:pPr>
                            <w:r w:rsidRPr="00F37DC9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Cs w:val="18"/>
                              </w:rPr>
                              <w:t xml:space="preserve">O prognóze ČBA </w:t>
                            </w:r>
                          </w:p>
                          <w:p w14:paraId="420292AC" w14:textId="20D4B900" w:rsidR="00F37DC9" w:rsidRPr="00F37DC9" w:rsidRDefault="00F37DC9" w:rsidP="00F37DC9">
                            <w:pPr>
                              <w:spacing w:line="276" w:lineRule="auto"/>
                              <w:ind w:left="28" w:hanging="28"/>
                              <w:rPr>
                                <w:rFonts w:ascii="Calibri" w:hAnsi="Calibri" w:cs="Calibri"/>
                                <w:szCs w:val="18"/>
                              </w:rPr>
                            </w:pPr>
                            <w:r w:rsidRPr="00F37DC9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Tato prognóza vznikla na základě </w:t>
                            </w:r>
                            <w:r w:rsidRPr="00272A8E">
                              <w:rPr>
                                <w:rFonts w:ascii="Calibri" w:hAnsi="Calibri" w:cs="Calibri"/>
                                <w:szCs w:val="18"/>
                              </w:rPr>
                              <w:t>příspěvků analytiků 8 členských bank ČBA: Jan Vejmělek (hlavní ekonom K</w:t>
                            </w:r>
                            <w:r w:rsidR="00272A8E">
                              <w:rPr>
                                <w:rFonts w:ascii="Calibri" w:hAnsi="Calibri" w:cs="Calibri"/>
                                <w:szCs w:val="18"/>
                              </w:rPr>
                              <w:t>omerční banky</w:t>
                            </w:r>
                            <w:r w:rsidRPr="00272A8E">
                              <w:rPr>
                                <w:rFonts w:ascii="Calibri" w:hAnsi="Calibri" w:cs="Calibri"/>
                                <w:szCs w:val="18"/>
                              </w:rPr>
                              <w:t>), Jaromír Šindel (hlavní ekonom Citi</w:t>
                            </w:r>
                            <w:r w:rsidR="0012304F" w:rsidRPr="00272A8E">
                              <w:rPr>
                                <w:rFonts w:ascii="Calibri" w:hAnsi="Calibri" w:cs="Calibri"/>
                                <w:szCs w:val="18"/>
                              </w:rPr>
                              <w:t>b</w:t>
                            </w:r>
                            <w:r w:rsidRPr="00272A8E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ank), Helena Horská (hlavní ekonomka </w:t>
                            </w:r>
                            <w:r w:rsidR="00272A8E">
                              <w:rPr>
                                <w:rFonts w:ascii="Calibri" w:hAnsi="Calibri" w:cs="Calibri"/>
                                <w:szCs w:val="18"/>
                              </w:rPr>
                              <w:t>R</w:t>
                            </w:r>
                            <w:r w:rsidR="00272A8E" w:rsidRPr="00272A8E">
                              <w:rPr>
                                <w:rFonts w:ascii="Calibri" w:hAnsi="Calibri" w:cs="Calibri"/>
                                <w:szCs w:val="18"/>
                              </w:rPr>
                              <w:t>aiffeisenbank</w:t>
                            </w:r>
                            <w:r w:rsidRPr="00272A8E">
                              <w:rPr>
                                <w:rFonts w:ascii="Calibri" w:hAnsi="Calibri" w:cs="Calibri"/>
                                <w:szCs w:val="18"/>
                              </w:rPr>
                              <w:t>), Michal Skořepa (</w:t>
                            </w:r>
                            <w:r w:rsidR="004F0729" w:rsidRPr="00272A8E">
                              <w:rPr>
                                <w:rFonts w:ascii="Calibri" w:hAnsi="Calibri" w:cs="Calibri"/>
                                <w:szCs w:val="18"/>
                              </w:rPr>
                              <w:t>makro</w:t>
                            </w:r>
                            <w:r w:rsidRPr="00272A8E">
                              <w:rPr>
                                <w:rFonts w:ascii="Calibri" w:hAnsi="Calibri" w:cs="Calibri"/>
                                <w:szCs w:val="18"/>
                              </w:rPr>
                              <w:t>ekonom</w:t>
                            </w:r>
                            <w:r w:rsidR="004F0729" w:rsidRPr="00272A8E">
                              <w:rPr>
                                <w:rFonts w:ascii="Calibri" w:hAnsi="Calibri" w:cs="Calibri"/>
                                <w:szCs w:val="18"/>
                              </w:rPr>
                              <w:t>ický analytik</w:t>
                            </w:r>
                            <w:r w:rsidRPr="00272A8E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 Č</w:t>
                            </w:r>
                            <w:r w:rsidR="00272A8E">
                              <w:rPr>
                                <w:rFonts w:ascii="Calibri" w:hAnsi="Calibri" w:cs="Calibri"/>
                                <w:szCs w:val="18"/>
                              </w:rPr>
                              <w:t>eské spořitelny</w:t>
                            </w:r>
                            <w:r w:rsidRPr="00272A8E">
                              <w:rPr>
                                <w:rFonts w:ascii="Calibri" w:hAnsi="Calibri" w:cs="Calibri"/>
                                <w:szCs w:val="18"/>
                              </w:rPr>
                              <w:t>), Petr Dufek (ekonom</w:t>
                            </w:r>
                            <w:r w:rsidR="004F0729" w:rsidRPr="00272A8E">
                              <w:rPr>
                                <w:rFonts w:ascii="Calibri" w:hAnsi="Calibri" w:cs="Calibri"/>
                                <w:szCs w:val="18"/>
                              </w:rPr>
                              <w:t>ický analytik</w:t>
                            </w:r>
                            <w:r w:rsidRPr="00272A8E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 ČSOB), Petr Gapko (hlavní ekonom M</w:t>
                            </w:r>
                            <w:r w:rsidR="00272A8E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ONETA </w:t>
                            </w:r>
                            <w:r w:rsidRPr="00272A8E">
                              <w:rPr>
                                <w:rFonts w:ascii="Calibri" w:hAnsi="Calibri" w:cs="Calibri"/>
                                <w:szCs w:val="18"/>
                              </w:rPr>
                              <w:t>M</w:t>
                            </w:r>
                            <w:r w:rsidR="00272A8E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oney </w:t>
                            </w:r>
                            <w:r w:rsidRPr="00272A8E">
                              <w:rPr>
                                <w:rFonts w:ascii="Calibri" w:hAnsi="Calibri" w:cs="Calibri"/>
                                <w:szCs w:val="18"/>
                              </w:rPr>
                              <w:t>B</w:t>
                            </w:r>
                            <w:r w:rsidR="00272A8E">
                              <w:rPr>
                                <w:rFonts w:ascii="Calibri" w:hAnsi="Calibri" w:cs="Calibri"/>
                                <w:szCs w:val="18"/>
                              </w:rPr>
                              <w:t>ank</w:t>
                            </w:r>
                            <w:r w:rsidRPr="00272A8E">
                              <w:rPr>
                                <w:rFonts w:ascii="Calibri" w:hAnsi="Calibri" w:cs="Calibri"/>
                                <w:szCs w:val="18"/>
                              </w:rPr>
                              <w:t>) a Petr Sklenář (hlavní ekonom J&amp;T Bank). Za ČBA se na tvorbě</w:t>
                            </w:r>
                            <w:r w:rsidRPr="00F37DC9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 prognózy podíl</w:t>
                            </w:r>
                            <w:r w:rsidR="00611EFE">
                              <w:rPr>
                                <w:rFonts w:ascii="Calibri" w:hAnsi="Calibri" w:cs="Calibri"/>
                                <w:szCs w:val="18"/>
                              </w:rPr>
                              <w:t>eli</w:t>
                            </w:r>
                            <w:r w:rsidRPr="00F37DC9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 </w:t>
                            </w:r>
                            <w:r w:rsidR="007B5D5A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Jakub Seidler a </w:t>
                            </w:r>
                            <w:r w:rsidRPr="00F37DC9">
                              <w:rPr>
                                <w:rFonts w:ascii="Calibri" w:hAnsi="Calibri" w:cs="Calibri"/>
                                <w:szCs w:val="18"/>
                              </w:rPr>
                              <w:t>Miroslav Zámečník.</w:t>
                            </w:r>
                          </w:p>
                          <w:p w14:paraId="77C1A42D" w14:textId="77777777" w:rsidR="00F37DC9" w:rsidRPr="00A55BDD" w:rsidRDefault="00F37DC9" w:rsidP="00F37DC9">
                            <w:pPr>
                              <w:spacing w:line="276" w:lineRule="auto"/>
                              <w:ind w:left="28" w:hanging="28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01A402" id="Obdélník 4" o:spid="_x0000_s1029" style="position:absolute;left:0;text-align:left;margin-left:0;margin-top:-13.55pt;width:509.95pt;height:85.8pt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" fillcolor="#bfbfbf [2412]" stroked="f" strokeweight="1pt">
                <v:textbox inset="3mm,3mm,3mm,3mm">
                  <w:txbxContent>
                    <w:p w14:paraId="7E313D1E" w14:textId="77777777" w:rsidR="00F37DC9" w:rsidRPr="00F37DC9" w:rsidRDefault="00F37DC9" w:rsidP="00F37DC9">
                      <w:pPr>
                        <w:spacing w:line="276" w:lineRule="auto"/>
                        <w:rPr>
                          <w:rFonts w:ascii="Calibri" w:hAnsi="Calibri" w:cs="Calibri"/>
                          <w:b/>
                          <w:color w:val="FFFFFF" w:themeColor="background1"/>
                          <w:szCs w:val="18"/>
                        </w:rPr>
                      </w:pPr>
                      <w:r w:rsidRPr="00F37DC9">
                        <w:rPr>
                          <w:rFonts w:ascii="Calibri" w:hAnsi="Calibri" w:cs="Calibri"/>
                          <w:b/>
                          <w:color w:val="FFFFFF" w:themeColor="background1"/>
                          <w:szCs w:val="18"/>
                        </w:rPr>
                        <w:t xml:space="preserve">O prognóze ČBA </w:t>
                      </w:r>
                    </w:p>
                    <w:p w14:paraId="420292AC" w14:textId="20D4B900" w:rsidR="00F37DC9" w:rsidRPr="00F37DC9" w:rsidRDefault="00F37DC9" w:rsidP="00F37DC9">
                      <w:pPr>
                        <w:spacing w:line="276" w:lineRule="auto"/>
                        <w:ind w:left="28" w:hanging="28"/>
                        <w:rPr>
                          <w:rFonts w:ascii="Calibri" w:hAnsi="Calibri" w:cs="Calibri"/>
                          <w:szCs w:val="18"/>
                        </w:rPr>
                      </w:pPr>
                      <w:r w:rsidRPr="00F37DC9">
                        <w:rPr>
                          <w:rFonts w:ascii="Calibri" w:hAnsi="Calibri" w:cs="Calibri"/>
                          <w:szCs w:val="18"/>
                        </w:rPr>
                        <w:t xml:space="preserve">Tato prognóza vznikla na základě </w:t>
                      </w:r>
                      <w:r w:rsidRPr="00272A8E">
                        <w:rPr>
                          <w:rFonts w:ascii="Calibri" w:hAnsi="Calibri" w:cs="Calibri"/>
                          <w:szCs w:val="18"/>
                        </w:rPr>
                        <w:t>příspěvků analytiků 8 členských bank ČBA: Jan Vejmělek (hlavní ekonom K</w:t>
                      </w:r>
                      <w:r w:rsidR="00272A8E">
                        <w:rPr>
                          <w:rFonts w:ascii="Calibri" w:hAnsi="Calibri" w:cs="Calibri"/>
                          <w:szCs w:val="18"/>
                        </w:rPr>
                        <w:t>omerční banky</w:t>
                      </w:r>
                      <w:r w:rsidRPr="00272A8E">
                        <w:rPr>
                          <w:rFonts w:ascii="Calibri" w:hAnsi="Calibri" w:cs="Calibri"/>
                          <w:szCs w:val="18"/>
                        </w:rPr>
                        <w:t>), Jaromír Šindel (hlavní ekonom Citi</w:t>
                      </w:r>
                      <w:r w:rsidR="0012304F" w:rsidRPr="00272A8E">
                        <w:rPr>
                          <w:rFonts w:ascii="Calibri" w:hAnsi="Calibri" w:cs="Calibri"/>
                          <w:szCs w:val="18"/>
                        </w:rPr>
                        <w:t>b</w:t>
                      </w:r>
                      <w:r w:rsidRPr="00272A8E">
                        <w:rPr>
                          <w:rFonts w:ascii="Calibri" w:hAnsi="Calibri" w:cs="Calibri"/>
                          <w:szCs w:val="18"/>
                        </w:rPr>
                        <w:t xml:space="preserve">ank), Helena Horská (hlavní ekonomka </w:t>
                      </w:r>
                      <w:r w:rsidR="00272A8E">
                        <w:rPr>
                          <w:rFonts w:ascii="Calibri" w:hAnsi="Calibri" w:cs="Calibri"/>
                          <w:szCs w:val="18"/>
                        </w:rPr>
                        <w:t>R</w:t>
                      </w:r>
                      <w:r w:rsidR="00272A8E" w:rsidRPr="00272A8E">
                        <w:rPr>
                          <w:rFonts w:ascii="Calibri" w:hAnsi="Calibri" w:cs="Calibri"/>
                          <w:szCs w:val="18"/>
                        </w:rPr>
                        <w:t>aiffeisenbank</w:t>
                      </w:r>
                      <w:r w:rsidRPr="00272A8E">
                        <w:rPr>
                          <w:rFonts w:ascii="Calibri" w:hAnsi="Calibri" w:cs="Calibri"/>
                          <w:szCs w:val="18"/>
                        </w:rPr>
                        <w:t>), Michal Skořepa (</w:t>
                      </w:r>
                      <w:r w:rsidR="004F0729" w:rsidRPr="00272A8E">
                        <w:rPr>
                          <w:rFonts w:ascii="Calibri" w:hAnsi="Calibri" w:cs="Calibri"/>
                          <w:szCs w:val="18"/>
                        </w:rPr>
                        <w:t>makro</w:t>
                      </w:r>
                      <w:r w:rsidRPr="00272A8E">
                        <w:rPr>
                          <w:rFonts w:ascii="Calibri" w:hAnsi="Calibri" w:cs="Calibri"/>
                          <w:szCs w:val="18"/>
                        </w:rPr>
                        <w:t>ekonom</w:t>
                      </w:r>
                      <w:r w:rsidR="004F0729" w:rsidRPr="00272A8E">
                        <w:rPr>
                          <w:rFonts w:ascii="Calibri" w:hAnsi="Calibri" w:cs="Calibri"/>
                          <w:szCs w:val="18"/>
                        </w:rPr>
                        <w:t>ický analytik</w:t>
                      </w:r>
                      <w:r w:rsidRPr="00272A8E">
                        <w:rPr>
                          <w:rFonts w:ascii="Calibri" w:hAnsi="Calibri" w:cs="Calibri"/>
                          <w:szCs w:val="18"/>
                        </w:rPr>
                        <w:t xml:space="preserve"> Č</w:t>
                      </w:r>
                      <w:r w:rsidR="00272A8E">
                        <w:rPr>
                          <w:rFonts w:ascii="Calibri" w:hAnsi="Calibri" w:cs="Calibri"/>
                          <w:szCs w:val="18"/>
                        </w:rPr>
                        <w:t>eské spořitelny</w:t>
                      </w:r>
                      <w:r w:rsidRPr="00272A8E">
                        <w:rPr>
                          <w:rFonts w:ascii="Calibri" w:hAnsi="Calibri" w:cs="Calibri"/>
                          <w:szCs w:val="18"/>
                        </w:rPr>
                        <w:t>), Petr Dufek (ekonom</w:t>
                      </w:r>
                      <w:r w:rsidR="004F0729" w:rsidRPr="00272A8E">
                        <w:rPr>
                          <w:rFonts w:ascii="Calibri" w:hAnsi="Calibri" w:cs="Calibri"/>
                          <w:szCs w:val="18"/>
                        </w:rPr>
                        <w:t>ický analytik</w:t>
                      </w:r>
                      <w:r w:rsidRPr="00272A8E">
                        <w:rPr>
                          <w:rFonts w:ascii="Calibri" w:hAnsi="Calibri" w:cs="Calibri"/>
                          <w:szCs w:val="18"/>
                        </w:rPr>
                        <w:t xml:space="preserve"> ČSOB), Petr Gapko (hlavní ekonom M</w:t>
                      </w:r>
                      <w:r w:rsidR="00272A8E">
                        <w:rPr>
                          <w:rFonts w:ascii="Calibri" w:hAnsi="Calibri" w:cs="Calibri"/>
                          <w:szCs w:val="18"/>
                        </w:rPr>
                        <w:t xml:space="preserve">ONETA </w:t>
                      </w:r>
                      <w:r w:rsidRPr="00272A8E">
                        <w:rPr>
                          <w:rFonts w:ascii="Calibri" w:hAnsi="Calibri" w:cs="Calibri"/>
                          <w:szCs w:val="18"/>
                        </w:rPr>
                        <w:t>M</w:t>
                      </w:r>
                      <w:r w:rsidR="00272A8E">
                        <w:rPr>
                          <w:rFonts w:ascii="Calibri" w:hAnsi="Calibri" w:cs="Calibri"/>
                          <w:szCs w:val="18"/>
                        </w:rPr>
                        <w:t xml:space="preserve">oney </w:t>
                      </w:r>
                      <w:r w:rsidRPr="00272A8E">
                        <w:rPr>
                          <w:rFonts w:ascii="Calibri" w:hAnsi="Calibri" w:cs="Calibri"/>
                          <w:szCs w:val="18"/>
                        </w:rPr>
                        <w:t>B</w:t>
                      </w:r>
                      <w:r w:rsidR="00272A8E">
                        <w:rPr>
                          <w:rFonts w:ascii="Calibri" w:hAnsi="Calibri" w:cs="Calibri"/>
                          <w:szCs w:val="18"/>
                        </w:rPr>
                        <w:t>ank</w:t>
                      </w:r>
                      <w:r w:rsidRPr="00272A8E">
                        <w:rPr>
                          <w:rFonts w:ascii="Calibri" w:hAnsi="Calibri" w:cs="Calibri"/>
                          <w:szCs w:val="18"/>
                        </w:rPr>
                        <w:t>) a Petr Sklenář (hlavní ekonom J&amp;T Bank). Za ČBA se na tvorbě</w:t>
                      </w:r>
                      <w:r w:rsidRPr="00F37DC9">
                        <w:rPr>
                          <w:rFonts w:ascii="Calibri" w:hAnsi="Calibri" w:cs="Calibri"/>
                          <w:szCs w:val="18"/>
                        </w:rPr>
                        <w:t xml:space="preserve"> prognózy podíl</w:t>
                      </w:r>
                      <w:r w:rsidR="00611EFE">
                        <w:rPr>
                          <w:rFonts w:ascii="Calibri" w:hAnsi="Calibri" w:cs="Calibri"/>
                          <w:szCs w:val="18"/>
                        </w:rPr>
                        <w:t>eli</w:t>
                      </w:r>
                      <w:r w:rsidRPr="00F37DC9">
                        <w:rPr>
                          <w:rFonts w:ascii="Calibri" w:hAnsi="Calibri" w:cs="Calibri"/>
                          <w:szCs w:val="18"/>
                        </w:rPr>
                        <w:t xml:space="preserve"> </w:t>
                      </w:r>
                      <w:r w:rsidR="007B5D5A">
                        <w:rPr>
                          <w:rFonts w:ascii="Calibri" w:hAnsi="Calibri" w:cs="Calibri"/>
                          <w:szCs w:val="18"/>
                        </w:rPr>
                        <w:t xml:space="preserve">Jakub Seidler a </w:t>
                      </w:r>
                      <w:r w:rsidRPr="00F37DC9">
                        <w:rPr>
                          <w:rFonts w:ascii="Calibri" w:hAnsi="Calibri" w:cs="Calibri"/>
                          <w:szCs w:val="18"/>
                        </w:rPr>
                        <w:t>Miroslav Zámečník.</w:t>
                      </w:r>
                    </w:p>
                    <w:p w14:paraId="77C1A42D" w14:textId="77777777" w:rsidR="00F37DC9" w:rsidRPr="00A55BDD" w:rsidRDefault="00F37DC9" w:rsidP="00F37DC9">
                      <w:pPr>
                        <w:spacing w:line="276" w:lineRule="auto"/>
                        <w:ind w:left="28" w:hanging="28"/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33F07F6" w14:textId="217C26C9" w:rsidR="00F37DC9" w:rsidRDefault="00F37DC9" w:rsidP="00B4285D">
      <w:pPr>
        <w:rPr>
          <w:rFonts w:ascii="Calibri" w:eastAsiaTheme="minorEastAsia" w:hAnsi="Calibri" w:cs="Calibri"/>
        </w:rPr>
      </w:pPr>
    </w:p>
    <w:p w14:paraId="5ACD7EBC" w14:textId="267566DC" w:rsidR="00F37DC9" w:rsidRDefault="00F37DC9" w:rsidP="00272A8E">
      <w:pPr>
        <w:tabs>
          <w:tab w:val="left" w:pos="2532"/>
        </w:tabs>
        <w:rPr>
          <w:rFonts w:ascii="Calibri" w:eastAsiaTheme="minorEastAsia" w:hAnsi="Calibri" w:cs="Calibri"/>
        </w:rPr>
      </w:pPr>
    </w:p>
    <w:p w14:paraId="5A7B51B7" w14:textId="5EE8DE77" w:rsidR="00F37DC9" w:rsidRDefault="00F37DC9" w:rsidP="00B4285D">
      <w:pPr>
        <w:rPr>
          <w:rFonts w:ascii="Calibri" w:eastAsiaTheme="minorEastAsia" w:hAnsi="Calibri" w:cs="Calibri"/>
        </w:rPr>
      </w:pPr>
    </w:p>
    <w:p w14:paraId="77090A9B" w14:textId="77777777" w:rsidR="00F37DC9" w:rsidRDefault="00F37DC9" w:rsidP="00B4285D">
      <w:pPr>
        <w:rPr>
          <w:rFonts w:ascii="Calibri" w:eastAsiaTheme="minorEastAsia" w:hAnsi="Calibri" w:cs="Calibri"/>
        </w:rPr>
      </w:pPr>
    </w:p>
    <w:p w14:paraId="1AE6FC8E" w14:textId="73FD6684" w:rsidR="005C1943" w:rsidRPr="00F37DC9" w:rsidRDefault="00F37DC9" w:rsidP="00B4285D">
      <w:pPr>
        <w:rPr>
          <w:rFonts w:ascii="Calibri" w:eastAsiaTheme="minorEastAsia" w:hAnsi="Calibri" w:cs="Calibri"/>
        </w:rPr>
      </w:pPr>
      <w:r w:rsidRPr="00F37DC9">
        <w:rPr>
          <w:rFonts w:ascii="Calibri" w:eastAsiaTheme="minorEastAsia" w:hAnsi="Calibri" w:cs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1A5361" wp14:editId="5BD7F50B">
                <wp:simplePos x="0" y="0"/>
                <wp:positionH relativeFrom="margin">
                  <wp:posOffset>4288790</wp:posOffset>
                </wp:positionH>
                <wp:positionV relativeFrom="paragraph">
                  <wp:posOffset>364490</wp:posOffset>
                </wp:positionV>
                <wp:extent cx="2181225" cy="1637665"/>
                <wp:effectExtent l="0" t="0" r="9525" b="635"/>
                <wp:wrapSquare wrapText="bothSides"/>
                <wp:docPr id="200" name="Obdélník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637665"/>
                        </a:xfrm>
                        <a:prstGeom prst="rect">
                          <a:avLst/>
                        </a:prstGeom>
                        <a:solidFill>
                          <a:srgbClr val="13576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C95292" w14:textId="77777777" w:rsidR="00536B9B" w:rsidRPr="00F37DC9" w:rsidRDefault="00536B9B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Calibri" w:hAnsi="Calibri" w:cs="Calibri"/>
                                <w:b/>
                                <w:sz w:val="20"/>
                                <w:szCs w:val="18"/>
                              </w:rPr>
                            </w:pPr>
                            <w:r w:rsidRPr="00F37DC9">
                              <w:rPr>
                                <w:rFonts w:ascii="Calibri" w:hAnsi="Calibri" w:cs="Calibri"/>
                                <w:b/>
                                <w:sz w:val="20"/>
                                <w:szCs w:val="18"/>
                              </w:rPr>
                              <w:t xml:space="preserve">Další informace </w:t>
                            </w:r>
                          </w:p>
                          <w:p w14:paraId="187194D7" w14:textId="77777777" w:rsidR="00536B9B" w:rsidRPr="00F37DC9" w:rsidRDefault="00536B9B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Calibri" w:hAnsi="Calibri" w:cs="Calibri"/>
                                <w:b/>
                                <w:sz w:val="20"/>
                                <w:szCs w:val="18"/>
                              </w:rPr>
                            </w:pPr>
                            <w:r w:rsidRPr="00F37DC9">
                              <w:rPr>
                                <w:rFonts w:ascii="Calibri" w:hAnsi="Calibri" w:cs="Calibri"/>
                                <w:b/>
                                <w:sz w:val="20"/>
                                <w:szCs w:val="18"/>
                              </w:rPr>
                              <w:t>obdržíte na adrese:</w:t>
                            </w:r>
                          </w:p>
                          <w:p w14:paraId="5867C1DD" w14:textId="77777777" w:rsidR="00536B9B" w:rsidRPr="00F37DC9" w:rsidRDefault="00536B9B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szCs w:val="18"/>
                              </w:rPr>
                            </w:pPr>
                          </w:p>
                          <w:p w14:paraId="1F85193F" w14:textId="30077418" w:rsidR="00536B9B" w:rsidRPr="00F37DC9" w:rsidRDefault="00726439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noProof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szCs w:val="18"/>
                              </w:rPr>
                              <w:t>Andrea Trudičová</w:t>
                            </w:r>
                          </w:p>
                          <w:p w14:paraId="5026572F" w14:textId="4C890455" w:rsidR="00536B9B" w:rsidRPr="00F37DC9" w:rsidRDefault="00536B9B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szCs w:val="18"/>
                              </w:rPr>
                            </w:pPr>
                            <w:r w:rsidRPr="00F37DC9">
                              <w:rPr>
                                <w:rFonts w:ascii="Calibri" w:hAnsi="Calibri" w:cs="Calibri"/>
                                <w:szCs w:val="18"/>
                              </w:rPr>
                              <w:t>PR a komunikace ČBA</w:t>
                            </w:r>
                          </w:p>
                          <w:p w14:paraId="69EB82FC" w14:textId="0066FE00" w:rsidR="00536B9B" w:rsidRPr="00F37DC9" w:rsidRDefault="00726439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Cs w:val="18"/>
                              </w:rPr>
                              <w:t>andrea</w:t>
                            </w:r>
                            <w:r w:rsidR="00611EFE">
                              <w:rPr>
                                <w:rFonts w:ascii="Calibri" w:hAnsi="Calibri" w:cs="Calibri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Calibri" w:hAnsi="Calibri" w:cs="Calibri"/>
                                <w:szCs w:val="18"/>
                              </w:rPr>
                              <w:t>trudicova</w:t>
                            </w:r>
                            <w:r w:rsidR="00536B9B" w:rsidRPr="00F37DC9">
                              <w:rPr>
                                <w:rFonts w:ascii="Calibri" w:hAnsi="Calibri" w:cs="Calibri"/>
                                <w:szCs w:val="18"/>
                              </w:rPr>
                              <w:t>@cbaonline.cz</w:t>
                            </w:r>
                          </w:p>
                          <w:p w14:paraId="0B0CE061" w14:textId="4E868FEB" w:rsidR="00536B9B" w:rsidRPr="00F37DC9" w:rsidRDefault="00536B9B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szCs w:val="18"/>
                              </w:rPr>
                            </w:pPr>
                            <w:r w:rsidRPr="00F37DC9">
                              <w:rPr>
                                <w:rFonts w:ascii="Calibri" w:hAnsi="Calibri" w:cs="Calibri"/>
                                <w:szCs w:val="18"/>
                              </w:rPr>
                              <w:t>tel: + 420</w:t>
                            </w:r>
                            <w:r w:rsidR="00726439">
                              <w:rPr>
                                <w:rFonts w:ascii="Calibri" w:hAnsi="Calibri" w:cs="Calibri"/>
                                <w:szCs w:val="18"/>
                              </w:rPr>
                              <w:t> 734 638 103</w:t>
                            </w:r>
                          </w:p>
                          <w:p w14:paraId="0808B31F" w14:textId="77777777" w:rsidR="00536B9B" w:rsidRDefault="00536B9B" w:rsidP="00044002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A5361" id="Obdélník 200" o:spid="_x0000_s1030" style="position:absolute;left:0;text-align:left;margin-left:337.7pt;margin-top:28.7pt;width:171.75pt;height:128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" fillcolor="#13576b" stroked="f" strokeweight="1pt">
                <v:textbox inset="3mm,3mm,3mm,3mm">
                  <w:txbxContent>
                    <w:p w14:paraId="7AC95292" w14:textId="77777777" w:rsidR="00536B9B" w:rsidRPr="00F37DC9" w:rsidRDefault="00536B9B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Calibri" w:hAnsi="Calibri" w:cs="Calibri"/>
                          <w:b/>
                          <w:sz w:val="20"/>
                          <w:szCs w:val="18"/>
                        </w:rPr>
                      </w:pPr>
                      <w:r w:rsidRPr="00F37DC9">
                        <w:rPr>
                          <w:rFonts w:ascii="Calibri" w:hAnsi="Calibri" w:cs="Calibri"/>
                          <w:b/>
                          <w:sz w:val="20"/>
                          <w:szCs w:val="18"/>
                        </w:rPr>
                        <w:t xml:space="preserve">Další informace </w:t>
                      </w:r>
                    </w:p>
                    <w:p w14:paraId="187194D7" w14:textId="77777777" w:rsidR="00536B9B" w:rsidRPr="00F37DC9" w:rsidRDefault="00536B9B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Calibri" w:hAnsi="Calibri" w:cs="Calibri"/>
                          <w:b/>
                          <w:sz w:val="20"/>
                          <w:szCs w:val="18"/>
                        </w:rPr>
                      </w:pPr>
                      <w:r w:rsidRPr="00F37DC9">
                        <w:rPr>
                          <w:rFonts w:ascii="Calibri" w:hAnsi="Calibri" w:cs="Calibri"/>
                          <w:b/>
                          <w:sz w:val="20"/>
                          <w:szCs w:val="18"/>
                        </w:rPr>
                        <w:t>obdržíte na adrese:</w:t>
                      </w:r>
                    </w:p>
                    <w:p w14:paraId="5867C1DD" w14:textId="77777777" w:rsidR="00536B9B" w:rsidRPr="00F37DC9" w:rsidRDefault="00536B9B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b/>
                          <w:szCs w:val="18"/>
                        </w:rPr>
                      </w:pPr>
                    </w:p>
                    <w:p w14:paraId="1F85193F" w14:textId="30077418" w:rsidR="00536B9B" w:rsidRPr="00F37DC9" w:rsidRDefault="00726439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noProof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noProof/>
                          <w:szCs w:val="18"/>
                        </w:rPr>
                        <w:t>Andrea Trudičová</w:t>
                      </w:r>
                    </w:p>
                    <w:p w14:paraId="5026572F" w14:textId="4C890455" w:rsidR="00536B9B" w:rsidRPr="00F37DC9" w:rsidRDefault="00536B9B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szCs w:val="18"/>
                        </w:rPr>
                      </w:pPr>
                      <w:r w:rsidRPr="00F37DC9">
                        <w:rPr>
                          <w:rFonts w:ascii="Calibri" w:hAnsi="Calibri" w:cs="Calibri"/>
                          <w:szCs w:val="18"/>
                        </w:rPr>
                        <w:t>PR a komunikace ČBA</w:t>
                      </w:r>
                    </w:p>
                    <w:p w14:paraId="69EB82FC" w14:textId="0066FE00" w:rsidR="00536B9B" w:rsidRPr="00F37DC9" w:rsidRDefault="00726439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Cs w:val="18"/>
                        </w:rPr>
                        <w:t>andrea</w:t>
                      </w:r>
                      <w:r w:rsidR="00611EFE">
                        <w:rPr>
                          <w:rFonts w:ascii="Calibri" w:hAnsi="Calibri" w:cs="Calibri"/>
                          <w:szCs w:val="18"/>
                        </w:rPr>
                        <w:t>.</w:t>
                      </w:r>
                      <w:r>
                        <w:rPr>
                          <w:rFonts w:ascii="Calibri" w:hAnsi="Calibri" w:cs="Calibri"/>
                          <w:szCs w:val="18"/>
                        </w:rPr>
                        <w:t>trudicova</w:t>
                      </w:r>
                      <w:r w:rsidR="00536B9B" w:rsidRPr="00F37DC9">
                        <w:rPr>
                          <w:rFonts w:ascii="Calibri" w:hAnsi="Calibri" w:cs="Calibri"/>
                          <w:szCs w:val="18"/>
                        </w:rPr>
                        <w:t>@cbaonline.cz</w:t>
                      </w:r>
                    </w:p>
                    <w:p w14:paraId="0B0CE061" w14:textId="4E868FEB" w:rsidR="00536B9B" w:rsidRPr="00F37DC9" w:rsidRDefault="00536B9B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szCs w:val="18"/>
                        </w:rPr>
                      </w:pPr>
                      <w:r w:rsidRPr="00F37DC9">
                        <w:rPr>
                          <w:rFonts w:ascii="Calibri" w:hAnsi="Calibri" w:cs="Calibri"/>
                          <w:szCs w:val="18"/>
                        </w:rPr>
                        <w:t>tel: + 420</w:t>
                      </w:r>
                      <w:r w:rsidR="00726439">
                        <w:rPr>
                          <w:rFonts w:ascii="Calibri" w:hAnsi="Calibri" w:cs="Calibri"/>
                          <w:szCs w:val="18"/>
                        </w:rPr>
                        <w:t> 734 638 103</w:t>
                      </w:r>
                    </w:p>
                    <w:p w14:paraId="0808B31F" w14:textId="77777777" w:rsidR="00536B9B" w:rsidRDefault="00536B9B" w:rsidP="00044002">
                      <w:pPr>
                        <w:jc w:val="left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F37DC9">
        <w:rPr>
          <w:rFonts w:ascii="Calibri" w:eastAsiaTheme="minorEastAsia" w:hAnsi="Calibri" w:cs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89396" wp14:editId="036F4AF4">
                <wp:simplePos x="0" y="0"/>
                <wp:positionH relativeFrom="margin">
                  <wp:posOffset>0</wp:posOffset>
                </wp:positionH>
                <wp:positionV relativeFrom="paragraph">
                  <wp:posOffset>364490</wp:posOffset>
                </wp:positionV>
                <wp:extent cx="4229100" cy="1637665"/>
                <wp:effectExtent l="0" t="0" r="0" b="635"/>
                <wp:wrapSquare wrapText="bothSides"/>
                <wp:docPr id="199" name="Obdélník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16376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1160DE" w14:textId="77777777" w:rsidR="00536B9B" w:rsidRPr="00F37DC9" w:rsidRDefault="00536B9B" w:rsidP="00044002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sz w:val="20"/>
                                <w:szCs w:val="18"/>
                              </w:rPr>
                            </w:pPr>
                            <w:r w:rsidRPr="00F37DC9">
                              <w:rPr>
                                <w:rFonts w:ascii="Calibri" w:hAnsi="Calibri" w:cs="Calibri"/>
                                <w:b/>
                                <w:sz w:val="20"/>
                                <w:szCs w:val="18"/>
                              </w:rPr>
                              <w:t>O České bankovní asociaci</w:t>
                            </w:r>
                          </w:p>
                          <w:p w14:paraId="51BDEFCD" w14:textId="694D28A0" w:rsidR="00536B9B" w:rsidRPr="00F37DC9" w:rsidRDefault="00536B9B" w:rsidP="00044002">
                            <w:pPr>
                              <w:pStyle w:val="Standard"/>
                              <w:spacing w:line="276" w:lineRule="auto"/>
                              <w:ind w:left="28" w:hanging="28"/>
                              <w:jc w:val="left"/>
                              <w:rPr>
                                <w:rFonts w:ascii="Calibri" w:hAnsi="Calibri" w:cs="Calibri"/>
                                <w:szCs w:val="18"/>
                              </w:rPr>
                            </w:pPr>
                            <w:r w:rsidRPr="00F37DC9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Česká bankovní asociace vznikla v roce 1990 a je dobrovolným sdružením právnických osob podnikajících v oblasti peněžnictví. V současné době sdružuje </w:t>
                            </w:r>
                            <w:r w:rsidR="005E5B52" w:rsidRPr="00F37DC9">
                              <w:rPr>
                                <w:rFonts w:ascii="Calibri" w:hAnsi="Calibri" w:cs="Calibri"/>
                                <w:szCs w:val="18"/>
                              </w:rPr>
                              <w:t>37</w:t>
                            </w:r>
                            <w:r w:rsidRPr="00F37DC9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 členů. Rolí asociace je především zastupovat a prosazovat společné zájmy členů, prezentovat roli a zájmy bankovnictví vůči veřejnosti, podílet se na standardizaci postupů v</w:t>
                            </w:r>
                            <w:r w:rsidRPr="00F37DC9">
                              <w:rPr>
                                <w:rFonts w:ascii="Calibri" w:hAnsi="Calibri" w:cs="Calibri"/>
                                <w:i/>
                                <w:sz w:val="20"/>
                              </w:rPr>
                              <w:t> </w:t>
                            </w:r>
                            <w:r w:rsidRPr="00F37DC9">
                              <w:rPr>
                                <w:rFonts w:ascii="Calibri" w:hAnsi="Calibri" w:cs="Calibri"/>
                                <w:szCs w:val="18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</w:t>
                            </w:r>
                            <w:r w:rsidR="005F5EB0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 a EMMI</w:t>
                            </w:r>
                            <w:r w:rsidRPr="00F37DC9">
                              <w:rPr>
                                <w:rFonts w:ascii="Calibri" w:hAnsi="Calibri" w:cs="Calibri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89396" id="Obdélník 199" o:spid="_x0000_s1031" style="position:absolute;left:0;text-align:left;margin-left:0;margin-top:28.7pt;width:333pt;height:1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" fillcolor="#bfbfbf [2412]" stroked="f" strokeweight="1pt">
                <v:textbox inset="3mm,3mm,3mm,3mm">
                  <w:txbxContent>
                    <w:p w14:paraId="4C1160DE" w14:textId="77777777" w:rsidR="00536B9B" w:rsidRPr="00F37DC9" w:rsidRDefault="00536B9B" w:rsidP="00044002">
                      <w:pPr>
                        <w:pStyle w:val="Standard"/>
                        <w:spacing w:line="276" w:lineRule="auto"/>
                        <w:jc w:val="left"/>
                        <w:rPr>
                          <w:rFonts w:ascii="Calibri" w:hAnsi="Calibri" w:cs="Calibri"/>
                          <w:b/>
                          <w:sz w:val="20"/>
                          <w:szCs w:val="18"/>
                        </w:rPr>
                      </w:pPr>
                      <w:r w:rsidRPr="00F37DC9">
                        <w:rPr>
                          <w:rFonts w:ascii="Calibri" w:hAnsi="Calibri" w:cs="Calibri"/>
                          <w:b/>
                          <w:sz w:val="20"/>
                          <w:szCs w:val="18"/>
                        </w:rPr>
                        <w:t>O České bankovní asociaci</w:t>
                      </w:r>
                    </w:p>
                    <w:p w14:paraId="51BDEFCD" w14:textId="694D28A0" w:rsidR="00536B9B" w:rsidRPr="00F37DC9" w:rsidRDefault="00536B9B" w:rsidP="00044002">
                      <w:pPr>
                        <w:pStyle w:val="Standard"/>
                        <w:spacing w:line="276" w:lineRule="auto"/>
                        <w:ind w:left="28" w:hanging="28"/>
                        <w:jc w:val="left"/>
                        <w:rPr>
                          <w:rFonts w:ascii="Calibri" w:hAnsi="Calibri" w:cs="Calibri"/>
                          <w:szCs w:val="18"/>
                        </w:rPr>
                      </w:pPr>
                      <w:r w:rsidRPr="00F37DC9">
                        <w:rPr>
                          <w:rFonts w:ascii="Calibri" w:hAnsi="Calibri" w:cs="Calibri"/>
                          <w:szCs w:val="18"/>
                        </w:rPr>
                        <w:t xml:space="preserve">Česká bankovní asociace vznikla v roce 1990 a je dobrovolným sdružením právnických osob podnikajících v oblasti peněžnictví. V současné době sdružuje </w:t>
                      </w:r>
                      <w:r w:rsidR="005E5B52" w:rsidRPr="00F37DC9">
                        <w:rPr>
                          <w:rFonts w:ascii="Calibri" w:hAnsi="Calibri" w:cs="Calibri"/>
                          <w:szCs w:val="18"/>
                        </w:rPr>
                        <w:t>37</w:t>
                      </w:r>
                      <w:r w:rsidRPr="00F37DC9">
                        <w:rPr>
                          <w:rFonts w:ascii="Calibri" w:hAnsi="Calibri" w:cs="Calibri"/>
                          <w:szCs w:val="18"/>
                        </w:rPr>
                        <w:t xml:space="preserve"> členů. Rolí asociace je především zastupovat a prosazovat společné zájmy členů, prezentovat roli a zájmy bankovnictví vůči veřejnosti, podílet se na standardizaci postupů v</w:t>
                      </w:r>
                      <w:r w:rsidRPr="00F37DC9">
                        <w:rPr>
                          <w:rFonts w:ascii="Calibri" w:hAnsi="Calibri" w:cs="Calibri"/>
                          <w:i/>
                          <w:sz w:val="20"/>
                        </w:rPr>
                        <w:t> </w:t>
                      </w:r>
                      <w:r w:rsidRPr="00F37DC9">
                        <w:rPr>
                          <w:rFonts w:ascii="Calibri" w:hAnsi="Calibri" w:cs="Calibri"/>
                          <w:szCs w:val="18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</w:t>
                      </w:r>
                      <w:r w:rsidR="005F5EB0">
                        <w:rPr>
                          <w:rFonts w:ascii="Calibri" w:hAnsi="Calibri" w:cs="Calibri"/>
                          <w:szCs w:val="18"/>
                        </w:rPr>
                        <w:t xml:space="preserve"> a EMMI</w:t>
                      </w:r>
                      <w:r w:rsidRPr="00F37DC9">
                        <w:rPr>
                          <w:rFonts w:ascii="Calibri" w:hAnsi="Calibri" w:cs="Calibri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sectPr w:rsidR="005C1943" w:rsidRPr="00F37DC9" w:rsidSect="00EB6C50">
      <w:headerReference w:type="default" r:id="rId8"/>
      <w:footerReference w:type="default" r:id="rId9"/>
      <w:pgSz w:w="11906" w:h="16838"/>
      <w:pgMar w:top="2552" w:right="851" w:bottom="1418" w:left="851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E1839" w14:textId="77777777" w:rsidR="00FB4944" w:rsidRDefault="00FB4944" w:rsidP="00F573F1">
      <w:r>
        <w:separator/>
      </w:r>
    </w:p>
  </w:endnote>
  <w:endnote w:type="continuationSeparator" w:id="0">
    <w:p w14:paraId="4E474C64" w14:textId="77777777" w:rsidR="00FB4944" w:rsidRDefault="00FB4944" w:rsidP="00F573F1">
      <w:r>
        <w:continuationSeparator/>
      </w:r>
    </w:p>
  </w:endnote>
  <w:endnote w:type="continuationNotice" w:id="1">
    <w:p w14:paraId="63698906" w14:textId="77777777" w:rsidR="00FB4944" w:rsidRDefault="00FB49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  <w:szCs w:val="18"/>
      </w:rPr>
      <w:id w:val="114994418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854F1F5" w14:textId="19327CD8" w:rsidR="00F37DC9" w:rsidRPr="00F37DC9" w:rsidRDefault="00F37DC9">
            <w:pPr>
              <w:pStyle w:val="Zpat"/>
              <w:jc w:val="right"/>
              <w:rPr>
                <w:rFonts w:ascii="Calibri" w:hAnsi="Calibri" w:cs="Calibri"/>
                <w:szCs w:val="18"/>
              </w:rPr>
            </w:pPr>
            <w:r w:rsidRPr="001E31AB">
              <w:rPr>
                <w:rFonts w:ascii="Calibri" w:hAnsi="Calibri"/>
                <w:noProof/>
                <w:szCs w:val="18"/>
              </w:rPr>
              <w:drawing>
                <wp:anchor distT="0" distB="0" distL="114300" distR="114300" simplePos="0" relativeHeight="251665408" behindDoc="0" locked="0" layoutInCell="1" allowOverlap="1" wp14:anchorId="40EC3339" wp14:editId="625B1AC4">
                  <wp:simplePos x="0" y="0"/>
                  <wp:positionH relativeFrom="column">
                    <wp:posOffset>-541020</wp:posOffset>
                  </wp:positionH>
                  <wp:positionV relativeFrom="paragraph">
                    <wp:posOffset>-137160</wp:posOffset>
                  </wp:positionV>
                  <wp:extent cx="3042285" cy="701040"/>
                  <wp:effectExtent l="0" t="0" r="5715" b="0"/>
                  <wp:wrapNone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.jpg"/>
                          <pic:cNvPicPr/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09" t="94992" r="61095" b="-1544"/>
                          <a:stretch/>
                        </pic:blipFill>
                        <pic:spPr bwMode="auto">
                          <a:xfrm>
                            <a:off x="0" y="0"/>
                            <a:ext cx="3042285" cy="701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37DC9">
              <w:rPr>
                <w:rFonts w:ascii="Calibri" w:hAnsi="Calibri" w:cs="Calibri"/>
                <w:szCs w:val="18"/>
              </w:rPr>
              <w:t xml:space="preserve">Stránka </w:t>
            </w:r>
            <w:r w:rsidRPr="00F37DC9">
              <w:rPr>
                <w:rFonts w:ascii="Calibri" w:hAnsi="Calibri" w:cs="Calibri"/>
                <w:b/>
                <w:bCs/>
                <w:szCs w:val="18"/>
              </w:rPr>
              <w:fldChar w:fldCharType="begin"/>
            </w:r>
            <w:r w:rsidRPr="00F37DC9">
              <w:rPr>
                <w:rFonts w:ascii="Calibri" w:hAnsi="Calibri" w:cs="Calibri"/>
                <w:b/>
                <w:bCs/>
                <w:szCs w:val="18"/>
              </w:rPr>
              <w:instrText>PAGE</w:instrText>
            </w:r>
            <w:r w:rsidRPr="00F37DC9">
              <w:rPr>
                <w:rFonts w:ascii="Calibri" w:hAnsi="Calibri" w:cs="Calibri"/>
                <w:b/>
                <w:bCs/>
                <w:szCs w:val="18"/>
              </w:rPr>
              <w:fldChar w:fldCharType="separate"/>
            </w:r>
            <w:r w:rsidRPr="00F37DC9">
              <w:rPr>
                <w:rFonts w:ascii="Calibri" w:hAnsi="Calibri" w:cs="Calibri"/>
                <w:b/>
                <w:bCs/>
                <w:szCs w:val="18"/>
              </w:rPr>
              <w:t>2</w:t>
            </w:r>
            <w:r w:rsidRPr="00F37DC9">
              <w:rPr>
                <w:rFonts w:ascii="Calibri" w:hAnsi="Calibri" w:cs="Calibri"/>
                <w:b/>
                <w:bCs/>
                <w:szCs w:val="18"/>
              </w:rPr>
              <w:fldChar w:fldCharType="end"/>
            </w:r>
            <w:r w:rsidRPr="00F37DC9">
              <w:rPr>
                <w:rFonts w:ascii="Calibri" w:hAnsi="Calibri" w:cs="Calibri"/>
                <w:szCs w:val="18"/>
              </w:rPr>
              <w:t xml:space="preserve"> z </w:t>
            </w:r>
            <w:r w:rsidRPr="00F37DC9">
              <w:rPr>
                <w:rFonts w:ascii="Calibri" w:hAnsi="Calibri" w:cs="Calibri"/>
                <w:b/>
                <w:bCs/>
                <w:szCs w:val="18"/>
              </w:rPr>
              <w:fldChar w:fldCharType="begin"/>
            </w:r>
            <w:r w:rsidRPr="00F37DC9">
              <w:rPr>
                <w:rFonts w:ascii="Calibri" w:hAnsi="Calibri" w:cs="Calibri"/>
                <w:b/>
                <w:bCs/>
                <w:szCs w:val="18"/>
              </w:rPr>
              <w:instrText>NUMPAGES</w:instrText>
            </w:r>
            <w:r w:rsidRPr="00F37DC9">
              <w:rPr>
                <w:rFonts w:ascii="Calibri" w:hAnsi="Calibri" w:cs="Calibri"/>
                <w:b/>
                <w:bCs/>
                <w:szCs w:val="18"/>
              </w:rPr>
              <w:fldChar w:fldCharType="separate"/>
            </w:r>
            <w:r w:rsidRPr="00F37DC9">
              <w:rPr>
                <w:rFonts w:ascii="Calibri" w:hAnsi="Calibri" w:cs="Calibri"/>
                <w:b/>
                <w:bCs/>
                <w:szCs w:val="18"/>
              </w:rPr>
              <w:t>2</w:t>
            </w:r>
            <w:r w:rsidRPr="00F37DC9">
              <w:rPr>
                <w:rFonts w:ascii="Calibri" w:hAnsi="Calibri" w:cs="Calibri"/>
                <w:b/>
                <w:bCs/>
                <w:szCs w:val="18"/>
              </w:rPr>
              <w:fldChar w:fldCharType="end"/>
            </w:r>
          </w:p>
        </w:sdtContent>
      </w:sdt>
    </w:sdtContent>
  </w:sdt>
  <w:p w14:paraId="6B2FBE8E" w14:textId="77777777" w:rsidR="00536B9B" w:rsidRPr="00FB4A1C" w:rsidRDefault="00536B9B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032C3" w14:textId="77777777" w:rsidR="00FB4944" w:rsidRDefault="00FB4944" w:rsidP="00F573F1">
      <w:r>
        <w:separator/>
      </w:r>
    </w:p>
  </w:footnote>
  <w:footnote w:type="continuationSeparator" w:id="0">
    <w:p w14:paraId="40DB50A0" w14:textId="77777777" w:rsidR="00FB4944" w:rsidRDefault="00FB4944" w:rsidP="00F573F1">
      <w:r>
        <w:continuationSeparator/>
      </w:r>
    </w:p>
  </w:footnote>
  <w:footnote w:type="continuationNotice" w:id="1">
    <w:p w14:paraId="76F51794" w14:textId="77777777" w:rsidR="00FB4944" w:rsidRDefault="00FB49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D6A72" w14:textId="612DBF70" w:rsidR="00F37DC9" w:rsidRDefault="00F37DC9" w:rsidP="00F37DC9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2F98975" wp14:editId="0A1B12AB">
          <wp:simplePos x="0" y="0"/>
          <wp:positionH relativeFrom="column">
            <wp:posOffset>-52705</wp:posOffset>
          </wp:positionH>
          <wp:positionV relativeFrom="paragraph">
            <wp:posOffset>29845</wp:posOffset>
          </wp:positionV>
          <wp:extent cx="2209800" cy="778510"/>
          <wp:effectExtent l="0" t="0" r="0" b="254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4BA7D056" wp14:editId="7FF03F24">
          <wp:simplePos x="0" y="0"/>
          <wp:positionH relativeFrom="column">
            <wp:posOffset>3985895</wp:posOffset>
          </wp:positionH>
          <wp:positionV relativeFrom="paragraph">
            <wp:posOffset>-8255</wp:posOffset>
          </wp:positionV>
          <wp:extent cx="2943225" cy="243840"/>
          <wp:effectExtent l="0" t="0" r="9525" b="3810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992" r="61096" b="2729"/>
                  <a:stretch/>
                </pic:blipFill>
                <pic:spPr bwMode="auto">
                  <a:xfrm>
                    <a:off x="0" y="0"/>
                    <a:ext cx="2943225" cy="243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17EE12" w14:textId="63210BB6" w:rsidR="00F37DC9" w:rsidRDefault="00F37DC9">
    <w:pPr>
      <w:pStyle w:val="Zhlav"/>
    </w:pPr>
    <w:r w:rsidRPr="00F615BD"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5CB3763" wp14:editId="0D54C2D8">
              <wp:simplePos x="0" y="0"/>
              <wp:positionH relativeFrom="margin">
                <wp:posOffset>5289974</wp:posOffset>
              </wp:positionH>
              <wp:positionV relativeFrom="paragraph">
                <wp:posOffset>6985</wp:posOffset>
              </wp:positionV>
              <wp:extent cx="1239520" cy="1404620"/>
              <wp:effectExtent l="0" t="0" r="0" b="0"/>
              <wp:wrapNone/>
              <wp:docPr id="20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952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CD1CFE" w14:textId="77777777" w:rsidR="00F37DC9" w:rsidRPr="00F37DC9" w:rsidRDefault="00F37DC9" w:rsidP="00F37DC9">
                          <w:pPr>
                            <w:spacing w:line="276" w:lineRule="auto"/>
                            <w:jc w:val="right"/>
                            <w:rPr>
                              <w:rFonts w:ascii="Calibri" w:hAnsi="Calibri" w:cs="Calibri"/>
                              <w:b/>
                              <w:color w:val="13576B"/>
                              <w:sz w:val="22"/>
                              <w:szCs w:val="24"/>
                            </w:rPr>
                          </w:pPr>
                          <w:r w:rsidRPr="00F37DC9">
                            <w:rPr>
                              <w:rFonts w:ascii="Calibri" w:hAnsi="Calibri" w:cs="Calibri"/>
                              <w:b/>
                              <w:color w:val="13576B"/>
                              <w:sz w:val="22"/>
                              <w:szCs w:val="24"/>
                            </w:rPr>
                            <w:t xml:space="preserve">TISKOVÁ ZPRÁVA </w:t>
                          </w:r>
                        </w:p>
                        <w:p w14:paraId="5CDE064D" w14:textId="7DAD5C30" w:rsidR="00F37DC9" w:rsidRPr="00F37DC9" w:rsidRDefault="00F37DC9" w:rsidP="00F37DC9">
                          <w:pPr>
                            <w:spacing w:line="276" w:lineRule="auto"/>
                            <w:jc w:val="right"/>
                            <w:rPr>
                              <w:rFonts w:ascii="Calibri" w:hAnsi="Calibri" w:cs="Calibri"/>
                              <w:b/>
                              <w:color w:val="13576B"/>
                              <w:sz w:val="22"/>
                              <w:szCs w:val="24"/>
                            </w:rPr>
                          </w:pPr>
                          <w:r w:rsidRPr="00F37DC9">
                            <w:rPr>
                              <w:rFonts w:ascii="Calibri" w:hAnsi="Calibri" w:cs="Calibri"/>
                              <w:color w:val="13576B"/>
                              <w:sz w:val="22"/>
                              <w:szCs w:val="24"/>
                            </w:rPr>
                            <w:t>1</w:t>
                          </w:r>
                          <w:r w:rsidR="0052644D">
                            <w:rPr>
                              <w:rFonts w:ascii="Calibri" w:hAnsi="Calibri" w:cs="Calibri"/>
                              <w:color w:val="13576B"/>
                              <w:sz w:val="22"/>
                              <w:szCs w:val="24"/>
                            </w:rPr>
                            <w:t>1</w:t>
                          </w:r>
                          <w:r w:rsidRPr="00F37DC9">
                            <w:rPr>
                              <w:rFonts w:ascii="Calibri" w:hAnsi="Calibri" w:cs="Calibri"/>
                              <w:color w:val="13576B"/>
                              <w:sz w:val="22"/>
                              <w:szCs w:val="24"/>
                            </w:rPr>
                            <w:t xml:space="preserve">. </w:t>
                          </w:r>
                          <w:r w:rsidR="0052644D">
                            <w:rPr>
                              <w:rFonts w:ascii="Calibri" w:hAnsi="Calibri" w:cs="Calibri"/>
                              <w:color w:val="13576B"/>
                              <w:sz w:val="22"/>
                              <w:szCs w:val="24"/>
                            </w:rPr>
                            <w:t>11</w:t>
                          </w:r>
                          <w:r w:rsidRPr="00F37DC9">
                            <w:rPr>
                              <w:rFonts w:ascii="Calibri" w:hAnsi="Calibri" w:cs="Calibri"/>
                              <w:color w:val="13576B"/>
                              <w:sz w:val="22"/>
                              <w:szCs w:val="24"/>
                            </w:rPr>
                            <w:t>. 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5CB3763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416.55pt;margin-top:.55pt;width:97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" filled="f" stroked="f">
              <v:textbox style="mso-fit-shape-to-text:t">
                <w:txbxContent>
                  <w:p w14:paraId="49CD1CFE" w14:textId="77777777" w:rsidR="00F37DC9" w:rsidRPr="00F37DC9" w:rsidRDefault="00F37DC9" w:rsidP="00F37DC9">
                    <w:pPr>
                      <w:spacing w:line="276" w:lineRule="auto"/>
                      <w:jc w:val="right"/>
                      <w:rPr>
                        <w:rFonts w:ascii="Calibri" w:hAnsi="Calibri" w:cs="Calibri"/>
                        <w:b/>
                        <w:color w:val="13576B"/>
                        <w:sz w:val="22"/>
                        <w:szCs w:val="24"/>
                      </w:rPr>
                    </w:pPr>
                    <w:r w:rsidRPr="00F37DC9">
                      <w:rPr>
                        <w:rFonts w:ascii="Calibri" w:hAnsi="Calibri" w:cs="Calibri"/>
                        <w:b/>
                        <w:color w:val="13576B"/>
                        <w:sz w:val="22"/>
                        <w:szCs w:val="24"/>
                      </w:rPr>
                      <w:t xml:space="preserve">TISKOVÁ ZPRÁVA </w:t>
                    </w:r>
                  </w:p>
                  <w:p w14:paraId="5CDE064D" w14:textId="7DAD5C30" w:rsidR="00F37DC9" w:rsidRPr="00F37DC9" w:rsidRDefault="00F37DC9" w:rsidP="00F37DC9">
                    <w:pPr>
                      <w:spacing w:line="276" w:lineRule="auto"/>
                      <w:jc w:val="right"/>
                      <w:rPr>
                        <w:rFonts w:ascii="Calibri" w:hAnsi="Calibri" w:cs="Calibri"/>
                        <w:b/>
                        <w:color w:val="13576B"/>
                        <w:sz w:val="22"/>
                        <w:szCs w:val="24"/>
                      </w:rPr>
                    </w:pPr>
                    <w:r w:rsidRPr="00F37DC9">
                      <w:rPr>
                        <w:rFonts w:ascii="Calibri" w:hAnsi="Calibri" w:cs="Calibri"/>
                        <w:color w:val="13576B"/>
                        <w:sz w:val="22"/>
                        <w:szCs w:val="24"/>
                      </w:rPr>
                      <w:t>1</w:t>
                    </w:r>
                    <w:r w:rsidR="0052644D">
                      <w:rPr>
                        <w:rFonts w:ascii="Calibri" w:hAnsi="Calibri" w:cs="Calibri"/>
                        <w:color w:val="13576B"/>
                        <w:sz w:val="22"/>
                        <w:szCs w:val="24"/>
                      </w:rPr>
                      <w:t>1</w:t>
                    </w:r>
                    <w:r w:rsidRPr="00F37DC9">
                      <w:rPr>
                        <w:rFonts w:ascii="Calibri" w:hAnsi="Calibri" w:cs="Calibri"/>
                        <w:color w:val="13576B"/>
                        <w:sz w:val="22"/>
                        <w:szCs w:val="24"/>
                      </w:rPr>
                      <w:t xml:space="preserve">. </w:t>
                    </w:r>
                    <w:r w:rsidR="0052644D">
                      <w:rPr>
                        <w:rFonts w:ascii="Calibri" w:hAnsi="Calibri" w:cs="Calibri"/>
                        <w:color w:val="13576B"/>
                        <w:sz w:val="22"/>
                        <w:szCs w:val="24"/>
                      </w:rPr>
                      <w:t>11</w:t>
                    </w:r>
                    <w:r w:rsidRPr="00F37DC9">
                      <w:rPr>
                        <w:rFonts w:ascii="Calibri" w:hAnsi="Calibri" w:cs="Calibri"/>
                        <w:color w:val="13576B"/>
                        <w:sz w:val="22"/>
                        <w:szCs w:val="24"/>
                      </w:rPr>
                      <w:t>. 2021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28A7"/>
    <w:multiLevelType w:val="hybridMultilevel"/>
    <w:tmpl w:val="ADD42E08"/>
    <w:lvl w:ilvl="0" w:tplc="9B0CBF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2C4DCE"/>
    <w:multiLevelType w:val="hybridMultilevel"/>
    <w:tmpl w:val="D4D47A08"/>
    <w:lvl w:ilvl="0" w:tplc="F062A1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86F60"/>
    <w:multiLevelType w:val="hybridMultilevel"/>
    <w:tmpl w:val="3232EEBE"/>
    <w:lvl w:ilvl="0" w:tplc="491E84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B2CEC"/>
    <w:multiLevelType w:val="hybridMultilevel"/>
    <w:tmpl w:val="FDB00238"/>
    <w:lvl w:ilvl="0" w:tplc="BD9EF866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57BCF"/>
    <w:multiLevelType w:val="hybridMultilevel"/>
    <w:tmpl w:val="3554269C"/>
    <w:lvl w:ilvl="0" w:tplc="F52C1D16"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F41FF"/>
    <w:multiLevelType w:val="hybridMultilevel"/>
    <w:tmpl w:val="06ECF1A8"/>
    <w:lvl w:ilvl="0" w:tplc="721612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D69B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A4DA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2E1B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3445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FEB5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A2F4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A686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3A898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FF3628E"/>
    <w:multiLevelType w:val="hybridMultilevel"/>
    <w:tmpl w:val="771602E6"/>
    <w:lvl w:ilvl="0" w:tplc="30548F9A">
      <w:start w:val="20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763A7"/>
    <w:multiLevelType w:val="hybridMultilevel"/>
    <w:tmpl w:val="F904BEEC"/>
    <w:lvl w:ilvl="0" w:tplc="E0A2536E">
      <w:start w:val="20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A73130"/>
    <w:multiLevelType w:val="hybridMultilevel"/>
    <w:tmpl w:val="65281904"/>
    <w:lvl w:ilvl="0" w:tplc="DF56ABD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26451B"/>
    <w:multiLevelType w:val="hybridMultilevel"/>
    <w:tmpl w:val="C1DEF65C"/>
    <w:lvl w:ilvl="0" w:tplc="0E7285A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12"/>
  </w:num>
  <w:num w:numId="9">
    <w:abstractNumId w:val="0"/>
  </w:num>
  <w:num w:numId="10">
    <w:abstractNumId w:val="9"/>
  </w:num>
  <w:num w:numId="11">
    <w:abstractNumId w:val="8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943"/>
    <w:rsid w:val="00000169"/>
    <w:rsid w:val="00001E30"/>
    <w:rsid w:val="00004B58"/>
    <w:rsid w:val="00006087"/>
    <w:rsid w:val="00014977"/>
    <w:rsid w:val="0001513F"/>
    <w:rsid w:val="000162B2"/>
    <w:rsid w:val="00017461"/>
    <w:rsid w:val="00017F00"/>
    <w:rsid w:val="00023000"/>
    <w:rsid w:val="00026596"/>
    <w:rsid w:val="000349D8"/>
    <w:rsid w:val="000366C2"/>
    <w:rsid w:val="00036DD3"/>
    <w:rsid w:val="000419CA"/>
    <w:rsid w:val="00044002"/>
    <w:rsid w:val="00055376"/>
    <w:rsid w:val="00062A8A"/>
    <w:rsid w:val="00066333"/>
    <w:rsid w:val="00067848"/>
    <w:rsid w:val="0007096D"/>
    <w:rsid w:val="00071B9F"/>
    <w:rsid w:val="000766D5"/>
    <w:rsid w:val="0008238B"/>
    <w:rsid w:val="00082CD7"/>
    <w:rsid w:val="00082E1D"/>
    <w:rsid w:val="000831A0"/>
    <w:rsid w:val="00087849"/>
    <w:rsid w:val="00087A3D"/>
    <w:rsid w:val="00092ACE"/>
    <w:rsid w:val="00097B97"/>
    <w:rsid w:val="000A086B"/>
    <w:rsid w:val="000A1E1A"/>
    <w:rsid w:val="000A1EA1"/>
    <w:rsid w:val="000A2EC0"/>
    <w:rsid w:val="000A337A"/>
    <w:rsid w:val="000A6730"/>
    <w:rsid w:val="000B1B0C"/>
    <w:rsid w:val="000B27C5"/>
    <w:rsid w:val="000B4814"/>
    <w:rsid w:val="000B6BEC"/>
    <w:rsid w:val="000C1155"/>
    <w:rsid w:val="000C1D98"/>
    <w:rsid w:val="000C552C"/>
    <w:rsid w:val="000D1977"/>
    <w:rsid w:val="000D2B81"/>
    <w:rsid w:val="000D5D2B"/>
    <w:rsid w:val="000D7C38"/>
    <w:rsid w:val="000E1A02"/>
    <w:rsid w:val="000E1DF8"/>
    <w:rsid w:val="000E3A69"/>
    <w:rsid w:val="000E5E2A"/>
    <w:rsid w:val="000E7086"/>
    <w:rsid w:val="000F34A7"/>
    <w:rsid w:val="000F790F"/>
    <w:rsid w:val="00100B73"/>
    <w:rsid w:val="001045A6"/>
    <w:rsid w:val="00105C84"/>
    <w:rsid w:val="0011443F"/>
    <w:rsid w:val="00114D42"/>
    <w:rsid w:val="00115379"/>
    <w:rsid w:val="00115462"/>
    <w:rsid w:val="0012304F"/>
    <w:rsid w:val="00124A05"/>
    <w:rsid w:val="00125474"/>
    <w:rsid w:val="001262D3"/>
    <w:rsid w:val="001362D6"/>
    <w:rsid w:val="00142834"/>
    <w:rsid w:val="00142FD3"/>
    <w:rsid w:val="00146F24"/>
    <w:rsid w:val="00147E43"/>
    <w:rsid w:val="00153D1F"/>
    <w:rsid w:val="00154824"/>
    <w:rsid w:val="00156D1E"/>
    <w:rsid w:val="00156EF2"/>
    <w:rsid w:val="001607D6"/>
    <w:rsid w:val="00164D55"/>
    <w:rsid w:val="00165D62"/>
    <w:rsid w:val="00166404"/>
    <w:rsid w:val="001802DE"/>
    <w:rsid w:val="001828E8"/>
    <w:rsid w:val="00186E9F"/>
    <w:rsid w:val="00190861"/>
    <w:rsid w:val="001914C2"/>
    <w:rsid w:val="00191CB2"/>
    <w:rsid w:val="00195399"/>
    <w:rsid w:val="00195C6D"/>
    <w:rsid w:val="001960B2"/>
    <w:rsid w:val="0019764B"/>
    <w:rsid w:val="001A7E43"/>
    <w:rsid w:val="001B44EF"/>
    <w:rsid w:val="001B4FA1"/>
    <w:rsid w:val="001B5FE5"/>
    <w:rsid w:val="001B69C3"/>
    <w:rsid w:val="001B79B9"/>
    <w:rsid w:val="001C0DF4"/>
    <w:rsid w:val="001C297A"/>
    <w:rsid w:val="001C576C"/>
    <w:rsid w:val="001C7F27"/>
    <w:rsid w:val="001D20AB"/>
    <w:rsid w:val="001D5BB9"/>
    <w:rsid w:val="001E4A94"/>
    <w:rsid w:val="001E4E51"/>
    <w:rsid w:val="001E6405"/>
    <w:rsid w:val="001E6A1E"/>
    <w:rsid w:val="001F783F"/>
    <w:rsid w:val="002050D0"/>
    <w:rsid w:val="002207A6"/>
    <w:rsid w:val="00221E42"/>
    <w:rsid w:val="00224038"/>
    <w:rsid w:val="00224284"/>
    <w:rsid w:val="00224F0E"/>
    <w:rsid w:val="002401B0"/>
    <w:rsid w:val="00242192"/>
    <w:rsid w:val="00244B0F"/>
    <w:rsid w:val="00245099"/>
    <w:rsid w:val="0024553D"/>
    <w:rsid w:val="00247943"/>
    <w:rsid w:val="002511A0"/>
    <w:rsid w:val="00251963"/>
    <w:rsid w:val="00254030"/>
    <w:rsid w:val="00261512"/>
    <w:rsid w:val="002624E9"/>
    <w:rsid w:val="002636B5"/>
    <w:rsid w:val="00263F96"/>
    <w:rsid w:val="00266E32"/>
    <w:rsid w:val="00267813"/>
    <w:rsid w:val="00267ACA"/>
    <w:rsid w:val="00272A8E"/>
    <w:rsid w:val="0027402B"/>
    <w:rsid w:val="002878FD"/>
    <w:rsid w:val="002A2B40"/>
    <w:rsid w:val="002A7837"/>
    <w:rsid w:val="002B273C"/>
    <w:rsid w:val="002B3725"/>
    <w:rsid w:val="002B5D56"/>
    <w:rsid w:val="002C063C"/>
    <w:rsid w:val="002C4547"/>
    <w:rsid w:val="002C4F14"/>
    <w:rsid w:val="002D12BD"/>
    <w:rsid w:val="002D1376"/>
    <w:rsid w:val="002D6B03"/>
    <w:rsid w:val="002E1078"/>
    <w:rsid w:val="002E18D7"/>
    <w:rsid w:val="002E39FF"/>
    <w:rsid w:val="002E3DF7"/>
    <w:rsid w:val="002E5008"/>
    <w:rsid w:val="002E732D"/>
    <w:rsid w:val="002E7CA6"/>
    <w:rsid w:val="002F3D6C"/>
    <w:rsid w:val="002F477C"/>
    <w:rsid w:val="002F6016"/>
    <w:rsid w:val="00302451"/>
    <w:rsid w:val="00302716"/>
    <w:rsid w:val="00303D8D"/>
    <w:rsid w:val="00304E17"/>
    <w:rsid w:val="00310201"/>
    <w:rsid w:val="00310D0B"/>
    <w:rsid w:val="003123D0"/>
    <w:rsid w:val="00315BAC"/>
    <w:rsid w:val="00316A23"/>
    <w:rsid w:val="00320075"/>
    <w:rsid w:val="00320A31"/>
    <w:rsid w:val="003215CA"/>
    <w:rsid w:val="00325C91"/>
    <w:rsid w:val="00327407"/>
    <w:rsid w:val="00327E59"/>
    <w:rsid w:val="003305B2"/>
    <w:rsid w:val="003366D7"/>
    <w:rsid w:val="00337931"/>
    <w:rsid w:val="003401BC"/>
    <w:rsid w:val="00343CB8"/>
    <w:rsid w:val="00346FF6"/>
    <w:rsid w:val="00355435"/>
    <w:rsid w:val="0035571B"/>
    <w:rsid w:val="00356262"/>
    <w:rsid w:val="00360F61"/>
    <w:rsid w:val="00362759"/>
    <w:rsid w:val="00364371"/>
    <w:rsid w:val="0036442C"/>
    <w:rsid w:val="003654CD"/>
    <w:rsid w:val="00365B2D"/>
    <w:rsid w:val="003668D4"/>
    <w:rsid w:val="00367D3B"/>
    <w:rsid w:val="00367F9E"/>
    <w:rsid w:val="0037051A"/>
    <w:rsid w:val="00370F35"/>
    <w:rsid w:val="003713E7"/>
    <w:rsid w:val="003724E9"/>
    <w:rsid w:val="003727EB"/>
    <w:rsid w:val="0037353B"/>
    <w:rsid w:val="00373D9D"/>
    <w:rsid w:val="00380C99"/>
    <w:rsid w:val="00383E25"/>
    <w:rsid w:val="00391FA6"/>
    <w:rsid w:val="003947A8"/>
    <w:rsid w:val="003952ED"/>
    <w:rsid w:val="00395434"/>
    <w:rsid w:val="00397F9F"/>
    <w:rsid w:val="003A1647"/>
    <w:rsid w:val="003A30BE"/>
    <w:rsid w:val="003A5DED"/>
    <w:rsid w:val="003B61CD"/>
    <w:rsid w:val="003C3D7F"/>
    <w:rsid w:val="003C7394"/>
    <w:rsid w:val="003D104A"/>
    <w:rsid w:val="003D14D7"/>
    <w:rsid w:val="003D5446"/>
    <w:rsid w:val="003E0E58"/>
    <w:rsid w:val="003E31EA"/>
    <w:rsid w:val="003E3DCB"/>
    <w:rsid w:val="003F1CB9"/>
    <w:rsid w:val="003F2B91"/>
    <w:rsid w:val="003F7F31"/>
    <w:rsid w:val="0040072F"/>
    <w:rsid w:val="00401262"/>
    <w:rsid w:val="00401322"/>
    <w:rsid w:val="00402738"/>
    <w:rsid w:val="00405C26"/>
    <w:rsid w:val="00416028"/>
    <w:rsid w:val="00416A62"/>
    <w:rsid w:val="00420888"/>
    <w:rsid w:val="00421049"/>
    <w:rsid w:val="0042113A"/>
    <w:rsid w:val="00422611"/>
    <w:rsid w:val="00425C7D"/>
    <w:rsid w:val="004300C6"/>
    <w:rsid w:val="00435C21"/>
    <w:rsid w:val="00437589"/>
    <w:rsid w:val="004475DD"/>
    <w:rsid w:val="00453E1C"/>
    <w:rsid w:val="00454547"/>
    <w:rsid w:val="004551CA"/>
    <w:rsid w:val="0045664E"/>
    <w:rsid w:val="00462589"/>
    <w:rsid w:val="00463781"/>
    <w:rsid w:val="00471FFB"/>
    <w:rsid w:val="00474A86"/>
    <w:rsid w:val="00476BD0"/>
    <w:rsid w:val="00484A70"/>
    <w:rsid w:val="00484DC6"/>
    <w:rsid w:val="00490B90"/>
    <w:rsid w:val="0049113D"/>
    <w:rsid w:val="0049132F"/>
    <w:rsid w:val="00495A30"/>
    <w:rsid w:val="0049605B"/>
    <w:rsid w:val="004A1724"/>
    <w:rsid w:val="004A2FAE"/>
    <w:rsid w:val="004A7ABD"/>
    <w:rsid w:val="004A7D28"/>
    <w:rsid w:val="004B4E22"/>
    <w:rsid w:val="004C1B31"/>
    <w:rsid w:val="004C389E"/>
    <w:rsid w:val="004C5DF3"/>
    <w:rsid w:val="004D1CED"/>
    <w:rsid w:val="004D5EDF"/>
    <w:rsid w:val="004D63E3"/>
    <w:rsid w:val="004D7651"/>
    <w:rsid w:val="004E1AC6"/>
    <w:rsid w:val="004E3A25"/>
    <w:rsid w:val="004E6615"/>
    <w:rsid w:val="004F0729"/>
    <w:rsid w:val="004F1275"/>
    <w:rsid w:val="004F4A74"/>
    <w:rsid w:val="00503095"/>
    <w:rsid w:val="005044E1"/>
    <w:rsid w:val="00505850"/>
    <w:rsid w:val="00505C9C"/>
    <w:rsid w:val="00506DF1"/>
    <w:rsid w:val="00517111"/>
    <w:rsid w:val="00520AEA"/>
    <w:rsid w:val="00520C82"/>
    <w:rsid w:val="00521B07"/>
    <w:rsid w:val="005228D2"/>
    <w:rsid w:val="0052644D"/>
    <w:rsid w:val="00527304"/>
    <w:rsid w:val="00527C61"/>
    <w:rsid w:val="005354AE"/>
    <w:rsid w:val="00536B9B"/>
    <w:rsid w:val="00537515"/>
    <w:rsid w:val="00537656"/>
    <w:rsid w:val="00537C68"/>
    <w:rsid w:val="00545533"/>
    <w:rsid w:val="0054661B"/>
    <w:rsid w:val="00550C81"/>
    <w:rsid w:val="005531EC"/>
    <w:rsid w:val="00553FBC"/>
    <w:rsid w:val="00555B91"/>
    <w:rsid w:val="00562D02"/>
    <w:rsid w:val="0056315C"/>
    <w:rsid w:val="005642DD"/>
    <w:rsid w:val="00564C9B"/>
    <w:rsid w:val="00571647"/>
    <w:rsid w:val="00576028"/>
    <w:rsid w:val="00577677"/>
    <w:rsid w:val="005864AD"/>
    <w:rsid w:val="00587061"/>
    <w:rsid w:val="00587F82"/>
    <w:rsid w:val="00593090"/>
    <w:rsid w:val="005954B4"/>
    <w:rsid w:val="00595CAD"/>
    <w:rsid w:val="00596CED"/>
    <w:rsid w:val="005A2501"/>
    <w:rsid w:val="005A2AF1"/>
    <w:rsid w:val="005A44FF"/>
    <w:rsid w:val="005A5299"/>
    <w:rsid w:val="005A7A4D"/>
    <w:rsid w:val="005B12FA"/>
    <w:rsid w:val="005B4768"/>
    <w:rsid w:val="005C01AE"/>
    <w:rsid w:val="005C1943"/>
    <w:rsid w:val="005C3C3C"/>
    <w:rsid w:val="005C41EF"/>
    <w:rsid w:val="005C60BB"/>
    <w:rsid w:val="005C6A0D"/>
    <w:rsid w:val="005C6D52"/>
    <w:rsid w:val="005C6DB6"/>
    <w:rsid w:val="005C7415"/>
    <w:rsid w:val="005D053D"/>
    <w:rsid w:val="005D0910"/>
    <w:rsid w:val="005D42A6"/>
    <w:rsid w:val="005E1864"/>
    <w:rsid w:val="005E58E1"/>
    <w:rsid w:val="005E5B24"/>
    <w:rsid w:val="005E5B52"/>
    <w:rsid w:val="005F0A8A"/>
    <w:rsid w:val="005F3FF0"/>
    <w:rsid w:val="005F4524"/>
    <w:rsid w:val="005F5EB0"/>
    <w:rsid w:val="005F772B"/>
    <w:rsid w:val="005F7A84"/>
    <w:rsid w:val="006028B1"/>
    <w:rsid w:val="00603141"/>
    <w:rsid w:val="00603B91"/>
    <w:rsid w:val="00604274"/>
    <w:rsid w:val="0060552B"/>
    <w:rsid w:val="00611C5C"/>
    <w:rsid w:val="00611EFE"/>
    <w:rsid w:val="00612725"/>
    <w:rsid w:val="006146A8"/>
    <w:rsid w:val="00614E76"/>
    <w:rsid w:val="006155CF"/>
    <w:rsid w:val="00626065"/>
    <w:rsid w:val="00626382"/>
    <w:rsid w:val="00634862"/>
    <w:rsid w:val="00635F63"/>
    <w:rsid w:val="00640878"/>
    <w:rsid w:val="00643505"/>
    <w:rsid w:val="0064499D"/>
    <w:rsid w:val="006454CC"/>
    <w:rsid w:val="0064668C"/>
    <w:rsid w:val="006478ED"/>
    <w:rsid w:val="00647974"/>
    <w:rsid w:val="00650A73"/>
    <w:rsid w:val="006529D6"/>
    <w:rsid w:val="00653FBB"/>
    <w:rsid w:val="0065675B"/>
    <w:rsid w:val="00660A8C"/>
    <w:rsid w:val="00663D34"/>
    <w:rsid w:val="006642E5"/>
    <w:rsid w:val="0066436B"/>
    <w:rsid w:val="00664659"/>
    <w:rsid w:val="006648C4"/>
    <w:rsid w:val="006669D1"/>
    <w:rsid w:val="00667BA1"/>
    <w:rsid w:val="0067027E"/>
    <w:rsid w:val="00670BEE"/>
    <w:rsid w:val="0067201E"/>
    <w:rsid w:val="006733E8"/>
    <w:rsid w:val="006756FC"/>
    <w:rsid w:val="00675D0C"/>
    <w:rsid w:val="00675EBD"/>
    <w:rsid w:val="00680B54"/>
    <w:rsid w:val="00682D20"/>
    <w:rsid w:val="0068337D"/>
    <w:rsid w:val="00683E88"/>
    <w:rsid w:val="0068657C"/>
    <w:rsid w:val="006952F0"/>
    <w:rsid w:val="006963D2"/>
    <w:rsid w:val="006A437E"/>
    <w:rsid w:val="006A54C3"/>
    <w:rsid w:val="006A5DB5"/>
    <w:rsid w:val="006B03F0"/>
    <w:rsid w:val="006B19D1"/>
    <w:rsid w:val="006B2ADD"/>
    <w:rsid w:val="006B2F86"/>
    <w:rsid w:val="006B3B72"/>
    <w:rsid w:val="006B60A6"/>
    <w:rsid w:val="006B68CC"/>
    <w:rsid w:val="006B7DE5"/>
    <w:rsid w:val="006C035F"/>
    <w:rsid w:val="006C3AF8"/>
    <w:rsid w:val="006C4385"/>
    <w:rsid w:val="006C6CFF"/>
    <w:rsid w:val="006C6D8D"/>
    <w:rsid w:val="006C6DCB"/>
    <w:rsid w:val="006D0B7D"/>
    <w:rsid w:val="006D1635"/>
    <w:rsid w:val="006D23EF"/>
    <w:rsid w:val="006D3D9F"/>
    <w:rsid w:val="006D7467"/>
    <w:rsid w:val="006D74B0"/>
    <w:rsid w:val="006E0634"/>
    <w:rsid w:val="006E0DB3"/>
    <w:rsid w:val="006E18EC"/>
    <w:rsid w:val="006E1DBB"/>
    <w:rsid w:val="006E335A"/>
    <w:rsid w:val="006E3A3B"/>
    <w:rsid w:val="006E6C76"/>
    <w:rsid w:val="006F0636"/>
    <w:rsid w:val="006F0FDF"/>
    <w:rsid w:val="006F5022"/>
    <w:rsid w:val="007000AB"/>
    <w:rsid w:val="00700BFA"/>
    <w:rsid w:val="007075B3"/>
    <w:rsid w:val="00710350"/>
    <w:rsid w:val="007204F9"/>
    <w:rsid w:val="00725295"/>
    <w:rsid w:val="00726439"/>
    <w:rsid w:val="00730B38"/>
    <w:rsid w:val="00734471"/>
    <w:rsid w:val="00742303"/>
    <w:rsid w:val="00742971"/>
    <w:rsid w:val="0074441D"/>
    <w:rsid w:val="00744504"/>
    <w:rsid w:val="00746582"/>
    <w:rsid w:val="00747C2E"/>
    <w:rsid w:val="00752180"/>
    <w:rsid w:val="00754744"/>
    <w:rsid w:val="00755B46"/>
    <w:rsid w:val="00757E86"/>
    <w:rsid w:val="00761A85"/>
    <w:rsid w:val="00761C3F"/>
    <w:rsid w:val="0076384E"/>
    <w:rsid w:val="007642B3"/>
    <w:rsid w:val="007656CF"/>
    <w:rsid w:val="007673D0"/>
    <w:rsid w:val="007725F7"/>
    <w:rsid w:val="00772E8C"/>
    <w:rsid w:val="007836B5"/>
    <w:rsid w:val="00786866"/>
    <w:rsid w:val="007948B6"/>
    <w:rsid w:val="00794DCF"/>
    <w:rsid w:val="00794FB6"/>
    <w:rsid w:val="007A7909"/>
    <w:rsid w:val="007A7D73"/>
    <w:rsid w:val="007B02A8"/>
    <w:rsid w:val="007B17AD"/>
    <w:rsid w:val="007B5D5A"/>
    <w:rsid w:val="007C1FCA"/>
    <w:rsid w:val="007C2872"/>
    <w:rsid w:val="007C2F0D"/>
    <w:rsid w:val="007C4C83"/>
    <w:rsid w:val="007C5704"/>
    <w:rsid w:val="007C58D4"/>
    <w:rsid w:val="007C64E9"/>
    <w:rsid w:val="007D02A1"/>
    <w:rsid w:val="007D1A1C"/>
    <w:rsid w:val="007D4025"/>
    <w:rsid w:val="007D52B7"/>
    <w:rsid w:val="007D666C"/>
    <w:rsid w:val="007D6C66"/>
    <w:rsid w:val="007E0BF1"/>
    <w:rsid w:val="007E33A6"/>
    <w:rsid w:val="007E4E82"/>
    <w:rsid w:val="007F16CA"/>
    <w:rsid w:val="007F1F07"/>
    <w:rsid w:val="007F40D6"/>
    <w:rsid w:val="007F61C7"/>
    <w:rsid w:val="007F6300"/>
    <w:rsid w:val="00801132"/>
    <w:rsid w:val="008030F5"/>
    <w:rsid w:val="00803E55"/>
    <w:rsid w:val="0080505A"/>
    <w:rsid w:val="00806F9C"/>
    <w:rsid w:val="00807F85"/>
    <w:rsid w:val="00811FE2"/>
    <w:rsid w:val="008270D7"/>
    <w:rsid w:val="008315F2"/>
    <w:rsid w:val="00833844"/>
    <w:rsid w:val="0083413A"/>
    <w:rsid w:val="00835E99"/>
    <w:rsid w:val="008404DA"/>
    <w:rsid w:val="00847E22"/>
    <w:rsid w:val="00851A29"/>
    <w:rsid w:val="00854190"/>
    <w:rsid w:val="00856019"/>
    <w:rsid w:val="00862465"/>
    <w:rsid w:val="00864495"/>
    <w:rsid w:val="00864AC0"/>
    <w:rsid w:val="008667B0"/>
    <w:rsid w:val="008676B2"/>
    <w:rsid w:val="00870102"/>
    <w:rsid w:val="00870D1C"/>
    <w:rsid w:val="008722D9"/>
    <w:rsid w:val="00872847"/>
    <w:rsid w:val="0087441A"/>
    <w:rsid w:val="00882583"/>
    <w:rsid w:val="008825F4"/>
    <w:rsid w:val="0088279B"/>
    <w:rsid w:val="00884E72"/>
    <w:rsid w:val="008857AA"/>
    <w:rsid w:val="00890D45"/>
    <w:rsid w:val="008910AF"/>
    <w:rsid w:val="00893FAA"/>
    <w:rsid w:val="00895ED5"/>
    <w:rsid w:val="00895EF3"/>
    <w:rsid w:val="00897332"/>
    <w:rsid w:val="008A0F96"/>
    <w:rsid w:val="008A594F"/>
    <w:rsid w:val="008B1328"/>
    <w:rsid w:val="008B3232"/>
    <w:rsid w:val="008B6D55"/>
    <w:rsid w:val="008C3B72"/>
    <w:rsid w:val="008C3E6D"/>
    <w:rsid w:val="008C4379"/>
    <w:rsid w:val="008C5FB5"/>
    <w:rsid w:val="008C67EB"/>
    <w:rsid w:val="008C7E08"/>
    <w:rsid w:val="008D0F71"/>
    <w:rsid w:val="008D1230"/>
    <w:rsid w:val="008D5313"/>
    <w:rsid w:val="008D576F"/>
    <w:rsid w:val="008E1BD7"/>
    <w:rsid w:val="008E265E"/>
    <w:rsid w:val="008F06AA"/>
    <w:rsid w:val="008F11D5"/>
    <w:rsid w:val="008F6F41"/>
    <w:rsid w:val="009047C8"/>
    <w:rsid w:val="0090528F"/>
    <w:rsid w:val="009065D8"/>
    <w:rsid w:val="00907818"/>
    <w:rsid w:val="00910CBA"/>
    <w:rsid w:val="00912FEF"/>
    <w:rsid w:val="009139AF"/>
    <w:rsid w:val="00915CEC"/>
    <w:rsid w:val="0091603D"/>
    <w:rsid w:val="009224FC"/>
    <w:rsid w:val="009263C2"/>
    <w:rsid w:val="009308CD"/>
    <w:rsid w:val="00934899"/>
    <w:rsid w:val="009430BD"/>
    <w:rsid w:val="00943C78"/>
    <w:rsid w:val="00944D10"/>
    <w:rsid w:val="00947AC8"/>
    <w:rsid w:val="00950AD8"/>
    <w:rsid w:val="0095568B"/>
    <w:rsid w:val="00957974"/>
    <w:rsid w:val="00957FF9"/>
    <w:rsid w:val="00962A49"/>
    <w:rsid w:val="009638B3"/>
    <w:rsid w:val="00970853"/>
    <w:rsid w:val="00977317"/>
    <w:rsid w:val="00977832"/>
    <w:rsid w:val="0098288C"/>
    <w:rsid w:val="00983579"/>
    <w:rsid w:val="0098366D"/>
    <w:rsid w:val="009A1DCA"/>
    <w:rsid w:val="009A24CC"/>
    <w:rsid w:val="009A3086"/>
    <w:rsid w:val="009A4429"/>
    <w:rsid w:val="009A4D08"/>
    <w:rsid w:val="009A5048"/>
    <w:rsid w:val="009A6092"/>
    <w:rsid w:val="009B4FEE"/>
    <w:rsid w:val="009B7D7F"/>
    <w:rsid w:val="009C181E"/>
    <w:rsid w:val="009C4DDF"/>
    <w:rsid w:val="009C63C2"/>
    <w:rsid w:val="009D150F"/>
    <w:rsid w:val="009D5E6C"/>
    <w:rsid w:val="009D73C5"/>
    <w:rsid w:val="009F012D"/>
    <w:rsid w:val="009F1744"/>
    <w:rsid w:val="009F569C"/>
    <w:rsid w:val="009F5C2E"/>
    <w:rsid w:val="00A00BF5"/>
    <w:rsid w:val="00A01EB4"/>
    <w:rsid w:val="00A020B8"/>
    <w:rsid w:val="00A02527"/>
    <w:rsid w:val="00A071F3"/>
    <w:rsid w:val="00A07E80"/>
    <w:rsid w:val="00A10A9C"/>
    <w:rsid w:val="00A144A3"/>
    <w:rsid w:val="00A2430B"/>
    <w:rsid w:val="00A257D9"/>
    <w:rsid w:val="00A2750F"/>
    <w:rsid w:val="00A41BA7"/>
    <w:rsid w:val="00A42EAA"/>
    <w:rsid w:val="00A43387"/>
    <w:rsid w:val="00A4779D"/>
    <w:rsid w:val="00A51840"/>
    <w:rsid w:val="00A60208"/>
    <w:rsid w:val="00A6286E"/>
    <w:rsid w:val="00A6400E"/>
    <w:rsid w:val="00A64535"/>
    <w:rsid w:val="00A7019E"/>
    <w:rsid w:val="00A7149F"/>
    <w:rsid w:val="00A71A8B"/>
    <w:rsid w:val="00A71F9A"/>
    <w:rsid w:val="00A72EC7"/>
    <w:rsid w:val="00A73218"/>
    <w:rsid w:val="00A732A1"/>
    <w:rsid w:val="00A81442"/>
    <w:rsid w:val="00A84275"/>
    <w:rsid w:val="00A8617F"/>
    <w:rsid w:val="00A8750A"/>
    <w:rsid w:val="00A90878"/>
    <w:rsid w:val="00AA1435"/>
    <w:rsid w:val="00AA16B8"/>
    <w:rsid w:val="00AA24D9"/>
    <w:rsid w:val="00AA2604"/>
    <w:rsid w:val="00AA2D4E"/>
    <w:rsid w:val="00AA3035"/>
    <w:rsid w:val="00AA6103"/>
    <w:rsid w:val="00AA6453"/>
    <w:rsid w:val="00AA66C1"/>
    <w:rsid w:val="00AB12AC"/>
    <w:rsid w:val="00AB24BA"/>
    <w:rsid w:val="00AB39A4"/>
    <w:rsid w:val="00AB4419"/>
    <w:rsid w:val="00AC08E3"/>
    <w:rsid w:val="00AC1037"/>
    <w:rsid w:val="00AC3C60"/>
    <w:rsid w:val="00AC57E5"/>
    <w:rsid w:val="00AC75B5"/>
    <w:rsid w:val="00AD0B10"/>
    <w:rsid w:val="00AD2C6F"/>
    <w:rsid w:val="00AE125F"/>
    <w:rsid w:val="00AE3164"/>
    <w:rsid w:val="00AE69C7"/>
    <w:rsid w:val="00AF11ED"/>
    <w:rsid w:val="00AF218D"/>
    <w:rsid w:val="00AF36FE"/>
    <w:rsid w:val="00AF4DF3"/>
    <w:rsid w:val="00B03E8F"/>
    <w:rsid w:val="00B04775"/>
    <w:rsid w:val="00B067AB"/>
    <w:rsid w:val="00B06E15"/>
    <w:rsid w:val="00B10C17"/>
    <w:rsid w:val="00B16F18"/>
    <w:rsid w:val="00B235CA"/>
    <w:rsid w:val="00B25E96"/>
    <w:rsid w:val="00B2720B"/>
    <w:rsid w:val="00B27646"/>
    <w:rsid w:val="00B3003D"/>
    <w:rsid w:val="00B3068D"/>
    <w:rsid w:val="00B32114"/>
    <w:rsid w:val="00B3228D"/>
    <w:rsid w:val="00B34EF4"/>
    <w:rsid w:val="00B36071"/>
    <w:rsid w:val="00B403E8"/>
    <w:rsid w:val="00B4285D"/>
    <w:rsid w:val="00B445A6"/>
    <w:rsid w:val="00B447B3"/>
    <w:rsid w:val="00B4671E"/>
    <w:rsid w:val="00B4716E"/>
    <w:rsid w:val="00B506AC"/>
    <w:rsid w:val="00B518BF"/>
    <w:rsid w:val="00B52170"/>
    <w:rsid w:val="00B57E29"/>
    <w:rsid w:val="00B639BE"/>
    <w:rsid w:val="00B64423"/>
    <w:rsid w:val="00B64486"/>
    <w:rsid w:val="00B76371"/>
    <w:rsid w:val="00B80CC0"/>
    <w:rsid w:val="00B82C4A"/>
    <w:rsid w:val="00B83E9D"/>
    <w:rsid w:val="00B85767"/>
    <w:rsid w:val="00B87B58"/>
    <w:rsid w:val="00B941DB"/>
    <w:rsid w:val="00B95673"/>
    <w:rsid w:val="00B9723F"/>
    <w:rsid w:val="00B97579"/>
    <w:rsid w:val="00B97D6A"/>
    <w:rsid w:val="00BA49C9"/>
    <w:rsid w:val="00BA5EDD"/>
    <w:rsid w:val="00BC0374"/>
    <w:rsid w:val="00BC15D2"/>
    <w:rsid w:val="00BC61FC"/>
    <w:rsid w:val="00BD51B7"/>
    <w:rsid w:val="00BD64FB"/>
    <w:rsid w:val="00BD7B5A"/>
    <w:rsid w:val="00BF0D5A"/>
    <w:rsid w:val="00BF1E98"/>
    <w:rsid w:val="00BF48A4"/>
    <w:rsid w:val="00BF58BD"/>
    <w:rsid w:val="00BF5C5A"/>
    <w:rsid w:val="00BF73F4"/>
    <w:rsid w:val="00C019C0"/>
    <w:rsid w:val="00C01CB1"/>
    <w:rsid w:val="00C04531"/>
    <w:rsid w:val="00C0609E"/>
    <w:rsid w:val="00C10771"/>
    <w:rsid w:val="00C1402D"/>
    <w:rsid w:val="00C15C17"/>
    <w:rsid w:val="00C17244"/>
    <w:rsid w:val="00C23A88"/>
    <w:rsid w:val="00C253FE"/>
    <w:rsid w:val="00C25EA6"/>
    <w:rsid w:val="00C31BC2"/>
    <w:rsid w:val="00C31CD3"/>
    <w:rsid w:val="00C33B31"/>
    <w:rsid w:val="00C50104"/>
    <w:rsid w:val="00C552C2"/>
    <w:rsid w:val="00C617BE"/>
    <w:rsid w:val="00C62B5E"/>
    <w:rsid w:val="00C62C4C"/>
    <w:rsid w:val="00C64001"/>
    <w:rsid w:val="00C64546"/>
    <w:rsid w:val="00C66678"/>
    <w:rsid w:val="00C66EF2"/>
    <w:rsid w:val="00C71B8F"/>
    <w:rsid w:val="00C73708"/>
    <w:rsid w:val="00C7383D"/>
    <w:rsid w:val="00C74048"/>
    <w:rsid w:val="00C83793"/>
    <w:rsid w:val="00C84C93"/>
    <w:rsid w:val="00C93158"/>
    <w:rsid w:val="00C93EFF"/>
    <w:rsid w:val="00C94438"/>
    <w:rsid w:val="00C94C33"/>
    <w:rsid w:val="00C94DCE"/>
    <w:rsid w:val="00C94E04"/>
    <w:rsid w:val="00C9579A"/>
    <w:rsid w:val="00C975C9"/>
    <w:rsid w:val="00C97815"/>
    <w:rsid w:val="00CA0CF8"/>
    <w:rsid w:val="00CA6B72"/>
    <w:rsid w:val="00CA7415"/>
    <w:rsid w:val="00CA7866"/>
    <w:rsid w:val="00CB2CC6"/>
    <w:rsid w:val="00CB3A76"/>
    <w:rsid w:val="00CB5392"/>
    <w:rsid w:val="00CB5C47"/>
    <w:rsid w:val="00CB6D21"/>
    <w:rsid w:val="00CB6EC2"/>
    <w:rsid w:val="00CB79A1"/>
    <w:rsid w:val="00CC2DDE"/>
    <w:rsid w:val="00CC7510"/>
    <w:rsid w:val="00CD149B"/>
    <w:rsid w:val="00CD214E"/>
    <w:rsid w:val="00CD5288"/>
    <w:rsid w:val="00CD7450"/>
    <w:rsid w:val="00CE0212"/>
    <w:rsid w:val="00CE1014"/>
    <w:rsid w:val="00CE165F"/>
    <w:rsid w:val="00CE5DCA"/>
    <w:rsid w:val="00CE6DF9"/>
    <w:rsid w:val="00CF04CA"/>
    <w:rsid w:val="00CF6D15"/>
    <w:rsid w:val="00D03EA1"/>
    <w:rsid w:val="00D04098"/>
    <w:rsid w:val="00D04BC7"/>
    <w:rsid w:val="00D10717"/>
    <w:rsid w:val="00D10FC9"/>
    <w:rsid w:val="00D13645"/>
    <w:rsid w:val="00D15085"/>
    <w:rsid w:val="00D157A4"/>
    <w:rsid w:val="00D17D09"/>
    <w:rsid w:val="00D20916"/>
    <w:rsid w:val="00D20E42"/>
    <w:rsid w:val="00D2261D"/>
    <w:rsid w:val="00D236FC"/>
    <w:rsid w:val="00D242FD"/>
    <w:rsid w:val="00D24ACA"/>
    <w:rsid w:val="00D30A6F"/>
    <w:rsid w:val="00D347D2"/>
    <w:rsid w:val="00D36FE1"/>
    <w:rsid w:val="00D45BA3"/>
    <w:rsid w:val="00D47140"/>
    <w:rsid w:val="00D4786E"/>
    <w:rsid w:val="00D520B2"/>
    <w:rsid w:val="00D57204"/>
    <w:rsid w:val="00D61603"/>
    <w:rsid w:val="00D67A35"/>
    <w:rsid w:val="00D7105D"/>
    <w:rsid w:val="00D72373"/>
    <w:rsid w:val="00D72C77"/>
    <w:rsid w:val="00D73A84"/>
    <w:rsid w:val="00D73B30"/>
    <w:rsid w:val="00D7566D"/>
    <w:rsid w:val="00D7765B"/>
    <w:rsid w:val="00D77C73"/>
    <w:rsid w:val="00D87B97"/>
    <w:rsid w:val="00D91982"/>
    <w:rsid w:val="00D9338E"/>
    <w:rsid w:val="00D97A26"/>
    <w:rsid w:val="00D97E49"/>
    <w:rsid w:val="00DA2C5D"/>
    <w:rsid w:val="00DA4328"/>
    <w:rsid w:val="00DA61AD"/>
    <w:rsid w:val="00DB46CC"/>
    <w:rsid w:val="00DB4EAB"/>
    <w:rsid w:val="00DB5DA9"/>
    <w:rsid w:val="00DB7417"/>
    <w:rsid w:val="00DC328A"/>
    <w:rsid w:val="00DC4924"/>
    <w:rsid w:val="00DC556E"/>
    <w:rsid w:val="00DC7164"/>
    <w:rsid w:val="00DD4A8E"/>
    <w:rsid w:val="00DD5178"/>
    <w:rsid w:val="00DE3055"/>
    <w:rsid w:val="00DE3268"/>
    <w:rsid w:val="00DE70AE"/>
    <w:rsid w:val="00DF0C5E"/>
    <w:rsid w:val="00DF2C13"/>
    <w:rsid w:val="00DF7A07"/>
    <w:rsid w:val="00E00755"/>
    <w:rsid w:val="00E00EC4"/>
    <w:rsid w:val="00E03E1A"/>
    <w:rsid w:val="00E0427D"/>
    <w:rsid w:val="00E04FC0"/>
    <w:rsid w:val="00E07861"/>
    <w:rsid w:val="00E10053"/>
    <w:rsid w:val="00E10472"/>
    <w:rsid w:val="00E11110"/>
    <w:rsid w:val="00E14498"/>
    <w:rsid w:val="00E22F3F"/>
    <w:rsid w:val="00E23E0B"/>
    <w:rsid w:val="00E23F00"/>
    <w:rsid w:val="00E3317B"/>
    <w:rsid w:val="00E3386F"/>
    <w:rsid w:val="00E3424D"/>
    <w:rsid w:val="00E52EE1"/>
    <w:rsid w:val="00E708D5"/>
    <w:rsid w:val="00E732C9"/>
    <w:rsid w:val="00E74C2F"/>
    <w:rsid w:val="00E76C3A"/>
    <w:rsid w:val="00E77101"/>
    <w:rsid w:val="00E77EE7"/>
    <w:rsid w:val="00E8230A"/>
    <w:rsid w:val="00E82C0C"/>
    <w:rsid w:val="00E858A7"/>
    <w:rsid w:val="00E8716B"/>
    <w:rsid w:val="00E8787F"/>
    <w:rsid w:val="00E900AF"/>
    <w:rsid w:val="00E92D8C"/>
    <w:rsid w:val="00E966FD"/>
    <w:rsid w:val="00EA05BA"/>
    <w:rsid w:val="00EA2DCF"/>
    <w:rsid w:val="00EA3EEC"/>
    <w:rsid w:val="00EA5E6A"/>
    <w:rsid w:val="00EA6FE9"/>
    <w:rsid w:val="00EB2C64"/>
    <w:rsid w:val="00EB2F2C"/>
    <w:rsid w:val="00EB36AD"/>
    <w:rsid w:val="00EB3C69"/>
    <w:rsid w:val="00EB531D"/>
    <w:rsid w:val="00EB62D7"/>
    <w:rsid w:val="00EB6C50"/>
    <w:rsid w:val="00EB6F2B"/>
    <w:rsid w:val="00EC126D"/>
    <w:rsid w:val="00EC720E"/>
    <w:rsid w:val="00ED1237"/>
    <w:rsid w:val="00ED2F8C"/>
    <w:rsid w:val="00ED452D"/>
    <w:rsid w:val="00ED4B86"/>
    <w:rsid w:val="00EE7D8D"/>
    <w:rsid w:val="00EF0D43"/>
    <w:rsid w:val="00EF1FB7"/>
    <w:rsid w:val="00F01005"/>
    <w:rsid w:val="00F0109D"/>
    <w:rsid w:val="00F01F41"/>
    <w:rsid w:val="00F1406D"/>
    <w:rsid w:val="00F14133"/>
    <w:rsid w:val="00F20F0C"/>
    <w:rsid w:val="00F21E02"/>
    <w:rsid w:val="00F24239"/>
    <w:rsid w:val="00F24AFC"/>
    <w:rsid w:val="00F32F3A"/>
    <w:rsid w:val="00F35ABF"/>
    <w:rsid w:val="00F37DC9"/>
    <w:rsid w:val="00F40053"/>
    <w:rsid w:val="00F438E3"/>
    <w:rsid w:val="00F43D1E"/>
    <w:rsid w:val="00F464BF"/>
    <w:rsid w:val="00F46BA9"/>
    <w:rsid w:val="00F52243"/>
    <w:rsid w:val="00F52FD1"/>
    <w:rsid w:val="00F54329"/>
    <w:rsid w:val="00F545AC"/>
    <w:rsid w:val="00F55301"/>
    <w:rsid w:val="00F56999"/>
    <w:rsid w:val="00F573F1"/>
    <w:rsid w:val="00F60422"/>
    <w:rsid w:val="00F60644"/>
    <w:rsid w:val="00F615BD"/>
    <w:rsid w:val="00F6767A"/>
    <w:rsid w:val="00F67E6A"/>
    <w:rsid w:val="00F71485"/>
    <w:rsid w:val="00F80A00"/>
    <w:rsid w:val="00F854D8"/>
    <w:rsid w:val="00F860E1"/>
    <w:rsid w:val="00F860F7"/>
    <w:rsid w:val="00F93181"/>
    <w:rsid w:val="00F97C75"/>
    <w:rsid w:val="00FA2D2A"/>
    <w:rsid w:val="00FA325B"/>
    <w:rsid w:val="00FA3413"/>
    <w:rsid w:val="00FA7186"/>
    <w:rsid w:val="00FB115F"/>
    <w:rsid w:val="00FB19F5"/>
    <w:rsid w:val="00FB4944"/>
    <w:rsid w:val="00FB4A1C"/>
    <w:rsid w:val="00FB504D"/>
    <w:rsid w:val="00FB51DC"/>
    <w:rsid w:val="00FB5BF0"/>
    <w:rsid w:val="00FB5CD9"/>
    <w:rsid w:val="00FB6924"/>
    <w:rsid w:val="00FB795F"/>
    <w:rsid w:val="00FC7377"/>
    <w:rsid w:val="00FD12DB"/>
    <w:rsid w:val="00FD3C84"/>
    <w:rsid w:val="00FD57E2"/>
    <w:rsid w:val="00FD64E5"/>
    <w:rsid w:val="00FE03F5"/>
    <w:rsid w:val="00FE493E"/>
    <w:rsid w:val="00FE5DF6"/>
    <w:rsid w:val="00FF3C7C"/>
    <w:rsid w:val="00FF5794"/>
    <w:rsid w:val="00FF69E1"/>
    <w:rsid w:val="00FF6B3D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D3594D"/>
  <w15:docId w15:val="{AE278A13-9C2A-4D53-8A14-E27E9B8F7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445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44504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44504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45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4504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6E1D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747C2E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A6453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A645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A6453"/>
    <w:rPr>
      <w:vertAlign w:val="superscript"/>
    </w:rPr>
  </w:style>
  <w:style w:type="character" w:customStyle="1" w:styleId="cf01">
    <w:name w:val="cf01"/>
    <w:basedOn w:val="Standardnpsmoodstavce"/>
    <w:rsid w:val="0098357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4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88650-8B43-417C-931A-06049C169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1546</Words>
  <Characters>9126</Characters>
  <Application>Microsoft Office Word</Application>
  <DocSecurity>0</DocSecurity>
  <Lines>76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UGIS</Company>
  <LinksUpToDate>false</LinksUpToDate>
  <CharactersWithSpaces>10651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vlachova</dc:creator>
  <cp:lastModifiedBy>Andrea Trudičová</cp:lastModifiedBy>
  <cp:revision>6</cp:revision>
  <cp:lastPrinted>2021-11-10T10:12:00Z</cp:lastPrinted>
  <dcterms:created xsi:type="dcterms:W3CDTF">2021-11-10T12:05:00Z</dcterms:created>
  <dcterms:modified xsi:type="dcterms:W3CDTF">2021-11-11T09:18:00Z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0254f4-34d0-49c5-b888-af4abf762ef7_Enabled">
    <vt:lpwstr>True</vt:lpwstr>
  </property>
  <property fmtid="{D5CDD505-2E9C-101B-9397-08002B2CF9AE}" pid="3" name="MSIP_Label_390254f4-34d0-49c5-b888-af4abf762ef7_SiteId">
    <vt:lpwstr>2cc49ce9-66a1-41ac-a96b-bdc54247696a</vt:lpwstr>
  </property>
  <property fmtid="{D5CDD505-2E9C-101B-9397-08002B2CF9AE}" pid="4" name="MSIP_Label_390254f4-34d0-49c5-b888-af4abf762ef7_Owner">
    <vt:lpwstr>Pavel.Sobisek@unicreditgroup.cz</vt:lpwstr>
  </property>
  <property fmtid="{D5CDD505-2E9C-101B-9397-08002B2CF9AE}" pid="5" name="MSIP_Label_390254f4-34d0-49c5-b888-af4abf762ef7_SetDate">
    <vt:lpwstr>2020-01-15T16:11:29.8787231Z</vt:lpwstr>
  </property>
  <property fmtid="{D5CDD505-2E9C-101B-9397-08002B2CF9AE}" pid="6" name="MSIP_Label_390254f4-34d0-49c5-b888-af4abf762ef7_Name">
    <vt:lpwstr>Internal Use Only</vt:lpwstr>
  </property>
  <property fmtid="{D5CDD505-2E9C-101B-9397-08002B2CF9AE}" pid="7" name="MSIP_Label_390254f4-34d0-49c5-b888-af4abf762ef7_Application">
    <vt:lpwstr>Microsoft Azure Information Protection</vt:lpwstr>
  </property>
  <property fmtid="{D5CDD505-2E9C-101B-9397-08002B2CF9AE}" pid="8" name="MSIP_Label_390254f4-34d0-49c5-b888-af4abf762ef7_ActionId">
    <vt:lpwstr>43f3763f-d3c6-435c-ae50-a4a40081b5fb</vt:lpwstr>
  </property>
  <property fmtid="{D5CDD505-2E9C-101B-9397-08002B2CF9AE}" pid="9" name="MSIP_Label_390254f4-34d0-49c5-b888-af4abf762ef7_Extended_MSFT_Method">
    <vt:lpwstr>Automatic</vt:lpwstr>
  </property>
  <property fmtid="{D5CDD505-2E9C-101B-9397-08002B2CF9AE}" pid="10" name="MSIP_Label_faa92781-1fcb-4da3-a1a2-e534c28a25f3_Enabled">
    <vt:lpwstr>True</vt:lpwstr>
  </property>
  <property fmtid="{D5CDD505-2E9C-101B-9397-08002B2CF9AE}" pid="11" name="MSIP_Label_faa92781-1fcb-4da3-a1a2-e534c28a25f3_SiteId">
    <vt:lpwstr>2cc49ce9-66a1-41ac-a96b-bdc54247696a</vt:lpwstr>
  </property>
  <property fmtid="{D5CDD505-2E9C-101B-9397-08002B2CF9AE}" pid="12" name="MSIP_Label_faa92781-1fcb-4da3-a1a2-e534c28a25f3_Owner">
    <vt:lpwstr>Pavel.Sobisek@unicreditgroup.cz</vt:lpwstr>
  </property>
  <property fmtid="{D5CDD505-2E9C-101B-9397-08002B2CF9AE}" pid="13" name="MSIP_Label_faa92781-1fcb-4da3-a1a2-e534c28a25f3_SetDate">
    <vt:lpwstr>2020-01-15T16:11:29.8787231Z</vt:lpwstr>
  </property>
  <property fmtid="{D5CDD505-2E9C-101B-9397-08002B2CF9AE}" pid="14" name="MSIP_Label_faa92781-1fcb-4da3-a1a2-e534c28a25f3_Name">
    <vt:lpwstr>in UniCredit Group - no visual markings</vt:lpwstr>
  </property>
  <property fmtid="{D5CDD505-2E9C-101B-9397-08002B2CF9AE}" pid="15" name="MSIP_Label_faa92781-1fcb-4da3-a1a2-e534c28a25f3_Application">
    <vt:lpwstr>Microsoft Azure Information Protection</vt:lpwstr>
  </property>
  <property fmtid="{D5CDD505-2E9C-101B-9397-08002B2CF9AE}" pid="16" name="MSIP_Label_faa92781-1fcb-4da3-a1a2-e534c28a25f3_ActionId">
    <vt:lpwstr>43f3763f-d3c6-435c-ae50-a4a40081b5fb</vt:lpwstr>
  </property>
  <property fmtid="{D5CDD505-2E9C-101B-9397-08002B2CF9AE}" pid="17" name="MSIP_Label_faa92781-1fcb-4da3-a1a2-e534c28a25f3_Parent">
    <vt:lpwstr>390254f4-34d0-49c5-b888-af4abf762ef7</vt:lpwstr>
  </property>
  <property fmtid="{D5CDD505-2E9C-101B-9397-08002B2CF9AE}" pid="18" name="MSIP_Label_faa92781-1fcb-4da3-a1a2-e534c28a25f3_Extended_MSFT_Method">
    <vt:lpwstr>Automatic</vt:lpwstr>
  </property>
  <property fmtid="{D5CDD505-2E9C-101B-9397-08002B2CF9AE}" pid="19" name="Sensitivity">
    <vt:lpwstr>Internal Use Only in UniCredit Group - no visual markings</vt:lpwstr>
  </property>
  <property fmtid="{D5CDD505-2E9C-101B-9397-08002B2CF9AE}" pid="20" name="MSIP_Label_2b3a104e-2916-42dc-a2f6-6210338509ed_Enabled">
    <vt:lpwstr>True</vt:lpwstr>
  </property>
  <property fmtid="{D5CDD505-2E9C-101B-9397-08002B2CF9AE}" pid="21" name="MSIP_Label_2b3a104e-2916-42dc-a2f6-6210338509ed_SiteId">
    <vt:lpwstr>e70aafb3-2e89-46a5-ba50-66803e8a4411</vt:lpwstr>
  </property>
  <property fmtid="{D5CDD505-2E9C-101B-9397-08002B2CF9AE}" pid="22" name="MSIP_Label_2b3a104e-2916-42dc-a2f6-6210338509ed_Owner">
    <vt:lpwstr>cen87316@csin.cz</vt:lpwstr>
  </property>
  <property fmtid="{D5CDD505-2E9C-101B-9397-08002B2CF9AE}" pid="23" name="MSIP_Label_2b3a104e-2916-42dc-a2f6-6210338509ed_SetDate">
    <vt:lpwstr>2020-01-17T08:10:02.3455520Z</vt:lpwstr>
  </property>
  <property fmtid="{D5CDD505-2E9C-101B-9397-08002B2CF9AE}" pid="24" name="MSIP_Label_2b3a104e-2916-42dc-a2f6-6210338509ed_Name">
    <vt:lpwstr>CS Internal</vt:lpwstr>
  </property>
  <property fmtid="{D5CDD505-2E9C-101B-9397-08002B2CF9AE}" pid="25" name="MSIP_Label_2b3a104e-2916-42dc-a2f6-6210338509ed_Application">
    <vt:lpwstr>Microsoft Azure Information Protection</vt:lpwstr>
  </property>
  <property fmtid="{D5CDD505-2E9C-101B-9397-08002B2CF9AE}" pid="26" name="MSIP_Label_2b3a104e-2916-42dc-a2f6-6210338509ed_ActionId">
    <vt:lpwstr>60b9ebe4-46ae-459c-bf59-6a05f328379e</vt:lpwstr>
  </property>
  <property fmtid="{D5CDD505-2E9C-101B-9397-08002B2CF9AE}" pid="27" name="MSIP_Label_2b3a104e-2916-42dc-a2f6-6210338509ed_Extended_MSFT_Method">
    <vt:lpwstr>Automatic</vt:lpwstr>
  </property>
  <property fmtid="{D5CDD505-2E9C-101B-9397-08002B2CF9AE}" pid="28" name="MSIP_Label_076d9757-80ae-4c87-b4d7-9ffa7a0710d0_Enabled">
    <vt:lpwstr>true</vt:lpwstr>
  </property>
  <property fmtid="{D5CDD505-2E9C-101B-9397-08002B2CF9AE}" pid="29" name="MSIP_Label_076d9757-80ae-4c87-b4d7-9ffa7a0710d0_SetDate">
    <vt:lpwstr>2021-05-09T16:09:36Z</vt:lpwstr>
  </property>
  <property fmtid="{D5CDD505-2E9C-101B-9397-08002B2CF9AE}" pid="30" name="MSIP_Label_076d9757-80ae-4c87-b4d7-9ffa7a0710d0_Method">
    <vt:lpwstr>Standard</vt:lpwstr>
  </property>
  <property fmtid="{D5CDD505-2E9C-101B-9397-08002B2CF9AE}" pid="31" name="MSIP_Label_076d9757-80ae-4c87-b4d7-9ffa7a0710d0_Name">
    <vt:lpwstr>C1 - Internal</vt:lpwstr>
  </property>
  <property fmtid="{D5CDD505-2E9C-101B-9397-08002B2CF9AE}" pid="32" name="MSIP_Label_076d9757-80ae-4c87-b4d7-9ffa7a0710d0_SiteId">
    <vt:lpwstr>c79e7c80-cff5-4503-b468-3702cea89272</vt:lpwstr>
  </property>
  <property fmtid="{D5CDD505-2E9C-101B-9397-08002B2CF9AE}" pid="33" name="MSIP_Label_076d9757-80ae-4c87-b4d7-9ffa7a0710d0_ActionId">
    <vt:lpwstr>e6da5af1-39f2-4f2b-b59b-984e27099740</vt:lpwstr>
  </property>
  <property fmtid="{D5CDD505-2E9C-101B-9397-08002B2CF9AE}" pid="34" name="MSIP_Label_076d9757-80ae-4c87-b4d7-9ffa7a0710d0_ContentBits">
    <vt:lpwstr>0</vt:lpwstr>
  </property>
  <property fmtid="{D5CDD505-2E9C-101B-9397-08002B2CF9AE}" pid="35" name="Kod_Duvernosti">
    <vt:lpwstr>KB_C1_INTERNAL_992521</vt:lpwstr>
  </property>
  <property fmtid="{D5CDD505-2E9C-101B-9397-08002B2CF9AE}" pid="36" name="MSIP_Label_2a6524ed-fb1a-49fd-bafe-15c5e5ffd047_Enabled">
    <vt:lpwstr>true</vt:lpwstr>
  </property>
  <property fmtid="{D5CDD505-2E9C-101B-9397-08002B2CF9AE}" pid="37" name="MSIP_Label_2a6524ed-fb1a-49fd-bafe-15c5e5ffd047_SetDate">
    <vt:lpwstr>2021-05-10T05:54:55Z</vt:lpwstr>
  </property>
  <property fmtid="{D5CDD505-2E9C-101B-9397-08002B2CF9AE}" pid="38" name="MSIP_Label_2a6524ed-fb1a-49fd-bafe-15c5e5ffd047_Method">
    <vt:lpwstr>Standard</vt:lpwstr>
  </property>
  <property fmtid="{D5CDD505-2E9C-101B-9397-08002B2CF9AE}" pid="39" name="MSIP_Label_2a6524ed-fb1a-49fd-bafe-15c5e5ffd047_Name">
    <vt:lpwstr>Internal</vt:lpwstr>
  </property>
  <property fmtid="{D5CDD505-2E9C-101B-9397-08002B2CF9AE}" pid="40" name="MSIP_Label_2a6524ed-fb1a-49fd-bafe-15c5e5ffd047_SiteId">
    <vt:lpwstr>9b511fda-f0b1-43a5-b06e-1e720f64520a</vt:lpwstr>
  </property>
  <property fmtid="{D5CDD505-2E9C-101B-9397-08002B2CF9AE}" pid="41" name="MSIP_Label_2a6524ed-fb1a-49fd-bafe-15c5e5ffd047_ActionId">
    <vt:lpwstr>6e16e441-bca8-45fa-8e42-4b14b422a2ce</vt:lpwstr>
  </property>
  <property fmtid="{D5CDD505-2E9C-101B-9397-08002B2CF9AE}" pid="42" name="MSIP_Label_2a6524ed-fb1a-49fd-bafe-15c5e5ffd047_ContentBits">
    <vt:lpwstr>0</vt:lpwstr>
  </property>
</Properties>
</file>