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2549" w14:textId="7034374D" w:rsidR="0001227F" w:rsidRPr="0001227F" w:rsidRDefault="0001227F" w:rsidP="0001227F">
      <w:pPr>
        <w:rPr>
          <w:rFonts w:ascii="Calibri" w:hAnsi="Calibri" w:cs="Calibri"/>
          <w:b/>
          <w:color w:val="13576B"/>
          <w:sz w:val="32"/>
          <w:szCs w:val="32"/>
        </w:rPr>
      </w:pPr>
      <w:r w:rsidRPr="0001227F">
        <w:rPr>
          <w:rFonts w:ascii="Calibri" w:hAnsi="Calibri" w:cs="Calibri"/>
          <w:b/>
          <w:color w:val="13576B"/>
          <w:sz w:val="32"/>
          <w:szCs w:val="32"/>
        </w:rPr>
        <w:t>ČBA Hypomonitor</w:t>
      </w:r>
      <w:r w:rsidR="00CC23BF">
        <w:rPr>
          <w:rFonts w:ascii="Calibri" w:hAnsi="Calibri" w:cs="Calibri"/>
          <w:b/>
          <w:color w:val="13576B"/>
          <w:sz w:val="32"/>
          <w:szCs w:val="32"/>
        </w:rPr>
        <w:t xml:space="preserve"> </w:t>
      </w:r>
      <w:r w:rsidRPr="0001227F">
        <w:rPr>
          <w:rFonts w:ascii="Calibri" w:hAnsi="Calibri" w:cs="Calibri"/>
          <w:b/>
          <w:color w:val="13576B"/>
          <w:sz w:val="32"/>
          <w:szCs w:val="32"/>
        </w:rPr>
        <w:t>září 2021: Úrokové sazby rostou, zájem o hypotéky nepolevuje</w:t>
      </w:r>
    </w:p>
    <w:p w14:paraId="5E7258BB" w14:textId="77777777" w:rsidR="0001227F" w:rsidRPr="0001227F" w:rsidRDefault="0001227F" w:rsidP="0001227F">
      <w:pPr>
        <w:rPr>
          <w:rFonts w:ascii="Calibri" w:hAnsi="Calibri" w:cs="Calibri"/>
          <w:b/>
          <w:bCs/>
        </w:rPr>
      </w:pPr>
    </w:p>
    <w:p w14:paraId="63C2D765" w14:textId="2E71C0F0" w:rsidR="0001227F" w:rsidRPr="0001227F" w:rsidRDefault="0001227F" w:rsidP="0001227F">
      <w:pPr>
        <w:rPr>
          <w:rFonts w:ascii="Calibri" w:hAnsi="Calibri" w:cs="Calibri"/>
          <w:b/>
          <w:color w:val="13576B"/>
          <w:sz w:val="22"/>
          <w:szCs w:val="22"/>
        </w:rPr>
      </w:pPr>
      <w:r w:rsidRPr="0001227F">
        <w:rPr>
          <w:rFonts w:ascii="Calibri" w:hAnsi="Calibri" w:cs="Calibri"/>
          <w:b/>
          <w:color w:val="13576B"/>
          <w:sz w:val="22"/>
          <w:szCs w:val="22"/>
        </w:rPr>
        <w:t xml:space="preserve">Praha, 18. října 2021 – </w:t>
      </w:r>
      <w:r w:rsidR="00196F95">
        <w:rPr>
          <w:rFonts w:ascii="Calibri" w:hAnsi="Calibri" w:cs="Calibri"/>
          <w:b/>
          <w:color w:val="13576B"/>
          <w:sz w:val="22"/>
          <w:szCs w:val="22"/>
        </w:rPr>
        <w:t xml:space="preserve">Navzdory </w:t>
      </w:r>
      <w:r w:rsidR="004444EE">
        <w:rPr>
          <w:rFonts w:ascii="Calibri" w:hAnsi="Calibri" w:cs="Calibri"/>
          <w:b/>
          <w:color w:val="13576B"/>
          <w:sz w:val="22"/>
          <w:szCs w:val="22"/>
        </w:rPr>
        <w:t>postupně zvyšující</w:t>
      </w:r>
      <w:r w:rsidR="00196F95">
        <w:rPr>
          <w:rFonts w:ascii="Calibri" w:hAnsi="Calibri" w:cs="Calibri"/>
          <w:b/>
          <w:color w:val="13576B"/>
          <w:sz w:val="22"/>
          <w:szCs w:val="22"/>
        </w:rPr>
        <w:t>m</w:t>
      </w:r>
      <w:r w:rsidR="004444EE">
        <w:rPr>
          <w:rFonts w:ascii="Calibri" w:hAnsi="Calibri" w:cs="Calibri"/>
          <w:b/>
          <w:color w:val="13576B"/>
          <w:sz w:val="22"/>
          <w:szCs w:val="22"/>
        </w:rPr>
        <w:t xml:space="preserve"> se</w:t>
      </w:r>
      <w:r w:rsidRPr="0001227F">
        <w:rPr>
          <w:rFonts w:ascii="Calibri" w:hAnsi="Calibri" w:cs="Calibri"/>
          <w:b/>
          <w:color w:val="13576B"/>
          <w:sz w:val="22"/>
          <w:szCs w:val="22"/>
        </w:rPr>
        <w:t xml:space="preserve"> </w:t>
      </w:r>
      <w:r w:rsidR="00196F95" w:rsidRPr="0001227F">
        <w:rPr>
          <w:rFonts w:ascii="Calibri" w:hAnsi="Calibri" w:cs="Calibri"/>
          <w:b/>
          <w:color w:val="13576B"/>
          <w:sz w:val="22"/>
          <w:szCs w:val="22"/>
        </w:rPr>
        <w:t>úrokov</w:t>
      </w:r>
      <w:r w:rsidR="00196F95">
        <w:rPr>
          <w:rFonts w:ascii="Calibri" w:hAnsi="Calibri" w:cs="Calibri"/>
          <w:b/>
          <w:color w:val="13576B"/>
          <w:sz w:val="22"/>
          <w:szCs w:val="22"/>
        </w:rPr>
        <w:t xml:space="preserve">ým </w:t>
      </w:r>
      <w:r w:rsidR="00196F95" w:rsidRPr="0001227F">
        <w:rPr>
          <w:rFonts w:ascii="Calibri" w:hAnsi="Calibri" w:cs="Calibri"/>
          <w:b/>
          <w:color w:val="13576B"/>
          <w:sz w:val="22"/>
          <w:szCs w:val="22"/>
        </w:rPr>
        <w:t>sazb</w:t>
      </w:r>
      <w:r w:rsidR="00196F95">
        <w:rPr>
          <w:rFonts w:ascii="Calibri" w:hAnsi="Calibri" w:cs="Calibri"/>
          <w:b/>
          <w:color w:val="13576B"/>
          <w:sz w:val="22"/>
          <w:szCs w:val="22"/>
        </w:rPr>
        <w:t>ám</w:t>
      </w:r>
      <w:r w:rsidR="00196F95" w:rsidRPr="0001227F">
        <w:rPr>
          <w:rFonts w:ascii="Calibri" w:hAnsi="Calibri" w:cs="Calibri"/>
          <w:b/>
          <w:color w:val="13576B"/>
          <w:sz w:val="22"/>
          <w:szCs w:val="22"/>
        </w:rPr>
        <w:t xml:space="preserve"> </w:t>
      </w:r>
      <w:r w:rsidRPr="0001227F">
        <w:rPr>
          <w:rFonts w:ascii="Calibri" w:hAnsi="Calibri" w:cs="Calibri"/>
          <w:b/>
          <w:color w:val="13576B"/>
          <w:sz w:val="22"/>
          <w:szCs w:val="22"/>
        </w:rPr>
        <w:t xml:space="preserve">zájem o hypotéky stále trvá. V září poskytly banky a stavební spořitelny </w:t>
      </w:r>
      <w:r w:rsidR="00A6760A">
        <w:rPr>
          <w:rFonts w:ascii="Calibri" w:hAnsi="Calibri" w:cs="Calibri"/>
          <w:b/>
          <w:color w:val="13576B"/>
          <w:sz w:val="22"/>
          <w:szCs w:val="22"/>
        </w:rPr>
        <w:t xml:space="preserve">nové </w:t>
      </w:r>
      <w:r w:rsidRPr="0001227F">
        <w:rPr>
          <w:rFonts w:ascii="Calibri" w:hAnsi="Calibri" w:cs="Calibri"/>
          <w:b/>
          <w:color w:val="13576B"/>
          <w:sz w:val="22"/>
          <w:szCs w:val="22"/>
        </w:rPr>
        <w:t xml:space="preserve">hypoteční úvěry </w:t>
      </w:r>
      <w:r w:rsidR="00477CEB">
        <w:rPr>
          <w:rFonts w:ascii="Calibri" w:hAnsi="Calibri" w:cs="Calibri"/>
          <w:b/>
          <w:color w:val="13576B"/>
          <w:sz w:val="22"/>
          <w:szCs w:val="22"/>
        </w:rPr>
        <w:t>v</w:t>
      </w:r>
      <w:r w:rsidRPr="0001227F">
        <w:rPr>
          <w:rFonts w:ascii="Calibri" w:hAnsi="Calibri" w:cs="Calibri"/>
          <w:b/>
          <w:color w:val="13576B"/>
          <w:sz w:val="22"/>
          <w:szCs w:val="22"/>
        </w:rPr>
        <w:t xml:space="preserve"> objemu </w:t>
      </w:r>
      <w:r w:rsidR="00477CEB">
        <w:rPr>
          <w:rFonts w:ascii="Calibri" w:hAnsi="Calibri" w:cs="Calibri"/>
          <w:b/>
          <w:color w:val="13576B"/>
          <w:sz w:val="22"/>
          <w:szCs w:val="22"/>
        </w:rPr>
        <w:t xml:space="preserve">za </w:t>
      </w:r>
      <w:r w:rsidRPr="0001227F">
        <w:rPr>
          <w:rFonts w:ascii="Calibri" w:hAnsi="Calibri" w:cs="Calibri"/>
          <w:b/>
          <w:color w:val="13576B"/>
          <w:sz w:val="22"/>
          <w:szCs w:val="22"/>
        </w:rPr>
        <w:t>více než 29 miliard korun, a i přes nepatrn</w:t>
      </w:r>
      <w:r w:rsidR="0054574A">
        <w:rPr>
          <w:rFonts w:ascii="Calibri" w:hAnsi="Calibri" w:cs="Calibri"/>
          <w:b/>
          <w:color w:val="13576B"/>
          <w:sz w:val="22"/>
          <w:szCs w:val="22"/>
        </w:rPr>
        <w:t>ý</w:t>
      </w:r>
      <w:r w:rsidR="004444EE">
        <w:rPr>
          <w:rFonts w:ascii="Calibri" w:hAnsi="Calibri" w:cs="Calibri"/>
          <w:b/>
          <w:color w:val="13576B"/>
          <w:sz w:val="22"/>
          <w:szCs w:val="22"/>
        </w:rPr>
        <w:t xml:space="preserve"> nižší objem</w:t>
      </w:r>
      <w:r w:rsidRPr="0001227F">
        <w:rPr>
          <w:rFonts w:ascii="Calibri" w:hAnsi="Calibri" w:cs="Calibri"/>
          <w:b/>
          <w:color w:val="13576B"/>
          <w:sz w:val="22"/>
          <w:szCs w:val="22"/>
        </w:rPr>
        <w:t xml:space="preserve"> oproti srpnu jde stále o nadstandardní měsíc. Průměrná hypoteční sazba vzrostla </w:t>
      </w:r>
      <w:r w:rsidR="00A407A6">
        <w:rPr>
          <w:rFonts w:ascii="Calibri" w:hAnsi="Calibri" w:cs="Calibri"/>
          <w:b/>
          <w:color w:val="13576B"/>
          <w:sz w:val="22"/>
          <w:szCs w:val="22"/>
        </w:rPr>
        <w:br/>
      </w:r>
      <w:r w:rsidRPr="0001227F">
        <w:rPr>
          <w:rFonts w:ascii="Calibri" w:hAnsi="Calibri" w:cs="Calibri"/>
          <w:b/>
          <w:color w:val="13576B"/>
          <w:sz w:val="22"/>
          <w:szCs w:val="22"/>
        </w:rPr>
        <w:t xml:space="preserve">o 0,12 p.b. na 2,43 % p.a. </w:t>
      </w:r>
      <w:r w:rsidR="00F74666">
        <w:rPr>
          <w:rFonts w:ascii="Calibri" w:hAnsi="Calibri" w:cs="Calibri"/>
          <w:b/>
          <w:color w:val="13576B"/>
          <w:sz w:val="22"/>
          <w:szCs w:val="22"/>
        </w:rPr>
        <w:t xml:space="preserve">Objem refinancovaných úvěrů dosáhl 7,7 mld. Kč. </w:t>
      </w:r>
      <w:r w:rsidR="00196F95">
        <w:rPr>
          <w:rFonts w:ascii="Calibri" w:hAnsi="Calibri" w:cs="Calibri"/>
          <w:b/>
          <w:color w:val="13576B"/>
          <w:sz w:val="22"/>
          <w:szCs w:val="22"/>
        </w:rPr>
        <w:t>Vzhledem k</w:t>
      </w:r>
      <w:r w:rsidR="00196F95" w:rsidRPr="0001227F">
        <w:rPr>
          <w:rFonts w:ascii="Calibri" w:hAnsi="Calibri" w:cs="Calibri"/>
          <w:b/>
          <w:color w:val="13576B"/>
          <w:sz w:val="22"/>
          <w:szCs w:val="22"/>
        </w:rPr>
        <w:t xml:space="preserve"> </w:t>
      </w:r>
      <w:r w:rsidRPr="0001227F">
        <w:rPr>
          <w:rFonts w:ascii="Calibri" w:hAnsi="Calibri" w:cs="Calibri"/>
          <w:b/>
          <w:color w:val="13576B"/>
          <w:sz w:val="22"/>
          <w:szCs w:val="22"/>
        </w:rPr>
        <w:t xml:space="preserve">citelnému zrychlení inflace, které doprovází i kroky ČNB v oblasti zvyšování úrokových sazeb, lze předpokládat, že růst hypotečních sazeb v příštích měsících zrychlí. </w:t>
      </w:r>
      <w:r w:rsidR="00477CEB">
        <w:rPr>
          <w:rFonts w:ascii="Calibri" w:hAnsi="Calibri" w:cs="Calibri"/>
          <w:b/>
          <w:color w:val="13576B"/>
          <w:sz w:val="22"/>
          <w:szCs w:val="22"/>
        </w:rPr>
        <w:t>Vyplývá</w:t>
      </w:r>
      <w:r w:rsidRPr="0001227F">
        <w:rPr>
          <w:rFonts w:ascii="Calibri" w:hAnsi="Calibri" w:cs="Calibri"/>
          <w:b/>
          <w:color w:val="13576B"/>
          <w:sz w:val="22"/>
          <w:szCs w:val="22"/>
        </w:rPr>
        <w:t xml:space="preserve"> to </w:t>
      </w:r>
      <w:r w:rsidR="00477CEB">
        <w:rPr>
          <w:rFonts w:ascii="Calibri" w:hAnsi="Calibri" w:cs="Calibri"/>
          <w:b/>
          <w:color w:val="13576B"/>
          <w:sz w:val="22"/>
          <w:szCs w:val="22"/>
        </w:rPr>
        <w:t>z</w:t>
      </w:r>
      <w:r w:rsidRPr="0001227F">
        <w:rPr>
          <w:rFonts w:ascii="Calibri" w:hAnsi="Calibri" w:cs="Calibri"/>
          <w:b/>
          <w:color w:val="13576B"/>
          <w:sz w:val="22"/>
          <w:szCs w:val="22"/>
        </w:rPr>
        <w:t xml:space="preserve"> dat ČBA Hypomonitoru, který Česká bankovní asociace </w:t>
      </w:r>
      <w:r w:rsidR="00477CEB">
        <w:rPr>
          <w:rFonts w:ascii="Calibri" w:hAnsi="Calibri" w:cs="Calibri"/>
          <w:b/>
          <w:color w:val="13576B"/>
          <w:sz w:val="22"/>
          <w:szCs w:val="22"/>
        </w:rPr>
        <w:t xml:space="preserve">(ČBA) </w:t>
      </w:r>
      <w:r w:rsidRPr="0001227F">
        <w:rPr>
          <w:rFonts w:ascii="Calibri" w:hAnsi="Calibri" w:cs="Calibri"/>
          <w:b/>
          <w:color w:val="13576B"/>
          <w:sz w:val="22"/>
          <w:szCs w:val="22"/>
        </w:rPr>
        <w:t xml:space="preserve">nově připravuje ve spolupráci s členskými bankami. Jedná se o souhrnné statistiky z trhu bydlení, </w:t>
      </w:r>
      <w:r w:rsidR="00196F95">
        <w:rPr>
          <w:rFonts w:ascii="Calibri" w:hAnsi="Calibri" w:cs="Calibri"/>
          <w:b/>
          <w:color w:val="13576B"/>
          <w:sz w:val="22"/>
          <w:szCs w:val="22"/>
        </w:rPr>
        <w:t>jež</w:t>
      </w:r>
      <w:r w:rsidR="00196F95" w:rsidRPr="0001227F">
        <w:rPr>
          <w:rFonts w:ascii="Calibri" w:hAnsi="Calibri" w:cs="Calibri"/>
          <w:b/>
          <w:color w:val="13576B"/>
          <w:sz w:val="22"/>
          <w:szCs w:val="22"/>
        </w:rPr>
        <w:t xml:space="preserve"> </w:t>
      </w:r>
      <w:r w:rsidRPr="0001227F">
        <w:rPr>
          <w:rFonts w:ascii="Calibri" w:hAnsi="Calibri" w:cs="Calibri"/>
          <w:b/>
          <w:color w:val="13576B"/>
          <w:sz w:val="22"/>
          <w:szCs w:val="22"/>
        </w:rPr>
        <w:t xml:space="preserve">ČBA dodávají všechny tuzemské banky a stavební spořitelny poskytující v ČR hypoteční úvěry. </w:t>
      </w:r>
    </w:p>
    <w:p w14:paraId="44CE3940" w14:textId="77777777" w:rsidR="0001227F" w:rsidRPr="0001227F" w:rsidRDefault="0001227F" w:rsidP="0001227F">
      <w:pPr>
        <w:rPr>
          <w:rFonts w:ascii="Calibri" w:hAnsi="Calibri" w:cs="Calibri"/>
          <w:b/>
          <w:bCs/>
          <w:sz w:val="22"/>
          <w:szCs w:val="22"/>
        </w:rPr>
      </w:pPr>
    </w:p>
    <w:p w14:paraId="367713E2" w14:textId="72D86282" w:rsidR="0001227F" w:rsidRPr="00477CEB" w:rsidRDefault="0001227F" w:rsidP="0001227F">
      <w:pPr>
        <w:rPr>
          <w:rFonts w:ascii="Calibri" w:hAnsi="Calibri" w:cs="Calibri"/>
          <w:b/>
          <w:color w:val="13576B"/>
          <w:sz w:val="23"/>
          <w:szCs w:val="23"/>
        </w:rPr>
      </w:pPr>
      <w:r w:rsidRPr="00477CEB">
        <w:rPr>
          <w:rFonts w:ascii="Calibri" w:hAnsi="Calibri" w:cs="Calibri"/>
          <w:b/>
          <w:color w:val="13576B"/>
          <w:sz w:val="23"/>
          <w:szCs w:val="23"/>
        </w:rPr>
        <w:t xml:space="preserve">Růst úrokových sazeb </w:t>
      </w:r>
      <w:r w:rsidR="004444EE">
        <w:rPr>
          <w:rFonts w:ascii="Calibri" w:hAnsi="Calibri" w:cs="Calibri"/>
          <w:b/>
          <w:color w:val="13576B"/>
          <w:sz w:val="23"/>
          <w:szCs w:val="23"/>
        </w:rPr>
        <w:t>pokračuje</w:t>
      </w:r>
      <w:r w:rsidRPr="00477CEB">
        <w:rPr>
          <w:rFonts w:ascii="Calibri" w:hAnsi="Calibri" w:cs="Calibri"/>
          <w:b/>
          <w:color w:val="13576B"/>
          <w:sz w:val="23"/>
          <w:szCs w:val="23"/>
        </w:rPr>
        <w:t>, nové objemy jsou přesto nadstandardní</w:t>
      </w:r>
    </w:p>
    <w:p w14:paraId="11429175" w14:textId="3065FB38" w:rsidR="0001227F" w:rsidRPr="0001227F" w:rsidRDefault="0001227F" w:rsidP="0001227F">
      <w:pPr>
        <w:rPr>
          <w:rFonts w:ascii="Calibri" w:hAnsi="Calibri" w:cs="Calibri"/>
          <w:sz w:val="22"/>
          <w:szCs w:val="22"/>
        </w:rPr>
      </w:pPr>
      <w:r w:rsidRPr="0001227F">
        <w:rPr>
          <w:rFonts w:ascii="Calibri" w:hAnsi="Calibri" w:cs="Calibri"/>
          <w:sz w:val="22"/>
          <w:szCs w:val="22"/>
        </w:rPr>
        <w:t xml:space="preserve">Zájem o hypotéky dle ČBA Hypomonitoru pokračoval i v září, kdy banky a stavební spořitelny (dále jen </w:t>
      </w:r>
      <w:r w:rsidR="00477CEB">
        <w:rPr>
          <w:rFonts w:ascii="Calibri" w:hAnsi="Calibri" w:cs="Calibri"/>
          <w:sz w:val="22"/>
          <w:szCs w:val="22"/>
        </w:rPr>
        <w:t>„</w:t>
      </w:r>
      <w:r w:rsidRPr="0001227F">
        <w:rPr>
          <w:rFonts w:ascii="Calibri" w:hAnsi="Calibri" w:cs="Calibri"/>
          <w:sz w:val="22"/>
          <w:szCs w:val="22"/>
        </w:rPr>
        <w:t xml:space="preserve">banky“) poskytly nové </w:t>
      </w:r>
      <w:r w:rsidR="00A407A6">
        <w:rPr>
          <w:rFonts w:ascii="Calibri" w:hAnsi="Calibri" w:cs="Calibri"/>
          <w:sz w:val="22"/>
          <w:szCs w:val="22"/>
        </w:rPr>
        <w:t>hypoteční úvěry</w:t>
      </w:r>
      <w:r w:rsidRPr="0001227F">
        <w:rPr>
          <w:rFonts w:ascii="Calibri" w:hAnsi="Calibri" w:cs="Calibri"/>
          <w:sz w:val="22"/>
          <w:szCs w:val="22"/>
        </w:rPr>
        <w:t xml:space="preserve"> v objemu 29,4 mld. Kč. Jde o hodnotu nepatrně slabší, než činil </w:t>
      </w:r>
      <w:r w:rsidR="00A407A6">
        <w:rPr>
          <w:rFonts w:ascii="Calibri" w:hAnsi="Calibri" w:cs="Calibri"/>
          <w:sz w:val="22"/>
          <w:szCs w:val="22"/>
        </w:rPr>
        <w:t xml:space="preserve">jejich </w:t>
      </w:r>
      <w:r w:rsidRPr="0001227F">
        <w:rPr>
          <w:rFonts w:ascii="Calibri" w:hAnsi="Calibri" w:cs="Calibri"/>
          <w:sz w:val="22"/>
          <w:szCs w:val="22"/>
        </w:rPr>
        <w:t>objem v srpnu (</w:t>
      </w:r>
      <w:r w:rsidR="007464CC">
        <w:rPr>
          <w:rFonts w:ascii="Calibri" w:hAnsi="Calibri" w:cs="Calibri"/>
          <w:sz w:val="22"/>
          <w:szCs w:val="22"/>
        </w:rPr>
        <w:t xml:space="preserve">ten byl </w:t>
      </w:r>
      <w:r w:rsidRPr="0001227F">
        <w:rPr>
          <w:rFonts w:ascii="Calibri" w:hAnsi="Calibri" w:cs="Calibri"/>
          <w:sz w:val="22"/>
          <w:szCs w:val="22"/>
        </w:rPr>
        <w:t>mírně přes 31,5 mld. Kč)</w:t>
      </w:r>
      <w:r w:rsidR="00A407A6">
        <w:rPr>
          <w:rFonts w:ascii="Calibri" w:hAnsi="Calibri" w:cs="Calibri"/>
          <w:sz w:val="22"/>
          <w:szCs w:val="22"/>
        </w:rPr>
        <w:t>.</w:t>
      </w:r>
      <w:r w:rsidRPr="0001227F">
        <w:rPr>
          <w:rFonts w:ascii="Calibri" w:hAnsi="Calibri" w:cs="Calibri"/>
          <w:sz w:val="22"/>
          <w:szCs w:val="22"/>
        </w:rPr>
        <w:t xml:space="preserve"> </w:t>
      </w:r>
      <w:r w:rsidR="00A407A6">
        <w:rPr>
          <w:rFonts w:ascii="Calibri" w:hAnsi="Calibri" w:cs="Calibri"/>
          <w:sz w:val="22"/>
          <w:szCs w:val="22"/>
        </w:rPr>
        <w:t>S</w:t>
      </w:r>
      <w:r w:rsidRPr="0001227F">
        <w:rPr>
          <w:rFonts w:ascii="Calibri" w:hAnsi="Calibri" w:cs="Calibri"/>
          <w:sz w:val="22"/>
          <w:szCs w:val="22"/>
        </w:rPr>
        <w:t>tále však</w:t>
      </w:r>
      <w:r w:rsidR="00196F95">
        <w:rPr>
          <w:rFonts w:ascii="Calibri" w:hAnsi="Calibri" w:cs="Calibri"/>
          <w:sz w:val="22"/>
          <w:szCs w:val="22"/>
        </w:rPr>
        <w:t xml:space="preserve"> j</w:t>
      </w:r>
      <w:r w:rsidR="00A407A6">
        <w:rPr>
          <w:rFonts w:ascii="Calibri" w:hAnsi="Calibri" w:cs="Calibri"/>
          <w:sz w:val="22"/>
          <w:szCs w:val="22"/>
        </w:rPr>
        <w:t>d</w:t>
      </w:r>
      <w:r w:rsidR="00196F95">
        <w:rPr>
          <w:rFonts w:ascii="Calibri" w:hAnsi="Calibri" w:cs="Calibri"/>
          <w:sz w:val="22"/>
          <w:szCs w:val="22"/>
        </w:rPr>
        <w:t xml:space="preserve">e o </w:t>
      </w:r>
      <w:r w:rsidRPr="0001227F">
        <w:rPr>
          <w:rFonts w:ascii="Calibri" w:hAnsi="Calibri" w:cs="Calibri"/>
          <w:sz w:val="22"/>
          <w:szCs w:val="22"/>
        </w:rPr>
        <w:t xml:space="preserve">nadstandartní </w:t>
      </w:r>
      <w:r w:rsidR="00196F95">
        <w:rPr>
          <w:rFonts w:ascii="Calibri" w:hAnsi="Calibri" w:cs="Calibri"/>
          <w:sz w:val="22"/>
          <w:szCs w:val="22"/>
        </w:rPr>
        <w:t>výsledek</w:t>
      </w:r>
      <w:r w:rsidR="00196F95" w:rsidRPr="0001227F">
        <w:rPr>
          <w:rFonts w:ascii="Calibri" w:hAnsi="Calibri" w:cs="Calibri"/>
          <w:sz w:val="22"/>
          <w:szCs w:val="22"/>
        </w:rPr>
        <w:t xml:space="preserve"> </w:t>
      </w:r>
      <w:r w:rsidRPr="0001227F">
        <w:rPr>
          <w:rFonts w:ascii="Calibri" w:hAnsi="Calibri" w:cs="Calibri"/>
          <w:sz w:val="22"/>
          <w:szCs w:val="22"/>
        </w:rPr>
        <w:t>potvrzující, že zájem domácností o hypoteční financování přetrvává.</w:t>
      </w:r>
      <w:r w:rsidRPr="0001227F">
        <w:rPr>
          <w:rFonts w:ascii="Calibri" w:hAnsi="Calibri" w:cs="Calibri"/>
          <w:i/>
          <w:iCs/>
          <w:sz w:val="22"/>
          <w:szCs w:val="22"/>
        </w:rPr>
        <w:t xml:space="preserve"> </w:t>
      </w:r>
      <w:r w:rsidRPr="0001227F">
        <w:rPr>
          <w:rFonts w:ascii="Calibri" w:hAnsi="Calibri" w:cs="Calibri"/>
          <w:sz w:val="22"/>
          <w:szCs w:val="22"/>
        </w:rPr>
        <w:t xml:space="preserve">Úroková sazba u nově poskytnutých </w:t>
      </w:r>
      <w:r w:rsidR="00A407A6">
        <w:rPr>
          <w:rFonts w:ascii="Calibri" w:hAnsi="Calibri" w:cs="Calibri"/>
          <w:sz w:val="22"/>
          <w:szCs w:val="22"/>
        </w:rPr>
        <w:t>hypoték</w:t>
      </w:r>
      <w:r w:rsidR="006C3F79">
        <w:rPr>
          <w:rFonts w:ascii="Calibri" w:hAnsi="Calibri" w:cs="Calibri"/>
          <w:sz w:val="22"/>
          <w:szCs w:val="22"/>
        </w:rPr>
        <w:t xml:space="preserve"> </w:t>
      </w:r>
      <w:r w:rsidRPr="0001227F">
        <w:rPr>
          <w:rFonts w:ascii="Calibri" w:hAnsi="Calibri" w:cs="Calibri"/>
          <w:sz w:val="22"/>
          <w:szCs w:val="22"/>
        </w:rPr>
        <w:t xml:space="preserve">v září </w:t>
      </w:r>
      <w:r w:rsidR="006C3F79">
        <w:rPr>
          <w:rFonts w:ascii="Calibri" w:hAnsi="Calibri" w:cs="Calibri"/>
          <w:sz w:val="22"/>
          <w:szCs w:val="22"/>
        </w:rPr>
        <w:t>vzrostla</w:t>
      </w:r>
      <w:r w:rsidRPr="0001227F">
        <w:rPr>
          <w:rFonts w:ascii="Calibri" w:hAnsi="Calibri" w:cs="Calibri"/>
          <w:sz w:val="22"/>
          <w:szCs w:val="22"/>
        </w:rPr>
        <w:t xml:space="preserve"> na 2,43 % ze srpnových 2,31 %.</w:t>
      </w:r>
      <w:r w:rsidR="004444EE">
        <w:rPr>
          <w:rFonts w:ascii="Calibri" w:hAnsi="Calibri" w:cs="Calibri"/>
          <w:sz w:val="22"/>
          <w:szCs w:val="22"/>
        </w:rPr>
        <w:t xml:space="preserve"> Objem refinancovaných úvěrů dosáhl </w:t>
      </w:r>
      <w:r w:rsidR="00196F95">
        <w:rPr>
          <w:rFonts w:ascii="Calibri" w:hAnsi="Calibri" w:cs="Calibri"/>
          <w:sz w:val="22"/>
          <w:szCs w:val="22"/>
        </w:rPr>
        <w:t xml:space="preserve">výše </w:t>
      </w:r>
      <w:r w:rsidR="004444EE">
        <w:rPr>
          <w:rFonts w:ascii="Calibri" w:hAnsi="Calibri" w:cs="Calibri"/>
          <w:sz w:val="22"/>
          <w:szCs w:val="22"/>
        </w:rPr>
        <w:t xml:space="preserve">7,7 mld. </w:t>
      </w:r>
      <w:r w:rsidR="006F08E1">
        <w:rPr>
          <w:rFonts w:ascii="Calibri" w:hAnsi="Calibri" w:cs="Calibri"/>
          <w:sz w:val="22"/>
          <w:szCs w:val="22"/>
        </w:rPr>
        <w:t>Kč, a</w:t>
      </w:r>
      <w:r w:rsidR="004444EE">
        <w:rPr>
          <w:rFonts w:ascii="Calibri" w:hAnsi="Calibri" w:cs="Calibri"/>
          <w:sz w:val="22"/>
          <w:szCs w:val="22"/>
        </w:rPr>
        <w:t xml:space="preserve"> oproti srpnovým 9 mld. </w:t>
      </w:r>
      <w:r w:rsidR="007464CC">
        <w:rPr>
          <w:rFonts w:ascii="Calibri" w:hAnsi="Calibri" w:cs="Calibri"/>
          <w:sz w:val="22"/>
          <w:szCs w:val="22"/>
        </w:rPr>
        <w:t xml:space="preserve">také </w:t>
      </w:r>
      <w:r w:rsidR="004444EE">
        <w:rPr>
          <w:rFonts w:ascii="Calibri" w:hAnsi="Calibri" w:cs="Calibri"/>
          <w:sz w:val="22"/>
          <w:szCs w:val="22"/>
        </w:rPr>
        <w:t>mírně zvolnil. Úroková sazba u těchto úvěrů byla v září na úrovni 2,28 % (oproti 2,17 % v srpnu).</w:t>
      </w:r>
    </w:p>
    <w:p w14:paraId="41D2EC80" w14:textId="77777777" w:rsidR="0001227F" w:rsidRPr="0001227F" w:rsidRDefault="0001227F" w:rsidP="0001227F">
      <w:pPr>
        <w:rPr>
          <w:rFonts w:ascii="Calibri" w:hAnsi="Calibri" w:cs="Calibri"/>
          <w:b/>
          <w:bCs/>
          <w:sz w:val="22"/>
          <w:szCs w:val="22"/>
        </w:rPr>
      </w:pPr>
    </w:p>
    <w:p w14:paraId="53C7D0C7" w14:textId="77777777" w:rsidR="0001227F" w:rsidRPr="0001227F" w:rsidRDefault="0001227F" w:rsidP="0001227F">
      <w:pPr>
        <w:rPr>
          <w:rFonts w:ascii="Calibri" w:hAnsi="Calibri" w:cs="Calibri"/>
          <w:b/>
          <w:bCs/>
          <w:sz w:val="22"/>
          <w:szCs w:val="22"/>
        </w:rPr>
      </w:pPr>
      <w:r w:rsidRPr="0001227F">
        <w:rPr>
          <w:rFonts w:ascii="Calibri" w:hAnsi="Calibri" w:cs="Calibri"/>
          <w:b/>
          <w:bCs/>
          <w:sz w:val="22"/>
          <w:szCs w:val="22"/>
        </w:rPr>
        <w:t xml:space="preserve">Komentář Jakuba Seidlera, hlavního ekonoma ČBA: </w:t>
      </w:r>
    </w:p>
    <w:p w14:paraId="33A139CF" w14:textId="5E579711" w:rsidR="0001227F" w:rsidRPr="007C6225" w:rsidRDefault="0001227F" w:rsidP="0001227F">
      <w:pPr>
        <w:rPr>
          <w:rFonts w:ascii="Calibri" w:hAnsi="Calibri" w:cs="Calibri"/>
          <w:b/>
          <w:bCs/>
          <w:i/>
          <w:iCs/>
          <w:sz w:val="22"/>
          <w:szCs w:val="22"/>
        </w:rPr>
      </w:pPr>
      <w:r w:rsidRPr="0001227F">
        <w:rPr>
          <w:rFonts w:ascii="Calibri" w:hAnsi="Calibri" w:cs="Calibri"/>
          <w:i/>
          <w:iCs/>
          <w:sz w:val="22"/>
          <w:szCs w:val="22"/>
        </w:rPr>
        <w:t xml:space="preserve">Trend zvyšování sazeb v září pokračoval v obdobné rychlosti jako v předchozích měsících, což je dáno i tím, že </w:t>
      </w:r>
      <w:proofErr w:type="gramStart"/>
      <w:r w:rsidRPr="0001227F">
        <w:rPr>
          <w:rFonts w:ascii="Calibri" w:hAnsi="Calibri" w:cs="Calibri"/>
          <w:i/>
          <w:iCs/>
          <w:sz w:val="22"/>
          <w:szCs w:val="22"/>
        </w:rPr>
        <w:t>rychlejší</w:t>
      </w:r>
      <w:proofErr w:type="gramEnd"/>
      <w:r w:rsidRPr="0001227F">
        <w:rPr>
          <w:rFonts w:ascii="Calibri" w:hAnsi="Calibri" w:cs="Calibri"/>
          <w:i/>
          <w:iCs/>
          <w:sz w:val="22"/>
          <w:szCs w:val="22"/>
        </w:rPr>
        <w:t xml:space="preserve"> než očekávaný růst úrokových sazeb ze strany České národní banky přišel až na konci měsíce. Hypoteční sazby se </w:t>
      </w:r>
      <w:r w:rsidR="00A407A6">
        <w:rPr>
          <w:rFonts w:ascii="Calibri" w:hAnsi="Calibri" w:cs="Calibri"/>
          <w:i/>
          <w:iCs/>
          <w:sz w:val="22"/>
          <w:szCs w:val="22"/>
        </w:rPr>
        <w:t>ale</w:t>
      </w:r>
      <w:r w:rsidRPr="0001227F">
        <w:rPr>
          <w:rFonts w:ascii="Calibri" w:hAnsi="Calibri" w:cs="Calibri"/>
          <w:i/>
          <w:iCs/>
          <w:sz w:val="22"/>
          <w:szCs w:val="22"/>
        </w:rPr>
        <w:t xml:space="preserve"> nemusí vyvíjet v tandemu se sazbami centrální banky, jelikož reagují především na tržní </w:t>
      </w:r>
      <w:r w:rsidR="00196F95" w:rsidRPr="0001227F">
        <w:rPr>
          <w:rFonts w:ascii="Calibri" w:hAnsi="Calibri" w:cs="Calibri"/>
          <w:i/>
          <w:iCs/>
          <w:sz w:val="22"/>
          <w:szCs w:val="22"/>
        </w:rPr>
        <w:t>úrokov</w:t>
      </w:r>
      <w:r w:rsidR="00196F95">
        <w:rPr>
          <w:rFonts w:ascii="Calibri" w:hAnsi="Calibri" w:cs="Calibri"/>
          <w:i/>
          <w:iCs/>
          <w:sz w:val="22"/>
          <w:szCs w:val="22"/>
        </w:rPr>
        <w:t>é</w:t>
      </w:r>
      <w:r w:rsidR="00196F95" w:rsidRPr="0001227F">
        <w:rPr>
          <w:rFonts w:ascii="Calibri" w:hAnsi="Calibri" w:cs="Calibri"/>
          <w:i/>
          <w:iCs/>
          <w:sz w:val="22"/>
          <w:szCs w:val="22"/>
        </w:rPr>
        <w:t xml:space="preserve"> </w:t>
      </w:r>
      <w:r w:rsidRPr="0001227F">
        <w:rPr>
          <w:rFonts w:ascii="Calibri" w:hAnsi="Calibri" w:cs="Calibri"/>
          <w:i/>
          <w:iCs/>
          <w:sz w:val="22"/>
          <w:szCs w:val="22"/>
        </w:rPr>
        <w:t>sazby delších splatností.</w:t>
      </w:r>
      <w:r w:rsidR="006F7BDA">
        <w:rPr>
          <w:rStyle w:val="Znakapoznpodarou"/>
          <w:rFonts w:ascii="Calibri" w:hAnsi="Calibri" w:cs="Calibri"/>
          <w:i/>
          <w:iCs/>
          <w:sz w:val="22"/>
          <w:szCs w:val="22"/>
        </w:rPr>
        <w:footnoteReference w:id="1"/>
      </w:r>
      <w:r w:rsidRPr="0001227F">
        <w:rPr>
          <w:rFonts w:ascii="Calibri" w:hAnsi="Calibri" w:cs="Calibri"/>
          <w:i/>
          <w:iCs/>
          <w:sz w:val="22"/>
          <w:szCs w:val="22"/>
        </w:rPr>
        <w:t xml:space="preserve"> V nich se promítá řada faktorů, nejen očekáváný vývoj základních sazeb ČNB, ale i výhled na inflaci, ekonomický vývoj či dynamiku obdobných úrokových sazeb v zahraničí</w:t>
      </w:r>
      <w:r w:rsidRPr="00F517F3">
        <w:rPr>
          <w:rFonts w:ascii="Calibri" w:hAnsi="Calibri" w:cs="Calibri"/>
          <w:i/>
          <w:iCs/>
          <w:sz w:val="22"/>
          <w:szCs w:val="22"/>
        </w:rPr>
        <w:t xml:space="preserve">. </w:t>
      </w:r>
      <w:r w:rsidR="0054574A">
        <w:rPr>
          <w:rFonts w:ascii="Calibri" w:hAnsi="Calibri" w:cs="Calibri"/>
          <w:i/>
          <w:iCs/>
          <w:sz w:val="22"/>
          <w:szCs w:val="22"/>
        </w:rPr>
        <w:t>Z</w:t>
      </w:r>
      <w:r w:rsidR="006F7BDA" w:rsidRPr="007C6225">
        <w:rPr>
          <w:rFonts w:ascii="Calibri" w:hAnsi="Calibri" w:cs="Calibri"/>
          <w:i/>
          <w:iCs/>
          <w:sz w:val="22"/>
          <w:szCs w:val="22"/>
        </w:rPr>
        <w:t xml:space="preserve">míněné tržní </w:t>
      </w:r>
      <w:r w:rsidRPr="007C6225">
        <w:rPr>
          <w:rFonts w:ascii="Calibri" w:hAnsi="Calibri" w:cs="Calibri"/>
          <w:i/>
          <w:iCs/>
          <w:sz w:val="22"/>
          <w:szCs w:val="22"/>
        </w:rPr>
        <w:t>úrokové sazby</w:t>
      </w:r>
      <w:r w:rsidR="006F7BDA" w:rsidRPr="007C6225">
        <w:rPr>
          <w:rFonts w:ascii="Calibri" w:hAnsi="Calibri" w:cs="Calibri"/>
          <w:i/>
          <w:iCs/>
          <w:sz w:val="22"/>
          <w:szCs w:val="22"/>
        </w:rPr>
        <w:t xml:space="preserve"> delších splatností</w:t>
      </w:r>
      <w:r w:rsidRPr="007C6225">
        <w:rPr>
          <w:rFonts w:ascii="Calibri" w:hAnsi="Calibri" w:cs="Calibri"/>
          <w:i/>
          <w:iCs/>
          <w:sz w:val="22"/>
          <w:szCs w:val="22"/>
        </w:rPr>
        <w:t xml:space="preserve"> v posledních týdnech </w:t>
      </w:r>
      <w:r w:rsidR="006F7BDA" w:rsidRPr="007C6225">
        <w:rPr>
          <w:rFonts w:ascii="Calibri" w:hAnsi="Calibri" w:cs="Calibri"/>
          <w:i/>
          <w:iCs/>
          <w:sz w:val="22"/>
          <w:szCs w:val="22"/>
        </w:rPr>
        <w:t xml:space="preserve">však </w:t>
      </w:r>
      <w:r w:rsidRPr="007C6225">
        <w:rPr>
          <w:rFonts w:ascii="Calibri" w:hAnsi="Calibri" w:cs="Calibri"/>
          <w:i/>
          <w:iCs/>
          <w:sz w:val="22"/>
          <w:szCs w:val="22"/>
        </w:rPr>
        <w:t>začaly opět rychleji stoupat, přiblížily se nebo dokonce překonaly již své úrovně z konce roku 2018</w:t>
      </w:r>
      <w:r w:rsidR="006F7BDA" w:rsidRPr="007C6225">
        <w:rPr>
          <w:rFonts w:ascii="Calibri" w:hAnsi="Calibri" w:cs="Calibri"/>
          <w:i/>
          <w:iCs/>
          <w:sz w:val="22"/>
          <w:szCs w:val="22"/>
        </w:rPr>
        <w:t>,</w:t>
      </w:r>
      <w:r w:rsidRPr="007C6225">
        <w:rPr>
          <w:rFonts w:ascii="Calibri" w:hAnsi="Calibri" w:cs="Calibri"/>
          <w:i/>
          <w:iCs/>
          <w:sz w:val="22"/>
          <w:szCs w:val="22"/>
        </w:rPr>
        <w:t xml:space="preserve"> a jsou</w:t>
      </w:r>
      <w:r w:rsidR="006F7BDA" w:rsidRPr="007C6225">
        <w:rPr>
          <w:rFonts w:ascii="Calibri" w:hAnsi="Calibri" w:cs="Calibri"/>
          <w:i/>
          <w:iCs/>
          <w:sz w:val="22"/>
          <w:szCs w:val="22"/>
        </w:rPr>
        <w:t xml:space="preserve"> tak</w:t>
      </w:r>
      <w:r w:rsidRPr="007C6225">
        <w:rPr>
          <w:rFonts w:ascii="Calibri" w:hAnsi="Calibri" w:cs="Calibri"/>
          <w:i/>
          <w:iCs/>
          <w:sz w:val="22"/>
          <w:szCs w:val="22"/>
        </w:rPr>
        <w:t xml:space="preserve"> nejvyšší za posledních deset let. To naznačuje, že i růst hypotečních sazeb v příštích měsících </w:t>
      </w:r>
      <w:r w:rsidR="002C0719" w:rsidRPr="007C6225">
        <w:rPr>
          <w:rFonts w:ascii="Calibri" w:hAnsi="Calibri" w:cs="Calibri"/>
          <w:i/>
          <w:iCs/>
          <w:sz w:val="22"/>
          <w:szCs w:val="22"/>
        </w:rPr>
        <w:t xml:space="preserve">dále </w:t>
      </w:r>
      <w:r w:rsidRPr="007C6225">
        <w:rPr>
          <w:rFonts w:ascii="Calibri" w:hAnsi="Calibri" w:cs="Calibri"/>
          <w:i/>
          <w:iCs/>
          <w:sz w:val="22"/>
          <w:szCs w:val="22"/>
        </w:rPr>
        <w:t xml:space="preserve">zrychlí a poměrně brzy </w:t>
      </w:r>
      <w:r w:rsidR="00F517F3" w:rsidRPr="007C6225">
        <w:rPr>
          <w:rFonts w:ascii="Calibri" w:hAnsi="Calibri" w:cs="Calibri"/>
          <w:i/>
          <w:iCs/>
          <w:sz w:val="22"/>
          <w:szCs w:val="22"/>
        </w:rPr>
        <w:t>překročí</w:t>
      </w:r>
      <w:r w:rsidRPr="007C6225">
        <w:rPr>
          <w:rFonts w:ascii="Calibri" w:hAnsi="Calibri" w:cs="Calibri"/>
          <w:i/>
          <w:iCs/>
          <w:sz w:val="22"/>
          <w:szCs w:val="22"/>
        </w:rPr>
        <w:t> 3% hranici.</w:t>
      </w:r>
    </w:p>
    <w:p w14:paraId="546E7A85" w14:textId="77777777" w:rsidR="00F517F3" w:rsidRDefault="00F517F3" w:rsidP="0001227F">
      <w:pPr>
        <w:rPr>
          <w:rFonts w:ascii="Calibri" w:hAnsi="Calibri" w:cs="Calibri"/>
          <w:i/>
          <w:iCs/>
          <w:sz w:val="22"/>
          <w:szCs w:val="22"/>
        </w:rPr>
      </w:pPr>
    </w:p>
    <w:p w14:paraId="4B339A08" w14:textId="614B3D6B" w:rsidR="0001227F" w:rsidRPr="0001227F" w:rsidRDefault="0001227F" w:rsidP="0001227F">
      <w:pPr>
        <w:rPr>
          <w:rFonts w:ascii="Calibri" w:hAnsi="Calibri" w:cs="Calibri"/>
          <w:i/>
          <w:iCs/>
          <w:sz w:val="22"/>
          <w:szCs w:val="22"/>
        </w:rPr>
      </w:pPr>
      <w:r w:rsidRPr="0001227F">
        <w:rPr>
          <w:rFonts w:ascii="Calibri" w:hAnsi="Calibri" w:cs="Calibri"/>
          <w:i/>
          <w:iCs/>
          <w:sz w:val="22"/>
          <w:szCs w:val="22"/>
        </w:rPr>
        <w:t xml:space="preserve">Tento vývoj patrně ztlumí poptávku po hypotečních úvěrech, která je v letošním roce velmi silná. V krátkém období však může obava z růstu sazeb přimět některé domácnosti uspíšit žádost o hypotéku, a objemy poskytnutých hypoték tak mohou zůstat </w:t>
      </w:r>
      <w:r w:rsidR="006F7BDA">
        <w:rPr>
          <w:rFonts w:ascii="Calibri" w:hAnsi="Calibri" w:cs="Calibri"/>
          <w:i/>
          <w:iCs/>
          <w:sz w:val="22"/>
          <w:szCs w:val="22"/>
        </w:rPr>
        <w:t xml:space="preserve">nadstandartní </w:t>
      </w:r>
      <w:r w:rsidRPr="0001227F">
        <w:rPr>
          <w:rFonts w:ascii="Calibri" w:hAnsi="Calibri" w:cs="Calibri"/>
          <w:i/>
          <w:iCs/>
          <w:sz w:val="22"/>
          <w:szCs w:val="22"/>
        </w:rPr>
        <w:t>navzdory rostoucím sazbám. Letošní rok</w:t>
      </w:r>
      <w:r w:rsidR="006F7BDA">
        <w:rPr>
          <w:rFonts w:ascii="Calibri" w:hAnsi="Calibri" w:cs="Calibri"/>
          <w:i/>
          <w:iCs/>
          <w:sz w:val="22"/>
          <w:szCs w:val="22"/>
        </w:rPr>
        <w:t xml:space="preserve"> každopádně </w:t>
      </w:r>
      <w:r w:rsidRPr="0001227F">
        <w:rPr>
          <w:rFonts w:ascii="Calibri" w:hAnsi="Calibri" w:cs="Calibri"/>
          <w:i/>
          <w:iCs/>
          <w:sz w:val="22"/>
          <w:szCs w:val="22"/>
        </w:rPr>
        <w:t>bude z pohledu nových hypoték bezesporu rekordní</w:t>
      </w:r>
      <w:r w:rsidR="00F517F3">
        <w:rPr>
          <w:rFonts w:ascii="Calibri" w:hAnsi="Calibri" w:cs="Calibri"/>
          <w:i/>
          <w:iCs/>
          <w:sz w:val="22"/>
          <w:szCs w:val="22"/>
        </w:rPr>
        <w:t xml:space="preserve"> a bude jej obtížn</w:t>
      </w:r>
      <w:r w:rsidR="00DB57B7">
        <w:rPr>
          <w:rFonts w:ascii="Calibri" w:hAnsi="Calibri" w:cs="Calibri"/>
          <w:i/>
          <w:iCs/>
          <w:sz w:val="22"/>
          <w:szCs w:val="22"/>
        </w:rPr>
        <w:t>é</w:t>
      </w:r>
      <w:r w:rsidR="00F517F3">
        <w:rPr>
          <w:rFonts w:ascii="Calibri" w:hAnsi="Calibri" w:cs="Calibri"/>
          <w:i/>
          <w:iCs/>
          <w:sz w:val="22"/>
          <w:szCs w:val="22"/>
        </w:rPr>
        <w:t xml:space="preserve"> dlouho překonat</w:t>
      </w:r>
      <w:r w:rsidRPr="0001227F">
        <w:rPr>
          <w:rFonts w:ascii="Calibri" w:hAnsi="Calibri" w:cs="Calibri"/>
          <w:i/>
          <w:iCs/>
          <w:sz w:val="22"/>
          <w:szCs w:val="22"/>
        </w:rPr>
        <w:t xml:space="preserve">. Oficiální data z České národní banky </w:t>
      </w:r>
      <w:r w:rsidR="00CD13B1">
        <w:rPr>
          <w:rFonts w:ascii="Calibri" w:hAnsi="Calibri" w:cs="Calibri"/>
          <w:i/>
          <w:iCs/>
          <w:sz w:val="22"/>
          <w:szCs w:val="22"/>
        </w:rPr>
        <w:t>ukazují</w:t>
      </w:r>
      <w:r w:rsidRPr="0001227F">
        <w:rPr>
          <w:rFonts w:ascii="Calibri" w:hAnsi="Calibri" w:cs="Calibri"/>
          <w:i/>
          <w:iCs/>
          <w:sz w:val="22"/>
          <w:szCs w:val="22"/>
        </w:rPr>
        <w:t>, že</w:t>
      </w:r>
      <w:r w:rsidR="00FF609F">
        <w:rPr>
          <w:rFonts w:ascii="Calibri" w:hAnsi="Calibri" w:cs="Calibri"/>
          <w:i/>
          <w:iCs/>
          <w:sz w:val="22"/>
          <w:szCs w:val="22"/>
        </w:rPr>
        <w:t xml:space="preserve"> </w:t>
      </w:r>
      <w:r w:rsidR="008C3A5F">
        <w:rPr>
          <w:rFonts w:ascii="Calibri" w:hAnsi="Calibri" w:cs="Calibri"/>
          <w:i/>
          <w:iCs/>
          <w:sz w:val="22"/>
          <w:szCs w:val="22"/>
        </w:rPr>
        <w:t xml:space="preserve">objem nově poskytnutých hypoték </w:t>
      </w:r>
      <w:r w:rsidR="00E064CA">
        <w:rPr>
          <w:rFonts w:ascii="Calibri" w:hAnsi="Calibri" w:cs="Calibri"/>
          <w:i/>
          <w:iCs/>
          <w:sz w:val="22"/>
          <w:szCs w:val="22"/>
        </w:rPr>
        <w:t xml:space="preserve">jen za prvních sedm měsíců letošního roku byl obdobný jako za celý </w:t>
      </w:r>
      <w:r w:rsidR="005019FE">
        <w:rPr>
          <w:rFonts w:ascii="Calibri" w:hAnsi="Calibri" w:cs="Calibri"/>
          <w:i/>
          <w:iCs/>
          <w:sz w:val="22"/>
          <w:szCs w:val="22"/>
        </w:rPr>
        <w:t xml:space="preserve">loňský </w:t>
      </w:r>
      <w:r w:rsidR="00E064CA">
        <w:rPr>
          <w:rFonts w:ascii="Calibri" w:hAnsi="Calibri" w:cs="Calibri"/>
          <w:i/>
          <w:iCs/>
          <w:sz w:val="22"/>
          <w:szCs w:val="22"/>
        </w:rPr>
        <w:t>rok</w:t>
      </w:r>
      <w:r w:rsidR="005019FE">
        <w:rPr>
          <w:rFonts w:ascii="Calibri" w:hAnsi="Calibri" w:cs="Calibri"/>
          <w:i/>
          <w:iCs/>
          <w:sz w:val="22"/>
          <w:szCs w:val="22"/>
        </w:rPr>
        <w:t>, kdy</w:t>
      </w:r>
      <w:r w:rsidR="00E064CA">
        <w:rPr>
          <w:rFonts w:ascii="Calibri" w:hAnsi="Calibri" w:cs="Calibri"/>
          <w:i/>
          <w:iCs/>
          <w:sz w:val="22"/>
          <w:szCs w:val="22"/>
        </w:rPr>
        <w:t xml:space="preserve"> </w:t>
      </w:r>
      <w:r w:rsidR="005019FE">
        <w:rPr>
          <w:rFonts w:ascii="Calibri" w:hAnsi="Calibri" w:cs="Calibri"/>
          <w:i/>
          <w:iCs/>
          <w:sz w:val="22"/>
          <w:szCs w:val="22"/>
        </w:rPr>
        <w:t xml:space="preserve">dosáhl </w:t>
      </w:r>
      <w:r w:rsidR="00AB3A63">
        <w:rPr>
          <w:rFonts w:ascii="Calibri" w:hAnsi="Calibri" w:cs="Calibri"/>
          <w:i/>
          <w:iCs/>
          <w:sz w:val="22"/>
          <w:szCs w:val="22"/>
        </w:rPr>
        <w:t>217 mld. Kč.</w:t>
      </w:r>
      <w:r w:rsidR="005E1F6F">
        <w:rPr>
          <w:rStyle w:val="Znakapoznpodarou"/>
          <w:rFonts w:ascii="Calibri" w:hAnsi="Calibri" w:cs="Calibri"/>
          <w:i/>
          <w:iCs/>
          <w:sz w:val="22"/>
          <w:szCs w:val="22"/>
        </w:rPr>
        <w:footnoteReference w:id="2"/>
      </w:r>
      <w:r w:rsidRPr="0001227F">
        <w:rPr>
          <w:rFonts w:ascii="Calibri" w:hAnsi="Calibri" w:cs="Calibri"/>
          <w:i/>
          <w:iCs/>
          <w:sz w:val="22"/>
          <w:szCs w:val="22"/>
        </w:rPr>
        <w:t xml:space="preserve"> </w:t>
      </w:r>
    </w:p>
    <w:p w14:paraId="15A90AF6" w14:textId="77777777" w:rsidR="0001227F" w:rsidRPr="0001227F" w:rsidRDefault="0001227F" w:rsidP="0001227F">
      <w:pPr>
        <w:rPr>
          <w:rFonts w:ascii="Calibri" w:hAnsi="Calibri" w:cs="Calibri"/>
          <w:sz w:val="22"/>
          <w:szCs w:val="22"/>
        </w:rPr>
      </w:pPr>
    </w:p>
    <w:p w14:paraId="6B378F4C" w14:textId="77777777" w:rsidR="0001227F" w:rsidRDefault="0001227F" w:rsidP="0001227F">
      <w:pPr>
        <w:rPr>
          <w:rFonts w:ascii="Calibri" w:hAnsi="Calibri" w:cs="Calibri"/>
          <w:b/>
          <w:color w:val="13576B"/>
          <w:sz w:val="22"/>
          <w:szCs w:val="22"/>
        </w:rPr>
      </w:pPr>
    </w:p>
    <w:p w14:paraId="111641FB" w14:textId="6798C7D8" w:rsidR="0001227F" w:rsidRPr="006C3F79" w:rsidRDefault="0001227F" w:rsidP="0001227F">
      <w:pPr>
        <w:rPr>
          <w:rFonts w:ascii="Calibri" w:hAnsi="Calibri" w:cs="Calibri"/>
          <w:b/>
          <w:color w:val="13576B"/>
          <w:sz w:val="23"/>
          <w:szCs w:val="23"/>
        </w:rPr>
      </w:pPr>
      <w:r w:rsidRPr="006C3F79">
        <w:rPr>
          <w:rFonts w:ascii="Calibri" w:hAnsi="Calibri" w:cs="Calibri"/>
          <w:b/>
          <w:color w:val="13576B"/>
          <w:sz w:val="23"/>
          <w:szCs w:val="23"/>
        </w:rPr>
        <w:t>Průměrná</w:t>
      </w:r>
      <w:r w:rsidRPr="0001227F">
        <w:rPr>
          <w:rFonts w:ascii="Calibri" w:hAnsi="Calibri" w:cs="Calibri"/>
          <w:b/>
          <w:color w:val="13576B"/>
          <w:sz w:val="24"/>
          <w:szCs w:val="24"/>
        </w:rPr>
        <w:t xml:space="preserve"> </w:t>
      </w:r>
      <w:r w:rsidRPr="006C3F79">
        <w:rPr>
          <w:rFonts w:ascii="Calibri" w:hAnsi="Calibri" w:cs="Calibri"/>
          <w:b/>
          <w:color w:val="13576B"/>
          <w:sz w:val="23"/>
          <w:szCs w:val="23"/>
        </w:rPr>
        <w:t>výše hypotéky dlouhodobě roste</w:t>
      </w:r>
    </w:p>
    <w:p w14:paraId="48C50403" w14:textId="452081A8" w:rsidR="00715087" w:rsidRDefault="0001227F" w:rsidP="00715087">
      <w:pPr>
        <w:rPr>
          <w:rFonts w:ascii="Calibri" w:hAnsi="Calibri" w:cs="Calibri"/>
          <w:sz w:val="22"/>
          <w:szCs w:val="22"/>
        </w:rPr>
      </w:pPr>
      <w:r w:rsidRPr="0001227F">
        <w:rPr>
          <w:rFonts w:ascii="Calibri" w:hAnsi="Calibri" w:cs="Calibri"/>
          <w:sz w:val="22"/>
          <w:szCs w:val="22"/>
        </w:rPr>
        <w:t>Průměrná výše hypotéky v září dosáhla 3,3</w:t>
      </w:r>
      <w:r w:rsidR="00F517F3">
        <w:rPr>
          <w:rFonts w:ascii="Calibri" w:hAnsi="Calibri" w:cs="Calibri"/>
          <w:sz w:val="22"/>
          <w:szCs w:val="22"/>
        </w:rPr>
        <w:t>4</w:t>
      </w:r>
      <w:r w:rsidRPr="0001227F">
        <w:rPr>
          <w:rFonts w:ascii="Calibri" w:hAnsi="Calibri" w:cs="Calibri"/>
          <w:sz w:val="22"/>
          <w:szCs w:val="22"/>
        </w:rPr>
        <w:t xml:space="preserve"> mil. Kč. Postupné zvyšování velikosti hypotéky je dáno</w:t>
      </w:r>
      <w:r w:rsidRPr="0001227F">
        <w:rPr>
          <w:rFonts w:ascii="Calibri" w:hAnsi="Calibri" w:cs="Calibri"/>
          <w:b/>
          <w:bCs/>
          <w:sz w:val="22"/>
          <w:szCs w:val="22"/>
        </w:rPr>
        <w:t xml:space="preserve"> </w:t>
      </w:r>
      <w:r w:rsidRPr="0001227F">
        <w:rPr>
          <w:rFonts w:ascii="Calibri" w:hAnsi="Calibri" w:cs="Calibri"/>
          <w:sz w:val="22"/>
          <w:szCs w:val="22"/>
        </w:rPr>
        <w:t xml:space="preserve">i skutečností, že růst cen nemovitostí pokračuje ve svižném tempu. </w:t>
      </w:r>
      <w:r w:rsidR="00715087" w:rsidRPr="0001227F">
        <w:rPr>
          <w:rFonts w:ascii="Calibri" w:hAnsi="Calibri" w:cs="Calibri"/>
          <w:sz w:val="22"/>
          <w:szCs w:val="22"/>
        </w:rPr>
        <w:t>Jak by se vyvíjela průměrná měsíční splátka hypotéky v závislosti na dalším zvyšování úrokových sazeb naznačuje Tabulka</w:t>
      </w:r>
      <w:r w:rsidR="00715087">
        <w:rPr>
          <w:rFonts w:ascii="Calibri" w:hAnsi="Calibri" w:cs="Calibri"/>
          <w:sz w:val="22"/>
          <w:szCs w:val="22"/>
        </w:rPr>
        <w:t xml:space="preserve"> č.</w:t>
      </w:r>
      <w:r w:rsidR="00715087" w:rsidRPr="0001227F">
        <w:rPr>
          <w:rFonts w:ascii="Calibri" w:hAnsi="Calibri" w:cs="Calibri"/>
          <w:sz w:val="22"/>
          <w:szCs w:val="22"/>
        </w:rPr>
        <w:t xml:space="preserve"> 1. </w:t>
      </w:r>
    </w:p>
    <w:p w14:paraId="43D2A994" w14:textId="013386C5" w:rsidR="0001227F" w:rsidRPr="0001227F" w:rsidRDefault="0001227F" w:rsidP="0001227F">
      <w:pPr>
        <w:rPr>
          <w:rFonts w:ascii="Calibri" w:hAnsi="Calibri" w:cs="Calibri"/>
          <w:b/>
          <w:bCs/>
          <w:sz w:val="22"/>
          <w:szCs w:val="22"/>
        </w:rPr>
      </w:pPr>
      <w:r w:rsidRPr="0001227F">
        <w:rPr>
          <w:rFonts w:ascii="Calibri" w:hAnsi="Calibri" w:cs="Calibri"/>
          <w:b/>
          <w:bCs/>
          <w:sz w:val="22"/>
          <w:szCs w:val="22"/>
        </w:rPr>
        <w:lastRenderedPageBreak/>
        <w:t xml:space="preserve">Komentář Jakuba Seidlera, hlavního ekonoma ČBA: </w:t>
      </w:r>
    </w:p>
    <w:p w14:paraId="03C07214" w14:textId="0B25D632" w:rsidR="0001227F" w:rsidRDefault="0001227F" w:rsidP="0001227F">
      <w:pPr>
        <w:rPr>
          <w:rFonts w:ascii="Calibri" w:hAnsi="Calibri" w:cs="Calibri"/>
          <w:i/>
          <w:iCs/>
          <w:sz w:val="22"/>
          <w:szCs w:val="22"/>
        </w:rPr>
      </w:pPr>
      <w:r w:rsidRPr="0001227F">
        <w:rPr>
          <w:rFonts w:ascii="Calibri" w:hAnsi="Calibri" w:cs="Calibri"/>
          <w:i/>
          <w:iCs/>
          <w:sz w:val="22"/>
          <w:szCs w:val="22"/>
        </w:rPr>
        <w:t xml:space="preserve">Meziroční dynamika cen nemovitostí ve druhém čtvrtletí dále zrychlila k 15 % a patřila mezi </w:t>
      </w:r>
      <w:r w:rsidR="00A003F4">
        <w:rPr>
          <w:rFonts w:ascii="Calibri" w:hAnsi="Calibri" w:cs="Calibri"/>
          <w:i/>
          <w:iCs/>
          <w:sz w:val="22"/>
          <w:szCs w:val="22"/>
        </w:rPr>
        <w:t>tři</w:t>
      </w:r>
      <w:r w:rsidRPr="0001227F">
        <w:rPr>
          <w:rFonts w:ascii="Calibri" w:hAnsi="Calibri" w:cs="Calibri"/>
          <w:i/>
          <w:iCs/>
          <w:sz w:val="22"/>
          <w:szCs w:val="22"/>
        </w:rPr>
        <w:t xml:space="preserve"> nejvyšší v rámci zemí E</w:t>
      </w:r>
      <w:r w:rsidR="00A003F4">
        <w:rPr>
          <w:rFonts w:ascii="Calibri" w:hAnsi="Calibri" w:cs="Calibri"/>
          <w:i/>
          <w:iCs/>
          <w:sz w:val="22"/>
          <w:szCs w:val="22"/>
        </w:rPr>
        <w:t>vropské unie</w:t>
      </w:r>
      <w:r w:rsidRPr="0001227F">
        <w:rPr>
          <w:rFonts w:ascii="Calibri" w:hAnsi="Calibri" w:cs="Calibri"/>
          <w:i/>
          <w:iCs/>
          <w:sz w:val="22"/>
          <w:szCs w:val="22"/>
        </w:rPr>
        <w:t xml:space="preserve">. Nabídkové ceny bytů ve třetím čtvrtletí dle posledních údajů Českého statistického úřadu také zrychlily, což naznačuje, že tlak na růst cen </w:t>
      </w:r>
      <w:r w:rsidR="00DA1419">
        <w:rPr>
          <w:rFonts w:ascii="Calibri" w:hAnsi="Calibri" w:cs="Calibri"/>
          <w:i/>
          <w:iCs/>
          <w:sz w:val="22"/>
          <w:szCs w:val="22"/>
        </w:rPr>
        <w:t xml:space="preserve">bydlení </w:t>
      </w:r>
      <w:r w:rsidRPr="0001227F">
        <w:rPr>
          <w:rFonts w:ascii="Calibri" w:hAnsi="Calibri" w:cs="Calibri"/>
          <w:i/>
          <w:iCs/>
          <w:sz w:val="22"/>
          <w:szCs w:val="22"/>
        </w:rPr>
        <w:t xml:space="preserve">dále pokračuje. </w:t>
      </w:r>
    </w:p>
    <w:p w14:paraId="72C19FC7" w14:textId="77777777" w:rsidR="0001227F" w:rsidRPr="0001227F" w:rsidRDefault="0001227F" w:rsidP="0001227F">
      <w:pPr>
        <w:rPr>
          <w:rFonts w:ascii="Calibri" w:hAnsi="Calibri" w:cs="Calibri"/>
          <w:i/>
          <w:iCs/>
          <w:sz w:val="22"/>
          <w:szCs w:val="22"/>
        </w:rPr>
      </w:pPr>
    </w:p>
    <w:p w14:paraId="6915F79C" w14:textId="0AC90373" w:rsidR="00715087" w:rsidRDefault="00715087" w:rsidP="0001227F">
      <w:pPr>
        <w:rPr>
          <w:rFonts w:ascii="Calibri" w:hAnsi="Calibri" w:cs="Calibri"/>
          <w:sz w:val="22"/>
          <w:szCs w:val="22"/>
        </w:rPr>
      </w:pPr>
    </w:p>
    <w:p w14:paraId="5C961C35" w14:textId="05C4F766" w:rsidR="00715087" w:rsidRDefault="00715087" w:rsidP="0001227F">
      <w:pPr>
        <w:rPr>
          <w:rFonts w:ascii="Calibri" w:hAnsi="Calibri" w:cs="Calibri"/>
          <w:sz w:val="22"/>
          <w:szCs w:val="22"/>
        </w:rPr>
      </w:pPr>
    </w:p>
    <w:p w14:paraId="7053A4DF" w14:textId="41BFD644" w:rsidR="00715087" w:rsidRPr="0001227F" w:rsidRDefault="00715087" w:rsidP="0001227F">
      <w:pPr>
        <w:rPr>
          <w:rFonts w:ascii="Calibri" w:hAnsi="Calibri" w:cs="Calibri"/>
          <w:sz w:val="22"/>
          <w:szCs w:val="22"/>
        </w:rPr>
      </w:pPr>
      <w:r>
        <w:rPr>
          <w:rFonts w:ascii="Calibri" w:hAnsi="Calibri" w:cs="Calibri"/>
          <w:sz w:val="22"/>
          <w:szCs w:val="22"/>
        </w:rPr>
        <w:t>Tabulka č. 1: Měsíční splátka průměrné hypotéky v závislosti na délce splatnosti a úrokové sazbě</w:t>
      </w:r>
    </w:p>
    <w:p w14:paraId="58D17397" w14:textId="77777777" w:rsidR="0001227F" w:rsidRPr="0001227F" w:rsidRDefault="0001227F" w:rsidP="0001227F">
      <w:pPr>
        <w:rPr>
          <w:rFonts w:ascii="Calibri" w:hAnsi="Calibri" w:cs="Calibri"/>
          <w:sz w:val="22"/>
          <w:szCs w:val="22"/>
        </w:rPr>
      </w:pPr>
    </w:p>
    <w:p w14:paraId="764C516D" w14:textId="55431C5D" w:rsidR="0001227F" w:rsidRPr="0001227F" w:rsidRDefault="0001227F" w:rsidP="0001227F">
      <w:pPr>
        <w:jc w:val="center"/>
        <w:rPr>
          <w:rFonts w:ascii="Calibri" w:hAnsi="Calibri" w:cs="Calibri"/>
          <w:sz w:val="22"/>
          <w:szCs w:val="22"/>
        </w:rPr>
      </w:pPr>
    </w:p>
    <w:tbl>
      <w:tblPr>
        <w:tblpPr w:leftFromText="141" w:rightFromText="141" w:vertAnchor="text" w:horzAnchor="margin" w:tblpXSpec="center" w:tblpY="-56"/>
        <w:tblW w:w="7703" w:type="dxa"/>
        <w:tblCellMar>
          <w:left w:w="70" w:type="dxa"/>
          <w:right w:w="70" w:type="dxa"/>
        </w:tblCellMar>
        <w:tblLook w:val="04A0" w:firstRow="1" w:lastRow="0" w:firstColumn="1" w:lastColumn="0" w:noHBand="0" w:noVBand="1"/>
      </w:tblPr>
      <w:tblGrid>
        <w:gridCol w:w="3251"/>
        <w:gridCol w:w="1385"/>
        <w:gridCol w:w="1022"/>
        <w:gridCol w:w="1022"/>
        <w:gridCol w:w="1023"/>
      </w:tblGrid>
      <w:tr w:rsidR="00715087" w:rsidRPr="00715087" w14:paraId="731A7172" w14:textId="77777777" w:rsidTr="00715087">
        <w:trPr>
          <w:trHeight w:val="260"/>
        </w:trPr>
        <w:tc>
          <w:tcPr>
            <w:tcW w:w="3251" w:type="dxa"/>
            <w:tcBorders>
              <w:top w:val="nil"/>
              <w:left w:val="nil"/>
              <w:bottom w:val="single" w:sz="4" w:space="0" w:color="auto"/>
              <w:right w:val="nil"/>
            </w:tcBorders>
            <w:shd w:val="clear" w:color="auto" w:fill="auto"/>
            <w:noWrap/>
            <w:vAlign w:val="bottom"/>
            <w:hideMark/>
          </w:tcPr>
          <w:p w14:paraId="59499D97" w14:textId="77777777" w:rsidR="00715087" w:rsidRPr="00715087" w:rsidRDefault="00715087" w:rsidP="00715087">
            <w:pPr>
              <w:overflowPunct/>
              <w:autoSpaceDE/>
              <w:autoSpaceDN/>
              <w:adjustRightInd/>
              <w:jc w:val="left"/>
              <w:textAlignment w:val="auto"/>
              <w:rPr>
                <w:rFonts w:ascii="Calibri" w:hAnsi="Calibri" w:cs="Calibri"/>
                <w:b/>
                <w:bCs/>
                <w:color w:val="000000"/>
                <w:sz w:val="22"/>
                <w:szCs w:val="22"/>
              </w:rPr>
            </w:pPr>
            <w:r w:rsidRPr="00715087">
              <w:rPr>
                <w:rFonts w:ascii="Calibri" w:hAnsi="Calibri" w:cs="Calibri"/>
                <w:b/>
                <w:bCs/>
                <w:color w:val="000000"/>
                <w:sz w:val="22"/>
                <w:szCs w:val="22"/>
              </w:rPr>
              <w:t>Průměrná velikost hypotéky v Kč:</w:t>
            </w:r>
          </w:p>
        </w:tc>
        <w:tc>
          <w:tcPr>
            <w:tcW w:w="1385" w:type="dxa"/>
            <w:tcBorders>
              <w:top w:val="nil"/>
              <w:left w:val="nil"/>
              <w:bottom w:val="single" w:sz="4" w:space="0" w:color="auto"/>
              <w:right w:val="nil"/>
            </w:tcBorders>
            <w:shd w:val="clear" w:color="auto" w:fill="auto"/>
            <w:noWrap/>
            <w:vAlign w:val="bottom"/>
            <w:hideMark/>
          </w:tcPr>
          <w:p w14:paraId="782F9034" w14:textId="77777777" w:rsidR="00715087" w:rsidRPr="00715087" w:rsidRDefault="00715087" w:rsidP="00715087">
            <w:pPr>
              <w:overflowPunct/>
              <w:autoSpaceDE/>
              <w:autoSpaceDN/>
              <w:adjustRightInd/>
              <w:jc w:val="left"/>
              <w:textAlignment w:val="auto"/>
              <w:rPr>
                <w:rFonts w:ascii="Calibri" w:hAnsi="Calibri" w:cs="Calibri"/>
                <w:color w:val="000000"/>
                <w:sz w:val="22"/>
                <w:szCs w:val="22"/>
              </w:rPr>
            </w:pPr>
            <w:r w:rsidRPr="00715087">
              <w:rPr>
                <w:rFonts w:ascii="Calibri" w:hAnsi="Calibri" w:cs="Calibri"/>
                <w:color w:val="000000"/>
                <w:sz w:val="22"/>
                <w:szCs w:val="22"/>
              </w:rPr>
              <w:t> </w:t>
            </w:r>
          </w:p>
        </w:tc>
        <w:tc>
          <w:tcPr>
            <w:tcW w:w="3067" w:type="dxa"/>
            <w:gridSpan w:val="3"/>
            <w:tcBorders>
              <w:top w:val="nil"/>
              <w:left w:val="nil"/>
              <w:bottom w:val="single" w:sz="4" w:space="0" w:color="auto"/>
              <w:right w:val="nil"/>
            </w:tcBorders>
            <w:shd w:val="clear" w:color="auto" w:fill="auto"/>
            <w:noWrap/>
            <w:vAlign w:val="bottom"/>
            <w:hideMark/>
          </w:tcPr>
          <w:p w14:paraId="53BC1FBD" w14:textId="77777777" w:rsidR="00715087" w:rsidRPr="00715087" w:rsidRDefault="00715087" w:rsidP="00715087">
            <w:pPr>
              <w:overflowPunct/>
              <w:autoSpaceDE/>
              <w:autoSpaceDN/>
              <w:adjustRightInd/>
              <w:jc w:val="center"/>
              <w:textAlignment w:val="auto"/>
              <w:rPr>
                <w:rFonts w:ascii="Calibri" w:hAnsi="Calibri" w:cs="Calibri"/>
                <w:b/>
                <w:bCs/>
                <w:color w:val="000000"/>
                <w:sz w:val="22"/>
                <w:szCs w:val="22"/>
              </w:rPr>
            </w:pPr>
            <w:r w:rsidRPr="00715087">
              <w:rPr>
                <w:rFonts w:ascii="Calibri" w:hAnsi="Calibri" w:cs="Calibri"/>
                <w:b/>
                <w:bCs/>
                <w:color w:val="000000"/>
                <w:sz w:val="22"/>
                <w:szCs w:val="22"/>
              </w:rPr>
              <w:t>3 335 915</w:t>
            </w:r>
          </w:p>
        </w:tc>
      </w:tr>
      <w:tr w:rsidR="00715087" w:rsidRPr="00715087" w14:paraId="519E4FA2" w14:textId="77777777" w:rsidTr="00715087">
        <w:trPr>
          <w:trHeight w:val="260"/>
        </w:trPr>
        <w:tc>
          <w:tcPr>
            <w:tcW w:w="3251" w:type="dxa"/>
            <w:tcBorders>
              <w:top w:val="nil"/>
              <w:left w:val="nil"/>
              <w:bottom w:val="single" w:sz="4" w:space="0" w:color="auto"/>
              <w:right w:val="nil"/>
            </w:tcBorders>
            <w:shd w:val="clear" w:color="auto" w:fill="auto"/>
            <w:noWrap/>
            <w:vAlign w:val="bottom"/>
            <w:hideMark/>
          </w:tcPr>
          <w:p w14:paraId="587F0FCF" w14:textId="77777777" w:rsidR="00715087" w:rsidRPr="00715087" w:rsidRDefault="00715087" w:rsidP="00715087">
            <w:pPr>
              <w:overflowPunct/>
              <w:autoSpaceDE/>
              <w:autoSpaceDN/>
              <w:adjustRightInd/>
              <w:jc w:val="left"/>
              <w:textAlignment w:val="auto"/>
              <w:rPr>
                <w:rFonts w:ascii="Calibri" w:hAnsi="Calibri" w:cs="Calibri"/>
                <w:b/>
                <w:bCs/>
                <w:color w:val="000000"/>
                <w:sz w:val="22"/>
                <w:szCs w:val="22"/>
              </w:rPr>
            </w:pPr>
            <w:r w:rsidRPr="00715087">
              <w:rPr>
                <w:rFonts w:ascii="Calibri" w:hAnsi="Calibri" w:cs="Calibri"/>
                <w:b/>
                <w:bCs/>
                <w:color w:val="000000"/>
                <w:sz w:val="22"/>
                <w:szCs w:val="22"/>
              </w:rPr>
              <w:t>Průměrná úroková sazba v %:</w:t>
            </w:r>
          </w:p>
        </w:tc>
        <w:tc>
          <w:tcPr>
            <w:tcW w:w="1385" w:type="dxa"/>
            <w:tcBorders>
              <w:top w:val="nil"/>
              <w:left w:val="nil"/>
              <w:bottom w:val="single" w:sz="4" w:space="0" w:color="auto"/>
              <w:right w:val="nil"/>
            </w:tcBorders>
            <w:shd w:val="clear" w:color="auto" w:fill="auto"/>
            <w:noWrap/>
            <w:vAlign w:val="bottom"/>
            <w:hideMark/>
          </w:tcPr>
          <w:p w14:paraId="1D8E5989" w14:textId="77777777" w:rsidR="00715087" w:rsidRPr="00715087" w:rsidRDefault="00715087" w:rsidP="00715087">
            <w:pPr>
              <w:overflowPunct/>
              <w:autoSpaceDE/>
              <w:autoSpaceDN/>
              <w:adjustRightInd/>
              <w:jc w:val="left"/>
              <w:textAlignment w:val="auto"/>
              <w:rPr>
                <w:rFonts w:ascii="Calibri" w:hAnsi="Calibri" w:cs="Calibri"/>
                <w:b/>
                <w:bCs/>
                <w:color w:val="000000"/>
                <w:sz w:val="22"/>
                <w:szCs w:val="22"/>
              </w:rPr>
            </w:pPr>
            <w:r w:rsidRPr="00715087">
              <w:rPr>
                <w:rFonts w:ascii="Calibri" w:hAnsi="Calibri" w:cs="Calibri"/>
                <w:b/>
                <w:bCs/>
                <w:color w:val="000000"/>
                <w:sz w:val="22"/>
                <w:szCs w:val="22"/>
              </w:rPr>
              <w:t> </w:t>
            </w:r>
          </w:p>
        </w:tc>
        <w:tc>
          <w:tcPr>
            <w:tcW w:w="1022" w:type="dxa"/>
            <w:tcBorders>
              <w:top w:val="nil"/>
              <w:left w:val="nil"/>
              <w:bottom w:val="single" w:sz="4" w:space="0" w:color="auto"/>
              <w:right w:val="nil"/>
            </w:tcBorders>
            <w:shd w:val="clear" w:color="000000" w:fill="E2EFDA"/>
            <w:noWrap/>
            <w:vAlign w:val="bottom"/>
            <w:hideMark/>
          </w:tcPr>
          <w:p w14:paraId="790D8E5E" w14:textId="56BB82BA" w:rsidR="00715087" w:rsidRPr="00715087" w:rsidRDefault="00715087" w:rsidP="00715087">
            <w:pPr>
              <w:overflowPunct/>
              <w:autoSpaceDE/>
              <w:autoSpaceDN/>
              <w:adjustRightInd/>
              <w:jc w:val="center"/>
              <w:textAlignment w:val="auto"/>
              <w:rPr>
                <w:rFonts w:ascii="Calibri" w:hAnsi="Calibri" w:cs="Calibri"/>
                <w:b/>
                <w:bCs/>
                <w:color w:val="000000"/>
                <w:sz w:val="22"/>
                <w:szCs w:val="22"/>
              </w:rPr>
            </w:pPr>
            <w:r w:rsidRPr="00715087">
              <w:rPr>
                <w:rFonts w:ascii="Calibri" w:hAnsi="Calibri" w:cs="Calibri"/>
                <w:b/>
                <w:bCs/>
                <w:color w:val="000000"/>
                <w:sz w:val="22"/>
                <w:szCs w:val="22"/>
              </w:rPr>
              <w:t>2,4</w:t>
            </w:r>
            <w:r w:rsidR="00636E18">
              <w:rPr>
                <w:rFonts w:ascii="Calibri" w:hAnsi="Calibri" w:cs="Calibri"/>
                <w:b/>
                <w:bCs/>
                <w:color w:val="000000"/>
                <w:sz w:val="22"/>
                <w:szCs w:val="22"/>
              </w:rPr>
              <w:t>3</w:t>
            </w:r>
          </w:p>
        </w:tc>
        <w:tc>
          <w:tcPr>
            <w:tcW w:w="1022" w:type="dxa"/>
            <w:tcBorders>
              <w:top w:val="nil"/>
              <w:left w:val="nil"/>
              <w:bottom w:val="single" w:sz="4" w:space="0" w:color="auto"/>
              <w:right w:val="nil"/>
            </w:tcBorders>
            <w:shd w:val="clear" w:color="auto" w:fill="auto"/>
            <w:noWrap/>
            <w:vAlign w:val="bottom"/>
            <w:hideMark/>
          </w:tcPr>
          <w:p w14:paraId="181BB5CB" w14:textId="77777777" w:rsidR="00715087" w:rsidRPr="00715087" w:rsidRDefault="00715087" w:rsidP="00715087">
            <w:pPr>
              <w:overflowPunct/>
              <w:autoSpaceDE/>
              <w:autoSpaceDN/>
              <w:adjustRightInd/>
              <w:jc w:val="center"/>
              <w:textAlignment w:val="auto"/>
              <w:rPr>
                <w:rFonts w:ascii="Calibri" w:hAnsi="Calibri" w:cs="Calibri"/>
                <w:b/>
                <w:bCs/>
                <w:color w:val="000000"/>
                <w:sz w:val="22"/>
                <w:szCs w:val="22"/>
              </w:rPr>
            </w:pPr>
            <w:r w:rsidRPr="00715087">
              <w:rPr>
                <w:rFonts w:ascii="Calibri" w:hAnsi="Calibri" w:cs="Calibri"/>
                <w:b/>
                <w:bCs/>
                <w:color w:val="000000"/>
                <w:sz w:val="22"/>
                <w:szCs w:val="22"/>
              </w:rPr>
              <w:t>3,0</w:t>
            </w:r>
          </w:p>
        </w:tc>
        <w:tc>
          <w:tcPr>
            <w:tcW w:w="1023" w:type="dxa"/>
            <w:tcBorders>
              <w:top w:val="nil"/>
              <w:left w:val="nil"/>
              <w:bottom w:val="single" w:sz="4" w:space="0" w:color="auto"/>
              <w:right w:val="nil"/>
            </w:tcBorders>
            <w:shd w:val="clear" w:color="auto" w:fill="auto"/>
            <w:noWrap/>
            <w:vAlign w:val="bottom"/>
            <w:hideMark/>
          </w:tcPr>
          <w:p w14:paraId="7A19FA25" w14:textId="77777777" w:rsidR="00715087" w:rsidRPr="00715087" w:rsidRDefault="00715087" w:rsidP="00715087">
            <w:pPr>
              <w:overflowPunct/>
              <w:autoSpaceDE/>
              <w:autoSpaceDN/>
              <w:adjustRightInd/>
              <w:jc w:val="center"/>
              <w:textAlignment w:val="auto"/>
              <w:rPr>
                <w:rFonts w:ascii="Calibri" w:hAnsi="Calibri" w:cs="Calibri"/>
                <w:b/>
                <w:bCs/>
                <w:color w:val="000000"/>
                <w:sz w:val="22"/>
                <w:szCs w:val="22"/>
              </w:rPr>
            </w:pPr>
            <w:r w:rsidRPr="00715087">
              <w:rPr>
                <w:rFonts w:ascii="Calibri" w:hAnsi="Calibri" w:cs="Calibri"/>
                <w:b/>
                <w:bCs/>
                <w:color w:val="000000"/>
                <w:sz w:val="22"/>
                <w:szCs w:val="22"/>
              </w:rPr>
              <w:t>3,5</w:t>
            </w:r>
          </w:p>
        </w:tc>
      </w:tr>
      <w:tr w:rsidR="00715087" w:rsidRPr="00715087" w14:paraId="21EED368" w14:textId="77777777" w:rsidTr="00715087">
        <w:trPr>
          <w:trHeight w:val="260"/>
        </w:trPr>
        <w:tc>
          <w:tcPr>
            <w:tcW w:w="3251" w:type="dxa"/>
            <w:tcBorders>
              <w:top w:val="nil"/>
              <w:left w:val="nil"/>
              <w:bottom w:val="nil"/>
              <w:right w:val="nil"/>
            </w:tcBorders>
            <w:shd w:val="clear" w:color="auto" w:fill="auto"/>
            <w:noWrap/>
            <w:vAlign w:val="bottom"/>
            <w:hideMark/>
          </w:tcPr>
          <w:p w14:paraId="4161CCCC" w14:textId="77777777" w:rsidR="00715087" w:rsidRPr="00715087" w:rsidRDefault="00715087" w:rsidP="00715087">
            <w:pPr>
              <w:overflowPunct/>
              <w:autoSpaceDE/>
              <w:autoSpaceDN/>
              <w:adjustRightInd/>
              <w:jc w:val="center"/>
              <w:textAlignment w:val="auto"/>
              <w:rPr>
                <w:rFonts w:ascii="Calibri" w:hAnsi="Calibri" w:cs="Calibri"/>
                <w:b/>
                <w:bCs/>
                <w:color w:val="000000"/>
                <w:sz w:val="22"/>
                <w:szCs w:val="22"/>
              </w:rPr>
            </w:pPr>
          </w:p>
        </w:tc>
        <w:tc>
          <w:tcPr>
            <w:tcW w:w="1385" w:type="dxa"/>
            <w:tcBorders>
              <w:top w:val="nil"/>
              <w:left w:val="nil"/>
              <w:bottom w:val="nil"/>
              <w:right w:val="nil"/>
            </w:tcBorders>
            <w:shd w:val="clear" w:color="auto" w:fill="auto"/>
            <w:noWrap/>
            <w:vAlign w:val="bottom"/>
            <w:hideMark/>
          </w:tcPr>
          <w:p w14:paraId="5FFA8ADE" w14:textId="77777777" w:rsidR="00715087" w:rsidRPr="00715087" w:rsidRDefault="00715087" w:rsidP="00715087">
            <w:pPr>
              <w:overflowPunct/>
              <w:autoSpaceDE/>
              <w:autoSpaceDN/>
              <w:adjustRightInd/>
              <w:jc w:val="left"/>
              <w:textAlignment w:val="auto"/>
              <w:rPr>
                <w:rFonts w:ascii="Calibri" w:hAnsi="Calibri" w:cs="Calibri"/>
                <w:sz w:val="20"/>
              </w:rPr>
            </w:pPr>
          </w:p>
        </w:tc>
        <w:tc>
          <w:tcPr>
            <w:tcW w:w="3067" w:type="dxa"/>
            <w:gridSpan w:val="3"/>
            <w:tcBorders>
              <w:top w:val="single" w:sz="4" w:space="0" w:color="auto"/>
              <w:left w:val="nil"/>
              <w:bottom w:val="single" w:sz="4" w:space="0" w:color="auto"/>
              <w:right w:val="nil"/>
            </w:tcBorders>
            <w:shd w:val="clear" w:color="auto" w:fill="auto"/>
            <w:noWrap/>
            <w:vAlign w:val="bottom"/>
            <w:hideMark/>
          </w:tcPr>
          <w:p w14:paraId="29AE61E8" w14:textId="77777777" w:rsidR="00715087" w:rsidRPr="00715087" w:rsidRDefault="00715087" w:rsidP="00715087">
            <w:pPr>
              <w:overflowPunct/>
              <w:autoSpaceDE/>
              <w:autoSpaceDN/>
              <w:adjustRightInd/>
              <w:jc w:val="center"/>
              <w:textAlignment w:val="auto"/>
              <w:rPr>
                <w:rFonts w:ascii="Calibri" w:hAnsi="Calibri" w:cs="Calibri"/>
                <w:b/>
                <w:bCs/>
                <w:color w:val="000000"/>
                <w:sz w:val="22"/>
                <w:szCs w:val="22"/>
              </w:rPr>
            </w:pPr>
            <w:r w:rsidRPr="00715087">
              <w:rPr>
                <w:rFonts w:ascii="Calibri" w:hAnsi="Calibri" w:cs="Calibri"/>
                <w:b/>
                <w:bCs/>
                <w:color w:val="000000"/>
                <w:sz w:val="22"/>
                <w:szCs w:val="22"/>
              </w:rPr>
              <w:t>Měsíční splátka:</w:t>
            </w:r>
          </w:p>
        </w:tc>
      </w:tr>
      <w:tr w:rsidR="00F825C9" w:rsidRPr="00715087" w14:paraId="13F14E5E" w14:textId="77777777" w:rsidTr="00715087">
        <w:trPr>
          <w:trHeight w:val="260"/>
        </w:trPr>
        <w:tc>
          <w:tcPr>
            <w:tcW w:w="3251" w:type="dxa"/>
            <w:tcBorders>
              <w:top w:val="nil"/>
              <w:left w:val="nil"/>
              <w:bottom w:val="nil"/>
              <w:right w:val="nil"/>
            </w:tcBorders>
            <w:shd w:val="clear" w:color="auto" w:fill="auto"/>
            <w:noWrap/>
            <w:vAlign w:val="bottom"/>
            <w:hideMark/>
          </w:tcPr>
          <w:p w14:paraId="6230F341" w14:textId="77777777" w:rsidR="00F825C9" w:rsidRPr="00715087" w:rsidRDefault="00F825C9" w:rsidP="00F825C9">
            <w:pPr>
              <w:overflowPunct/>
              <w:autoSpaceDE/>
              <w:autoSpaceDN/>
              <w:adjustRightInd/>
              <w:jc w:val="left"/>
              <w:textAlignment w:val="auto"/>
              <w:rPr>
                <w:rFonts w:ascii="Calibri" w:hAnsi="Calibri" w:cs="Calibri"/>
                <w:color w:val="000000"/>
                <w:sz w:val="22"/>
                <w:szCs w:val="22"/>
              </w:rPr>
            </w:pPr>
            <w:r w:rsidRPr="00715087">
              <w:rPr>
                <w:rFonts w:ascii="Calibri" w:hAnsi="Calibri" w:cs="Calibri"/>
                <w:color w:val="000000"/>
                <w:sz w:val="22"/>
                <w:szCs w:val="22"/>
              </w:rPr>
              <w:t>Splatnost hypotéky v letech:</w:t>
            </w:r>
          </w:p>
        </w:tc>
        <w:tc>
          <w:tcPr>
            <w:tcW w:w="1385" w:type="dxa"/>
            <w:tcBorders>
              <w:top w:val="nil"/>
              <w:left w:val="nil"/>
              <w:bottom w:val="nil"/>
              <w:right w:val="nil"/>
            </w:tcBorders>
            <w:shd w:val="clear" w:color="auto" w:fill="auto"/>
            <w:noWrap/>
            <w:vAlign w:val="bottom"/>
            <w:hideMark/>
          </w:tcPr>
          <w:p w14:paraId="0AF0E07B" w14:textId="77777777" w:rsidR="00F825C9" w:rsidRPr="00715087" w:rsidRDefault="00F825C9" w:rsidP="00F825C9">
            <w:pPr>
              <w:overflowPunct/>
              <w:autoSpaceDE/>
              <w:autoSpaceDN/>
              <w:adjustRightInd/>
              <w:jc w:val="center"/>
              <w:textAlignment w:val="auto"/>
              <w:rPr>
                <w:rFonts w:ascii="Calibri" w:hAnsi="Calibri" w:cs="Calibri"/>
                <w:color w:val="000000"/>
                <w:sz w:val="22"/>
                <w:szCs w:val="22"/>
              </w:rPr>
            </w:pPr>
            <w:r w:rsidRPr="00715087">
              <w:rPr>
                <w:rFonts w:ascii="Calibri" w:hAnsi="Calibri" w:cs="Calibri"/>
                <w:color w:val="000000"/>
                <w:sz w:val="22"/>
                <w:szCs w:val="22"/>
              </w:rPr>
              <w:t>15</w:t>
            </w:r>
          </w:p>
        </w:tc>
        <w:tc>
          <w:tcPr>
            <w:tcW w:w="1022" w:type="dxa"/>
            <w:tcBorders>
              <w:top w:val="nil"/>
              <w:left w:val="nil"/>
              <w:bottom w:val="nil"/>
              <w:right w:val="nil"/>
            </w:tcBorders>
            <w:shd w:val="clear" w:color="000000" w:fill="E2EFDA"/>
            <w:noWrap/>
            <w:vAlign w:val="bottom"/>
            <w:hideMark/>
          </w:tcPr>
          <w:p w14:paraId="55E07652" w14:textId="47316359" w:rsidR="00F825C9" w:rsidRPr="00715087" w:rsidRDefault="00F825C9" w:rsidP="00F825C9">
            <w:pPr>
              <w:overflowPunct/>
              <w:autoSpaceDE/>
              <w:autoSpaceDN/>
              <w:adjustRightInd/>
              <w:jc w:val="right"/>
              <w:textAlignment w:val="auto"/>
              <w:rPr>
                <w:rFonts w:ascii="Calibri" w:hAnsi="Calibri" w:cs="Calibri"/>
                <w:color w:val="000000"/>
                <w:sz w:val="22"/>
                <w:szCs w:val="22"/>
              </w:rPr>
            </w:pPr>
            <w:r>
              <w:rPr>
                <w:rFonts w:ascii="Calibri Light" w:hAnsi="Calibri Light" w:cs="Calibri Light"/>
                <w:color w:val="000000"/>
                <w:sz w:val="22"/>
                <w:szCs w:val="22"/>
              </w:rPr>
              <w:t>22,134</w:t>
            </w:r>
          </w:p>
        </w:tc>
        <w:tc>
          <w:tcPr>
            <w:tcW w:w="1022" w:type="dxa"/>
            <w:tcBorders>
              <w:top w:val="nil"/>
              <w:left w:val="nil"/>
              <w:bottom w:val="nil"/>
              <w:right w:val="nil"/>
            </w:tcBorders>
            <w:shd w:val="clear" w:color="auto" w:fill="auto"/>
            <w:noWrap/>
            <w:vAlign w:val="bottom"/>
            <w:hideMark/>
          </w:tcPr>
          <w:p w14:paraId="1F280501" w14:textId="0F35B8ED" w:rsidR="00F825C9" w:rsidRPr="00715087" w:rsidRDefault="00F825C9" w:rsidP="00F825C9">
            <w:pPr>
              <w:overflowPunct/>
              <w:autoSpaceDE/>
              <w:autoSpaceDN/>
              <w:adjustRightInd/>
              <w:jc w:val="right"/>
              <w:textAlignment w:val="auto"/>
              <w:rPr>
                <w:rFonts w:ascii="Calibri" w:hAnsi="Calibri" w:cs="Calibri"/>
                <w:color w:val="000000"/>
                <w:sz w:val="22"/>
                <w:szCs w:val="22"/>
              </w:rPr>
            </w:pPr>
            <w:r>
              <w:rPr>
                <w:rFonts w:ascii="Calibri Light" w:hAnsi="Calibri Light" w:cs="Calibri Light"/>
                <w:color w:val="000000"/>
                <w:sz w:val="22"/>
                <w:szCs w:val="22"/>
              </w:rPr>
              <w:t>23,037</w:t>
            </w:r>
          </w:p>
        </w:tc>
        <w:tc>
          <w:tcPr>
            <w:tcW w:w="1023" w:type="dxa"/>
            <w:tcBorders>
              <w:top w:val="nil"/>
              <w:left w:val="nil"/>
              <w:bottom w:val="nil"/>
              <w:right w:val="nil"/>
            </w:tcBorders>
            <w:shd w:val="clear" w:color="auto" w:fill="auto"/>
            <w:noWrap/>
            <w:vAlign w:val="bottom"/>
            <w:hideMark/>
          </w:tcPr>
          <w:p w14:paraId="5D54A957" w14:textId="08E708C6" w:rsidR="00F825C9" w:rsidRPr="00715087" w:rsidRDefault="00F825C9" w:rsidP="00F825C9">
            <w:pPr>
              <w:overflowPunct/>
              <w:autoSpaceDE/>
              <w:autoSpaceDN/>
              <w:adjustRightInd/>
              <w:jc w:val="right"/>
              <w:textAlignment w:val="auto"/>
              <w:rPr>
                <w:rFonts w:ascii="Calibri" w:hAnsi="Calibri" w:cs="Calibri"/>
                <w:color w:val="000000"/>
                <w:sz w:val="22"/>
                <w:szCs w:val="22"/>
              </w:rPr>
            </w:pPr>
            <w:r>
              <w:rPr>
                <w:rFonts w:ascii="Calibri Light" w:hAnsi="Calibri Light" w:cs="Calibri Light"/>
                <w:color w:val="000000"/>
                <w:sz w:val="22"/>
                <w:szCs w:val="22"/>
              </w:rPr>
              <w:t>23,848</w:t>
            </w:r>
          </w:p>
        </w:tc>
      </w:tr>
      <w:tr w:rsidR="00F825C9" w:rsidRPr="00715087" w14:paraId="0E2771A0" w14:textId="77777777" w:rsidTr="00715087">
        <w:trPr>
          <w:trHeight w:val="260"/>
        </w:trPr>
        <w:tc>
          <w:tcPr>
            <w:tcW w:w="3251" w:type="dxa"/>
            <w:tcBorders>
              <w:top w:val="nil"/>
              <w:left w:val="nil"/>
              <w:bottom w:val="nil"/>
              <w:right w:val="nil"/>
            </w:tcBorders>
            <w:shd w:val="clear" w:color="auto" w:fill="auto"/>
            <w:noWrap/>
            <w:vAlign w:val="bottom"/>
            <w:hideMark/>
          </w:tcPr>
          <w:p w14:paraId="2B5824DF" w14:textId="77777777" w:rsidR="00F825C9" w:rsidRPr="00715087" w:rsidRDefault="00F825C9" w:rsidP="00F825C9">
            <w:pPr>
              <w:overflowPunct/>
              <w:autoSpaceDE/>
              <w:autoSpaceDN/>
              <w:adjustRightInd/>
              <w:jc w:val="right"/>
              <w:textAlignment w:val="auto"/>
              <w:rPr>
                <w:rFonts w:ascii="Calibri" w:hAnsi="Calibri" w:cs="Calibri"/>
                <w:color w:val="000000"/>
                <w:sz w:val="22"/>
                <w:szCs w:val="22"/>
              </w:rPr>
            </w:pPr>
          </w:p>
        </w:tc>
        <w:tc>
          <w:tcPr>
            <w:tcW w:w="1385" w:type="dxa"/>
            <w:tcBorders>
              <w:top w:val="nil"/>
              <w:left w:val="nil"/>
              <w:bottom w:val="nil"/>
              <w:right w:val="nil"/>
            </w:tcBorders>
            <w:shd w:val="clear" w:color="auto" w:fill="auto"/>
            <w:noWrap/>
            <w:vAlign w:val="bottom"/>
            <w:hideMark/>
          </w:tcPr>
          <w:p w14:paraId="6F8B45BE" w14:textId="77777777" w:rsidR="00F825C9" w:rsidRPr="00715087" w:rsidRDefault="00F825C9" w:rsidP="00F825C9">
            <w:pPr>
              <w:overflowPunct/>
              <w:autoSpaceDE/>
              <w:autoSpaceDN/>
              <w:adjustRightInd/>
              <w:jc w:val="center"/>
              <w:textAlignment w:val="auto"/>
              <w:rPr>
                <w:rFonts w:ascii="Calibri" w:hAnsi="Calibri" w:cs="Calibri"/>
                <w:color w:val="000000"/>
                <w:sz w:val="22"/>
                <w:szCs w:val="22"/>
              </w:rPr>
            </w:pPr>
            <w:r w:rsidRPr="00715087">
              <w:rPr>
                <w:rFonts w:ascii="Calibri" w:hAnsi="Calibri" w:cs="Calibri"/>
                <w:color w:val="000000"/>
                <w:sz w:val="22"/>
                <w:szCs w:val="22"/>
              </w:rPr>
              <w:t>20</w:t>
            </w:r>
          </w:p>
        </w:tc>
        <w:tc>
          <w:tcPr>
            <w:tcW w:w="1022" w:type="dxa"/>
            <w:tcBorders>
              <w:top w:val="nil"/>
              <w:left w:val="nil"/>
              <w:bottom w:val="nil"/>
              <w:right w:val="nil"/>
            </w:tcBorders>
            <w:shd w:val="clear" w:color="000000" w:fill="E2EFDA"/>
            <w:noWrap/>
            <w:vAlign w:val="bottom"/>
            <w:hideMark/>
          </w:tcPr>
          <w:p w14:paraId="4CFF75D8" w14:textId="47F6E8D4" w:rsidR="00F825C9" w:rsidRPr="00715087" w:rsidRDefault="00F825C9" w:rsidP="00F825C9">
            <w:pPr>
              <w:overflowPunct/>
              <w:autoSpaceDE/>
              <w:autoSpaceDN/>
              <w:adjustRightInd/>
              <w:jc w:val="right"/>
              <w:textAlignment w:val="auto"/>
              <w:rPr>
                <w:rFonts w:ascii="Calibri" w:hAnsi="Calibri" w:cs="Calibri"/>
                <w:color w:val="000000"/>
                <w:sz w:val="22"/>
                <w:szCs w:val="22"/>
              </w:rPr>
            </w:pPr>
            <w:r>
              <w:rPr>
                <w:rFonts w:ascii="Calibri Light" w:hAnsi="Calibri Light" w:cs="Calibri Light"/>
                <w:color w:val="000000"/>
                <w:sz w:val="22"/>
                <w:szCs w:val="22"/>
              </w:rPr>
              <w:t>17,564</w:t>
            </w:r>
          </w:p>
        </w:tc>
        <w:tc>
          <w:tcPr>
            <w:tcW w:w="1022" w:type="dxa"/>
            <w:tcBorders>
              <w:top w:val="nil"/>
              <w:left w:val="nil"/>
              <w:bottom w:val="nil"/>
              <w:right w:val="nil"/>
            </w:tcBorders>
            <w:shd w:val="clear" w:color="auto" w:fill="auto"/>
            <w:noWrap/>
            <w:vAlign w:val="bottom"/>
            <w:hideMark/>
          </w:tcPr>
          <w:p w14:paraId="7F58C7FD" w14:textId="7985AD8D" w:rsidR="00F825C9" w:rsidRPr="00715087" w:rsidRDefault="00F825C9" w:rsidP="00F825C9">
            <w:pPr>
              <w:overflowPunct/>
              <w:autoSpaceDE/>
              <w:autoSpaceDN/>
              <w:adjustRightInd/>
              <w:jc w:val="right"/>
              <w:textAlignment w:val="auto"/>
              <w:rPr>
                <w:rFonts w:ascii="Calibri" w:hAnsi="Calibri" w:cs="Calibri"/>
                <w:color w:val="000000"/>
                <w:sz w:val="22"/>
                <w:szCs w:val="22"/>
              </w:rPr>
            </w:pPr>
            <w:r>
              <w:rPr>
                <w:rFonts w:ascii="Calibri Light" w:hAnsi="Calibri Light" w:cs="Calibri Light"/>
                <w:color w:val="000000"/>
                <w:sz w:val="22"/>
                <w:szCs w:val="22"/>
              </w:rPr>
              <w:t>18,501</w:t>
            </w:r>
          </w:p>
        </w:tc>
        <w:tc>
          <w:tcPr>
            <w:tcW w:w="1023" w:type="dxa"/>
            <w:tcBorders>
              <w:top w:val="nil"/>
              <w:left w:val="nil"/>
              <w:bottom w:val="nil"/>
              <w:right w:val="nil"/>
            </w:tcBorders>
            <w:shd w:val="clear" w:color="auto" w:fill="auto"/>
            <w:noWrap/>
            <w:vAlign w:val="bottom"/>
            <w:hideMark/>
          </w:tcPr>
          <w:p w14:paraId="0BFD4407" w14:textId="324B399F" w:rsidR="00F825C9" w:rsidRPr="00715087" w:rsidRDefault="00F825C9" w:rsidP="00F825C9">
            <w:pPr>
              <w:overflowPunct/>
              <w:autoSpaceDE/>
              <w:autoSpaceDN/>
              <w:adjustRightInd/>
              <w:jc w:val="right"/>
              <w:textAlignment w:val="auto"/>
              <w:rPr>
                <w:rFonts w:ascii="Calibri" w:hAnsi="Calibri" w:cs="Calibri"/>
                <w:color w:val="000000"/>
                <w:sz w:val="22"/>
                <w:szCs w:val="22"/>
              </w:rPr>
            </w:pPr>
            <w:r>
              <w:rPr>
                <w:rFonts w:ascii="Calibri Light" w:hAnsi="Calibri Light" w:cs="Calibri Light"/>
                <w:color w:val="000000"/>
                <w:sz w:val="22"/>
                <w:szCs w:val="22"/>
              </w:rPr>
              <w:t>19,347</w:t>
            </w:r>
          </w:p>
        </w:tc>
      </w:tr>
      <w:tr w:rsidR="00F825C9" w:rsidRPr="00715087" w14:paraId="7BF267CA" w14:textId="77777777" w:rsidTr="00715087">
        <w:trPr>
          <w:trHeight w:val="260"/>
        </w:trPr>
        <w:tc>
          <w:tcPr>
            <w:tcW w:w="3251" w:type="dxa"/>
            <w:tcBorders>
              <w:top w:val="nil"/>
              <w:left w:val="nil"/>
              <w:bottom w:val="nil"/>
              <w:right w:val="nil"/>
            </w:tcBorders>
            <w:shd w:val="clear" w:color="auto" w:fill="auto"/>
            <w:noWrap/>
            <w:vAlign w:val="bottom"/>
            <w:hideMark/>
          </w:tcPr>
          <w:p w14:paraId="1A3EB9A1" w14:textId="77777777" w:rsidR="00F825C9" w:rsidRPr="00715087" w:rsidRDefault="00F825C9" w:rsidP="00F825C9">
            <w:pPr>
              <w:overflowPunct/>
              <w:autoSpaceDE/>
              <w:autoSpaceDN/>
              <w:adjustRightInd/>
              <w:jc w:val="right"/>
              <w:textAlignment w:val="auto"/>
              <w:rPr>
                <w:rFonts w:ascii="Calibri" w:hAnsi="Calibri" w:cs="Calibri"/>
                <w:color w:val="000000"/>
                <w:sz w:val="22"/>
                <w:szCs w:val="22"/>
              </w:rPr>
            </w:pPr>
          </w:p>
        </w:tc>
        <w:tc>
          <w:tcPr>
            <w:tcW w:w="1385" w:type="dxa"/>
            <w:tcBorders>
              <w:top w:val="nil"/>
              <w:left w:val="nil"/>
              <w:bottom w:val="nil"/>
              <w:right w:val="nil"/>
            </w:tcBorders>
            <w:shd w:val="clear" w:color="auto" w:fill="auto"/>
            <w:noWrap/>
            <w:vAlign w:val="bottom"/>
            <w:hideMark/>
          </w:tcPr>
          <w:p w14:paraId="7364194C" w14:textId="77777777" w:rsidR="00F825C9" w:rsidRPr="00715087" w:rsidRDefault="00F825C9" w:rsidP="00F825C9">
            <w:pPr>
              <w:overflowPunct/>
              <w:autoSpaceDE/>
              <w:autoSpaceDN/>
              <w:adjustRightInd/>
              <w:jc w:val="center"/>
              <w:textAlignment w:val="auto"/>
              <w:rPr>
                <w:rFonts w:ascii="Calibri" w:hAnsi="Calibri" w:cs="Calibri"/>
                <w:color w:val="000000"/>
                <w:sz w:val="22"/>
                <w:szCs w:val="22"/>
              </w:rPr>
            </w:pPr>
            <w:r w:rsidRPr="00715087">
              <w:rPr>
                <w:rFonts w:ascii="Calibri" w:hAnsi="Calibri" w:cs="Calibri"/>
                <w:color w:val="000000"/>
                <w:sz w:val="22"/>
                <w:szCs w:val="22"/>
              </w:rPr>
              <w:t>25</w:t>
            </w:r>
          </w:p>
        </w:tc>
        <w:tc>
          <w:tcPr>
            <w:tcW w:w="1022" w:type="dxa"/>
            <w:tcBorders>
              <w:top w:val="nil"/>
              <w:left w:val="nil"/>
              <w:bottom w:val="nil"/>
              <w:right w:val="nil"/>
            </w:tcBorders>
            <w:shd w:val="clear" w:color="000000" w:fill="E2EFDA"/>
            <w:noWrap/>
            <w:vAlign w:val="bottom"/>
            <w:hideMark/>
          </w:tcPr>
          <w:p w14:paraId="622B6135" w14:textId="76DC1905" w:rsidR="00F825C9" w:rsidRPr="00715087" w:rsidRDefault="00F825C9" w:rsidP="00F825C9">
            <w:pPr>
              <w:overflowPunct/>
              <w:autoSpaceDE/>
              <w:autoSpaceDN/>
              <w:adjustRightInd/>
              <w:jc w:val="right"/>
              <w:textAlignment w:val="auto"/>
              <w:rPr>
                <w:rFonts w:ascii="Calibri" w:hAnsi="Calibri" w:cs="Calibri"/>
                <w:color w:val="000000"/>
                <w:sz w:val="22"/>
                <w:szCs w:val="22"/>
              </w:rPr>
            </w:pPr>
            <w:r>
              <w:rPr>
                <w:rFonts w:ascii="Calibri Light" w:hAnsi="Calibri Light" w:cs="Calibri Light"/>
                <w:color w:val="000000"/>
                <w:sz w:val="22"/>
                <w:szCs w:val="22"/>
              </w:rPr>
              <w:t>14,848</w:t>
            </w:r>
          </w:p>
        </w:tc>
        <w:tc>
          <w:tcPr>
            <w:tcW w:w="1022" w:type="dxa"/>
            <w:tcBorders>
              <w:top w:val="nil"/>
              <w:left w:val="nil"/>
              <w:bottom w:val="nil"/>
              <w:right w:val="nil"/>
            </w:tcBorders>
            <w:shd w:val="clear" w:color="auto" w:fill="auto"/>
            <w:noWrap/>
            <w:vAlign w:val="bottom"/>
            <w:hideMark/>
          </w:tcPr>
          <w:p w14:paraId="353D1DF9" w14:textId="6EFF72F2" w:rsidR="00F825C9" w:rsidRPr="00715087" w:rsidRDefault="00F825C9" w:rsidP="00F825C9">
            <w:pPr>
              <w:overflowPunct/>
              <w:autoSpaceDE/>
              <w:autoSpaceDN/>
              <w:adjustRightInd/>
              <w:jc w:val="right"/>
              <w:textAlignment w:val="auto"/>
              <w:rPr>
                <w:rFonts w:ascii="Calibri" w:hAnsi="Calibri" w:cs="Calibri"/>
                <w:color w:val="000000"/>
                <w:sz w:val="22"/>
                <w:szCs w:val="22"/>
              </w:rPr>
            </w:pPr>
            <w:r>
              <w:rPr>
                <w:rFonts w:ascii="Calibri Light" w:hAnsi="Calibri Light" w:cs="Calibri Light"/>
                <w:color w:val="000000"/>
                <w:sz w:val="22"/>
                <w:szCs w:val="22"/>
              </w:rPr>
              <w:t>15,819</w:t>
            </w:r>
          </w:p>
        </w:tc>
        <w:tc>
          <w:tcPr>
            <w:tcW w:w="1023" w:type="dxa"/>
            <w:tcBorders>
              <w:top w:val="nil"/>
              <w:left w:val="nil"/>
              <w:bottom w:val="nil"/>
              <w:right w:val="nil"/>
            </w:tcBorders>
            <w:shd w:val="clear" w:color="auto" w:fill="auto"/>
            <w:noWrap/>
            <w:vAlign w:val="bottom"/>
            <w:hideMark/>
          </w:tcPr>
          <w:p w14:paraId="04B3ACA2" w14:textId="178489C0" w:rsidR="00F825C9" w:rsidRPr="00715087" w:rsidRDefault="00F825C9" w:rsidP="00F825C9">
            <w:pPr>
              <w:overflowPunct/>
              <w:autoSpaceDE/>
              <w:autoSpaceDN/>
              <w:adjustRightInd/>
              <w:jc w:val="right"/>
              <w:textAlignment w:val="auto"/>
              <w:rPr>
                <w:rFonts w:ascii="Calibri" w:hAnsi="Calibri" w:cs="Calibri"/>
                <w:color w:val="000000"/>
                <w:sz w:val="22"/>
                <w:szCs w:val="22"/>
              </w:rPr>
            </w:pPr>
            <w:r>
              <w:rPr>
                <w:rFonts w:ascii="Calibri Light" w:hAnsi="Calibri Light" w:cs="Calibri Light"/>
                <w:color w:val="000000"/>
                <w:sz w:val="22"/>
                <w:szCs w:val="22"/>
              </w:rPr>
              <w:t>16,700</w:t>
            </w:r>
          </w:p>
        </w:tc>
      </w:tr>
      <w:tr w:rsidR="00F825C9" w:rsidRPr="00715087" w14:paraId="6A8F387B" w14:textId="77777777" w:rsidTr="00715087">
        <w:trPr>
          <w:trHeight w:val="260"/>
        </w:trPr>
        <w:tc>
          <w:tcPr>
            <w:tcW w:w="3251" w:type="dxa"/>
            <w:tcBorders>
              <w:top w:val="nil"/>
              <w:left w:val="nil"/>
              <w:bottom w:val="single" w:sz="4" w:space="0" w:color="auto"/>
              <w:right w:val="nil"/>
            </w:tcBorders>
            <w:shd w:val="clear" w:color="auto" w:fill="auto"/>
            <w:noWrap/>
            <w:vAlign w:val="bottom"/>
            <w:hideMark/>
          </w:tcPr>
          <w:p w14:paraId="1D849F47" w14:textId="77777777" w:rsidR="00F825C9" w:rsidRPr="00715087" w:rsidRDefault="00F825C9" w:rsidP="00F825C9">
            <w:pPr>
              <w:overflowPunct/>
              <w:autoSpaceDE/>
              <w:autoSpaceDN/>
              <w:adjustRightInd/>
              <w:jc w:val="left"/>
              <w:textAlignment w:val="auto"/>
              <w:rPr>
                <w:rFonts w:ascii="Calibri" w:hAnsi="Calibri" w:cs="Calibri"/>
                <w:color w:val="000000"/>
                <w:sz w:val="22"/>
                <w:szCs w:val="22"/>
              </w:rPr>
            </w:pPr>
            <w:r w:rsidRPr="00715087">
              <w:rPr>
                <w:rFonts w:ascii="Calibri" w:hAnsi="Calibri" w:cs="Calibri"/>
                <w:color w:val="000000"/>
                <w:sz w:val="22"/>
                <w:szCs w:val="22"/>
              </w:rPr>
              <w:t> </w:t>
            </w:r>
          </w:p>
        </w:tc>
        <w:tc>
          <w:tcPr>
            <w:tcW w:w="1385" w:type="dxa"/>
            <w:tcBorders>
              <w:top w:val="nil"/>
              <w:left w:val="nil"/>
              <w:bottom w:val="single" w:sz="4" w:space="0" w:color="auto"/>
              <w:right w:val="nil"/>
            </w:tcBorders>
            <w:shd w:val="clear" w:color="auto" w:fill="auto"/>
            <w:noWrap/>
            <w:vAlign w:val="bottom"/>
            <w:hideMark/>
          </w:tcPr>
          <w:p w14:paraId="03DF3A0B" w14:textId="77777777" w:rsidR="00F825C9" w:rsidRPr="00715087" w:rsidRDefault="00F825C9" w:rsidP="00F825C9">
            <w:pPr>
              <w:overflowPunct/>
              <w:autoSpaceDE/>
              <w:autoSpaceDN/>
              <w:adjustRightInd/>
              <w:jc w:val="center"/>
              <w:textAlignment w:val="auto"/>
              <w:rPr>
                <w:rFonts w:ascii="Calibri" w:hAnsi="Calibri" w:cs="Calibri"/>
                <w:color w:val="000000"/>
                <w:sz w:val="22"/>
                <w:szCs w:val="22"/>
              </w:rPr>
            </w:pPr>
            <w:r w:rsidRPr="00715087">
              <w:rPr>
                <w:rFonts w:ascii="Calibri" w:hAnsi="Calibri" w:cs="Calibri"/>
                <w:color w:val="000000"/>
                <w:sz w:val="22"/>
                <w:szCs w:val="22"/>
              </w:rPr>
              <w:t>30</w:t>
            </w:r>
          </w:p>
        </w:tc>
        <w:tc>
          <w:tcPr>
            <w:tcW w:w="1022" w:type="dxa"/>
            <w:tcBorders>
              <w:top w:val="nil"/>
              <w:left w:val="nil"/>
              <w:bottom w:val="single" w:sz="4" w:space="0" w:color="auto"/>
              <w:right w:val="nil"/>
            </w:tcBorders>
            <w:shd w:val="clear" w:color="000000" w:fill="E2EFDA"/>
            <w:noWrap/>
            <w:vAlign w:val="bottom"/>
            <w:hideMark/>
          </w:tcPr>
          <w:p w14:paraId="25C263E8" w14:textId="2C9DF736" w:rsidR="00F825C9" w:rsidRPr="00715087" w:rsidRDefault="00F825C9" w:rsidP="00F825C9">
            <w:pPr>
              <w:overflowPunct/>
              <w:autoSpaceDE/>
              <w:autoSpaceDN/>
              <w:adjustRightInd/>
              <w:jc w:val="right"/>
              <w:textAlignment w:val="auto"/>
              <w:rPr>
                <w:rFonts w:ascii="Calibri" w:hAnsi="Calibri" w:cs="Calibri"/>
                <w:color w:val="000000"/>
                <w:sz w:val="22"/>
                <w:szCs w:val="22"/>
              </w:rPr>
            </w:pPr>
            <w:r>
              <w:rPr>
                <w:rFonts w:ascii="Calibri Light" w:hAnsi="Calibri Light" w:cs="Calibri Light"/>
                <w:color w:val="000000"/>
                <w:sz w:val="22"/>
                <w:szCs w:val="22"/>
              </w:rPr>
              <w:t>13,060</w:t>
            </w:r>
          </w:p>
        </w:tc>
        <w:tc>
          <w:tcPr>
            <w:tcW w:w="1022" w:type="dxa"/>
            <w:tcBorders>
              <w:top w:val="nil"/>
              <w:left w:val="nil"/>
              <w:bottom w:val="single" w:sz="4" w:space="0" w:color="auto"/>
              <w:right w:val="nil"/>
            </w:tcBorders>
            <w:shd w:val="clear" w:color="auto" w:fill="auto"/>
            <w:noWrap/>
            <w:vAlign w:val="bottom"/>
            <w:hideMark/>
          </w:tcPr>
          <w:p w14:paraId="2D7F7FB1" w14:textId="7CFEC064" w:rsidR="00F825C9" w:rsidRPr="00715087" w:rsidRDefault="00F825C9" w:rsidP="00F825C9">
            <w:pPr>
              <w:overflowPunct/>
              <w:autoSpaceDE/>
              <w:autoSpaceDN/>
              <w:adjustRightInd/>
              <w:jc w:val="right"/>
              <w:textAlignment w:val="auto"/>
              <w:rPr>
                <w:rFonts w:ascii="Calibri" w:hAnsi="Calibri" w:cs="Calibri"/>
                <w:color w:val="000000"/>
                <w:sz w:val="22"/>
                <w:szCs w:val="22"/>
              </w:rPr>
            </w:pPr>
            <w:r>
              <w:rPr>
                <w:rFonts w:ascii="Calibri Light" w:hAnsi="Calibri Light" w:cs="Calibri Light"/>
                <w:color w:val="000000"/>
                <w:sz w:val="22"/>
                <w:szCs w:val="22"/>
              </w:rPr>
              <w:t>14,064</w:t>
            </w:r>
          </w:p>
        </w:tc>
        <w:tc>
          <w:tcPr>
            <w:tcW w:w="1023" w:type="dxa"/>
            <w:tcBorders>
              <w:top w:val="nil"/>
              <w:left w:val="nil"/>
              <w:bottom w:val="single" w:sz="4" w:space="0" w:color="auto"/>
              <w:right w:val="nil"/>
            </w:tcBorders>
            <w:shd w:val="clear" w:color="auto" w:fill="auto"/>
            <w:noWrap/>
            <w:vAlign w:val="bottom"/>
            <w:hideMark/>
          </w:tcPr>
          <w:p w14:paraId="0F527CED" w14:textId="10734205" w:rsidR="00F825C9" w:rsidRPr="00715087" w:rsidRDefault="00F825C9" w:rsidP="00F825C9">
            <w:pPr>
              <w:overflowPunct/>
              <w:autoSpaceDE/>
              <w:autoSpaceDN/>
              <w:adjustRightInd/>
              <w:jc w:val="right"/>
              <w:textAlignment w:val="auto"/>
              <w:rPr>
                <w:rFonts w:ascii="Calibri" w:hAnsi="Calibri" w:cs="Calibri"/>
                <w:color w:val="000000"/>
                <w:sz w:val="22"/>
                <w:szCs w:val="22"/>
              </w:rPr>
            </w:pPr>
            <w:r>
              <w:rPr>
                <w:rFonts w:ascii="Calibri Light" w:hAnsi="Calibri Light" w:cs="Calibri Light"/>
                <w:color w:val="000000"/>
                <w:sz w:val="22"/>
                <w:szCs w:val="22"/>
              </w:rPr>
              <w:t>14,980</w:t>
            </w:r>
          </w:p>
        </w:tc>
      </w:tr>
    </w:tbl>
    <w:p w14:paraId="645D447F" w14:textId="77777777" w:rsidR="00715087" w:rsidRDefault="00715087" w:rsidP="0001227F">
      <w:pPr>
        <w:rPr>
          <w:rFonts w:ascii="Calibri" w:hAnsi="Calibri" w:cs="Calibri"/>
          <w:b/>
          <w:color w:val="13576B"/>
          <w:sz w:val="22"/>
          <w:szCs w:val="22"/>
        </w:rPr>
      </w:pPr>
    </w:p>
    <w:p w14:paraId="18222C66" w14:textId="77777777" w:rsidR="00715087" w:rsidRDefault="00715087" w:rsidP="0001227F">
      <w:pPr>
        <w:rPr>
          <w:rFonts w:ascii="Calibri" w:hAnsi="Calibri" w:cs="Calibri"/>
          <w:b/>
          <w:color w:val="13576B"/>
          <w:sz w:val="22"/>
          <w:szCs w:val="22"/>
        </w:rPr>
      </w:pPr>
    </w:p>
    <w:p w14:paraId="1BF8F71C" w14:textId="77777777" w:rsidR="00715087" w:rsidRDefault="00715087" w:rsidP="0001227F">
      <w:pPr>
        <w:rPr>
          <w:rFonts w:ascii="Calibri" w:hAnsi="Calibri" w:cs="Calibri"/>
          <w:b/>
          <w:color w:val="13576B"/>
          <w:sz w:val="22"/>
          <w:szCs w:val="22"/>
        </w:rPr>
      </w:pPr>
    </w:p>
    <w:p w14:paraId="7FFF1344" w14:textId="77777777" w:rsidR="00715087" w:rsidRDefault="00715087" w:rsidP="0001227F">
      <w:pPr>
        <w:rPr>
          <w:rFonts w:ascii="Calibri" w:hAnsi="Calibri" w:cs="Calibri"/>
          <w:b/>
          <w:color w:val="13576B"/>
          <w:sz w:val="22"/>
          <w:szCs w:val="22"/>
        </w:rPr>
      </w:pPr>
    </w:p>
    <w:p w14:paraId="6164ECE3" w14:textId="77777777" w:rsidR="00715087" w:rsidRDefault="00715087" w:rsidP="0001227F">
      <w:pPr>
        <w:rPr>
          <w:rFonts w:ascii="Calibri" w:hAnsi="Calibri" w:cs="Calibri"/>
          <w:b/>
          <w:color w:val="13576B"/>
          <w:sz w:val="22"/>
          <w:szCs w:val="22"/>
        </w:rPr>
      </w:pPr>
    </w:p>
    <w:p w14:paraId="31CFF73D" w14:textId="77777777" w:rsidR="00715087" w:rsidRDefault="00715087" w:rsidP="0001227F">
      <w:pPr>
        <w:rPr>
          <w:rFonts w:ascii="Calibri" w:hAnsi="Calibri" w:cs="Calibri"/>
          <w:b/>
          <w:color w:val="13576B"/>
          <w:sz w:val="22"/>
          <w:szCs w:val="22"/>
        </w:rPr>
      </w:pPr>
    </w:p>
    <w:p w14:paraId="24C6A226" w14:textId="199864A7" w:rsidR="00715087" w:rsidRDefault="00715087" w:rsidP="0001227F">
      <w:pPr>
        <w:rPr>
          <w:rFonts w:ascii="Calibri" w:hAnsi="Calibri" w:cs="Calibri"/>
          <w:b/>
          <w:color w:val="13576B"/>
          <w:sz w:val="22"/>
          <w:szCs w:val="22"/>
        </w:rPr>
      </w:pPr>
    </w:p>
    <w:p w14:paraId="4A3D3F9A" w14:textId="5384F136" w:rsidR="00715087" w:rsidRDefault="00715087" w:rsidP="0001227F">
      <w:pPr>
        <w:rPr>
          <w:rFonts w:ascii="Calibri" w:hAnsi="Calibri" w:cs="Calibri"/>
          <w:b/>
          <w:color w:val="13576B"/>
          <w:sz w:val="22"/>
          <w:szCs w:val="22"/>
        </w:rPr>
      </w:pPr>
      <w:r w:rsidRPr="00715087">
        <w:rPr>
          <w:rFonts w:ascii="Calibri" w:hAnsi="Calibri" w:cs="Calibri"/>
          <w:b/>
          <w:noProof/>
          <w:color w:val="13576B"/>
          <w:sz w:val="22"/>
          <w:szCs w:val="22"/>
        </w:rPr>
        <mc:AlternateContent>
          <mc:Choice Requires="wps">
            <w:drawing>
              <wp:anchor distT="45720" distB="45720" distL="114300" distR="114300" simplePos="0" relativeHeight="251684864" behindDoc="0" locked="0" layoutInCell="1" allowOverlap="1" wp14:anchorId="39C4AFDE" wp14:editId="5A854303">
                <wp:simplePos x="0" y="0"/>
                <wp:positionH relativeFrom="column">
                  <wp:posOffset>3384550</wp:posOffset>
                </wp:positionH>
                <wp:positionV relativeFrom="paragraph">
                  <wp:posOffset>76200</wp:posOffset>
                </wp:positionV>
                <wp:extent cx="2360930" cy="1404620"/>
                <wp:effectExtent l="0" t="0" r="1270" b="0"/>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2B8C3E3" w14:textId="275F5320" w:rsidR="00715087" w:rsidRPr="00715087" w:rsidRDefault="00715087" w:rsidP="00715087">
                            <w:pPr>
                              <w:jc w:val="right"/>
                              <w:rPr>
                                <w:i/>
                                <w:iCs/>
                              </w:rPr>
                            </w:pPr>
                            <w:r w:rsidRPr="00715087">
                              <w:rPr>
                                <w:i/>
                                <w:iCs/>
                              </w:rPr>
                              <w:t>Zdroj: ČBA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C4AFDE" id="_x0000_t202" coordsize="21600,21600" o:spt="202" path="m,l,21600r21600,l21600,xe">
                <v:stroke joinstyle="miter"/>
                <v:path gradientshapeok="t" o:connecttype="rect"/>
              </v:shapetype>
              <v:shape id="Textové pole 2" o:spid="_x0000_s1026" type="#_x0000_t202" style="position:absolute;left:0;text-align:left;margin-left:266.5pt;margin-top:6pt;width:185.9pt;height:11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" stroked="f">
                <v:textbox style="mso-fit-shape-to-text:t">
                  <w:txbxContent>
                    <w:p w14:paraId="42B8C3E3" w14:textId="275F5320" w:rsidR="00715087" w:rsidRPr="00715087" w:rsidRDefault="00715087" w:rsidP="00715087">
                      <w:pPr>
                        <w:jc w:val="right"/>
                        <w:rPr>
                          <w:i/>
                          <w:iCs/>
                        </w:rPr>
                      </w:pPr>
                      <w:r w:rsidRPr="00715087">
                        <w:rPr>
                          <w:i/>
                          <w:iCs/>
                        </w:rPr>
                        <w:t>Zdroj: ČBA</w:t>
                      </w:r>
                    </w:p>
                  </w:txbxContent>
                </v:textbox>
                <w10:wrap type="square"/>
              </v:shape>
            </w:pict>
          </mc:Fallback>
        </mc:AlternateContent>
      </w:r>
    </w:p>
    <w:p w14:paraId="4E2BEA79" w14:textId="67AF84C2" w:rsidR="00715087" w:rsidRDefault="00715087" w:rsidP="0001227F">
      <w:pPr>
        <w:rPr>
          <w:rFonts w:ascii="Calibri" w:hAnsi="Calibri" w:cs="Calibri"/>
          <w:b/>
          <w:color w:val="13576B"/>
          <w:sz w:val="22"/>
          <w:szCs w:val="22"/>
        </w:rPr>
      </w:pPr>
    </w:p>
    <w:p w14:paraId="605EE628" w14:textId="77777777" w:rsidR="0054574A" w:rsidRPr="00A349CB" w:rsidRDefault="0054574A" w:rsidP="0001227F">
      <w:pPr>
        <w:rPr>
          <w:rFonts w:ascii="Calibri" w:hAnsi="Calibri" w:cs="Calibri"/>
          <w:b/>
          <w:color w:val="13576B"/>
          <w:sz w:val="20"/>
        </w:rPr>
      </w:pPr>
    </w:p>
    <w:p w14:paraId="66E0A33F" w14:textId="38079566" w:rsidR="00715087" w:rsidRPr="00A349CB" w:rsidRDefault="0054574A" w:rsidP="0001227F">
      <w:pPr>
        <w:rPr>
          <w:rFonts w:ascii="Calibri" w:hAnsi="Calibri" w:cs="Calibri"/>
          <w:bCs/>
          <w:i/>
          <w:iCs/>
          <w:sz w:val="20"/>
        </w:rPr>
      </w:pPr>
      <w:r w:rsidRPr="00A349CB">
        <w:rPr>
          <w:rFonts w:ascii="Calibri" w:hAnsi="Calibri" w:cs="Calibri"/>
          <w:bCs/>
          <w:i/>
          <w:iCs/>
          <w:sz w:val="20"/>
        </w:rPr>
        <w:t xml:space="preserve">Pozn.: </w:t>
      </w:r>
      <w:r w:rsidR="00A003F4">
        <w:rPr>
          <w:rFonts w:ascii="Calibri" w:hAnsi="Calibri" w:cs="Calibri"/>
          <w:bCs/>
          <w:i/>
          <w:iCs/>
          <w:sz w:val="20"/>
        </w:rPr>
        <w:t>Ú</w:t>
      </w:r>
      <w:r w:rsidRPr="00A349CB">
        <w:rPr>
          <w:rFonts w:ascii="Calibri" w:hAnsi="Calibri" w:cs="Calibri"/>
          <w:bCs/>
          <w:i/>
          <w:iCs/>
          <w:sz w:val="20"/>
        </w:rPr>
        <w:t>roková sazba 2,4</w:t>
      </w:r>
      <w:r w:rsidR="00A349CB">
        <w:rPr>
          <w:rFonts w:ascii="Calibri" w:hAnsi="Calibri" w:cs="Calibri"/>
          <w:bCs/>
          <w:i/>
          <w:iCs/>
          <w:sz w:val="20"/>
        </w:rPr>
        <w:t>3</w:t>
      </w:r>
      <w:r w:rsidRPr="00A349CB">
        <w:rPr>
          <w:rFonts w:ascii="Calibri" w:hAnsi="Calibri" w:cs="Calibri"/>
          <w:bCs/>
          <w:i/>
          <w:iCs/>
          <w:sz w:val="20"/>
        </w:rPr>
        <w:t xml:space="preserve"> % je</w:t>
      </w:r>
      <w:r w:rsidR="00A349CB">
        <w:rPr>
          <w:rFonts w:ascii="Calibri" w:hAnsi="Calibri" w:cs="Calibri"/>
          <w:bCs/>
          <w:i/>
          <w:iCs/>
          <w:sz w:val="20"/>
        </w:rPr>
        <w:t xml:space="preserve"> zářijová</w:t>
      </w:r>
      <w:r w:rsidRPr="00A349CB">
        <w:rPr>
          <w:rFonts w:ascii="Calibri" w:hAnsi="Calibri" w:cs="Calibri"/>
          <w:bCs/>
          <w:i/>
          <w:iCs/>
          <w:sz w:val="20"/>
        </w:rPr>
        <w:t xml:space="preserve"> </w:t>
      </w:r>
      <w:r w:rsidR="00F90A3D">
        <w:rPr>
          <w:rFonts w:ascii="Calibri" w:hAnsi="Calibri" w:cs="Calibri"/>
          <w:bCs/>
          <w:i/>
          <w:iCs/>
          <w:sz w:val="20"/>
        </w:rPr>
        <w:t xml:space="preserve">hodnota </w:t>
      </w:r>
      <w:r w:rsidR="00122810">
        <w:rPr>
          <w:rFonts w:ascii="Calibri" w:hAnsi="Calibri" w:cs="Calibri"/>
          <w:bCs/>
          <w:i/>
          <w:iCs/>
          <w:sz w:val="20"/>
        </w:rPr>
        <w:t>pro nové hypotéky z</w:t>
      </w:r>
      <w:r w:rsidRPr="00A349CB">
        <w:rPr>
          <w:rFonts w:ascii="Calibri" w:hAnsi="Calibri" w:cs="Calibri"/>
          <w:bCs/>
          <w:i/>
          <w:iCs/>
          <w:sz w:val="20"/>
        </w:rPr>
        <w:t xml:space="preserve"> ČBA Hypomonitoru, úroková sazba 3 % a 3,5 % slouží pro ilustraci</w:t>
      </w:r>
      <w:r w:rsidR="00A003F4">
        <w:rPr>
          <w:rFonts w:ascii="Calibri" w:hAnsi="Calibri" w:cs="Calibri"/>
          <w:bCs/>
          <w:i/>
          <w:iCs/>
          <w:sz w:val="20"/>
        </w:rPr>
        <w:t>.</w:t>
      </w:r>
    </w:p>
    <w:p w14:paraId="7F41D3BA" w14:textId="6D9FB190" w:rsidR="00715087" w:rsidRDefault="00715087" w:rsidP="0001227F">
      <w:pPr>
        <w:rPr>
          <w:rFonts w:ascii="Calibri" w:hAnsi="Calibri" w:cs="Calibri"/>
          <w:b/>
          <w:color w:val="13576B"/>
          <w:sz w:val="22"/>
          <w:szCs w:val="22"/>
        </w:rPr>
      </w:pPr>
    </w:p>
    <w:p w14:paraId="226BE1E4" w14:textId="77777777" w:rsidR="0054574A" w:rsidRDefault="0054574A" w:rsidP="0001227F">
      <w:pPr>
        <w:rPr>
          <w:rFonts w:ascii="Calibri" w:hAnsi="Calibri" w:cs="Calibri"/>
          <w:b/>
          <w:color w:val="13576B"/>
          <w:sz w:val="22"/>
          <w:szCs w:val="22"/>
        </w:rPr>
      </w:pPr>
    </w:p>
    <w:p w14:paraId="77C568AB" w14:textId="52E39116" w:rsidR="0001227F" w:rsidRPr="0001227F" w:rsidRDefault="0001227F" w:rsidP="0001227F">
      <w:pPr>
        <w:rPr>
          <w:rFonts w:ascii="Calibri" w:hAnsi="Calibri" w:cs="Calibri"/>
          <w:b/>
          <w:color w:val="13576B"/>
          <w:sz w:val="22"/>
          <w:szCs w:val="22"/>
        </w:rPr>
      </w:pPr>
      <w:r w:rsidRPr="0001227F">
        <w:rPr>
          <w:rFonts w:ascii="Calibri" w:hAnsi="Calibri" w:cs="Calibri"/>
          <w:b/>
          <w:color w:val="13576B"/>
          <w:sz w:val="22"/>
          <w:szCs w:val="22"/>
        </w:rPr>
        <w:t>ČBA spouští nové souhrnné statistiky za celý bankovní trh</w:t>
      </w:r>
    </w:p>
    <w:p w14:paraId="6B4D5EA8" w14:textId="47D62F5A" w:rsidR="0001227F" w:rsidRDefault="0001227F" w:rsidP="0001227F">
      <w:pPr>
        <w:rPr>
          <w:rFonts w:ascii="Calibri" w:hAnsi="Calibri" w:cs="Calibri"/>
          <w:sz w:val="22"/>
          <w:szCs w:val="22"/>
        </w:rPr>
      </w:pPr>
      <w:r w:rsidRPr="0001227F">
        <w:rPr>
          <w:rFonts w:ascii="Calibri" w:hAnsi="Calibri" w:cs="Calibri"/>
          <w:sz w:val="22"/>
          <w:szCs w:val="22"/>
        </w:rPr>
        <w:t xml:space="preserve">Česká bankovní asociace spouští ve spolupráci s členskými bankami nové souhrnné statistiky z trhu bydlení. Jde především o objemy a počty nově poskytnutých a refinancovaných hypoték a příslušnou úrokovou sazbu. Tyto statistiky bude ČBA zveřejňovat v agregované podobě za celý bankovní sektor na pravidelné bázi vždy v polovině měsíce. Šetření se účastní všechny tuzemské banky a stavební spořitelny poskytující v ČR hypotéky. </w:t>
      </w:r>
    </w:p>
    <w:p w14:paraId="27450794" w14:textId="1E408EB6" w:rsidR="0001227F" w:rsidRPr="00A003F4" w:rsidRDefault="0001227F" w:rsidP="0001227F">
      <w:pPr>
        <w:rPr>
          <w:rFonts w:ascii="Calibri" w:hAnsi="Calibri" w:cs="Calibri"/>
          <w:sz w:val="22"/>
          <w:szCs w:val="22"/>
        </w:rPr>
      </w:pPr>
    </w:p>
    <w:p w14:paraId="2DAF9CB5" w14:textId="08B4C40A" w:rsidR="0001227F" w:rsidRPr="00A003F4" w:rsidRDefault="00A003F4" w:rsidP="0001227F">
      <w:pPr>
        <w:rPr>
          <w:rFonts w:ascii="Calibri" w:hAnsi="Calibri" w:cs="Calibri"/>
          <w:b/>
          <w:bCs/>
          <w:sz w:val="22"/>
          <w:szCs w:val="22"/>
        </w:rPr>
      </w:pPr>
      <w:r w:rsidRPr="00A003F4">
        <w:rPr>
          <w:rFonts w:ascii="Calibri" w:hAnsi="Calibri" w:cs="Calibri"/>
          <w:b/>
          <w:bCs/>
          <w:sz w:val="22"/>
          <w:szCs w:val="22"/>
        </w:rPr>
        <w:t>Komentář Moniky Zahálkové, výkonné ředitelky ČBA:</w:t>
      </w:r>
    </w:p>
    <w:p w14:paraId="19D16B15" w14:textId="1B940B49" w:rsidR="00A003F4" w:rsidRPr="00A003F4" w:rsidRDefault="00A003F4" w:rsidP="0001227F">
      <w:pPr>
        <w:rPr>
          <w:rFonts w:ascii="Calibri" w:hAnsi="Calibri" w:cs="Calibri"/>
          <w:i/>
          <w:iCs/>
          <w:sz w:val="22"/>
          <w:szCs w:val="22"/>
        </w:rPr>
      </w:pPr>
      <w:r w:rsidRPr="00A003F4">
        <w:rPr>
          <w:rFonts w:ascii="Calibri" w:hAnsi="Calibri" w:cs="Calibri"/>
          <w:i/>
          <w:iCs/>
          <w:sz w:val="22"/>
          <w:szCs w:val="22"/>
        </w:rPr>
        <w:t>ČBA Hypomonitor je první vlaštovkou našeho připravovaného projektu ČBA Statistiky. Ten má za cíl v jednoduché a přehledné podobě prezentovat základní statistiky relevantní pro tuzemskou ekonomiku</w:t>
      </w:r>
      <w:r>
        <w:rPr>
          <w:rFonts w:ascii="Calibri" w:hAnsi="Calibri" w:cs="Calibri"/>
          <w:i/>
          <w:iCs/>
          <w:sz w:val="22"/>
          <w:szCs w:val="22"/>
        </w:rPr>
        <w:t xml:space="preserve"> a</w:t>
      </w:r>
      <w:r w:rsidRPr="00A003F4">
        <w:rPr>
          <w:rFonts w:ascii="Calibri" w:hAnsi="Calibri" w:cs="Calibri"/>
          <w:i/>
          <w:iCs/>
          <w:sz w:val="22"/>
          <w:szCs w:val="22"/>
        </w:rPr>
        <w:t xml:space="preserve"> </w:t>
      </w:r>
      <w:r w:rsidRPr="00A003F4">
        <w:rPr>
          <w:rFonts w:ascii="Calibri" w:hAnsi="Calibri" w:cs="Calibri"/>
          <w:i/>
          <w:iCs/>
          <w:sz w:val="22"/>
          <w:szCs w:val="22"/>
        </w:rPr>
        <w:t>nejdůležitější údaje za bankovní sektor včetně dnes zveřejněných hypotečních dat</w:t>
      </w:r>
      <w:r>
        <w:rPr>
          <w:rFonts w:ascii="Calibri" w:hAnsi="Calibri" w:cs="Calibri"/>
          <w:i/>
          <w:iCs/>
          <w:sz w:val="22"/>
          <w:szCs w:val="22"/>
        </w:rPr>
        <w:t>.</w:t>
      </w:r>
    </w:p>
    <w:p w14:paraId="4E39E615" w14:textId="1E3C9D0E" w:rsidR="0001227F" w:rsidRDefault="0001227F">
      <w:pPr>
        <w:overflowPunct/>
        <w:autoSpaceDE/>
        <w:autoSpaceDN/>
        <w:adjustRightInd/>
        <w:spacing w:after="160" w:line="259" w:lineRule="auto"/>
        <w:jc w:val="left"/>
        <w:textAlignment w:val="auto"/>
        <w:rPr>
          <w:rFonts w:ascii="Calibri" w:hAnsi="Calibri" w:cs="Calibri"/>
          <w:sz w:val="22"/>
          <w:szCs w:val="22"/>
        </w:rPr>
      </w:pPr>
      <w:r>
        <w:rPr>
          <w:rFonts w:ascii="Calibri" w:hAnsi="Calibri" w:cs="Calibri"/>
          <w:sz w:val="22"/>
          <w:szCs w:val="22"/>
        </w:rPr>
        <w:br w:type="page"/>
      </w:r>
    </w:p>
    <w:p w14:paraId="5B9C4AA3" w14:textId="02D575E5" w:rsidR="00C42F00" w:rsidRPr="0001227F" w:rsidRDefault="0001227F" w:rsidP="0001227F">
      <w:pPr>
        <w:rPr>
          <w:rFonts w:ascii="Calibri" w:hAnsi="Calibri" w:cs="Calibri"/>
          <w:i/>
          <w:iCs/>
          <w:sz w:val="20"/>
        </w:rPr>
      </w:pPr>
      <w:r w:rsidRPr="0001227F">
        <w:rPr>
          <w:rFonts w:ascii="Calibri" w:hAnsi="Calibri" w:cs="Calibri"/>
          <w:i/>
          <w:iCs/>
          <w:noProof/>
          <w:sz w:val="20"/>
        </w:rPr>
        <w:lastRenderedPageBreak/>
        <mc:AlternateContent>
          <mc:Choice Requires="wps">
            <w:drawing>
              <wp:anchor distT="45720" distB="45720" distL="114300" distR="114300" simplePos="0" relativeHeight="251682816" behindDoc="0" locked="0" layoutInCell="1" allowOverlap="1" wp14:anchorId="025DA650" wp14:editId="757BC2D9">
                <wp:simplePos x="0" y="0"/>
                <wp:positionH relativeFrom="column">
                  <wp:posOffset>-52705</wp:posOffset>
                </wp:positionH>
                <wp:positionV relativeFrom="paragraph">
                  <wp:posOffset>25400</wp:posOffset>
                </wp:positionV>
                <wp:extent cx="6574790" cy="51892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5189220"/>
                        </a:xfrm>
                        <a:prstGeom prst="rect">
                          <a:avLst/>
                        </a:prstGeom>
                        <a:solidFill>
                          <a:srgbClr val="13576B">
                            <a:alpha val="83922"/>
                          </a:srgbClr>
                        </a:solidFill>
                        <a:ln w="9525">
                          <a:noFill/>
                          <a:miter lim="800000"/>
                          <a:headEnd/>
                          <a:tailEnd/>
                        </a:ln>
                      </wps:spPr>
                      <wps:txbx>
                        <w:txbxContent>
                          <w:p w14:paraId="5A50287C" w14:textId="77777777" w:rsidR="0001227F" w:rsidRDefault="0001227F" w:rsidP="0001227F">
                            <w:pPr>
                              <w:spacing w:line="276" w:lineRule="auto"/>
                              <w:rPr>
                                <w:rFonts w:ascii="Calibri" w:hAnsi="Calibri" w:cs="Calibri"/>
                                <w:b/>
                                <w:bCs/>
                                <w:color w:val="FFFFFF" w:themeColor="background1"/>
                                <w:sz w:val="24"/>
                                <w:szCs w:val="24"/>
                              </w:rPr>
                            </w:pPr>
                          </w:p>
                          <w:p w14:paraId="523681E4" w14:textId="20B4FCBA" w:rsidR="0001227F" w:rsidRPr="00E818C3" w:rsidRDefault="0001227F" w:rsidP="0001227F">
                            <w:pPr>
                              <w:spacing w:line="276" w:lineRule="auto"/>
                              <w:rPr>
                                <w:rFonts w:ascii="Calibri" w:hAnsi="Calibri" w:cs="Calibri"/>
                                <w:b/>
                                <w:bCs/>
                                <w:color w:val="FFFFFF" w:themeColor="background1"/>
                                <w:sz w:val="22"/>
                                <w:szCs w:val="22"/>
                              </w:rPr>
                            </w:pPr>
                            <w:r w:rsidRPr="00E818C3">
                              <w:rPr>
                                <w:rFonts w:ascii="Calibri" w:hAnsi="Calibri" w:cs="Calibri"/>
                                <w:b/>
                                <w:bCs/>
                                <w:color w:val="FFFFFF" w:themeColor="background1"/>
                                <w:sz w:val="22"/>
                                <w:szCs w:val="22"/>
                              </w:rPr>
                              <w:t>Metodika ČBA Hypomonitoru</w:t>
                            </w:r>
                          </w:p>
                          <w:p w14:paraId="7401467C" w14:textId="77777777" w:rsidR="00414AD4" w:rsidRPr="007C6225" w:rsidRDefault="00414AD4" w:rsidP="0001227F">
                            <w:pPr>
                              <w:spacing w:line="276" w:lineRule="auto"/>
                              <w:rPr>
                                <w:rFonts w:ascii="Calibri" w:hAnsi="Calibri" w:cs="Calibri"/>
                                <w:color w:val="FFFFFF" w:themeColor="background1"/>
                                <w:szCs w:val="18"/>
                              </w:rPr>
                            </w:pPr>
                          </w:p>
                          <w:p w14:paraId="1021EABD" w14:textId="21BBB2A7" w:rsidR="0001227F" w:rsidRPr="007C6225" w:rsidRDefault="00414AD4" w:rsidP="0001227F">
                            <w:pPr>
                              <w:spacing w:line="276" w:lineRule="auto"/>
                              <w:rPr>
                                <w:rFonts w:ascii="Calibri" w:hAnsi="Calibri" w:cs="Calibri"/>
                                <w:color w:val="FFFFFF" w:themeColor="background1"/>
                                <w:szCs w:val="18"/>
                              </w:rPr>
                            </w:pPr>
                            <w:r w:rsidRPr="007C6225">
                              <w:rPr>
                                <w:rFonts w:ascii="Calibri" w:hAnsi="Calibri" w:cs="Calibri"/>
                                <w:color w:val="FFFFFF" w:themeColor="background1"/>
                                <w:szCs w:val="18"/>
                              </w:rPr>
                              <w:t xml:space="preserve">ČBA Hypomonitor </w:t>
                            </w:r>
                            <w:r w:rsidR="00FB47DE" w:rsidRPr="007C6225">
                              <w:rPr>
                                <w:rFonts w:ascii="Calibri" w:hAnsi="Calibri" w:cs="Calibri"/>
                                <w:color w:val="FFFFFF" w:themeColor="background1"/>
                                <w:szCs w:val="18"/>
                              </w:rPr>
                              <w:t xml:space="preserve">rozděluje poskytnuté hypoteční úvěry </w:t>
                            </w:r>
                            <w:r w:rsidRPr="007C6225">
                              <w:rPr>
                                <w:rFonts w:ascii="Calibri" w:hAnsi="Calibri" w:cs="Calibri"/>
                                <w:color w:val="FFFFFF" w:themeColor="background1"/>
                                <w:szCs w:val="18"/>
                              </w:rPr>
                              <w:t>do několika kategorií tak, aby byly rozlišeny nové úvěry od refinancovaných či interních refixací</w:t>
                            </w:r>
                            <w:r w:rsidR="000B70C8">
                              <w:rPr>
                                <w:rFonts w:ascii="Calibri" w:hAnsi="Calibri" w:cs="Calibri"/>
                                <w:color w:val="FFFFFF" w:themeColor="background1"/>
                                <w:szCs w:val="18"/>
                              </w:rPr>
                              <w:t>.</w:t>
                            </w:r>
                            <w:r w:rsidRPr="007C6225">
                              <w:rPr>
                                <w:rFonts w:ascii="Calibri" w:hAnsi="Calibri" w:cs="Calibri"/>
                                <w:color w:val="FFFFFF" w:themeColor="background1"/>
                                <w:szCs w:val="18"/>
                              </w:rPr>
                              <w:t xml:space="preserve"> Nové úvěry jsou </w:t>
                            </w:r>
                            <w:r w:rsidR="00581CC1">
                              <w:rPr>
                                <w:rFonts w:ascii="Calibri" w:hAnsi="Calibri" w:cs="Calibri"/>
                                <w:color w:val="FFFFFF" w:themeColor="background1"/>
                                <w:szCs w:val="18"/>
                              </w:rPr>
                              <w:t>pak</w:t>
                            </w:r>
                            <w:r w:rsidRPr="007C6225">
                              <w:rPr>
                                <w:rFonts w:ascii="Calibri" w:hAnsi="Calibri" w:cs="Calibri"/>
                                <w:color w:val="FFFFFF" w:themeColor="background1"/>
                                <w:szCs w:val="18"/>
                              </w:rPr>
                              <w:t xml:space="preserve"> vykazovány v</w:t>
                            </w:r>
                            <w:r w:rsidR="00581CC1">
                              <w:rPr>
                                <w:rFonts w:ascii="Calibri" w:hAnsi="Calibri" w:cs="Calibri"/>
                                <w:color w:val="FFFFFF" w:themeColor="background1"/>
                                <w:szCs w:val="18"/>
                              </w:rPr>
                              <w:t> </w:t>
                            </w:r>
                            <w:r w:rsidRPr="007C6225">
                              <w:rPr>
                                <w:rFonts w:ascii="Calibri" w:hAnsi="Calibri" w:cs="Calibri"/>
                                <w:color w:val="FFFFFF" w:themeColor="background1"/>
                                <w:szCs w:val="18"/>
                              </w:rPr>
                              <w:t>kategoriích</w:t>
                            </w:r>
                            <w:r w:rsidR="00581CC1">
                              <w:rPr>
                                <w:rFonts w:ascii="Calibri" w:hAnsi="Calibri" w:cs="Calibri"/>
                                <w:color w:val="FFFFFF" w:themeColor="background1"/>
                                <w:szCs w:val="18"/>
                              </w:rPr>
                              <w:t xml:space="preserve"> dle účelu úvěru</w:t>
                            </w:r>
                            <w:r w:rsidRPr="007C6225">
                              <w:rPr>
                                <w:rFonts w:ascii="Calibri" w:hAnsi="Calibri" w:cs="Calibri"/>
                                <w:color w:val="FFFFFF" w:themeColor="background1"/>
                                <w:szCs w:val="18"/>
                              </w:rPr>
                              <w:t>:</w:t>
                            </w:r>
                          </w:p>
                          <w:p w14:paraId="58E707E8" w14:textId="77777777" w:rsidR="0001227F" w:rsidRPr="0001227F" w:rsidRDefault="0001227F" w:rsidP="0001227F">
                            <w:pPr>
                              <w:spacing w:line="276" w:lineRule="auto"/>
                              <w:rPr>
                                <w:rFonts w:ascii="Calibri" w:hAnsi="Calibri" w:cs="Calibri"/>
                                <w:color w:val="FFFFFF" w:themeColor="background1"/>
                              </w:rPr>
                            </w:pPr>
                          </w:p>
                          <w:p w14:paraId="3227247A" w14:textId="11714118" w:rsidR="0001227F" w:rsidRPr="00E818C3" w:rsidRDefault="00E818C3" w:rsidP="00E818C3">
                            <w:pPr>
                              <w:spacing w:line="276" w:lineRule="auto"/>
                              <w:rPr>
                                <w:rFonts w:ascii="Calibri" w:hAnsi="Calibri" w:cs="Calibri"/>
                                <w:b/>
                                <w:color w:val="FFFFFF" w:themeColor="background1"/>
                              </w:rPr>
                            </w:pPr>
                            <w:r w:rsidRPr="00E818C3">
                              <w:rPr>
                                <w:rFonts w:ascii="Calibri" w:hAnsi="Calibri" w:cs="Calibri"/>
                                <w:b/>
                                <w:color w:val="FFFFFF" w:themeColor="background1"/>
                              </w:rPr>
                              <w:t>1.</w:t>
                            </w:r>
                            <w:r>
                              <w:rPr>
                                <w:rFonts w:ascii="Calibri" w:hAnsi="Calibri" w:cs="Calibri"/>
                                <w:b/>
                                <w:color w:val="FFFFFF" w:themeColor="background1"/>
                              </w:rPr>
                              <w:t xml:space="preserve"> </w:t>
                            </w:r>
                            <w:r w:rsidR="0001227F" w:rsidRPr="00E818C3">
                              <w:rPr>
                                <w:rFonts w:ascii="Calibri" w:hAnsi="Calibri" w:cs="Calibri"/>
                                <w:b/>
                                <w:color w:val="FFFFFF" w:themeColor="background1"/>
                              </w:rPr>
                              <w:t>Nové úvěry</w:t>
                            </w:r>
                          </w:p>
                          <w:p w14:paraId="22AF3257" w14:textId="77777777"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Jsou úvěry, jejichž celý objem poprvé vstupuje do ekonomiky. Do této kategorie nepatří konsolidace úvěrů anebo refinancování úvěrů. Dělí se do tří kategorií:</w:t>
                            </w:r>
                          </w:p>
                          <w:p w14:paraId="362AFB2A" w14:textId="77777777"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Nákup nemovitosti</w:t>
                            </w:r>
                            <w:r w:rsidRPr="00E818C3">
                              <w:rPr>
                                <w:rFonts w:ascii="Calibri" w:hAnsi="Calibri" w:cs="Calibri"/>
                                <w:color w:val="FFFFFF" w:themeColor="background1"/>
                              </w:rPr>
                              <w:t xml:space="preserve"> </w:t>
                            </w:r>
                          </w:p>
                          <w:p w14:paraId="29F23FA5" w14:textId="6EE96893"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Výstavba nemovitosti</w:t>
                            </w:r>
                            <w:r w:rsidRPr="00E818C3">
                              <w:rPr>
                                <w:rFonts w:ascii="Calibri" w:hAnsi="Calibri" w:cs="Calibri"/>
                                <w:color w:val="FFFFFF" w:themeColor="background1"/>
                              </w:rPr>
                              <w:t xml:space="preserve"> – včetně rekonstrukce nemovitosti </w:t>
                            </w:r>
                          </w:p>
                          <w:p w14:paraId="4D80580F" w14:textId="11E0715F"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Ostatní nová ujednání</w:t>
                            </w:r>
                            <w:r w:rsidRPr="00E818C3">
                              <w:rPr>
                                <w:rFonts w:ascii="Calibri" w:hAnsi="Calibri" w:cs="Calibri"/>
                                <w:color w:val="FFFFFF" w:themeColor="background1"/>
                              </w:rPr>
                              <w:t xml:space="preserve"> – pouze nové úvěry, které nijak nesouvisí s koupí nebo výstavbou nemovitosti, např. tzv. americké hypotéky, vypořádání SJM, zpětná úhrada kupní ceny, vypořádání dědického podílu, vypořádání družstevního </w:t>
                            </w:r>
                            <w:proofErr w:type="gramStart"/>
                            <w:r w:rsidRPr="00E818C3">
                              <w:rPr>
                                <w:rFonts w:ascii="Calibri" w:hAnsi="Calibri" w:cs="Calibri"/>
                                <w:color w:val="FFFFFF" w:themeColor="background1"/>
                              </w:rPr>
                              <w:t>podílu,</w:t>
                            </w:r>
                            <w:proofErr w:type="gramEnd"/>
                            <w:r w:rsidRPr="00E818C3">
                              <w:rPr>
                                <w:rFonts w:ascii="Calibri" w:hAnsi="Calibri" w:cs="Calibri"/>
                                <w:color w:val="FFFFFF" w:themeColor="background1"/>
                              </w:rPr>
                              <w:t xml:space="preserve"> atp.</w:t>
                            </w:r>
                          </w:p>
                          <w:p w14:paraId="4FBF1D5A" w14:textId="77777777" w:rsidR="0001227F" w:rsidRPr="0001227F" w:rsidRDefault="0001227F" w:rsidP="0001227F">
                            <w:pPr>
                              <w:spacing w:line="276" w:lineRule="auto"/>
                              <w:ind w:left="708"/>
                              <w:rPr>
                                <w:rFonts w:ascii="Calibri" w:hAnsi="Calibri" w:cs="Calibri"/>
                                <w:color w:val="FFFFFF" w:themeColor="background1"/>
                              </w:rPr>
                            </w:pPr>
                          </w:p>
                          <w:p w14:paraId="71D5E0BB" w14:textId="7D112C27" w:rsidR="0001227F" w:rsidRPr="0001227F"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2. </w:t>
                            </w:r>
                            <w:r w:rsidR="0001227F" w:rsidRPr="0001227F">
                              <w:rPr>
                                <w:rFonts w:ascii="Calibri" w:hAnsi="Calibri" w:cs="Calibri"/>
                                <w:b/>
                                <w:color w:val="FFFFFF" w:themeColor="background1"/>
                              </w:rPr>
                              <w:t>Refinancované úvěry z jiné finanční instituce</w:t>
                            </w:r>
                          </w:p>
                          <w:p w14:paraId="351B5A60" w14:textId="0B5DCBB6"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 xml:space="preserve">Jsou úvěry, které vznikly refinancováním jednoho nebo více úvěrů z jiné finanční instituce než </w:t>
                            </w:r>
                            <w:r w:rsidR="00973197">
                              <w:rPr>
                                <w:rFonts w:ascii="Calibri" w:hAnsi="Calibri" w:cs="Calibri"/>
                                <w:color w:val="FFFFFF" w:themeColor="background1"/>
                              </w:rPr>
                              <w:t>té</w:t>
                            </w:r>
                            <w:r w:rsidRPr="0001227F">
                              <w:rPr>
                                <w:rFonts w:ascii="Calibri" w:hAnsi="Calibri" w:cs="Calibri"/>
                                <w:color w:val="FFFFFF" w:themeColor="background1"/>
                              </w:rPr>
                              <w:t xml:space="preserve"> vykazující. Bez ohledu na výši refinancované částky a bez ohledu na výši případného navýšení se celková výše nově vzniklého úvěru vykazuje do této kategorie. </w:t>
                            </w:r>
                          </w:p>
                          <w:p w14:paraId="7566D2D6" w14:textId="77777777" w:rsidR="0001227F" w:rsidRPr="0001227F" w:rsidRDefault="0001227F" w:rsidP="0001227F">
                            <w:pPr>
                              <w:spacing w:line="276" w:lineRule="auto"/>
                              <w:rPr>
                                <w:rFonts w:ascii="Calibri" w:hAnsi="Calibri" w:cs="Calibri"/>
                                <w:color w:val="FFFFFF" w:themeColor="background1"/>
                              </w:rPr>
                            </w:pPr>
                          </w:p>
                          <w:p w14:paraId="04B36444" w14:textId="4F20B25F" w:rsidR="0001227F" w:rsidRPr="000C045B"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3. </w:t>
                            </w:r>
                            <w:r w:rsidR="0001227F" w:rsidRPr="0001227F">
                              <w:rPr>
                                <w:rFonts w:ascii="Calibri" w:hAnsi="Calibri" w:cs="Calibri"/>
                                <w:b/>
                                <w:color w:val="FFFFFF" w:themeColor="background1"/>
                              </w:rPr>
                              <w:t>Navý</w:t>
                            </w:r>
                            <w:r w:rsidR="0001227F" w:rsidRPr="000C045B">
                              <w:rPr>
                                <w:rFonts w:ascii="Calibri" w:hAnsi="Calibri" w:cs="Calibri"/>
                                <w:b/>
                                <w:color w:val="FFFFFF" w:themeColor="background1"/>
                              </w:rPr>
                              <w:t>šené anebo interně refinancované úvěry</w:t>
                            </w:r>
                          </w:p>
                          <w:p w14:paraId="711A3661" w14:textId="2A271010" w:rsidR="0001227F" w:rsidRPr="0001227F" w:rsidRDefault="0001227F" w:rsidP="0001227F">
                            <w:pPr>
                              <w:spacing w:line="276" w:lineRule="auto"/>
                              <w:rPr>
                                <w:rFonts w:ascii="Calibri" w:hAnsi="Calibri" w:cs="Calibri"/>
                                <w:color w:val="FFFFFF" w:themeColor="background1"/>
                              </w:rPr>
                            </w:pPr>
                            <w:r w:rsidRPr="000C045B">
                              <w:rPr>
                                <w:rFonts w:ascii="Calibri" w:hAnsi="Calibri" w:cs="Calibri"/>
                                <w:color w:val="FFFFFF" w:themeColor="background1"/>
                              </w:rPr>
                              <w:t xml:space="preserve">Jsou úvěry, které již </w:t>
                            </w:r>
                            <w:r w:rsidRPr="007C6225">
                              <w:rPr>
                                <w:rFonts w:ascii="Calibri" w:hAnsi="Calibri" w:cs="Calibri"/>
                                <w:color w:val="FFFFFF" w:themeColor="background1"/>
                              </w:rPr>
                              <w:t xml:space="preserve">byly </w:t>
                            </w:r>
                            <w:r w:rsidR="00647A7A">
                              <w:rPr>
                                <w:rFonts w:ascii="Calibri" w:hAnsi="Calibri" w:cs="Calibri"/>
                                <w:color w:val="FFFFFF" w:themeColor="background1"/>
                              </w:rPr>
                              <w:t xml:space="preserve">v </w:t>
                            </w:r>
                            <w:r w:rsidRPr="007C6225">
                              <w:rPr>
                                <w:rFonts w:ascii="Calibri" w:hAnsi="Calibri" w:cs="Calibri"/>
                                <w:color w:val="FFFFFF" w:themeColor="background1"/>
                              </w:rPr>
                              <w:t>předchozí</w:t>
                            </w:r>
                            <w:r w:rsidR="0079039B">
                              <w:rPr>
                                <w:rFonts w:ascii="Calibri" w:hAnsi="Calibri" w:cs="Calibri"/>
                                <w:color w:val="FFFFFF" w:themeColor="background1"/>
                              </w:rPr>
                              <w:t>m</w:t>
                            </w:r>
                            <w:r w:rsidRPr="007C6225">
                              <w:rPr>
                                <w:rFonts w:ascii="Calibri" w:hAnsi="Calibri" w:cs="Calibri"/>
                                <w:color w:val="FFFFFF" w:themeColor="background1"/>
                              </w:rPr>
                              <w:t xml:space="preserve"> vykazované</w:t>
                            </w:r>
                            <w:r w:rsidR="0079039B">
                              <w:rPr>
                                <w:rFonts w:ascii="Calibri" w:hAnsi="Calibri" w:cs="Calibri"/>
                                <w:color w:val="FFFFFF" w:themeColor="background1"/>
                              </w:rPr>
                              <w:t>m</w:t>
                            </w:r>
                            <w:r w:rsidRPr="007C6225">
                              <w:rPr>
                                <w:rFonts w:ascii="Calibri" w:hAnsi="Calibri" w:cs="Calibri"/>
                                <w:color w:val="FFFFFF" w:themeColor="background1"/>
                              </w:rPr>
                              <w:t xml:space="preserve"> období součástí portfolia</w:t>
                            </w:r>
                            <w:r w:rsidRPr="000C045B">
                              <w:rPr>
                                <w:rFonts w:ascii="Calibri" w:hAnsi="Calibri" w:cs="Calibri"/>
                                <w:color w:val="FFFFFF" w:themeColor="background1"/>
                              </w:rPr>
                              <w:t xml:space="preserve"> vykazujícího</w:t>
                            </w:r>
                            <w:r w:rsidRPr="0001227F">
                              <w:rPr>
                                <w:rFonts w:ascii="Calibri" w:hAnsi="Calibri" w:cs="Calibri"/>
                                <w:color w:val="FFFFFF" w:themeColor="background1"/>
                              </w:rPr>
                              <w:t xml:space="preserve"> subjektu, a ve vykazovaném období u nich došlo k některé z následujících změn:</w:t>
                            </w:r>
                          </w:p>
                          <w:p w14:paraId="4A6B00C0" w14:textId="77777777" w:rsidR="00E818C3" w:rsidRDefault="0001227F" w:rsidP="0001227F">
                            <w:pPr>
                              <w:pStyle w:val="Odstavecseseznamem"/>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01227F">
                              <w:rPr>
                                <w:rFonts w:ascii="Calibri" w:hAnsi="Calibri" w:cs="Calibri"/>
                                <w:color w:val="FFFFFF" w:themeColor="background1"/>
                              </w:rPr>
                              <w:t xml:space="preserve">navýšení sjednané částky </w:t>
                            </w:r>
                          </w:p>
                          <w:p w14:paraId="44682079" w14:textId="72C23671" w:rsidR="0001227F" w:rsidRDefault="0001227F" w:rsidP="0001227F">
                            <w:pPr>
                              <w:pStyle w:val="Odstavecseseznamem"/>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E818C3">
                              <w:rPr>
                                <w:rFonts w:ascii="Calibri" w:hAnsi="Calibri" w:cs="Calibri"/>
                                <w:color w:val="FFFFFF" w:themeColor="background1"/>
                              </w:rPr>
                              <w:t xml:space="preserve">došlo k takovým změnám, že původní úvěr byl v rámci vykazujícího subjektu refinancován/převeden na nový úvěr. </w:t>
                            </w:r>
                            <w:r w:rsidR="00E74228">
                              <w:rPr>
                                <w:rFonts w:ascii="Calibri" w:hAnsi="Calibri" w:cs="Calibri"/>
                                <w:color w:val="FFFFFF" w:themeColor="background1"/>
                              </w:rPr>
                              <w:t>J</w:t>
                            </w:r>
                            <w:r w:rsidRPr="00E818C3">
                              <w:rPr>
                                <w:rFonts w:ascii="Calibri" w:hAnsi="Calibri" w:cs="Calibri"/>
                                <w:color w:val="FFFFFF" w:themeColor="background1"/>
                              </w:rPr>
                              <w:t>de</w:t>
                            </w:r>
                            <w:r w:rsidR="00CD28EC">
                              <w:rPr>
                                <w:rFonts w:ascii="Calibri" w:hAnsi="Calibri" w:cs="Calibri"/>
                                <w:color w:val="FFFFFF" w:themeColor="background1"/>
                              </w:rPr>
                              <w:t xml:space="preserve"> tak o</w:t>
                            </w:r>
                            <w:r w:rsidRPr="00E818C3">
                              <w:rPr>
                                <w:rFonts w:ascii="Calibri" w:hAnsi="Calibri" w:cs="Calibri"/>
                                <w:color w:val="FFFFFF" w:themeColor="background1"/>
                              </w:rPr>
                              <w:t xml:space="preserve"> skutečně </w:t>
                            </w:r>
                            <w:r w:rsidR="00E74228">
                              <w:rPr>
                                <w:rFonts w:ascii="Calibri" w:hAnsi="Calibri" w:cs="Calibri"/>
                                <w:color w:val="FFFFFF" w:themeColor="background1"/>
                              </w:rPr>
                              <w:t>novou smlouvu</w:t>
                            </w:r>
                            <w:r w:rsidR="00132EE9">
                              <w:rPr>
                                <w:rFonts w:ascii="Calibri" w:hAnsi="Calibri" w:cs="Calibri"/>
                                <w:color w:val="FFFFFF" w:themeColor="background1"/>
                              </w:rPr>
                              <w:t xml:space="preserve">, nikoli např. jen </w:t>
                            </w:r>
                            <w:r w:rsidR="007B79F6">
                              <w:rPr>
                                <w:rFonts w:ascii="Calibri" w:hAnsi="Calibri" w:cs="Calibri"/>
                                <w:color w:val="FFFFFF" w:themeColor="background1"/>
                              </w:rPr>
                              <w:t>nové ujednání v rámci refi</w:t>
                            </w:r>
                            <w:r w:rsidR="000F02C1">
                              <w:rPr>
                                <w:rFonts w:ascii="Calibri" w:hAnsi="Calibri" w:cs="Calibri"/>
                                <w:color w:val="FFFFFF" w:themeColor="background1"/>
                              </w:rPr>
                              <w:t xml:space="preserve">xace </w:t>
                            </w:r>
                            <w:r w:rsidR="00132EE9">
                              <w:rPr>
                                <w:rFonts w:ascii="Calibri" w:hAnsi="Calibri" w:cs="Calibri"/>
                                <w:color w:val="FFFFFF" w:themeColor="background1"/>
                              </w:rPr>
                              <w:t xml:space="preserve">stávající smlouvy. Proto je objem takových úvěru ve statistice ČBA nižší oproti „ostatním novým ujednáním“ ve statistice České </w:t>
                            </w:r>
                            <w:r w:rsidR="002D3F94">
                              <w:rPr>
                                <w:rFonts w:ascii="Calibri" w:hAnsi="Calibri" w:cs="Calibri"/>
                                <w:color w:val="FFFFFF" w:themeColor="background1"/>
                              </w:rPr>
                              <w:t>n</w:t>
                            </w:r>
                            <w:r w:rsidR="00132EE9">
                              <w:rPr>
                                <w:rFonts w:ascii="Calibri" w:hAnsi="Calibri" w:cs="Calibri"/>
                                <w:color w:val="FFFFFF" w:themeColor="background1"/>
                              </w:rPr>
                              <w:t xml:space="preserve">árodní </w:t>
                            </w:r>
                            <w:r w:rsidR="002D3F94">
                              <w:rPr>
                                <w:rFonts w:ascii="Calibri" w:hAnsi="Calibri" w:cs="Calibri"/>
                                <w:color w:val="FFFFFF" w:themeColor="background1"/>
                              </w:rPr>
                              <w:t>b</w:t>
                            </w:r>
                            <w:r w:rsidR="00132EE9">
                              <w:rPr>
                                <w:rFonts w:ascii="Calibri" w:hAnsi="Calibri" w:cs="Calibri"/>
                                <w:color w:val="FFFFFF" w:themeColor="background1"/>
                              </w:rPr>
                              <w:t>anky.</w:t>
                            </w:r>
                          </w:p>
                          <w:p w14:paraId="1FAF8B9B" w14:textId="4C474A58" w:rsidR="006F08E1" w:rsidRDefault="006F08E1" w:rsidP="006F08E1">
                            <w:pPr>
                              <w:overflowPunct/>
                              <w:autoSpaceDE/>
                              <w:autoSpaceDN/>
                              <w:adjustRightInd/>
                              <w:spacing w:line="276" w:lineRule="auto"/>
                              <w:jc w:val="left"/>
                              <w:textAlignment w:val="auto"/>
                              <w:rPr>
                                <w:rFonts w:ascii="Calibri" w:hAnsi="Calibri" w:cs="Calibri"/>
                                <w:color w:val="FFFFFF" w:themeColor="background1"/>
                              </w:rPr>
                            </w:pPr>
                          </w:p>
                          <w:p w14:paraId="65FC0189" w14:textId="014392A6" w:rsidR="006F08E1" w:rsidRPr="006F08E1" w:rsidRDefault="001F49EA" w:rsidP="006F08E1">
                            <w:pPr>
                              <w:overflowPunct/>
                              <w:autoSpaceDE/>
                              <w:autoSpaceDN/>
                              <w:adjustRightInd/>
                              <w:spacing w:line="276" w:lineRule="auto"/>
                              <w:jc w:val="left"/>
                              <w:textAlignment w:val="auto"/>
                              <w:rPr>
                                <w:rFonts w:ascii="Calibri" w:hAnsi="Calibri" w:cs="Calibri"/>
                                <w:color w:val="FFFFFF" w:themeColor="background1"/>
                              </w:rPr>
                            </w:pPr>
                            <w:r w:rsidRPr="001F49EA">
                              <w:rPr>
                                <w:rFonts w:ascii="Calibri" w:hAnsi="Calibri" w:cs="Calibri"/>
                                <w:color w:val="FFFFFF" w:themeColor="background1"/>
                              </w:rPr>
                              <w:t>Data pro ČBA Hypomonitor poskytují následující banky a stavební spořitelny: Air Bank, Banka Creditas, Česká spořitelna, ČSOB, ČSOB Stavební spořitelna, Equa bank, Fio banka, Hypoteční banka, Komerční banka, mBank, Modrá pyramida, MONETA Money Bank, MONETA Stavební spořitelna, Oberbank, Raiffeisen stavební spořitelna, Raiffeisenbank, Sberbank, Stavební spořitelna České spořitelny, UniCredit Bank</w:t>
                            </w:r>
                            <w:r>
                              <w:rPr>
                                <w:rFonts w:ascii="Calibri" w:hAnsi="Calibri" w:cs="Calibri"/>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DA650" id="_x0000_t202" coordsize="21600,21600" o:spt="202" path="m,l,21600r21600,l21600,xe">
                <v:stroke joinstyle="miter"/>
                <v:path gradientshapeok="t" o:connecttype="rect"/>
              </v:shapetype>
              <v:shape id="_x0000_s1027" type="#_x0000_t202" style="position:absolute;left:0;text-align:left;margin-left:-4.15pt;margin-top:2pt;width:517.7pt;height:408.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" fillcolor="#13576b" stroked="f">
                <v:fill opacity="54998f"/>
                <v:textbox>
                  <w:txbxContent>
                    <w:p w14:paraId="5A50287C" w14:textId="77777777" w:rsidR="0001227F" w:rsidRDefault="0001227F" w:rsidP="0001227F">
                      <w:pPr>
                        <w:spacing w:line="276" w:lineRule="auto"/>
                        <w:rPr>
                          <w:rFonts w:ascii="Calibri" w:hAnsi="Calibri" w:cs="Calibri"/>
                          <w:b/>
                          <w:bCs/>
                          <w:color w:val="FFFFFF" w:themeColor="background1"/>
                          <w:sz w:val="24"/>
                          <w:szCs w:val="24"/>
                        </w:rPr>
                      </w:pPr>
                    </w:p>
                    <w:p w14:paraId="523681E4" w14:textId="20B4FCBA" w:rsidR="0001227F" w:rsidRPr="00E818C3" w:rsidRDefault="0001227F" w:rsidP="0001227F">
                      <w:pPr>
                        <w:spacing w:line="276" w:lineRule="auto"/>
                        <w:rPr>
                          <w:rFonts w:ascii="Calibri" w:hAnsi="Calibri" w:cs="Calibri"/>
                          <w:b/>
                          <w:bCs/>
                          <w:color w:val="FFFFFF" w:themeColor="background1"/>
                          <w:sz w:val="22"/>
                          <w:szCs w:val="22"/>
                        </w:rPr>
                      </w:pPr>
                      <w:r w:rsidRPr="00E818C3">
                        <w:rPr>
                          <w:rFonts w:ascii="Calibri" w:hAnsi="Calibri" w:cs="Calibri"/>
                          <w:b/>
                          <w:bCs/>
                          <w:color w:val="FFFFFF" w:themeColor="background1"/>
                          <w:sz w:val="22"/>
                          <w:szCs w:val="22"/>
                        </w:rPr>
                        <w:t xml:space="preserve">Metodika ČBA </w:t>
                      </w:r>
                      <w:proofErr w:type="spellStart"/>
                      <w:r w:rsidRPr="00E818C3">
                        <w:rPr>
                          <w:rFonts w:ascii="Calibri" w:hAnsi="Calibri" w:cs="Calibri"/>
                          <w:b/>
                          <w:bCs/>
                          <w:color w:val="FFFFFF" w:themeColor="background1"/>
                          <w:sz w:val="22"/>
                          <w:szCs w:val="22"/>
                        </w:rPr>
                        <w:t>Hypomonitoru</w:t>
                      </w:r>
                      <w:proofErr w:type="spellEnd"/>
                    </w:p>
                    <w:p w14:paraId="7401467C" w14:textId="77777777" w:rsidR="00414AD4" w:rsidRPr="007C6225" w:rsidRDefault="00414AD4" w:rsidP="0001227F">
                      <w:pPr>
                        <w:spacing w:line="276" w:lineRule="auto"/>
                        <w:rPr>
                          <w:rFonts w:ascii="Calibri" w:hAnsi="Calibri" w:cs="Calibri"/>
                          <w:color w:val="FFFFFF" w:themeColor="background1"/>
                          <w:szCs w:val="18"/>
                        </w:rPr>
                      </w:pPr>
                    </w:p>
                    <w:p w14:paraId="1021EABD" w14:textId="21BBB2A7" w:rsidR="0001227F" w:rsidRPr="007C6225" w:rsidRDefault="00414AD4" w:rsidP="0001227F">
                      <w:pPr>
                        <w:spacing w:line="276" w:lineRule="auto"/>
                        <w:rPr>
                          <w:rFonts w:ascii="Calibri" w:hAnsi="Calibri" w:cs="Calibri"/>
                          <w:color w:val="FFFFFF" w:themeColor="background1"/>
                          <w:szCs w:val="18"/>
                        </w:rPr>
                      </w:pPr>
                      <w:r w:rsidRPr="007C6225">
                        <w:rPr>
                          <w:rFonts w:ascii="Calibri" w:hAnsi="Calibri" w:cs="Calibri"/>
                          <w:color w:val="FFFFFF" w:themeColor="background1"/>
                          <w:szCs w:val="18"/>
                        </w:rPr>
                        <w:t xml:space="preserve">ČBA </w:t>
                      </w:r>
                      <w:proofErr w:type="spellStart"/>
                      <w:r w:rsidRPr="007C6225">
                        <w:rPr>
                          <w:rFonts w:ascii="Calibri" w:hAnsi="Calibri" w:cs="Calibri"/>
                          <w:color w:val="FFFFFF" w:themeColor="background1"/>
                          <w:szCs w:val="18"/>
                        </w:rPr>
                        <w:t>Hypomonitor</w:t>
                      </w:r>
                      <w:proofErr w:type="spellEnd"/>
                      <w:r w:rsidRPr="007C6225">
                        <w:rPr>
                          <w:rFonts w:ascii="Calibri" w:hAnsi="Calibri" w:cs="Calibri"/>
                          <w:color w:val="FFFFFF" w:themeColor="background1"/>
                          <w:szCs w:val="18"/>
                        </w:rPr>
                        <w:t xml:space="preserve"> </w:t>
                      </w:r>
                      <w:r w:rsidR="00FB47DE" w:rsidRPr="007C6225">
                        <w:rPr>
                          <w:rFonts w:ascii="Calibri" w:hAnsi="Calibri" w:cs="Calibri"/>
                          <w:color w:val="FFFFFF" w:themeColor="background1"/>
                          <w:szCs w:val="18"/>
                        </w:rPr>
                        <w:t xml:space="preserve">rozděluje poskytnuté hypoteční úvěry </w:t>
                      </w:r>
                      <w:r w:rsidRPr="007C6225">
                        <w:rPr>
                          <w:rFonts w:ascii="Calibri" w:hAnsi="Calibri" w:cs="Calibri"/>
                          <w:color w:val="FFFFFF" w:themeColor="background1"/>
                          <w:szCs w:val="18"/>
                        </w:rPr>
                        <w:t>do několika kategorií tak, aby byly rozlišeny nové úvěry od refinancovaných či interních refixací</w:t>
                      </w:r>
                      <w:r w:rsidR="000B70C8">
                        <w:rPr>
                          <w:rFonts w:ascii="Calibri" w:hAnsi="Calibri" w:cs="Calibri"/>
                          <w:color w:val="FFFFFF" w:themeColor="background1"/>
                          <w:szCs w:val="18"/>
                        </w:rPr>
                        <w:t>.</w:t>
                      </w:r>
                      <w:r w:rsidRPr="007C6225">
                        <w:rPr>
                          <w:rFonts w:ascii="Calibri" w:hAnsi="Calibri" w:cs="Calibri"/>
                          <w:color w:val="FFFFFF" w:themeColor="background1"/>
                          <w:szCs w:val="18"/>
                        </w:rPr>
                        <w:t xml:space="preserve"> Nové úvěry jsou </w:t>
                      </w:r>
                      <w:r w:rsidR="00581CC1">
                        <w:rPr>
                          <w:rFonts w:ascii="Calibri" w:hAnsi="Calibri" w:cs="Calibri"/>
                          <w:color w:val="FFFFFF" w:themeColor="background1"/>
                          <w:szCs w:val="18"/>
                        </w:rPr>
                        <w:t>pak</w:t>
                      </w:r>
                      <w:r w:rsidRPr="007C6225">
                        <w:rPr>
                          <w:rFonts w:ascii="Calibri" w:hAnsi="Calibri" w:cs="Calibri"/>
                          <w:color w:val="FFFFFF" w:themeColor="background1"/>
                          <w:szCs w:val="18"/>
                        </w:rPr>
                        <w:t xml:space="preserve"> vykazovány v</w:t>
                      </w:r>
                      <w:r w:rsidR="00581CC1">
                        <w:rPr>
                          <w:rFonts w:ascii="Calibri" w:hAnsi="Calibri" w:cs="Calibri"/>
                          <w:color w:val="FFFFFF" w:themeColor="background1"/>
                          <w:szCs w:val="18"/>
                        </w:rPr>
                        <w:t> </w:t>
                      </w:r>
                      <w:r w:rsidRPr="007C6225">
                        <w:rPr>
                          <w:rFonts w:ascii="Calibri" w:hAnsi="Calibri" w:cs="Calibri"/>
                          <w:color w:val="FFFFFF" w:themeColor="background1"/>
                          <w:szCs w:val="18"/>
                        </w:rPr>
                        <w:t>kategoriích</w:t>
                      </w:r>
                      <w:r w:rsidR="00581CC1">
                        <w:rPr>
                          <w:rFonts w:ascii="Calibri" w:hAnsi="Calibri" w:cs="Calibri"/>
                          <w:color w:val="FFFFFF" w:themeColor="background1"/>
                          <w:szCs w:val="18"/>
                        </w:rPr>
                        <w:t xml:space="preserve"> dle účelu úvěru</w:t>
                      </w:r>
                      <w:r w:rsidRPr="007C6225">
                        <w:rPr>
                          <w:rFonts w:ascii="Calibri" w:hAnsi="Calibri" w:cs="Calibri"/>
                          <w:color w:val="FFFFFF" w:themeColor="background1"/>
                          <w:szCs w:val="18"/>
                        </w:rPr>
                        <w:t>:</w:t>
                      </w:r>
                    </w:p>
                    <w:p w14:paraId="58E707E8" w14:textId="77777777" w:rsidR="0001227F" w:rsidRPr="0001227F" w:rsidRDefault="0001227F" w:rsidP="0001227F">
                      <w:pPr>
                        <w:spacing w:line="276" w:lineRule="auto"/>
                        <w:rPr>
                          <w:rFonts w:ascii="Calibri" w:hAnsi="Calibri" w:cs="Calibri"/>
                          <w:color w:val="FFFFFF" w:themeColor="background1"/>
                        </w:rPr>
                      </w:pPr>
                    </w:p>
                    <w:p w14:paraId="3227247A" w14:textId="11714118" w:rsidR="0001227F" w:rsidRPr="00E818C3" w:rsidRDefault="00E818C3" w:rsidP="00E818C3">
                      <w:pPr>
                        <w:spacing w:line="276" w:lineRule="auto"/>
                        <w:rPr>
                          <w:rFonts w:ascii="Calibri" w:hAnsi="Calibri" w:cs="Calibri"/>
                          <w:b/>
                          <w:color w:val="FFFFFF" w:themeColor="background1"/>
                        </w:rPr>
                      </w:pPr>
                      <w:r w:rsidRPr="00E818C3">
                        <w:rPr>
                          <w:rFonts w:ascii="Calibri" w:hAnsi="Calibri" w:cs="Calibri"/>
                          <w:b/>
                          <w:color w:val="FFFFFF" w:themeColor="background1"/>
                        </w:rPr>
                        <w:t>1.</w:t>
                      </w:r>
                      <w:r>
                        <w:rPr>
                          <w:rFonts w:ascii="Calibri" w:hAnsi="Calibri" w:cs="Calibri"/>
                          <w:b/>
                          <w:color w:val="FFFFFF" w:themeColor="background1"/>
                        </w:rPr>
                        <w:t xml:space="preserve"> </w:t>
                      </w:r>
                      <w:r w:rsidR="0001227F" w:rsidRPr="00E818C3">
                        <w:rPr>
                          <w:rFonts w:ascii="Calibri" w:hAnsi="Calibri" w:cs="Calibri"/>
                          <w:b/>
                          <w:color w:val="FFFFFF" w:themeColor="background1"/>
                        </w:rPr>
                        <w:t>Nové úvěry</w:t>
                      </w:r>
                    </w:p>
                    <w:p w14:paraId="22AF3257" w14:textId="77777777"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Jsou úvěry, jejichž celý objem poprvé vstupuje do ekonomiky. Do této kategorie nepatří konsolidace úvěrů anebo refinancování úvěrů. Dělí se do tří kategorií:</w:t>
                      </w:r>
                    </w:p>
                    <w:p w14:paraId="362AFB2A" w14:textId="77777777"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Nákup nemovitosti</w:t>
                      </w:r>
                      <w:r w:rsidRPr="00E818C3">
                        <w:rPr>
                          <w:rFonts w:ascii="Calibri" w:hAnsi="Calibri" w:cs="Calibri"/>
                          <w:color w:val="FFFFFF" w:themeColor="background1"/>
                        </w:rPr>
                        <w:t xml:space="preserve"> </w:t>
                      </w:r>
                    </w:p>
                    <w:p w14:paraId="29F23FA5" w14:textId="6EE96893"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Výstavba nemovitosti</w:t>
                      </w:r>
                      <w:r w:rsidRPr="00E818C3">
                        <w:rPr>
                          <w:rFonts w:ascii="Calibri" w:hAnsi="Calibri" w:cs="Calibri"/>
                          <w:color w:val="FFFFFF" w:themeColor="background1"/>
                        </w:rPr>
                        <w:t xml:space="preserve"> – včetně rekonstrukce nemovitosti </w:t>
                      </w:r>
                    </w:p>
                    <w:p w14:paraId="4D80580F" w14:textId="11E0715F"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Ostatní nová ujednání</w:t>
                      </w:r>
                      <w:r w:rsidRPr="00E818C3">
                        <w:rPr>
                          <w:rFonts w:ascii="Calibri" w:hAnsi="Calibri" w:cs="Calibri"/>
                          <w:color w:val="FFFFFF" w:themeColor="background1"/>
                        </w:rPr>
                        <w:t xml:space="preserve"> – pouze nové úvěry, které nijak nesouvisí s koupí nebo výstavbou nemovitosti, např. tzv. americké hypotéky, vypořádání SJM, zpětná úhrada kupní ceny, vypořádání dědického podílu, vypořádání družstevního podílu, atp.</w:t>
                      </w:r>
                    </w:p>
                    <w:p w14:paraId="4FBF1D5A" w14:textId="77777777" w:rsidR="0001227F" w:rsidRPr="0001227F" w:rsidRDefault="0001227F" w:rsidP="0001227F">
                      <w:pPr>
                        <w:spacing w:line="276" w:lineRule="auto"/>
                        <w:ind w:left="708"/>
                        <w:rPr>
                          <w:rFonts w:ascii="Calibri" w:hAnsi="Calibri" w:cs="Calibri"/>
                          <w:color w:val="FFFFFF" w:themeColor="background1"/>
                        </w:rPr>
                      </w:pPr>
                    </w:p>
                    <w:p w14:paraId="71D5E0BB" w14:textId="7D112C27" w:rsidR="0001227F" w:rsidRPr="0001227F"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2. </w:t>
                      </w:r>
                      <w:r w:rsidR="0001227F" w:rsidRPr="0001227F">
                        <w:rPr>
                          <w:rFonts w:ascii="Calibri" w:hAnsi="Calibri" w:cs="Calibri"/>
                          <w:b/>
                          <w:color w:val="FFFFFF" w:themeColor="background1"/>
                        </w:rPr>
                        <w:t>Refinancované úvěry z jiné finanční instituce</w:t>
                      </w:r>
                    </w:p>
                    <w:p w14:paraId="351B5A60" w14:textId="0B5DCBB6"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 xml:space="preserve">Jsou úvěry, které vznikly refinancováním jednoho nebo více úvěrů z jiné finanční instituce než </w:t>
                      </w:r>
                      <w:r w:rsidR="00973197">
                        <w:rPr>
                          <w:rFonts w:ascii="Calibri" w:hAnsi="Calibri" w:cs="Calibri"/>
                          <w:color w:val="FFFFFF" w:themeColor="background1"/>
                        </w:rPr>
                        <w:t>té</w:t>
                      </w:r>
                      <w:r w:rsidRPr="0001227F">
                        <w:rPr>
                          <w:rFonts w:ascii="Calibri" w:hAnsi="Calibri" w:cs="Calibri"/>
                          <w:color w:val="FFFFFF" w:themeColor="background1"/>
                        </w:rPr>
                        <w:t xml:space="preserve"> vykazující. Bez ohledu na výši refinancované částky a bez ohledu na výši případného navýšení se celková výše nově vzniklého úvěru vykazuje do této kategorie. </w:t>
                      </w:r>
                    </w:p>
                    <w:p w14:paraId="7566D2D6" w14:textId="77777777" w:rsidR="0001227F" w:rsidRPr="0001227F" w:rsidRDefault="0001227F" w:rsidP="0001227F">
                      <w:pPr>
                        <w:spacing w:line="276" w:lineRule="auto"/>
                        <w:rPr>
                          <w:rFonts w:ascii="Calibri" w:hAnsi="Calibri" w:cs="Calibri"/>
                          <w:color w:val="FFFFFF" w:themeColor="background1"/>
                        </w:rPr>
                      </w:pPr>
                    </w:p>
                    <w:p w14:paraId="04B36444" w14:textId="4F20B25F" w:rsidR="0001227F" w:rsidRPr="000C045B"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3. </w:t>
                      </w:r>
                      <w:r w:rsidR="0001227F" w:rsidRPr="0001227F">
                        <w:rPr>
                          <w:rFonts w:ascii="Calibri" w:hAnsi="Calibri" w:cs="Calibri"/>
                          <w:b/>
                          <w:color w:val="FFFFFF" w:themeColor="background1"/>
                        </w:rPr>
                        <w:t>Navý</w:t>
                      </w:r>
                      <w:r w:rsidR="0001227F" w:rsidRPr="000C045B">
                        <w:rPr>
                          <w:rFonts w:ascii="Calibri" w:hAnsi="Calibri" w:cs="Calibri"/>
                          <w:b/>
                          <w:color w:val="FFFFFF" w:themeColor="background1"/>
                        </w:rPr>
                        <w:t>šené anebo interně refinancované úvěry</w:t>
                      </w:r>
                    </w:p>
                    <w:p w14:paraId="711A3661" w14:textId="2A271010" w:rsidR="0001227F" w:rsidRPr="0001227F" w:rsidRDefault="0001227F" w:rsidP="0001227F">
                      <w:pPr>
                        <w:spacing w:line="276" w:lineRule="auto"/>
                        <w:rPr>
                          <w:rFonts w:ascii="Calibri" w:hAnsi="Calibri" w:cs="Calibri"/>
                          <w:color w:val="FFFFFF" w:themeColor="background1"/>
                        </w:rPr>
                      </w:pPr>
                      <w:r w:rsidRPr="000C045B">
                        <w:rPr>
                          <w:rFonts w:ascii="Calibri" w:hAnsi="Calibri" w:cs="Calibri"/>
                          <w:color w:val="FFFFFF" w:themeColor="background1"/>
                        </w:rPr>
                        <w:t xml:space="preserve">Jsou úvěry, které již </w:t>
                      </w:r>
                      <w:r w:rsidRPr="007C6225">
                        <w:rPr>
                          <w:rFonts w:ascii="Calibri" w:hAnsi="Calibri" w:cs="Calibri"/>
                          <w:color w:val="FFFFFF" w:themeColor="background1"/>
                        </w:rPr>
                        <w:t xml:space="preserve">byly </w:t>
                      </w:r>
                      <w:r w:rsidR="00647A7A">
                        <w:rPr>
                          <w:rFonts w:ascii="Calibri" w:hAnsi="Calibri" w:cs="Calibri"/>
                          <w:color w:val="FFFFFF" w:themeColor="background1"/>
                        </w:rPr>
                        <w:t xml:space="preserve">v </w:t>
                      </w:r>
                      <w:r w:rsidRPr="007C6225">
                        <w:rPr>
                          <w:rFonts w:ascii="Calibri" w:hAnsi="Calibri" w:cs="Calibri"/>
                          <w:color w:val="FFFFFF" w:themeColor="background1"/>
                        </w:rPr>
                        <w:t>předchozí</w:t>
                      </w:r>
                      <w:r w:rsidR="0079039B">
                        <w:rPr>
                          <w:rFonts w:ascii="Calibri" w:hAnsi="Calibri" w:cs="Calibri"/>
                          <w:color w:val="FFFFFF" w:themeColor="background1"/>
                        </w:rPr>
                        <w:t>m</w:t>
                      </w:r>
                      <w:r w:rsidRPr="007C6225">
                        <w:rPr>
                          <w:rFonts w:ascii="Calibri" w:hAnsi="Calibri" w:cs="Calibri"/>
                          <w:color w:val="FFFFFF" w:themeColor="background1"/>
                        </w:rPr>
                        <w:t xml:space="preserve"> vykazované</w:t>
                      </w:r>
                      <w:r w:rsidR="0079039B">
                        <w:rPr>
                          <w:rFonts w:ascii="Calibri" w:hAnsi="Calibri" w:cs="Calibri"/>
                          <w:color w:val="FFFFFF" w:themeColor="background1"/>
                        </w:rPr>
                        <w:t>m</w:t>
                      </w:r>
                      <w:r w:rsidRPr="007C6225">
                        <w:rPr>
                          <w:rFonts w:ascii="Calibri" w:hAnsi="Calibri" w:cs="Calibri"/>
                          <w:color w:val="FFFFFF" w:themeColor="background1"/>
                        </w:rPr>
                        <w:t xml:space="preserve"> období součástí portfolia</w:t>
                      </w:r>
                      <w:r w:rsidRPr="000C045B">
                        <w:rPr>
                          <w:rFonts w:ascii="Calibri" w:hAnsi="Calibri" w:cs="Calibri"/>
                          <w:color w:val="FFFFFF" w:themeColor="background1"/>
                        </w:rPr>
                        <w:t xml:space="preserve"> vykazujícího</w:t>
                      </w:r>
                      <w:r w:rsidRPr="0001227F">
                        <w:rPr>
                          <w:rFonts w:ascii="Calibri" w:hAnsi="Calibri" w:cs="Calibri"/>
                          <w:color w:val="FFFFFF" w:themeColor="background1"/>
                        </w:rPr>
                        <w:t xml:space="preserve"> subjektu, a ve vykazovaném období u nich došlo k některé z následujících změn:</w:t>
                      </w:r>
                    </w:p>
                    <w:p w14:paraId="4A6B00C0" w14:textId="77777777" w:rsidR="00E818C3" w:rsidRDefault="0001227F" w:rsidP="0001227F">
                      <w:pPr>
                        <w:pStyle w:val="Odstavecseseznamem"/>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01227F">
                        <w:rPr>
                          <w:rFonts w:ascii="Calibri" w:hAnsi="Calibri" w:cs="Calibri"/>
                          <w:color w:val="FFFFFF" w:themeColor="background1"/>
                        </w:rPr>
                        <w:t xml:space="preserve">navýšení sjednané částky </w:t>
                      </w:r>
                    </w:p>
                    <w:p w14:paraId="44682079" w14:textId="72C23671" w:rsidR="0001227F" w:rsidRDefault="0001227F" w:rsidP="0001227F">
                      <w:pPr>
                        <w:pStyle w:val="Odstavecseseznamem"/>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E818C3">
                        <w:rPr>
                          <w:rFonts w:ascii="Calibri" w:hAnsi="Calibri" w:cs="Calibri"/>
                          <w:color w:val="FFFFFF" w:themeColor="background1"/>
                        </w:rPr>
                        <w:t xml:space="preserve">došlo k takovým změnám, že původní úvěr byl v rámci vykazujícího subjektu refinancován/převeden na nový úvěr. </w:t>
                      </w:r>
                      <w:r w:rsidR="00E74228">
                        <w:rPr>
                          <w:rFonts w:ascii="Calibri" w:hAnsi="Calibri" w:cs="Calibri"/>
                          <w:color w:val="FFFFFF" w:themeColor="background1"/>
                        </w:rPr>
                        <w:t>J</w:t>
                      </w:r>
                      <w:r w:rsidRPr="00E818C3">
                        <w:rPr>
                          <w:rFonts w:ascii="Calibri" w:hAnsi="Calibri" w:cs="Calibri"/>
                          <w:color w:val="FFFFFF" w:themeColor="background1"/>
                        </w:rPr>
                        <w:t>de</w:t>
                      </w:r>
                      <w:r w:rsidR="00CD28EC">
                        <w:rPr>
                          <w:rFonts w:ascii="Calibri" w:hAnsi="Calibri" w:cs="Calibri"/>
                          <w:color w:val="FFFFFF" w:themeColor="background1"/>
                        </w:rPr>
                        <w:t xml:space="preserve"> tak o</w:t>
                      </w:r>
                      <w:r w:rsidRPr="00E818C3">
                        <w:rPr>
                          <w:rFonts w:ascii="Calibri" w:hAnsi="Calibri" w:cs="Calibri"/>
                          <w:color w:val="FFFFFF" w:themeColor="background1"/>
                        </w:rPr>
                        <w:t xml:space="preserve"> skutečně </w:t>
                      </w:r>
                      <w:r w:rsidR="00E74228">
                        <w:rPr>
                          <w:rFonts w:ascii="Calibri" w:hAnsi="Calibri" w:cs="Calibri"/>
                          <w:color w:val="FFFFFF" w:themeColor="background1"/>
                        </w:rPr>
                        <w:t>novou smlouvu</w:t>
                      </w:r>
                      <w:r w:rsidR="00132EE9">
                        <w:rPr>
                          <w:rFonts w:ascii="Calibri" w:hAnsi="Calibri" w:cs="Calibri"/>
                          <w:color w:val="FFFFFF" w:themeColor="background1"/>
                        </w:rPr>
                        <w:t xml:space="preserve">, nikoli např. jen </w:t>
                      </w:r>
                      <w:r w:rsidR="007B79F6">
                        <w:rPr>
                          <w:rFonts w:ascii="Calibri" w:hAnsi="Calibri" w:cs="Calibri"/>
                          <w:color w:val="FFFFFF" w:themeColor="background1"/>
                        </w:rPr>
                        <w:t>nové ujednání v rámci refi</w:t>
                      </w:r>
                      <w:r w:rsidR="000F02C1">
                        <w:rPr>
                          <w:rFonts w:ascii="Calibri" w:hAnsi="Calibri" w:cs="Calibri"/>
                          <w:color w:val="FFFFFF" w:themeColor="background1"/>
                        </w:rPr>
                        <w:t xml:space="preserve">xace </w:t>
                      </w:r>
                      <w:r w:rsidR="00132EE9">
                        <w:rPr>
                          <w:rFonts w:ascii="Calibri" w:hAnsi="Calibri" w:cs="Calibri"/>
                          <w:color w:val="FFFFFF" w:themeColor="background1"/>
                        </w:rPr>
                        <w:t xml:space="preserve">stávající smlouvy. Proto je objem takových úvěru ve statistice ČBA nižší oproti „ostatním novým ujednáním“ ve statistice České </w:t>
                      </w:r>
                      <w:r w:rsidR="002D3F94">
                        <w:rPr>
                          <w:rFonts w:ascii="Calibri" w:hAnsi="Calibri" w:cs="Calibri"/>
                          <w:color w:val="FFFFFF" w:themeColor="background1"/>
                        </w:rPr>
                        <w:t>n</w:t>
                      </w:r>
                      <w:r w:rsidR="00132EE9">
                        <w:rPr>
                          <w:rFonts w:ascii="Calibri" w:hAnsi="Calibri" w:cs="Calibri"/>
                          <w:color w:val="FFFFFF" w:themeColor="background1"/>
                        </w:rPr>
                        <w:t xml:space="preserve">árodní </w:t>
                      </w:r>
                      <w:r w:rsidR="002D3F94">
                        <w:rPr>
                          <w:rFonts w:ascii="Calibri" w:hAnsi="Calibri" w:cs="Calibri"/>
                          <w:color w:val="FFFFFF" w:themeColor="background1"/>
                        </w:rPr>
                        <w:t>b</w:t>
                      </w:r>
                      <w:r w:rsidR="00132EE9">
                        <w:rPr>
                          <w:rFonts w:ascii="Calibri" w:hAnsi="Calibri" w:cs="Calibri"/>
                          <w:color w:val="FFFFFF" w:themeColor="background1"/>
                        </w:rPr>
                        <w:t>anky.</w:t>
                      </w:r>
                    </w:p>
                    <w:p w14:paraId="1FAF8B9B" w14:textId="4C474A58" w:rsidR="006F08E1" w:rsidRDefault="006F08E1" w:rsidP="006F08E1">
                      <w:pPr>
                        <w:overflowPunct/>
                        <w:autoSpaceDE/>
                        <w:autoSpaceDN/>
                        <w:adjustRightInd/>
                        <w:spacing w:line="276" w:lineRule="auto"/>
                        <w:jc w:val="left"/>
                        <w:textAlignment w:val="auto"/>
                        <w:rPr>
                          <w:rFonts w:ascii="Calibri" w:hAnsi="Calibri" w:cs="Calibri"/>
                          <w:color w:val="FFFFFF" w:themeColor="background1"/>
                        </w:rPr>
                      </w:pPr>
                    </w:p>
                    <w:p w14:paraId="65FC0189" w14:textId="014392A6" w:rsidR="006F08E1" w:rsidRPr="006F08E1" w:rsidRDefault="001F49EA" w:rsidP="006F08E1">
                      <w:pPr>
                        <w:overflowPunct/>
                        <w:autoSpaceDE/>
                        <w:autoSpaceDN/>
                        <w:adjustRightInd/>
                        <w:spacing w:line="276" w:lineRule="auto"/>
                        <w:jc w:val="left"/>
                        <w:textAlignment w:val="auto"/>
                        <w:rPr>
                          <w:rFonts w:ascii="Calibri" w:hAnsi="Calibri" w:cs="Calibri"/>
                          <w:color w:val="FFFFFF" w:themeColor="background1"/>
                        </w:rPr>
                      </w:pPr>
                      <w:r w:rsidRPr="001F49EA">
                        <w:rPr>
                          <w:rFonts w:ascii="Calibri" w:hAnsi="Calibri" w:cs="Calibri"/>
                          <w:color w:val="FFFFFF" w:themeColor="background1"/>
                        </w:rPr>
                        <w:t xml:space="preserve">Data pro ČBA </w:t>
                      </w:r>
                      <w:proofErr w:type="spellStart"/>
                      <w:r w:rsidRPr="001F49EA">
                        <w:rPr>
                          <w:rFonts w:ascii="Calibri" w:hAnsi="Calibri" w:cs="Calibri"/>
                          <w:color w:val="FFFFFF" w:themeColor="background1"/>
                        </w:rPr>
                        <w:t>Hypomonitor</w:t>
                      </w:r>
                      <w:proofErr w:type="spellEnd"/>
                      <w:r w:rsidRPr="001F49EA">
                        <w:rPr>
                          <w:rFonts w:ascii="Calibri" w:hAnsi="Calibri" w:cs="Calibri"/>
                          <w:color w:val="FFFFFF" w:themeColor="background1"/>
                        </w:rPr>
                        <w:t xml:space="preserve"> poskytují následující banky a stavební spořitelny: Air Bank, Banka </w:t>
                      </w:r>
                      <w:proofErr w:type="spellStart"/>
                      <w:r w:rsidRPr="001F49EA">
                        <w:rPr>
                          <w:rFonts w:ascii="Calibri" w:hAnsi="Calibri" w:cs="Calibri"/>
                          <w:color w:val="FFFFFF" w:themeColor="background1"/>
                        </w:rPr>
                        <w:t>Creditas</w:t>
                      </w:r>
                      <w:proofErr w:type="spellEnd"/>
                      <w:r w:rsidRPr="001F49EA">
                        <w:rPr>
                          <w:rFonts w:ascii="Calibri" w:hAnsi="Calibri" w:cs="Calibri"/>
                          <w:color w:val="FFFFFF" w:themeColor="background1"/>
                        </w:rPr>
                        <w:t xml:space="preserve">, Česká spořitelna, ČSOB, ČSOB Stavební spořitelna, </w:t>
                      </w:r>
                      <w:proofErr w:type="spellStart"/>
                      <w:r w:rsidRPr="001F49EA">
                        <w:rPr>
                          <w:rFonts w:ascii="Calibri" w:hAnsi="Calibri" w:cs="Calibri"/>
                          <w:color w:val="FFFFFF" w:themeColor="background1"/>
                        </w:rPr>
                        <w:t>Equa</w:t>
                      </w:r>
                      <w:proofErr w:type="spellEnd"/>
                      <w:r w:rsidRPr="001F49EA">
                        <w:rPr>
                          <w:rFonts w:ascii="Calibri" w:hAnsi="Calibri" w:cs="Calibri"/>
                          <w:color w:val="FFFFFF" w:themeColor="background1"/>
                        </w:rPr>
                        <w:t xml:space="preserve"> bank, Fio banka, Hypoteční banka, Komerční banka, mBank, Modrá pyramida, MONETA Money Bank, MONETA Stavební spořitelna, </w:t>
                      </w:r>
                      <w:proofErr w:type="spellStart"/>
                      <w:r w:rsidRPr="001F49EA">
                        <w:rPr>
                          <w:rFonts w:ascii="Calibri" w:hAnsi="Calibri" w:cs="Calibri"/>
                          <w:color w:val="FFFFFF" w:themeColor="background1"/>
                        </w:rPr>
                        <w:t>Oberbank</w:t>
                      </w:r>
                      <w:proofErr w:type="spellEnd"/>
                      <w:r w:rsidRPr="001F49EA">
                        <w:rPr>
                          <w:rFonts w:ascii="Calibri" w:hAnsi="Calibri" w:cs="Calibri"/>
                          <w:color w:val="FFFFFF" w:themeColor="background1"/>
                        </w:rPr>
                        <w:t xml:space="preserve">, </w:t>
                      </w:r>
                      <w:proofErr w:type="spellStart"/>
                      <w:r w:rsidRPr="001F49EA">
                        <w:rPr>
                          <w:rFonts w:ascii="Calibri" w:hAnsi="Calibri" w:cs="Calibri"/>
                          <w:color w:val="FFFFFF" w:themeColor="background1"/>
                        </w:rPr>
                        <w:t>Raiffeisen</w:t>
                      </w:r>
                      <w:proofErr w:type="spellEnd"/>
                      <w:r w:rsidRPr="001F49EA">
                        <w:rPr>
                          <w:rFonts w:ascii="Calibri" w:hAnsi="Calibri" w:cs="Calibri"/>
                          <w:color w:val="FFFFFF" w:themeColor="background1"/>
                        </w:rPr>
                        <w:t xml:space="preserve"> stavební spořitelna, Raiffeisenbank, Sberbank, Stavební spořitelna České spořitelny, UniCredit Bank</w:t>
                      </w:r>
                      <w:r>
                        <w:rPr>
                          <w:rFonts w:ascii="Calibri" w:hAnsi="Calibri" w:cs="Calibri"/>
                          <w:color w:val="FFFFFF" w:themeColor="background1"/>
                        </w:rPr>
                        <w:t>.</w:t>
                      </w:r>
                    </w:p>
                  </w:txbxContent>
                </v:textbox>
                <w10:wrap type="square"/>
              </v:shape>
            </w:pict>
          </mc:Fallback>
        </mc:AlternateContent>
      </w:r>
      <w:r w:rsidR="00E818C3">
        <w:rPr>
          <w:rFonts w:ascii="Calibri" w:hAnsi="Calibri" w:cs="Calibri"/>
          <w:i/>
          <w:iCs/>
          <w:sz w:val="20"/>
        </w:rPr>
        <w:t xml:space="preserve"> </w:t>
      </w:r>
    </w:p>
    <w:p w14:paraId="03609C5E" w14:textId="1B8DE88E" w:rsidR="00EF607A" w:rsidRPr="0001227F" w:rsidRDefault="00C948E7">
      <w:pPr>
        <w:overflowPunct/>
        <w:autoSpaceDE/>
        <w:autoSpaceDN/>
        <w:adjustRightInd/>
        <w:spacing w:after="160" w:line="259" w:lineRule="auto"/>
        <w:jc w:val="left"/>
        <w:textAlignment w:val="auto"/>
        <w:rPr>
          <w:rFonts w:ascii="Calibri" w:hAnsi="Calibri" w:cs="Calibri"/>
          <w:sz w:val="20"/>
        </w:rPr>
      </w:pPr>
      <w:r w:rsidRPr="0001227F">
        <w:rPr>
          <w:rFonts w:ascii="Calibri" w:eastAsiaTheme="minorEastAsia" w:hAnsi="Calibri" w:cs="Calibri"/>
          <w:i/>
          <w:iCs/>
          <w:noProof/>
          <w:sz w:val="16"/>
          <w:szCs w:val="18"/>
          <w:lang w:val="en-GB" w:eastAsia="en-GB"/>
        </w:rPr>
        <mc:AlternateContent>
          <mc:Choice Requires="wps">
            <w:drawing>
              <wp:anchor distT="0" distB="0" distL="114300" distR="114300" simplePos="0" relativeHeight="251678720" behindDoc="0" locked="0" layoutInCell="1" allowOverlap="1" wp14:anchorId="6D0BA4F4" wp14:editId="2E1F4E3A">
                <wp:simplePos x="0" y="0"/>
                <wp:positionH relativeFrom="margin">
                  <wp:posOffset>-34925</wp:posOffset>
                </wp:positionH>
                <wp:positionV relativeFrom="paragraph">
                  <wp:posOffset>78740</wp:posOffset>
                </wp:positionV>
                <wp:extent cx="4322445" cy="1546860"/>
                <wp:effectExtent l="0" t="0" r="1905" b="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46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8"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A4F4" id="Obdélník 199" o:spid="_x0000_s1028" style="position:absolute;margin-left:-2.75pt;margin-top:6.2pt;width:340.35pt;height:12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" fillcolor="#bfbfbf [2412]" stroked="f" strokeweight="1pt">
                <v:textbox inset="3mm,3mm,3mm,3mm">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9" w:history="1">
                        <w:r w:rsidR="002D4720" w:rsidRPr="002D4720">
                          <w:rPr>
                            <w:rStyle w:val="Hyperlink"/>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v:textbox>
                <w10:wrap anchorx="margin"/>
              </v:rect>
            </w:pict>
          </mc:Fallback>
        </mc:AlternateContent>
      </w:r>
      <w:r w:rsidRPr="0001227F">
        <w:rPr>
          <w:rFonts w:ascii="Calibri" w:eastAsiaTheme="minorEastAsia" w:hAnsi="Calibri" w:cs="Calibri"/>
          <w:i/>
          <w:iCs/>
          <w:noProof/>
          <w:sz w:val="16"/>
          <w:szCs w:val="18"/>
          <w:lang w:val="en-GB" w:eastAsia="en-GB"/>
        </w:rPr>
        <mc:AlternateContent>
          <mc:Choice Requires="wps">
            <w:drawing>
              <wp:anchor distT="0" distB="0" distL="114300" distR="114300" simplePos="0" relativeHeight="251680768" behindDoc="0" locked="0" layoutInCell="1" allowOverlap="1" wp14:anchorId="70D3B697" wp14:editId="461EA5C8">
                <wp:simplePos x="0" y="0"/>
                <wp:positionH relativeFrom="margin">
                  <wp:posOffset>4345940</wp:posOffset>
                </wp:positionH>
                <wp:positionV relativeFrom="paragraph">
                  <wp:posOffset>81915</wp:posOffset>
                </wp:positionV>
                <wp:extent cx="2193290" cy="1546860"/>
                <wp:effectExtent l="0" t="0" r="0" b="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1546860"/>
                        </a:xfrm>
                        <a:prstGeom prst="rect">
                          <a:avLst/>
                        </a:prstGeom>
                        <a:solidFill>
                          <a:srgbClr val="13576B">
                            <a:alpha val="86000"/>
                          </a:srgbClr>
                        </a:solidFill>
                        <a:ln>
                          <a:noFill/>
                        </a:ln>
                      </wps:spPr>
                      <wps:txbx>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340D5696" w:rsidR="0065124E" w:rsidRPr="002D4720" w:rsidRDefault="008C5D4D" w:rsidP="00044002">
                            <w:pPr>
                              <w:spacing w:line="276" w:lineRule="auto"/>
                              <w:jc w:val="left"/>
                              <w:rPr>
                                <w:rFonts w:ascii="Calibri" w:hAnsi="Calibri" w:cs="Calibri"/>
                                <w:noProof/>
                                <w:color w:val="FFFFFF" w:themeColor="background1"/>
                                <w:szCs w:val="18"/>
                              </w:rPr>
                            </w:pPr>
                            <w:r>
                              <w:rPr>
                                <w:rFonts w:ascii="Calibri" w:hAnsi="Calibri" w:cs="Calibri"/>
                                <w:noProof/>
                                <w:color w:val="FFFFFF" w:themeColor="background1"/>
                                <w:szCs w:val="18"/>
                              </w:rPr>
                              <w:t>Andrea Trudičová</w:t>
                            </w:r>
                            <w:r w:rsidR="0065124E" w:rsidRPr="002D4720">
                              <w:rPr>
                                <w:rFonts w:ascii="Calibri" w:hAnsi="Calibri" w:cs="Calibri"/>
                                <w:noProof/>
                                <w:color w:val="FFFFFF" w:themeColor="background1"/>
                                <w:szCs w:val="18"/>
                              </w:rPr>
                              <w:t xml:space="preserve">, </w:t>
                            </w:r>
                          </w:p>
                          <w:p w14:paraId="599CC908" w14:textId="7EBF7721"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PR a komunikace ČBA</w:t>
                            </w:r>
                          </w:p>
                          <w:p w14:paraId="6ED92D8B" w14:textId="28434DEE" w:rsidR="0065124E" w:rsidRPr="002D4720" w:rsidRDefault="008C5D4D" w:rsidP="00044002">
                            <w:pPr>
                              <w:spacing w:line="276" w:lineRule="auto"/>
                              <w:jc w:val="left"/>
                              <w:rPr>
                                <w:rFonts w:ascii="Calibri" w:hAnsi="Calibri" w:cs="Calibri"/>
                                <w:color w:val="FFFFFF" w:themeColor="background1"/>
                                <w:szCs w:val="18"/>
                              </w:rPr>
                            </w:pPr>
                            <w:r>
                              <w:rPr>
                                <w:rFonts w:ascii="Calibri" w:hAnsi="Calibri" w:cs="Calibri"/>
                                <w:color w:val="FFFFFF" w:themeColor="background1"/>
                                <w:szCs w:val="18"/>
                              </w:rPr>
                              <w:t>andrea</w:t>
                            </w:r>
                            <w:r w:rsidR="004555E6" w:rsidRPr="002D4720">
                              <w:rPr>
                                <w:rFonts w:ascii="Calibri" w:hAnsi="Calibri" w:cs="Calibri"/>
                                <w:color w:val="FFFFFF" w:themeColor="background1"/>
                                <w:szCs w:val="18"/>
                              </w:rPr>
                              <w:t>.</w:t>
                            </w:r>
                            <w:r>
                              <w:rPr>
                                <w:rFonts w:ascii="Calibri" w:hAnsi="Calibri" w:cs="Calibri"/>
                                <w:color w:val="FFFFFF" w:themeColor="background1"/>
                                <w:szCs w:val="18"/>
                              </w:rPr>
                              <w:t>trudicova</w:t>
                            </w:r>
                            <w:r w:rsidR="0065124E" w:rsidRPr="002D4720">
                              <w:rPr>
                                <w:rFonts w:ascii="Calibri" w:hAnsi="Calibri" w:cs="Calibri"/>
                                <w:color w:val="FFFFFF" w:themeColor="background1"/>
                                <w:szCs w:val="18"/>
                              </w:rPr>
                              <w:t>@</w:t>
                            </w:r>
                            <w:r w:rsidR="004555E6"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49F1473E"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w:t>
                            </w:r>
                            <w:r w:rsidR="008C5D4D">
                              <w:rPr>
                                <w:rFonts w:ascii="Calibri" w:hAnsi="Calibri" w:cs="Calibri"/>
                                <w:color w:val="FFFFFF" w:themeColor="background1"/>
                                <w:szCs w:val="18"/>
                              </w:rPr>
                              <w:t> 734 638 103</w:t>
                            </w:r>
                          </w:p>
                          <w:p w14:paraId="68E9F459" w14:textId="77777777" w:rsidR="0065124E" w:rsidRPr="002D4720" w:rsidRDefault="0065124E" w:rsidP="00044002">
                            <w:pPr>
                              <w:jc w:val="left"/>
                              <w:rPr>
                                <w:rFonts w:ascii="Calibri" w:hAnsi="Calibri" w:cs="Calibri"/>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3B697" id="Obdélník 200" o:spid="_x0000_s1029" style="position:absolute;margin-left:342.2pt;margin-top:6.45pt;width:172.7pt;height:121.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" fillcolor="#13576b" stroked="f">
                <v:fill opacity="56283f"/>
                <v:textbox inset="3mm,3mm,3mm,3mm">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340D5696" w:rsidR="0065124E" w:rsidRPr="002D4720" w:rsidRDefault="008C5D4D" w:rsidP="00044002">
                      <w:pPr>
                        <w:spacing w:line="276" w:lineRule="auto"/>
                        <w:jc w:val="left"/>
                        <w:rPr>
                          <w:rFonts w:ascii="Calibri" w:hAnsi="Calibri" w:cs="Calibri"/>
                          <w:noProof/>
                          <w:color w:val="FFFFFF" w:themeColor="background1"/>
                          <w:szCs w:val="18"/>
                        </w:rPr>
                      </w:pPr>
                      <w:r>
                        <w:rPr>
                          <w:rFonts w:ascii="Calibri" w:hAnsi="Calibri" w:cs="Calibri"/>
                          <w:noProof/>
                          <w:color w:val="FFFFFF" w:themeColor="background1"/>
                          <w:szCs w:val="18"/>
                        </w:rPr>
                        <w:t>Andrea Trudičová</w:t>
                      </w:r>
                      <w:r w:rsidR="0065124E" w:rsidRPr="002D4720">
                        <w:rPr>
                          <w:rFonts w:ascii="Calibri" w:hAnsi="Calibri" w:cs="Calibri"/>
                          <w:noProof/>
                          <w:color w:val="FFFFFF" w:themeColor="background1"/>
                          <w:szCs w:val="18"/>
                        </w:rPr>
                        <w:t xml:space="preserve">, </w:t>
                      </w:r>
                    </w:p>
                    <w:p w14:paraId="599CC908" w14:textId="7EBF7721"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PR a komunikace ČBA</w:t>
                      </w:r>
                    </w:p>
                    <w:p w14:paraId="6ED92D8B" w14:textId="28434DEE" w:rsidR="0065124E" w:rsidRPr="002D4720" w:rsidRDefault="008C5D4D" w:rsidP="00044002">
                      <w:pPr>
                        <w:spacing w:line="276" w:lineRule="auto"/>
                        <w:jc w:val="left"/>
                        <w:rPr>
                          <w:rFonts w:ascii="Calibri" w:hAnsi="Calibri" w:cs="Calibri"/>
                          <w:color w:val="FFFFFF" w:themeColor="background1"/>
                          <w:szCs w:val="18"/>
                        </w:rPr>
                      </w:pPr>
                      <w:r>
                        <w:rPr>
                          <w:rFonts w:ascii="Calibri" w:hAnsi="Calibri" w:cs="Calibri"/>
                          <w:color w:val="FFFFFF" w:themeColor="background1"/>
                          <w:szCs w:val="18"/>
                        </w:rPr>
                        <w:t>andrea</w:t>
                      </w:r>
                      <w:r w:rsidR="004555E6" w:rsidRPr="002D4720">
                        <w:rPr>
                          <w:rFonts w:ascii="Calibri" w:hAnsi="Calibri" w:cs="Calibri"/>
                          <w:color w:val="FFFFFF" w:themeColor="background1"/>
                          <w:szCs w:val="18"/>
                        </w:rPr>
                        <w:t>.</w:t>
                      </w:r>
                      <w:r>
                        <w:rPr>
                          <w:rFonts w:ascii="Calibri" w:hAnsi="Calibri" w:cs="Calibri"/>
                          <w:color w:val="FFFFFF" w:themeColor="background1"/>
                          <w:szCs w:val="18"/>
                        </w:rPr>
                        <w:t>trudicova</w:t>
                      </w:r>
                      <w:r w:rsidR="0065124E" w:rsidRPr="002D4720">
                        <w:rPr>
                          <w:rFonts w:ascii="Calibri" w:hAnsi="Calibri" w:cs="Calibri"/>
                          <w:color w:val="FFFFFF" w:themeColor="background1"/>
                          <w:szCs w:val="18"/>
                        </w:rPr>
                        <w:t>@</w:t>
                      </w:r>
                      <w:r w:rsidR="004555E6"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49F1473E"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w:t>
                      </w:r>
                      <w:r w:rsidR="008C5D4D">
                        <w:rPr>
                          <w:rFonts w:ascii="Calibri" w:hAnsi="Calibri" w:cs="Calibri"/>
                          <w:color w:val="FFFFFF" w:themeColor="background1"/>
                          <w:szCs w:val="18"/>
                        </w:rPr>
                        <w:t> 734 638 103</w:t>
                      </w:r>
                    </w:p>
                    <w:p w14:paraId="68E9F459" w14:textId="77777777" w:rsidR="0065124E" w:rsidRPr="002D4720" w:rsidRDefault="0065124E" w:rsidP="00044002">
                      <w:pPr>
                        <w:jc w:val="left"/>
                        <w:rPr>
                          <w:rFonts w:ascii="Calibri" w:hAnsi="Calibri" w:cs="Calibri"/>
                        </w:rPr>
                      </w:pPr>
                    </w:p>
                  </w:txbxContent>
                </v:textbox>
                <w10:wrap anchorx="margin"/>
              </v:rect>
            </w:pict>
          </mc:Fallback>
        </mc:AlternateContent>
      </w:r>
    </w:p>
    <w:p w14:paraId="786B9B74" w14:textId="4ED22AB4"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1B84242B" w14:textId="4C17CB69"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4F7DD2BE" w14:textId="4F73BA44"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1852EEE6" w14:textId="5AC84C41"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61319865" w14:textId="2CC22C1B"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72EFDF26" w14:textId="4084CDD3"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79952D08" w14:textId="12BEC237" w:rsidR="00C42F00" w:rsidRPr="0001227F" w:rsidRDefault="00C42F00" w:rsidP="008B1C16">
      <w:pPr>
        <w:spacing w:line="276" w:lineRule="auto"/>
        <w:contextualSpacing/>
        <w:rPr>
          <w:rFonts w:ascii="Calibri" w:hAnsi="Calibri" w:cs="Calibri"/>
          <w:sz w:val="20"/>
        </w:rPr>
      </w:pPr>
    </w:p>
    <w:sectPr w:rsidR="00C42F00" w:rsidRPr="0001227F" w:rsidSect="0001227F">
      <w:headerReference w:type="default" r:id="rId10"/>
      <w:footerReference w:type="default" r:id="rId11"/>
      <w:pgSz w:w="11906" w:h="16838"/>
      <w:pgMar w:top="2552" w:right="849"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A6C4" w14:textId="77777777" w:rsidR="00A6012B" w:rsidRDefault="00A6012B" w:rsidP="00F573F1">
      <w:r>
        <w:separator/>
      </w:r>
    </w:p>
  </w:endnote>
  <w:endnote w:type="continuationSeparator" w:id="0">
    <w:p w14:paraId="42927D8D" w14:textId="77777777" w:rsidR="00A6012B" w:rsidRDefault="00A6012B"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90799"/>
      <w:docPartObj>
        <w:docPartGallery w:val="Page Numbers (Bottom of Page)"/>
        <w:docPartUnique/>
      </w:docPartObj>
    </w:sdtPr>
    <w:sdtEndPr/>
    <w:sdtContent>
      <w:sdt>
        <w:sdtPr>
          <w:id w:val="-1769616900"/>
          <w:docPartObj>
            <w:docPartGallery w:val="Page Numbers (Top of Page)"/>
            <w:docPartUnique/>
          </w:docPartObj>
        </w:sdtPr>
        <w:sdtEndPr/>
        <w:sdtContent>
          <w:p w14:paraId="5E2EB97C" w14:textId="016AD999" w:rsidR="001E31AB" w:rsidRDefault="001E31AB">
            <w:pPr>
              <w:pStyle w:val="Zpat"/>
              <w:jc w:val="right"/>
            </w:pPr>
            <w:r w:rsidRPr="001E31AB">
              <w:rPr>
                <w:rFonts w:ascii="Calibri" w:hAnsi="Calibri"/>
                <w:noProof/>
                <w:szCs w:val="18"/>
                <w:lang w:val="en-GB" w:eastAsia="en-GB"/>
              </w:rPr>
              <w:drawing>
                <wp:anchor distT="0" distB="0" distL="114300" distR="114300" simplePos="0" relativeHeight="251666432" behindDoc="0" locked="0" layoutInCell="1" allowOverlap="1" wp14:anchorId="7B2A8544" wp14:editId="09B386F6">
                  <wp:simplePos x="0" y="0"/>
                  <wp:positionH relativeFrom="column">
                    <wp:posOffset>-540385</wp:posOffset>
                  </wp:positionH>
                  <wp:positionV relativeFrom="paragraph">
                    <wp:posOffset>-365760</wp:posOffset>
                  </wp:positionV>
                  <wp:extent cx="3042285" cy="701040"/>
                  <wp:effectExtent l="0" t="0" r="5715"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31AB">
              <w:rPr>
                <w:rFonts w:ascii="Calibri" w:hAnsi="Calibri"/>
                <w:szCs w:val="18"/>
              </w:rPr>
              <w:t xml:space="preserve">Stránka </w:t>
            </w:r>
            <w:r w:rsidRPr="001E31AB">
              <w:rPr>
                <w:rFonts w:ascii="Calibri" w:hAnsi="Calibri"/>
                <w:b/>
                <w:bCs/>
                <w:szCs w:val="18"/>
              </w:rPr>
              <w:fldChar w:fldCharType="begin"/>
            </w:r>
            <w:r w:rsidRPr="001E31AB">
              <w:rPr>
                <w:rFonts w:ascii="Calibri" w:hAnsi="Calibri"/>
                <w:b/>
                <w:bCs/>
                <w:szCs w:val="18"/>
              </w:rPr>
              <w:instrText>PAGE</w:instrText>
            </w:r>
            <w:r w:rsidRPr="001E31AB">
              <w:rPr>
                <w:rFonts w:ascii="Calibri" w:hAnsi="Calibri"/>
                <w:b/>
                <w:bCs/>
                <w:szCs w:val="18"/>
              </w:rPr>
              <w:fldChar w:fldCharType="separate"/>
            </w:r>
            <w:r w:rsidR="005F4B41">
              <w:rPr>
                <w:rFonts w:ascii="Calibri" w:hAnsi="Calibri"/>
                <w:b/>
                <w:bCs/>
                <w:noProof/>
                <w:szCs w:val="18"/>
              </w:rPr>
              <w:t>1</w:t>
            </w:r>
            <w:r w:rsidRPr="001E31AB">
              <w:rPr>
                <w:rFonts w:ascii="Calibri" w:hAnsi="Calibri"/>
                <w:b/>
                <w:bCs/>
                <w:szCs w:val="18"/>
              </w:rPr>
              <w:fldChar w:fldCharType="end"/>
            </w:r>
            <w:r w:rsidRPr="001E31AB">
              <w:rPr>
                <w:rFonts w:ascii="Calibri" w:hAnsi="Calibri"/>
                <w:szCs w:val="18"/>
              </w:rPr>
              <w:t xml:space="preserve"> z </w:t>
            </w:r>
            <w:r w:rsidRPr="001E31AB">
              <w:rPr>
                <w:rFonts w:ascii="Calibri" w:hAnsi="Calibri"/>
                <w:b/>
                <w:bCs/>
                <w:szCs w:val="18"/>
              </w:rPr>
              <w:fldChar w:fldCharType="begin"/>
            </w:r>
            <w:r w:rsidRPr="001E31AB">
              <w:rPr>
                <w:rFonts w:ascii="Calibri" w:hAnsi="Calibri"/>
                <w:b/>
                <w:bCs/>
                <w:szCs w:val="18"/>
              </w:rPr>
              <w:instrText>NUMPAGES</w:instrText>
            </w:r>
            <w:r w:rsidRPr="001E31AB">
              <w:rPr>
                <w:rFonts w:ascii="Calibri" w:hAnsi="Calibri"/>
                <w:b/>
                <w:bCs/>
                <w:szCs w:val="18"/>
              </w:rPr>
              <w:fldChar w:fldCharType="separate"/>
            </w:r>
            <w:r w:rsidR="005F4B41">
              <w:rPr>
                <w:rFonts w:ascii="Calibri" w:hAnsi="Calibri"/>
                <w:b/>
                <w:bCs/>
                <w:noProof/>
                <w:szCs w:val="18"/>
              </w:rPr>
              <w:t>2</w:t>
            </w:r>
            <w:r w:rsidRPr="001E31AB">
              <w:rPr>
                <w:rFonts w:ascii="Calibri" w:hAnsi="Calibri"/>
                <w:b/>
                <w:bCs/>
                <w:szCs w:val="18"/>
              </w:rPr>
              <w:fldChar w:fldCharType="end"/>
            </w:r>
          </w:p>
        </w:sdtContent>
      </w:sdt>
    </w:sdtContent>
  </w:sdt>
  <w:p w14:paraId="300EB588" w14:textId="24FF51AB"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6A67" w14:textId="77777777" w:rsidR="00A6012B" w:rsidRDefault="00A6012B" w:rsidP="00F573F1">
      <w:r>
        <w:separator/>
      </w:r>
    </w:p>
  </w:footnote>
  <w:footnote w:type="continuationSeparator" w:id="0">
    <w:p w14:paraId="5ECEAAE8" w14:textId="77777777" w:rsidR="00A6012B" w:rsidRDefault="00A6012B" w:rsidP="00F573F1">
      <w:r>
        <w:continuationSeparator/>
      </w:r>
    </w:p>
  </w:footnote>
  <w:footnote w:id="1">
    <w:p w14:paraId="30392F30" w14:textId="19FF508F" w:rsidR="006F7BDA" w:rsidRPr="007C6225" w:rsidRDefault="006F7BDA">
      <w:pPr>
        <w:pStyle w:val="Textpoznpodarou"/>
        <w:rPr>
          <w:rFonts w:ascii="Calibri" w:hAnsi="Calibri" w:cs="Calibri"/>
          <w:sz w:val="17"/>
          <w:szCs w:val="17"/>
        </w:rPr>
      </w:pPr>
      <w:r w:rsidRPr="007C6225">
        <w:rPr>
          <w:rStyle w:val="Znakapoznpodarou"/>
          <w:rFonts w:ascii="Calibri" w:hAnsi="Calibri" w:cs="Calibri"/>
          <w:sz w:val="17"/>
          <w:szCs w:val="17"/>
        </w:rPr>
        <w:footnoteRef/>
      </w:r>
      <w:r w:rsidRPr="007C6225">
        <w:rPr>
          <w:rFonts w:ascii="Calibri" w:hAnsi="Calibri" w:cs="Calibri"/>
          <w:sz w:val="17"/>
          <w:szCs w:val="17"/>
        </w:rPr>
        <w:t xml:space="preserve"> Jedná se především o dlouholeté úrokové swapy (interest rate swap, IRS), které odráží cenu peněz v delších splatnostech, například 5 až 10 let. </w:t>
      </w:r>
      <w:r w:rsidR="009F5F2C">
        <w:rPr>
          <w:rFonts w:ascii="Calibri" w:hAnsi="Calibri" w:cs="Calibri"/>
          <w:sz w:val="17"/>
          <w:szCs w:val="17"/>
        </w:rPr>
        <w:t>Téměř polovina hypoték se totiž v posledních letech poskytne s fixací úrokové sazby mezi 5 až 10 lety.</w:t>
      </w:r>
    </w:p>
  </w:footnote>
  <w:footnote w:id="2">
    <w:p w14:paraId="54607632" w14:textId="0B86DE43" w:rsidR="005E1F6F" w:rsidRDefault="005E1F6F">
      <w:pPr>
        <w:pStyle w:val="Textpoznpodarou"/>
      </w:pPr>
      <w:r w:rsidRPr="007C6225">
        <w:rPr>
          <w:rStyle w:val="Znakapoznpodarou"/>
          <w:rFonts w:ascii="Calibri" w:hAnsi="Calibri" w:cs="Calibri"/>
          <w:sz w:val="17"/>
          <w:szCs w:val="17"/>
        </w:rPr>
        <w:footnoteRef/>
      </w:r>
      <w:r w:rsidRPr="007C6225">
        <w:rPr>
          <w:rFonts w:ascii="Calibri" w:hAnsi="Calibri" w:cs="Calibri"/>
          <w:sz w:val="17"/>
          <w:szCs w:val="17"/>
        </w:rPr>
        <w:t xml:space="preserve"> </w:t>
      </w:r>
      <w:r w:rsidR="00DA1419" w:rsidRPr="007C6225">
        <w:rPr>
          <w:rFonts w:ascii="Calibri" w:hAnsi="Calibri" w:cs="Calibri"/>
          <w:sz w:val="17"/>
          <w:szCs w:val="17"/>
        </w:rPr>
        <w:t>Jde</w:t>
      </w:r>
      <w:r w:rsidR="00E20664" w:rsidRPr="007C6225">
        <w:rPr>
          <w:rFonts w:ascii="Calibri" w:hAnsi="Calibri" w:cs="Calibri"/>
          <w:sz w:val="17"/>
          <w:szCs w:val="17"/>
        </w:rPr>
        <w:t xml:space="preserve"> </w:t>
      </w:r>
      <w:r w:rsidR="00DC77F2" w:rsidRPr="007C6225">
        <w:rPr>
          <w:rFonts w:ascii="Calibri" w:hAnsi="Calibri" w:cs="Calibri"/>
          <w:sz w:val="17"/>
          <w:szCs w:val="17"/>
        </w:rPr>
        <w:t xml:space="preserve">o </w:t>
      </w:r>
      <w:r w:rsidR="00E20664" w:rsidRPr="007C6225">
        <w:rPr>
          <w:rFonts w:ascii="Calibri" w:hAnsi="Calibri" w:cs="Calibri"/>
          <w:sz w:val="17"/>
          <w:szCs w:val="17"/>
        </w:rPr>
        <w:t xml:space="preserve">objem nově poskytnutých hypoték, nikoli </w:t>
      </w:r>
      <w:r w:rsidR="00337157" w:rsidRPr="007C6225">
        <w:rPr>
          <w:rFonts w:ascii="Calibri" w:hAnsi="Calibri" w:cs="Calibri"/>
          <w:sz w:val="17"/>
          <w:szCs w:val="17"/>
        </w:rPr>
        <w:t xml:space="preserve">objemu </w:t>
      </w:r>
      <w:r w:rsidR="00E20664" w:rsidRPr="007C6225">
        <w:rPr>
          <w:rFonts w:ascii="Calibri" w:hAnsi="Calibri" w:cs="Calibri"/>
          <w:sz w:val="17"/>
          <w:szCs w:val="17"/>
        </w:rPr>
        <w:t xml:space="preserve">úvěrů na bydlení, </w:t>
      </w:r>
      <w:r w:rsidR="00F34F38" w:rsidRPr="007C6225">
        <w:rPr>
          <w:rFonts w:ascii="Calibri" w:hAnsi="Calibri" w:cs="Calibri"/>
          <w:sz w:val="17"/>
          <w:szCs w:val="17"/>
        </w:rPr>
        <w:t>což je širší ukazatel zachycující například také úvěry na rekonstrukci, kde však ne</w:t>
      </w:r>
      <w:r w:rsidR="00810A52" w:rsidRPr="007C6225">
        <w:rPr>
          <w:rFonts w:ascii="Calibri" w:hAnsi="Calibri" w:cs="Calibri"/>
          <w:sz w:val="17"/>
          <w:szCs w:val="17"/>
        </w:rPr>
        <w:t>dochází k z</w:t>
      </w:r>
      <w:r w:rsidR="00EA7745" w:rsidRPr="007C6225">
        <w:rPr>
          <w:rFonts w:ascii="Calibri" w:hAnsi="Calibri" w:cs="Calibri"/>
          <w:sz w:val="17"/>
          <w:szCs w:val="17"/>
        </w:rPr>
        <w:t>á</w:t>
      </w:r>
      <w:r w:rsidR="00810A52" w:rsidRPr="007C6225">
        <w:rPr>
          <w:rFonts w:ascii="Calibri" w:hAnsi="Calibri" w:cs="Calibri"/>
          <w:sz w:val="17"/>
          <w:szCs w:val="17"/>
        </w:rPr>
        <w:t>sta</w:t>
      </w:r>
      <w:r w:rsidR="00EA7745" w:rsidRPr="007C6225">
        <w:rPr>
          <w:rFonts w:ascii="Calibri" w:hAnsi="Calibri" w:cs="Calibri"/>
          <w:sz w:val="17"/>
          <w:szCs w:val="17"/>
        </w:rPr>
        <w:t>vě</w:t>
      </w:r>
      <w:r w:rsidR="00810A52" w:rsidRPr="007C6225">
        <w:rPr>
          <w:rFonts w:ascii="Calibri" w:hAnsi="Calibri" w:cs="Calibri"/>
          <w:sz w:val="17"/>
          <w:szCs w:val="17"/>
        </w:rPr>
        <w:t xml:space="preserve"> nemovitost</w:t>
      </w:r>
      <w:r w:rsidR="00CC22B1">
        <w:rPr>
          <w:rFonts w:ascii="Calibri" w:hAnsi="Calibri" w:cs="Calibri"/>
          <w:sz w:val="17"/>
          <w:szCs w:val="17"/>
        </w:rPr>
        <w:t>i</w:t>
      </w:r>
      <w:r w:rsidR="00D709B5" w:rsidRPr="007C6225">
        <w:rPr>
          <w:rFonts w:ascii="Calibri" w:hAnsi="Calibri" w:cs="Calibri"/>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4485" w14:textId="413EF015" w:rsidR="0065124E" w:rsidRDefault="00744C66">
    <w:pPr>
      <w:pStyle w:val="Zhlav"/>
    </w:pPr>
    <w:r>
      <w:rPr>
        <w:noProof/>
        <w:lang w:val="en-GB" w:eastAsia="en-GB"/>
      </w:rPr>
      <w:drawing>
        <wp:anchor distT="0" distB="0" distL="114300" distR="114300" simplePos="0" relativeHeight="251660288" behindDoc="0" locked="0" layoutInCell="1" allowOverlap="1" wp14:anchorId="197D896D" wp14:editId="7A6FB449">
          <wp:simplePos x="0" y="0"/>
          <wp:positionH relativeFrom="column">
            <wp:posOffset>-52705</wp:posOffset>
          </wp:positionH>
          <wp:positionV relativeFrom="paragraph">
            <wp:posOffset>29845</wp:posOffset>
          </wp:positionV>
          <wp:extent cx="2209800" cy="7785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sidR="002D4720">
      <w:rPr>
        <w:noProof/>
        <w:lang w:val="en-GB" w:eastAsia="en-GB"/>
      </w:rPr>
      <w:drawing>
        <wp:anchor distT="0" distB="0" distL="114300" distR="114300" simplePos="0" relativeHeight="251664384" behindDoc="1" locked="0" layoutInCell="1" allowOverlap="1" wp14:anchorId="2A1D7AA9" wp14:editId="7A7B0A01">
          <wp:simplePos x="0" y="0"/>
          <wp:positionH relativeFrom="column">
            <wp:posOffset>3985895</wp:posOffset>
          </wp:positionH>
          <wp:positionV relativeFrom="paragraph">
            <wp:posOffset>-8255</wp:posOffset>
          </wp:positionV>
          <wp:extent cx="2943225" cy="243840"/>
          <wp:effectExtent l="0" t="0" r="9525" b="381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720" w:rsidRPr="007C30FC">
      <w:rPr>
        <w:rFonts w:cs="Arial"/>
        <w:noProof/>
        <w:lang w:val="en-GB" w:eastAsia="en-GB"/>
      </w:rPr>
      <mc:AlternateContent>
        <mc:Choice Requires="wps">
          <w:drawing>
            <wp:anchor distT="45720" distB="45720" distL="114300" distR="114300" simplePos="0" relativeHeight="251662336" behindDoc="0" locked="0" layoutInCell="1" allowOverlap="1" wp14:anchorId="126DE097" wp14:editId="755E40ED">
              <wp:simplePos x="0" y="0"/>
              <wp:positionH relativeFrom="margin">
                <wp:posOffset>5238115</wp:posOffset>
              </wp:positionH>
              <wp:positionV relativeFrom="paragraph">
                <wp:posOffset>153035</wp:posOffset>
              </wp:positionV>
              <wp:extent cx="1239520" cy="140462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15DE40D2" w14:textId="77777777" w:rsidR="002D4720" w:rsidRPr="008C5D4D" w:rsidRDefault="002D4720" w:rsidP="002D4720">
                          <w:pPr>
                            <w:spacing w:line="276" w:lineRule="auto"/>
                            <w:jc w:val="right"/>
                            <w:rPr>
                              <w:rFonts w:ascii="Calibri" w:hAnsi="Calibri" w:cs="Calibri"/>
                              <w:b/>
                              <w:color w:val="13576B"/>
                              <w:sz w:val="20"/>
                              <w:szCs w:val="22"/>
                            </w:rPr>
                          </w:pPr>
                          <w:r w:rsidRPr="008C5D4D">
                            <w:rPr>
                              <w:rFonts w:ascii="Calibri" w:hAnsi="Calibri" w:cs="Calibri"/>
                              <w:b/>
                              <w:color w:val="13576B"/>
                              <w:sz w:val="20"/>
                              <w:szCs w:val="22"/>
                            </w:rPr>
                            <w:t>KOMENTÁŘ</w:t>
                          </w:r>
                        </w:p>
                        <w:p w14:paraId="0A69756F" w14:textId="25EB9AE7" w:rsidR="002D4720" w:rsidRPr="008C5D4D" w:rsidRDefault="008C5D4D" w:rsidP="002D4720">
                          <w:pPr>
                            <w:spacing w:line="276" w:lineRule="auto"/>
                            <w:jc w:val="center"/>
                            <w:rPr>
                              <w:rFonts w:ascii="Calibri" w:hAnsi="Calibri" w:cs="Calibri"/>
                              <w:b/>
                              <w:color w:val="13576B"/>
                              <w:sz w:val="20"/>
                              <w:szCs w:val="22"/>
                            </w:rPr>
                          </w:pPr>
                          <w:r>
                            <w:rPr>
                              <w:rFonts w:ascii="Calibri" w:hAnsi="Calibri" w:cs="Calibri"/>
                              <w:color w:val="13576B"/>
                              <w:sz w:val="20"/>
                              <w:szCs w:val="22"/>
                            </w:rPr>
                            <w:t xml:space="preserve">           </w:t>
                          </w:r>
                          <w:r w:rsidRPr="008C5D4D">
                            <w:rPr>
                              <w:rFonts w:ascii="Calibri" w:hAnsi="Calibri" w:cs="Calibri"/>
                              <w:color w:val="13576B"/>
                              <w:sz w:val="20"/>
                              <w:szCs w:val="22"/>
                            </w:rPr>
                            <w:t xml:space="preserve">   </w:t>
                          </w:r>
                          <w:r w:rsidR="002D4720" w:rsidRPr="008C5D4D">
                            <w:rPr>
                              <w:rFonts w:ascii="Calibri" w:hAnsi="Calibri" w:cs="Calibri"/>
                              <w:color w:val="13576B"/>
                              <w:sz w:val="20"/>
                              <w:szCs w:val="22"/>
                            </w:rPr>
                            <w:t xml:space="preserve">  </w:t>
                          </w:r>
                          <w:r w:rsidR="0001227F">
                            <w:rPr>
                              <w:rFonts w:ascii="Calibri" w:hAnsi="Calibri" w:cs="Calibri"/>
                              <w:color w:val="13576B"/>
                              <w:sz w:val="20"/>
                              <w:szCs w:val="22"/>
                            </w:rPr>
                            <w:t>18</w:t>
                          </w:r>
                          <w:r w:rsidR="002D4720" w:rsidRPr="008C5D4D">
                            <w:rPr>
                              <w:rFonts w:ascii="Calibri" w:hAnsi="Calibri" w:cs="Calibri"/>
                              <w:color w:val="13576B"/>
                              <w:sz w:val="20"/>
                              <w:szCs w:val="22"/>
                            </w:rPr>
                            <w:t>.</w:t>
                          </w:r>
                          <w:r w:rsidR="0001227F">
                            <w:rPr>
                              <w:rFonts w:ascii="Calibri" w:hAnsi="Calibri" w:cs="Calibri"/>
                              <w:color w:val="13576B"/>
                              <w:sz w:val="20"/>
                              <w:szCs w:val="22"/>
                            </w:rPr>
                            <w:t>10</w:t>
                          </w:r>
                          <w:r w:rsidR="002D4720" w:rsidRPr="008C5D4D">
                            <w:rPr>
                              <w:rFonts w:ascii="Calibri" w:hAnsi="Calibri" w:cs="Calibri"/>
                              <w:color w:val="13576B"/>
                              <w:sz w:val="20"/>
                              <w:szCs w:val="22"/>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DE097" id="_x0000_t202" coordsize="21600,21600" o:spt="202" path="m,l,21600r21600,l21600,xe">
              <v:stroke joinstyle="miter"/>
              <v:path gradientshapeok="t" o:connecttype="rect"/>
            </v:shapetype>
            <v:shape id="_x0000_s1030" type="#_x0000_t202" style="position:absolute;left:0;text-align:left;margin-left:412.45pt;margin-top:12.05pt;width:97.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" filled="f" stroked="f">
              <v:textbox style="mso-fit-shape-to-text:t">
                <w:txbxContent>
                  <w:p w14:paraId="15DE40D2" w14:textId="77777777" w:rsidR="002D4720" w:rsidRPr="008C5D4D" w:rsidRDefault="002D4720" w:rsidP="002D4720">
                    <w:pPr>
                      <w:spacing w:line="276" w:lineRule="auto"/>
                      <w:jc w:val="right"/>
                      <w:rPr>
                        <w:rFonts w:ascii="Calibri" w:hAnsi="Calibri" w:cs="Calibri"/>
                        <w:b/>
                        <w:color w:val="13576B"/>
                        <w:sz w:val="20"/>
                        <w:szCs w:val="22"/>
                      </w:rPr>
                    </w:pPr>
                    <w:r w:rsidRPr="008C5D4D">
                      <w:rPr>
                        <w:rFonts w:ascii="Calibri" w:hAnsi="Calibri" w:cs="Calibri"/>
                        <w:b/>
                        <w:color w:val="13576B"/>
                        <w:sz w:val="20"/>
                        <w:szCs w:val="22"/>
                      </w:rPr>
                      <w:t>KOMENTÁŘ</w:t>
                    </w:r>
                  </w:p>
                  <w:p w14:paraId="0A69756F" w14:textId="25EB9AE7" w:rsidR="002D4720" w:rsidRPr="008C5D4D" w:rsidRDefault="008C5D4D" w:rsidP="002D4720">
                    <w:pPr>
                      <w:spacing w:line="276" w:lineRule="auto"/>
                      <w:jc w:val="center"/>
                      <w:rPr>
                        <w:rFonts w:ascii="Calibri" w:hAnsi="Calibri" w:cs="Calibri"/>
                        <w:b/>
                        <w:color w:val="13576B"/>
                        <w:sz w:val="20"/>
                        <w:szCs w:val="22"/>
                      </w:rPr>
                    </w:pPr>
                    <w:r>
                      <w:rPr>
                        <w:rFonts w:ascii="Calibri" w:hAnsi="Calibri" w:cs="Calibri"/>
                        <w:color w:val="13576B"/>
                        <w:sz w:val="20"/>
                        <w:szCs w:val="22"/>
                      </w:rPr>
                      <w:t xml:space="preserve">           </w:t>
                    </w:r>
                    <w:r w:rsidRPr="008C5D4D">
                      <w:rPr>
                        <w:rFonts w:ascii="Calibri" w:hAnsi="Calibri" w:cs="Calibri"/>
                        <w:color w:val="13576B"/>
                        <w:sz w:val="20"/>
                        <w:szCs w:val="22"/>
                      </w:rPr>
                      <w:t xml:space="preserve">   </w:t>
                    </w:r>
                    <w:r w:rsidR="002D4720" w:rsidRPr="008C5D4D">
                      <w:rPr>
                        <w:rFonts w:ascii="Calibri" w:hAnsi="Calibri" w:cs="Calibri"/>
                        <w:color w:val="13576B"/>
                        <w:sz w:val="20"/>
                        <w:szCs w:val="22"/>
                      </w:rPr>
                      <w:t xml:space="preserve">  </w:t>
                    </w:r>
                    <w:r w:rsidR="0001227F">
                      <w:rPr>
                        <w:rFonts w:ascii="Calibri" w:hAnsi="Calibri" w:cs="Calibri"/>
                        <w:color w:val="13576B"/>
                        <w:sz w:val="20"/>
                        <w:szCs w:val="22"/>
                      </w:rPr>
                      <w:t>18</w:t>
                    </w:r>
                    <w:r w:rsidR="002D4720" w:rsidRPr="008C5D4D">
                      <w:rPr>
                        <w:rFonts w:ascii="Calibri" w:hAnsi="Calibri" w:cs="Calibri"/>
                        <w:color w:val="13576B"/>
                        <w:sz w:val="20"/>
                        <w:szCs w:val="22"/>
                      </w:rPr>
                      <w:t>.</w:t>
                    </w:r>
                    <w:r w:rsidR="0001227F">
                      <w:rPr>
                        <w:rFonts w:ascii="Calibri" w:hAnsi="Calibri" w:cs="Calibri"/>
                        <w:color w:val="13576B"/>
                        <w:sz w:val="20"/>
                        <w:szCs w:val="22"/>
                      </w:rPr>
                      <w:t>10</w:t>
                    </w:r>
                    <w:r w:rsidR="002D4720" w:rsidRPr="008C5D4D">
                      <w:rPr>
                        <w:rFonts w:ascii="Calibri" w:hAnsi="Calibri" w:cs="Calibri"/>
                        <w:color w:val="13576B"/>
                        <w:sz w:val="20"/>
                        <w:szCs w:val="22"/>
                      </w:rPr>
                      <w:t>.2021</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B1D76"/>
    <w:multiLevelType w:val="hybridMultilevel"/>
    <w:tmpl w:val="6D5277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0A4083"/>
    <w:multiLevelType w:val="hybridMultilevel"/>
    <w:tmpl w:val="3C584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9" w15:restartNumberingAfterBreak="0">
    <w:nsid w:val="606843DC"/>
    <w:multiLevelType w:val="hybridMultilevel"/>
    <w:tmpl w:val="3E42D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22"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4"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0DE4F03"/>
    <w:multiLevelType w:val="hybridMultilevel"/>
    <w:tmpl w:val="D458DCC2"/>
    <w:lvl w:ilvl="0" w:tplc="ABAA372A">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8"/>
  </w:num>
  <w:num w:numId="3">
    <w:abstractNumId w:val="25"/>
  </w:num>
  <w:num w:numId="4">
    <w:abstractNumId w:val="14"/>
  </w:num>
  <w:num w:numId="5">
    <w:abstractNumId w:val="4"/>
  </w:num>
  <w:num w:numId="6">
    <w:abstractNumId w:val="23"/>
  </w:num>
  <w:num w:numId="7">
    <w:abstractNumId w:val="6"/>
  </w:num>
  <w:num w:numId="8">
    <w:abstractNumId w:val="28"/>
  </w:num>
  <w:num w:numId="9">
    <w:abstractNumId w:val="5"/>
  </w:num>
  <w:num w:numId="10">
    <w:abstractNumId w:val="24"/>
  </w:num>
  <w:num w:numId="11">
    <w:abstractNumId w:val="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9"/>
  </w:num>
  <w:num w:numId="17">
    <w:abstractNumId w:val="11"/>
  </w:num>
  <w:num w:numId="18">
    <w:abstractNumId w:val="17"/>
  </w:num>
  <w:num w:numId="19">
    <w:abstractNumId w:val="20"/>
  </w:num>
  <w:num w:numId="20">
    <w:abstractNumId w:val="10"/>
  </w:num>
  <w:num w:numId="21">
    <w:abstractNumId w:val="0"/>
  </w:num>
  <w:num w:numId="22">
    <w:abstractNumId w:val="22"/>
  </w:num>
  <w:num w:numId="23">
    <w:abstractNumId w:val="27"/>
  </w:num>
  <w:num w:numId="24">
    <w:abstractNumId w:val="21"/>
  </w:num>
  <w:num w:numId="25">
    <w:abstractNumId w:val="16"/>
  </w:num>
  <w:num w:numId="26">
    <w:abstractNumId w:val="13"/>
  </w:num>
  <w:num w:numId="27">
    <w:abstractNumId w:val="26"/>
  </w:num>
  <w:num w:numId="28">
    <w:abstractNumId w:val="7"/>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054D2"/>
    <w:rsid w:val="00010564"/>
    <w:rsid w:val="000118C2"/>
    <w:rsid w:val="0001227F"/>
    <w:rsid w:val="00015933"/>
    <w:rsid w:val="000159E5"/>
    <w:rsid w:val="000176E6"/>
    <w:rsid w:val="00020581"/>
    <w:rsid w:val="00020FE5"/>
    <w:rsid w:val="000213CC"/>
    <w:rsid w:val="00023E9F"/>
    <w:rsid w:val="0002473E"/>
    <w:rsid w:val="00037707"/>
    <w:rsid w:val="00043889"/>
    <w:rsid w:val="00044002"/>
    <w:rsid w:val="000444EA"/>
    <w:rsid w:val="00047DF1"/>
    <w:rsid w:val="000509DD"/>
    <w:rsid w:val="00050AF7"/>
    <w:rsid w:val="00051A5B"/>
    <w:rsid w:val="00053EE4"/>
    <w:rsid w:val="000559DE"/>
    <w:rsid w:val="000563EB"/>
    <w:rsid w:val="00056A4F"/>
    <w:rsid w:val="00057396"/>
    <w:rsid w:val="00060D7F"/>
    <w:rsid w:val="00072447"/>
    <w:rsid w:val="0007445A"/>
    <w:rsid w:val="00081E35"/>
    <w:rsid w:val="000842AE"/>
    <w:rsid w:val="00086094"/>
    <w:rsid w:val="0009491E"/>
    <w:rsid w:val="00097293"/>
    <w:rsid w:val="000A2C3B"/>
    <w:rsid w:val="000A3ECF"/>
    <w:rsid w:val="000A4D59"/>
    <w:rsid w:val="000A664C"/>
    <w:rsid w:val="000B4C8F"/>
    <w:rsid w:val="000B70C8"/>
    <w:rsid w:val="000B79A4"/>
    <w:rsid w:val="000C045B"/>
    <w:rsid w:val="000C234E"/>
    <w:rsid w:val="000C4910"/>
    <w:rsid w:val="000D32BB"/>
    <w:rsid w:val="000D4F26"/>
    <w:rsid w:val="000D56F1"/>
    <w:rsid w:val="000D5D2B"/>
    <w:rsid w:val="000D684D"/>
    <w:rsid w:val="000E0C43"/>
    <w:rsid w:val="000E2B4E"/>
    <w:rsid w:val="000E4ABC"/>
    <w:rsid w:val="000E563F"/>
    <w:rsid w:val="000F02C1"/>
    <w:rsid w:val="000F02FD"/>
    <w:rsid w:val="000F4318"/>
    <w:rsid w:val="000F70CA"/>
    <w:rsid w:val="0010268F"/>
    <w:rsid w:val="0010277A"/>
    <w:rsid w:val="00103662"/>
    <w:rsid w:val="001126B2"/>
    <w:rsid w:val="0011443F"/>
    <w:rsid w:val="00115D53"/>
    <w:rsid w:val="00116F4B"/>
    <w:rsid w:val="00122810"/>
    <w:rsid w:val="00122CC4"/>
    <w:rsid w:val="0012351B"/>
    <w:rsid w:val="00123FF9"/>
    <w:rsid w:val="001253CC"/>
    <w:rsid w:val="00131E94"/>
    <w:rsid w:val="00132EE9"/>
    <w:rsid w:val="001361CA"/>
    <w:rsid w:val="00136FC5"/>
    <w:rsid w:val="0013716D"/>
    <w:rsid w:val="00140E10"/>
    <w:rsid w:val="00143DCC"/>
    <w:rsid w:val="00144D53"/>
    <w:rsid w:val="00145E7A"/>
    <w:rsid w:val="00146F46"/>
    <w:rsid w:val="0015125A"/>
    <w:rsid w:val="0015295E"/>
    <w:rsid w:val="00152A73"/>
    <w:rsid w:val="00157080"/>
    <w:rsid w:val="001622C2"/>
    <w:rsid w:val="001633ED"/>
    <w:rsid w:val="00163F5F"/>
    <w:rsid w:val="00165DDC"/>
    <w:rsid w:val="0017441E"/>
    <w:rsid w:val="00175A85"/>
    <w:rsid w:val="00176C20"/>
    <w:rsid w:val="00182C97"/>
    <w:rsid w:val="00183066"/>
    <w:rsid w:val="00184412"/>
    <w:rsid w:val="00195C6D"/>
    <w:rsid w:val="00196F95"/>
    <w:rsid w:val="0019772B"/>
    <w:rsid w:val="001A2623"/>
    <w:rsid w:val="001A46CC"/>
    <w:rsid w:val="001A6304"/>
    <w:rsid w:val="001B1060"/>
    <w:rsid w:val="001C091C"/>
    <w:rsid w:val="001C2261"/>
    <w:rsid w:val="001C6945"/>
    <w:rsid w:val="001C7F88"/>
    <w:rsid w:val="001D169B"/>
    <w:rsid w:val="001D3C90"/>
    <w:rsid w:val="001D5BB9"/>
    <w:rsid w:val="001D7365"/>
    <w:rsid w:val="001E15FD"/>
    <w:rsid w:val="001E27B8"/>
    <w:rsid w:val="001E31AB"/>
    <w:rsid w:val="001E6F5D"/>
    <w:rsid w:val="001F3DF4"/>
    <w:rsid w:val="001F49EA"/>
    <w:rsid w:val="001F5CF7"/>
    <w:rsid w:val="00201DDA"/>
    <w:rsid w:val="00203021"/>
    <w:rsid w:val="002045A5"/>
    <w:rsid w:val="0020667A"/>
    <w:rsid w:val="00207AE7"/>
    <w:rsid w:val="002105A2"/>
    <w:rsid w:val="002137B0"/>
    <w:rsid w:val="00217881"/>
    <w:rsid w:val="0022075B"/>
    <w:rsid w:val="00221F77"/>
    <w:rsid w:val="00221FF5"/>
    <w:rsid w:val="00222917"/>
    <w:rsid w:val="00225F51"/>
    <w:rsid w:val="0022648E"/>
    <w:rsid w:val="00226F32"/>
    <w:rsid w:val="00227ACD"/>
    <w:rsid w:val="002375B2"/>
    <w:rsid w:val="00237A71"/>
    <w:rsid w:val="00242D73"/>
    <w:rsid w:val="002443DF"/>
    <w:rsid w:val="00244923"/>
    <w:rsid w:val="002472A6"/>
    <w:rsid w:val="00247512"/>
    <w:rsid w:val="0025305E"/>
    <w:rsid w:val="00253D09"/>
    <w:rsid w:val="00256268"/>
    <w:rsid w:val="002567A3"/>
    <w:rsid w:val="00262B7F"/>
    <w:rsid w:val="00266980"/>
    <w:rsid w:val="00267ACA"/>
    <w:rsid w:val="00270A4E"/>
    <w:rsid w:val="00275209"/>
    <w:rsid w:val="00280D31"/>
    <w:rsid w:val="00283681"/>
    <w:rsid w:val="00290498"/>
    <w:rsid w:val="0029774E"/>
    <w:rsid w:val="002A02A1"/>
    <w:rsid w:val="002A2CE3"/>
    <w:rsid w:val="002A31A1"/>
    <w:rsid w:val="002A3CF3"/>
    <w:rsid w:val="002A3F7E"/>
    <w:rsid w:val="002A4191"/>
    <w:rsid w:val="002A6290"/>
    <w:rsid w:val="002B4617"/>
    <w:rsid w:val="002B5069"/>
    <w:rsid w:val="002B724C"/>
    <w:rsid w:val="002C0719"/>
    <w:rsid w:val="002C2C2B"/>
    <w:rsid w:val="002C30D4"/>
    <w:rsid w:val="002C513E"/>
    <w:rsid w:val="002D1376"/>
    <w:rsid w:val="002D2A30"/>
    <w:rsid w:val="002D3F94"/>
    <w:rsid w:val="002D4720"/>
    <w:rsid w:val="002D49FB"/>
    <w:rsid w:val="002D4A25"/>
    <w:rsid w:val="002E1390"/>
    <w:rsid w:val="002E4CA1"/>
    <w:rsid w:val="002E5E57"/>
    <w:rsid w:val="002F1752"/>
    <w:rsid w:val="002F2FAA"/>
    <w:rsid w:val="002F477C"/>
    <w:rsid w:val="002F557F"/>
    <w:rsid w:val="003028DC"/>
    <w:rsid w:val="00315F32"/>
    <w:rsid w:val="00320811"/>
    <w:rsid w:val="00324743"/>
    <w:rsid w:val="003253AF"/>
    <w:rsid w:val="00327407"/>
    <w:rsid w:val="00327CB6"/>
    <w:rsid w:val="00335341"/>
    <w:rsid w:val="00337157"/>
    <w:rsid w:val="00341D86"/>
    <w:rsid w:val="003444F4"/>
    <w:rsid w:val="00346684"/>
    <w:rsid w:val="003472AF"/>
    <w:rsid w:val="003508FE"/>
    <w:rsid w:val="00351369"/>
    <w:rsid w:val="00356FF7"/>
    <w:rsid w:val="003608FD"/>
    <w:rsid w:val="0036420C"/>
    <w:rsid w:val="00366057"/>
    <w:rsid w:val="003677E2"/>
    <w:rsid w:val="0037051F"/>
    <w:rsid w:val="00370F35"/>
    <w:rsid w:val="003732C7"/>
    <w:rsid w:val="003739F0"/>
    <w:rsid w:val="003749A5"/>
    <w:rsid w:val="00376918"/>
    <w:rsid w:val="00376F07"/>
    <w:rsid w:val="00380502"/>
    <w:rsid w:val="00380788"/>
    <w:rsid w:val="00384170"/>
    <w:rsid w:val="003847A3"/>
    <w:rsid w:val="00391C4B"/>
    <w:rsid w:val="00391FA6"/>
    <w:rsid w:val="003952ED"/>
    <w:rsid w:val="00396DEC"/>
    <w:rsid w:val="00396F9D"/>
    <w:rsid w:val="00397430"/>
    <w:rsid w:val="003A0F5E"/>
    <w:rsid w:val="003A5636"/>
    <w:rsid w:val="003A623D"/>
    <w:rsid w:val="003B0433"/>
    <w:rsid w:val="003B04C1"/>
    <w:rsid w:val="003B2C84"/>
    <w:rsid w:val="003B4F01"/>
    <w:rsid w:val="003B5E6F"/>
    <w:rsid w:val="003C12B6"/>
    <w:rsid w:val="003C373E"/>
    <w:rsid w:val="003C3D7F"/>
    <w:rsid w:val="003C6326"/>
    <w:rsid w:val="003C6D87"/>
    <w:rsid w:val="003D079C"/>
    <w:rsid w:val="003D224C"/>
    <w:rsid w:val="003E14DF"/>
    <w:rsid w:val="003E382B"/>
    <w:rsid w:val="003E3DCB"/>
    <w:rsid w:val="003E4ADE"/>
    <w:rsid w:val="003E5891"/>
    <w:rsid w:val="003F021E"/>
    <w:rsid w:val="003F03DF"/>
    <w:rsid w:val="003F1CB9"/>
    <w:rsid w:val="003F2050"/>
    <w:rsid w:val="003F37CA"/>
    <w:rsid w:val="003F7F31"/>
    <w:rsid w:val="004009B6"/>
    <w:rsid w:val="00402FA1"/>
    <w:rsid w:val="00403744"/>
    <w:rsid w:val="00414AD4"/>
    <w:rsid w:val="0041521E"/>
    <w:rsid w:val="00416763"/>
    <w:rsid w:val="00422B81"/>
    <w:rsid w:val="00425B3B"/>
    <w:rsid w:val="004325D3"/>
    <w:rsid w:val="004371EE"/>
    <w:rsid w:val="00437589"/>
    <w:rsid w:val="004444EE"/>
    <w:rsid w:val="00444BDA"/>
    <w:rsid w:val="00445609"/>
    <w:rsid w:val="004476C2"/>
    <w:rsid w:val="00451368"/>
    <w:rsid w:val="004555E6"/>
    <w:rsid w:val="00462717"/>
    <w:rsid w:val="004641CC"/>
    <w:rsid w:val="0046651A"/>
    <w:rsid w:val="004714FB"/>
    <w:rsid w:val="00471D6F"/>
    <w:rsid w:val="00472210"/>
    <w:rsid w:val="0047757F"/>
    <w:rsid w:val="00477AF5"/>
    <w:rsid w:val="00477CEB"/>
    <w:rsid w:val="0048354D"/>
    <w:rsid w:val="0048489E"/>
    <w:rsid w:val="00490E1A"/>
    <w:rsid w:val="00492636"/>
    <w:rsid w:val="00495C6A"/>
    <w:rsid w:val="004979BF"/>
    <w:rsid w:val="004A1724"/>
    <w:rsid w:val="004A435C"/>
    <w:rsid w:val="004A53BB"/>
    <w:rsid w:val="004A6CE0"/>
    <w:rsid w:val="004A74F4"/>
    <w:rsid w:val="004B1766"/>
    <w:rsid w:val="004B19DD"/>
    <w:rsid w:val="004B3889"/>
    <w:rsid w:val="004B564F"/>
    <w:rsid w:val="004B7ECE"/>
    <w:rsid w:val="004C0A56"/>
    <w:rsid w:val="004C50BF"/>
    <w:rsid w:val="004C629B"/>
    <w:rsid w:val="004C751A"/>
    <w:rsid w:val="004C7E8B"/>
    <w:rsid w:val="004D3E58"/>
    <w:rsid w:val="004D4333"/>
    <w:rsid w:val="004D6531"/>
    <w:rsid w:val="004E011D"/>
    <w:rsid w:val="004E1AC6"/>
    <w:rsid w:val="004E26E2"/>
    <w:rsid w:val="004E4B5B"/>
    <w:rsid w:val="004E5E51"/>
    <w:rsid w:val="004F4632"/>
    <w:rsid w:val="004F6CFB"/>
    <w:rsid w:val="004F6EA8"/>
    <w:rsid w:val="004F70A7"/>
    <w:rsid w:val="005019FE"/>
    <w:rsid w:val="005069C2"/>
    <w:rsid w:val="0051164C"/>
    <w:rsid w:val="00512176"/>
    <w:rsid w:val="00517111"/>
    <w:rsid w:val="005208BD"/>
    <w:rsid w:val="00521FF6"/>
    <w:rsid w:val="00530967"/>
    <w:rsid w:val="0053589B"/>
    <w:rsid w:val="00537D95"/>
    <w:rsid w:val="0054574A"/>
    <w:rsid w:val="00546646"/>
    <w:rsid w:val="0054665C"/>
    <w:rsid w:val="00552694"/>
    <w:rsid w:val="0055377C"/>
    <w:rsid w:val="00554717"/>
    <w:rsid w:val="00556DE6"/>
    <w:rsid w:val="00561ED7"/>
    <w:rsid w:val="00563855"/>
    <w:rsid w:val="005642DD"/>
    <w:rsid w:val="00564453"/>
    <w:rsid w:val="0056611F"/>
    <w:rsid w:val="005666D7"/>
    <w:rsid w:val="00571BEE"/>
    <w:rsid w:val="00571C08"/>
    <w:rsid w:val="00573F62"/>
    <w:rsid w:val="00576C13"/>
    <w:rsid w:val="00576CF4"/>
    <w:rsid w:val="00577164"/>
    <w:rsid w:val="00577D9F"/>
    <w:rsid w:val="00581CC1"/>
    <w:rsid w:val="00584718"/>
    <w:rsid w:val="00584D4C"/>
    <w:rsid w:val="00587350"/>
    <w:rsid w:val="00587BA9"/>
    <w:rsid w:val="0059556C"/>
    <w:rsid w:val="005A0ACF"/>
    <w:rsid w:val="005A0C34"/>
    <w:rsid w:val="005A2501"/>
    <w:rsid w:val="005A34B6"/>
    <w:rsid w:val="005A3E34"/>
    <w:rsid w:val="005A44FF"/>
    <w:rsid w:val="005A51C6"/>
    <w:rsid w:val="005A5BAB"/>
    <w:rsid w:val="005B08A6"/>
    <w:rsid w:val="005B3439"/>
    <w:rsid w:val="005B5E17"/>
    <w:rsid w:val="005C1943"/>
    <w:rsid w:val="005C22C2"/>
    <w:rsid w:val="005C501A"/>
    <w:rsid w:val="005C6D52"/>
    <w:rsid w:val="005C7858"/>
    <w:rsid w:val="005C7A9A"/>
    <w:rsid w:val="005D11A5"/>
    <w:rsid w:val="005D4BC8"/>
    <w:rsid w:val="005D55D6"/>
    <w:rsid w:val="005D593D"/>
    <w:rsid w:val="005D6E43"/>
    <w:rsid w:val="005D769A"/>
    <w:rsid w:val="005E092E"/>
    <w:rsid w:val="005E1DD8"/>
    <w:rsid w:val="005E1F6F"/>
    <w:rsid w:val="005E4132"/>
    <w:rsid w:val="005E58E1"/>
    <w:rsid w:val="005E5F8B"/>
    <w:rsid w:val="005F0EC7"/>
    <w:rsid w:val="005F4B41"/>
    <w:rsid w:val="005F4F2A"/>
    <w:rsid w:val="005F73A6"/>
    <w:rsid w:val="00600D9B"/>
    <w:rsid w:val="0060308F"/>
    <w:rsid w:val="0060552B"/>
    <w:rsid w:val="00606E04"/>
    <w:rsid w:val="00611C5C"/>
    <w:rsid w:val="006131E9"/>
    <w:rsid w:val="0061392C"/>
    <w:rsid w:val="006203EC"/>
    <w:rsid w:val="00622191"/>
    <w:rsid w:val="00622D62"/>
    <w:rsid w:val="0062336F"/>
    <w:rsid w:val="00624A28"/>
    <w:rsid w:val="006264F1"/>
    <w:rsid w:val="00626CB1"/>
    <w:rsid w:val="0063314F"/>
    <w:rsid w:val="00636E18"/>
    <w:rsid w:val="00637228"/>
    <w:rsid w:val="0064298D"/>
    <w:rsid w:val="0064364F"/>
    <w:rsid w:val="006445A3"/>
    <w:rsid w:val="00647A7A"/>
    <w:rsid w:val="00650724"/>
    <w:rsid w:val="0065124E"/>
    <w:rsid w:val="006513A0"/>
    <w:rsid w:val="00654F37"/>
    <w:rsid w:val="00661C43"/>
    <w:rsid w:val="00662C23"/>
    <w:rsid w:val="0066473E"/>
    <w:rsid w:val="00665069"/>
    <w:rsid w:val="00665718"/>
    <w:rsid w:val="00676326"/>
    <w:rsid w:val="006777C7"/>
    <w:rsid w:val="006839E8"/>
    <w:rsid w:val="00685F12"/>
    <w:rsid w:val="0069373F"/>
    <w:rsid w:val="006963D2"/>
    <w:rsid w:val="006A0B4A"/>
    <w:rsid w:val="006A0F4A"/>
    <w:rsid w:val="006A1D16"/>
    <w:rsid w:val="006A7BEA"/>
    <w:rsid w:val="006B120F"/>
    <w:rsid w:val="006B2EBD"/>
    <w:rsid w:val="006B2F86"/>
    <w:rsid w:val="006B37A6"/>
    <w:rsid w:val="006C0355"/>
    <w:rsid w:val="006C13D5"/>
    <w:rsid w:val="006C3A40"/>
    <w:rsid w:val="006C3F79"/>
    <w:rsid w:val="006D0EE8"/>
    <w:rsid w:val="006D12C7"/>
    <w:rsid w:val="006D175B"/>
    <w:rsid w:val="006D1BF7"/>
    <w:rsid w:val="006D23EF"/>
    <w:rsid w:val="006D59F8"/>
    <w:rsid w:val="006D61DA"/>
    <w:rsid w:val="006E0941"/>
    <w:rsid w:val="006E1DC5"/>
    <w:rsid w:val="006E3420"/>
    <w:rsid w:val="006E3BD0"/>
    <w:rsid w:val="006E3FA9"/>
    <w:rsid w:val="006E4D14"/>
    <w:rsid w:val="006E702B"/>
    <w:rsid w:val="006F08E1"/>
    <w:rsid w:val="006F1A53"/>
    <w:rsid w:val="006F2196"/>
    <w:rsid w:val="006F2B29"/>
    <w:rsid w:val="006F5A87"/>
    <w:rsid w:val="006F7BDA"/>
    <w:rsid w:val="00702D07"/>
    <w:rsid w:val="007078D6"/>
    <w:rsid w:val="007133E9"/>
    <w:rsid w:val="00714837"/>
    <w:rsid w:val="00715087"/>
    <w:rsid w:val="00717B00"/>
    <w:rsid w:val="00720DE3"/>
    <w:rsid w:val="00722F2C"/>
    <w:rsid w:val="00723293"/>
    <w:rsid w:val="00724D46"/>
    <w:rsid w:val="00727012"/>
    <w:rsid w:val="0072723A"/>
    <w:rsid w:val="00733C05"/>
    <w:rsid w:val="0073460E"/>
    <w:rsid w:val="007402C2"/>
    <w:rsid w:val="00743577"/>
    <w:rsid w:val="00744C66"/>
    <w:rsid w:val="007464CC"/>
    <w:rsid w:val="007609D5"/>
    <w:rsid w:val="00762FBA"/>
    <w:rsid w:val="00764748"/>
    <w:rsid w:val="00765515"/>
    <w:rsid w:val="00771AA1"/>
    <w:rsid w:val="007813D1"/>
    <w:rsid w:val="007821BC"/>
    <w:rsid w:val="0078383A"/>
    <w:rsid w:val="007853F8"/>
    <w:rsid w:val="0078687A"/>
    <w:rsid w:val="00786BB9"/>
    <w:rsid w:val="00786FE5"/>
    <w:rsid w:val="007870B3"/>
    <w:rsid w:val="0079039B"/>
    <w:rsid w:val="007953B5"/>
    <w:rsid w:val="007964DC"/>
    <w:rsid w:val="007A2635"/>
    <w:rsid w:val="007A3BFB"/>
    <w:rsid w:val="007A7B10"/>
    <w:rsid w:val="007B02A8"/>
    <w:rsid w:val="007B0B30"/>
    <w:rsid w:val="007B5E3D"/>
    <w:rsid w:val="007B6B28"/>
    <w:rsid w:val="007B79F6"/>
    <w:rsid w:val="007B7B44"/>
    <w:rsid w:val="007C4C83"/>
    <w:rsid w:val="007C6225"/>
    <w:rsid w:val="007D1E88"/>
    <w:rsid w:val="007D275E"/>
    <w:rsid w:val="007D3F75"/>
    <w:rsid w:val="007D4025"/>
    <w:rsid w:val="007E1035"/>
    <w:rsid w:val="007E18D1"/>
    <w:rsid w:val="007E770A"/>
    <w:rsid w:val="007F1600"/>
    <w:rsid w:val="007F166D"/>
    <w:rsid w:val="007F1EDF"/>
    <w:rsid w:val="007F40D6"/>
    <w:rsid w:val="007F742B"/>
    <w:rsid w:val="007F7CBC"/>
    <w:rsid w:val="00802F9F"/>
    <w:rsid w:val="00803E55"/>
    <w:rsid w:val="00804F92"/>
    <w:rsid w:val="00807F85"/>
    <w:rsid w:val="00810A52"/>
    <w:rsid w:val="00811F2C"/>
    <w:rsid w:val="00811FE2"/>
    <w:rsid w:val="00820A66"/>
    <w:rsid w:val="00822D27"/>
    <w:rsid w:val="008242DA"/>
    <w:rsid w:val="00826371"/>
    <w:rsid w:val="0082668B"/>
    <w:rsid w:val="00830214"/>
    <w:rsid w:val="00830902"/>
    <w:rsid w:val="00834366"/>
    <w:rsid w:val="008363D1"/>
    <w:rsid w:val="00842443"/>
    <w:rsid w:val="00843285"/>
    <w:rsid w:val="00843386"/>
    <w:rsid w:val="008466C4"/>
    <w:rsid w:val="008522B5"/>
    <w:rsid w:val="00854190"/>
    <w:rsid w:val="00854682"/>
    <w:rsid w:val="00857A3C"/>
    <w:rsid w:val="00860613"/>
    <w:rsid w:val="00861279"/>
    <w:rsid w:val="008612B4"/>
    <w:rsid w:val="00862A90"/>
    <w:rsid w:val="0086454A"/>
    <w:rsid w:val="00870102"/>
    <w:rsid w:val="00872847"/>
    <w:rsid w:val="00872C9B"/>
    <w:rsid w:val="00873451"/>
    <w:rsid w:val="0087619E"/>
    <w:rsid w:val="00877706"/>
    <w:rsid w:val="008825CE"/>
    <w:rsid w:val="0088460D"/>
    <w:rsid w:val="008857AA"/>
    <w:rsid w:val="00887608"/>
    <w:rsid w:val="00890B66"/>
    <w:rsid w:val="00893E72"/>
    <w:rsid w:val="008A6398"/>
    <w:rsid w:val="008B19B7"/>
    <w:rsid w:val="008B1C16"/>
    <w:rsid w:val="008B2E9A"/>
    <w:rsid w:val="008B44C3"/>
    <w:rsid w:val="008C1507"/>
    <w:rsid w:val="008C3A5F"/>
    <w:rsid w:val="008C5671"/>
    <w:rsid w:val="008C5D4D"/>
    <w:rsid w:val="008C7707"/>
    <w:rsid w:val="008D6CA8"/>
    <w:rsid w:val="008E2336"/>
    <w:rsid w:val="008E78B4"/>
    <w:rsid w:val="008F047E"/>
    <w:rsid w:val="008F2959"/>
    <w:rsid w:val="008F399F"/>
    <w:rsid w:val="008F432C"/>
    <w:rsid w:val="009038F9"/>
    <w:rsid w:val="00905AAB"/>
    <w:rsid w:val="009068C3"/>
    <w:rsid w:val="009139AF"/>
    <w:rsid w:val="00921BFB"/>
    <w:rsid w:val="009234FD"/>
    <w:rsid w:val="00923665"/>
    <w:rsid w:val="00924258"/>
    <w:rsid w:val="00924973"/>
    <w:rsid w:val="0092631A"/>
    <w:rsid w:val="00931E42"/>
    <w:rsid w:val="0093283A"/>
    <w:rsid w:val="00935EAC"/>
    <w:rsid w:val="00944371"/>
    <w:rsid w:val="00944529"/>
    <w:rsid w:val="00944D10"/>
    <w:rsid w:val="009454B6"/>
    <w:rsid w:val="00946929"/>
    <w:rsid w:val="009474F2"/>
    <w:rsid w:val="00956446"/>
    <w:rsid w:val="00962CB7"/>
    <w:rsid w:val="00963AA3"/>
    <w:rsid w:val="00963B80"/>
    <w:rsid w:val="00966080"/>
    <w:rsid w:val="009664DD"/>
    <w:rsid w:val="00966F48"/>
    <w:rsid w:val="009704A0"/>
    <w:rsid w:val="00971E1A"/>
    <w:rsid w:val="00973197"/>
    <w:rsid w:val="009753FB"/>
    <w:rsid w:val="00975439"/>
    <w:rsid w:val="00977317"/>
    <w:rsid w:val="00980C11"/>
    <w:rsid w:val="0098257D"/>
    <w:rsid w:val="009831C8"/>
    <w:rsid w:val="00987232"/>
    <w:rsid w:val="00990EC7"/>
    <w:rsid w:val="00991B95"/>
    <w:rsid w:val="00992840"/>
    <w:rsid w:val="00994CC4"/>
    <w:rsid w:val="009968AC"/>
    <w:rsid w:val="009976E7"/>
    <w:rsid w:val="009A11ED"/>
    <w:rsid w:val="009A1795"/>
    <w:rsid w:val="009A1CB0"/>
    <w:rsid w:val="009A65F0"/>
    <w:rsid w:val="009A67A1"/>
    <w:rsid w:val="009A7026"/>
    <w:rsid w:val="009B393A"/>
    <w:rsid w:val="009B7972"/>
    <w:rsid w:val="009C0DD6"/>
    <w:rsid w:val="009C1B29"/>
    <w:rsid w:val="009C40F8"/>
    <w:rsid w:val="009D0E88"/>
    <w:rsid w:val="009D24D7"/>
    <w:rsid w:val="009D256E"/>
    <w:rsid w:val="009D2DB6"/>
    <w:rsid w:val="009D2F47"/>
    <w:rsid w:val="009D7835"/>
    <w:rsid w:val="009E172B"/>
    <w:rsid w:val="009E253A"/>
    <w:rsid w:val="009E39C0"/>
    <w:rsid w:val="009E5367"/>
    <w:rsid w:val="009E7B93"/>
    <w:rsid w:val="009F1E76"/>
    <w:rsid w:val="009F3268"/>
    <w:rsid w:val="009F5F2C"/>
    <w:rsid w:val="009F6749"/>
    <w:rsid w:val="009F6C56"/>
    <w:rsid w:val="00A003F4"/>
    <w:rsid w:val="00A031CC"/>
    <w:rsid w:val="00A0323B"/>
    <w:rsid w:val="00A04192"/>
    <w:rsid w:val="00A0762A"/>
    <w:rsid w:val="00A13F1D"/>
    <w:rsid w:val="00A155ED"/>
    <w:rsid w:val="00A15F37"/>
    <w:rsid w:val="00A163E3"/>
    <w:rsid w:val="00A22A52"/>
    <w:rsid w:val="00A25889"/>
    <w:rsid w:val="00A3034C"/>
    <w:rsid w:val="00A349CB"/>
    <w:rsid w:val="00A407A6"/>
    <w:rsid w:val="00A425BA"/>
    <w:rsid w:val="00A430E2"/>
    <w:rsid w:val="00A4316F"/>
    <w:rsid w:val="00A45FC0"/>
    <w:rsid w:val="00A50571"/>
    <w:rsid w:val="00A5314F"/>
    <w:rsid w:val="00A54B25"/>
    <w:rsid w:val="00A569E0"/>
    <w:rsid w:val="00A6012B"/>
    <w:rsid w:val="00A60311"/>
    <w:rsid w:val="00A60546"/>
    <w:rsid w:val="00A6760A"/>
    <w:rsid w:val="00A676D3"/>
    <w:rsid w:val="00A7149F"/>
    <w:rsid w:val="00A72FF3"/>
    <w:rsid w:val="00A7410C"/>
    <w:rsid w:val="00A832BA"/>
    <w:rsid w:val="00A85048"/>
    <w:rsid w:val="00A8750A"/>
    <w:rsid w:val="00A90878"/>
    <w:rsid w:val="00A91266"/>
    <w:rsid w:val="00A950F4"/>
    <w:rsid w:val="00A96783"/>
    <w:rsid w:val="00A97F5A"/>
    <w:rsid w:val="00AA2D58"/>
    <w:rsid w:val="00AB0ED1"/>
    <w:rsid w:val="00AB23B0"/>
    <w:rsid w:val="00AB365A"/>
    <w:rsid w:val="00AB3A63"/>
    <w:rsid w:val="00AB4201"/>
    <w:rsid w:val="00AB4CFC"/>
    <w:rsid w:val="00AB58F2"/>
    <w:rsid w:val="00AC0AAA"/>
    <w:rsid w:val="00AC41F9"/>
    <w:rsid w:val="00AC4EEC"/>
    <w:rsid w:val="00AC6C46"/>
    <w:rsid w:val="00AC6D5D"/>
    <w:rsid w:val="00AC7B00"/>
    <w:rsid w:val="00AD03D9"/>
    <w:rsid w:val="00AD20AF"/>
    <w:rsid w:val="00AD3BBF"/>
    <w:rsid w:val="00AE079E"/>
    <w:rsid w:val="00AE2387"/>
    <w:rsid w:val="00AE6E19"/>
    <w:rsid w:val="00AF09A0"/>
    <w:rsid w:val="00AF18A6"/>
    <w:rsid w:val="00AF18CA"/>
    <w:rsid w:val="00AF2AE5"/>
    <w:rsid w:val="00AF3AD9"/>
    <w:rsid w:val="00AF58F3"/>
    <w:rsid w:val="00B05777"/>
    <w:rsid w:val="00B11271"/>
    <w:rsid w:val="00B112A5"/>
    <w:rsid w:val="00B118CF"/>
    <w:rsid w:val="00B12833"/>
    <w:rsid w:val="00B15438"/>
    <w:rsid w:val="00B21BF3"/>
    <w:rsid w:val="00B222E2"/>
    <w:rsid w:val="00B2310C"/>
    <w:rsid w:val="00B242B1"/>
    <w:rsid w:val="00B24E54"/>
    <w:rsid w:val="00B27646"/>
    <w:rsid w:val="00B33037"/>
    <w:rsid w:val="00B377F6"/>
    <w:rsid w:val="00B400E3"/>
    <w:rsid w:val="00B44CCC"/>
    <w:rsid w:val="00B44EAC"/>
    <w:rsid w:val="00B465C8"/>
    <w:rsid w:val="00B506AC"/>
    <w:rsid w:val="00B50E2C"/>
    <w:rsid w:val="00B51364"/>
    <w:rsid w:val="00B54F8C"/>
    <w:rsid w:val="00B56D06"/>
    <w:rsid w:val="00B60C22"/>
    <w:rsid w:val="00B67ADB"/>
    <w:rsid w:val="00B73636"/>
    <w:rsid w:val="00B7657E"/>
    <w:rsid w:val="00B76793"/>
    <w:rsid w:val="00B76C42"/>
    <w:rsid w:val="00B8390E"/>
    <w:rsid w:val="00B84219"/>
    <w:rsid w:val="00B85068"/>
    <w:rsid w:val="00B85546"/>
    <w:rsid w:val="00B87377"/>
    <w:rsid w:val="00B87EA2"/>
    <w:rsid w:val="00B913AA"/>
    <w:rsid w:val="00B95673"/>
    <w:rsid w:val="00BA04E1"/>
    <w:rsid w:val="00BA18D1"/>
    <w:rsid w:val="00BA19E0"/>
    <w:rsid w:val="00BA1F8A"/>
    <w:rsid w:val="00BA46B0"/>
    <w:rsid w:val="00BA47DA"/>
    <w:rsid w:val="00BA4E91"/>
    <w:rsid w:val="00BB1A4D"/>
    <w:rsid w:val="00BB50DE"/>
    <w:rsid w:val="00BB7A89"/>
    <w:rsid w:val="00BC08D4"/>
    <w:rsid w:val="00BC0CB8"/>
    <w:rsid w:val="00BC1B82"/>
    <w:rsid w:val="00BC4A61"/>
    <w:rsid w:val="00BC5978"/>
    <w:rsid w:val="00BD0100"/>
    <w:rsid w:val="00BD297C"/>
    <w:rsid w:val="00BD483C"/>
    <w:rsid w:val="00BD6F03"/>
    <w:rsid w:val="00BD6FDA"/>
    <w:rsid w:val="00BD7A55"/>
    <w:rsid w:val="00BE00E4"/>
    <w:rsid w:val="00BE0270"/>
    <w:rsid w:val="00BE180E"/>
    <w:rsid w:val="00BE21A8"/>
    <w:rsid w:val="00BE2827"/>
    <w:rsid w:val="00BE331A"/>
    <w:rsid w:val="00BE48B7"/>
    <w:rsid w:val="00BE53BC"/>
    <w:rsid w:val="00BE5574"/>
    <w:rsid w:val="00BE74B4"/>
    <w:rsid w:val="00BF0B84"/>
    <w:rsid w:val="00BF5F81"/>
    <w:rsid w:val="00BF6F8D"/>
    <w:rsid w:val="00BF7738"/>
    <w:rsid w:val="00C04F50"/>
    <w:rsid w:val="00C05E06"/>
    <w:rsid w:val="00C1233D"/>
    <w:rsid w:val="00C12AFA"/>
    <w:rsid w:val="00C17244"/>
    <w:rsid w:val="00C2020E"/>
    <w:rsid w:val="00C21CA1"/>
    <w:rsid w:val="00C2648E"/>
    <w:rsid w:val="00C313E7"/>
    <w:rsid w:val="00C34EEE"/>
    <w:rsid w:val="00C3654D"/>
    <w:rsid w:val="00C41E47"/>
    <w:rsid w:val="00C42F00"/>
    <w:rsid w:val="00C44924"/>
    <w:rsid w:val="00C461EB"/>
    <w:rsid w:val="00C520D7"/>
    <w:rsid w:val="00C5372C"/>
    <w:rsid w:val="00C57869"/>
    <w:rsid w:val="00C627A3"/>
    <w:rsid w:val="00C64C2F"/>
    <w:rsid w:val="00C6528A"/>
    <w:rsid w:val="00C6749F"/>
    <w:rsid w:val="00C7375A"/>
    <w:rsid w:val="00C74048"/>
    <w:rsid w:val="00C74654"/>
    <w:rsid w:val="00C74775"/>
    <w:rsid w:val="00C75F55"/>
    <w:rsid w:val="00C84C3A"/>
    <w:rsid w:val="00C8685C"/>
    <w:rsid w:val="00C87795"/>
    <w:rsid w:val="00C948E7"/>
    <w:rsid w:val="00C967BE"/>
    <w:rsid w:val="00C97688"/>
    <w:rsid w:val="00C9786B"/>
    <w:rsid w:val="00CA1957"/>
    <w:rsid w:val="00CA3BA7"/>
    <w:rsid w:val="00CA7866"/>
    <w:rsid w:val="00CA7F24"/>
    <w:rsid w:val="00CB1580"/>
    <w:rsid w:val="00CB4072"/>
    <w:rsid w:val="00CB517A"/>
    <w:rsid w:val="00CC22B1"/>
    <w:rsid w:val="00CC23BF"/>
    <w:rsid w:val="00CC2DC4"/>
    <w:rsid w:val="00CC3988"/>
    <w:rsid w:val="00CC5AF3"/>
    <w:rsid w:val="00CC68BF"/>
    <w:rsid w:val="00CC7C45"/>
    <w:rsid w:val="00CD13B1"/>
    <w:rsid w:val="00CD28EC"/>
    <w:rsid w:val="00CD2DC8"/>
    <w:rsid w:val="00CD561D"/>
    <w:rsid w:val="00CE4053"/>
    <w:rsid w:val="00CF4CD4"/>
    <w:rsid w:val="00CF72AC"/>
    <w:rsid w:val="00D004E5"/>
    <w:rsid w:val="00D0142A"/>
    <w:rsid w:val="00D0150B"/>
    <w:rsid w:val="00D038D7"/>
    <w:rsid w:val="00D052E6"/>
    <w:rsid w:val="00D073F9"/>
    <w:rsid w:val="00D10717"/>
    <w:rsid w:val="00D13DF1"/>
    <w:rsid w:val="00D13EDA"/>
    <w:rsid w:val="00D2261D"/>
    <w:rsid w:val="00D24515"/>
    <w:rsid w:val="00D30E94"/>
    <w:rsid w:val="00D324DA"/>
    <w:rsid w:val="00D32A14"/>
    <w:rsid w:val="00D32B43"/>
    <w:rsid w:val="00D357A4"/>
    <w:rsid w:val="00D36238"/>
    <w:rsid w:val="00D4029D"/>
    <w:rsid w:val="00D451A5"/>
    <w:rsid w:val="00D477C3"/>
    <w:rsid w:val="00D47DE7"/>
    <w:rsid w:val="00D53DC5"/>
    <w:rsid w:val="00D55406"/>
    <w:rsid w:val="00D60759"/>
    <w:rsid w:val="00D6293F"/>
    <w:rsid w:val="00D670D3"/>
    <w:rsid w:val="00D67470"/>
    <w:rsid w:val="00D67FC9"/>
    <w:rsid w:val="00D709B5"/>
    <w:rsid w:val="00D75B0B"/>
    <w:rsid w:val="00D775D2"/>
    <w:rsid w:val="00D8118D"/>
    <w:rsid w:val="00D85155"/>
    <w:rsid w:val="00D91CBD"/>
    <w:rsid w:val="00D92B66"/>
    <w:rsid w:val="00D93CC1"/>
    <w:rsid w:val="00D93EB9"/>
    <w:rsid w:val="00D942A3"/>
    <w:rsid w:val="00D97E49"/>
    <w:rsid w:val="00DA1419"/>
    <w:rsid w:val="00DA2818"/>
    <w:rsid w:val="00DA4875"/>
    <w:rsid w:val="00DA4917"/>
    <w:rsid w:val="00DB35F8"/>
    <w:rsid w:val="00DB57B7"/>
    <w:rsid w:val="00DB67E5"/>
    <w:rsid w:val="00DC13F9"/>
    <w:rsid w:val="00DC1D72"/>
    <w:rsid w:val="00DC545A"/>
    <w:rsid w:val="00DC585F"/>
    <w:rsid w:val="00DC77F2"/>
    <w:rsid w:val="00DC78DB"/>
    <w:rsid w:val="00DD4F3E"/>
    <w:rsid w:val="00DD67A9"/>
    <w:rsid w:val="00DF19F6"/>
    <w:rsid w:val="00DF431A"/>
    <w:rsid w:val="00DF6D21"/>
    <w:rsid w:val="00E01F2F"/>
    <w:rsid w:val="00E02136"/>
    <w:rsid w:val="00E03E17"/>
    <w:rsid w:val="00E064CA"/>
    <w:rsid w:val="00E06813"/>
    <w:rsid w:val="00E10053"/>
    <w:rsid w:val="00E15B99"/>
    <w:rsid w:val="00E20664"/>
    <w:rsid w:val="00E27F2F"/>
    <w:rsid w:val="00E315D6"/>
    <w:rsid w:val="00E330AB"/>
    <w:rsid w:val="00E3317B"/>
    <w:rsid w:val="00E3386F"/>
    <w:rsid w:val="00E350BD"/>
    <w:rsid w:val="00E373B4"/>
    <w:rsid w:val="00E37CF8"/>
    <w:rsid w:val="00E455B4"/>
    <w:rsid w:val="00E46FA7"/>
    <w:rsid w:val="00E479DF"/>
    <w:rsid w:val="00E528C6"/>
    <w:rsid w:val="00E54596"/>
    <w:rsid w:val="00E56000"/>
    <w:rsid w:val="00E56378"/>
    <w:rsid w:val="00E642DC"/>
    <w:rsid w:val="00E64F71"/>
    <w:rsid w:val="00E67590"/>
    <w:rsid w:val="00E703B1"/>
    <w:rsid w:val="00E7045C"/>
    <w:rsid w:val="00E718EA"/>
    <w:rsid w:val="00E71A6E"/>
    <w:rsid w:val="00E72E55"/>
    <w:rsid w:val="00E74228"/>
    <w:rsid w:val="00E77101"/>
    <w:rsid w:val="00E8148D"/>
    <w:rsid w:val="00E818C3"/>
    <w:rsid w:val="00E82DCF"/>
    <w:rsid w:val="00E8561A"/>
    <w:rsid w:val="00E85DE8"/>
    <w:rsid w:val="00E900CF"/>
    <w:rsid w:val="00E9372A"/>
    <w:rsid w:val="00E979A5"/>
    <w:rsid w:val="00EA5747"/>
    <w:rsid w:val="00EA7745"/>
    <w:rsid w:val="00EB0F28"/>
    <w:rsid w:val="00EB3F96"/>
    <w:rsid w:val="00EB3FA2"/>
    <w:rsid w:val="00EB4281"/>
    <w:rsid w:val="00EB4A81"/>
    <w:rsid w:val="00EC03D2"/>
    <w:rsid w:val="00EC0719"/>
    <w:rsid w:val="00EC09D5"/>
    <w:rsid w:val="00EC202F"/>
    <w:rsid w:val="00EC5679"/>
    <w:rsid w:val="00EC5DE6"/>
    <w:rsid w:val="00ED2264"/>
    <w:rsid w:val="00ED412E"/>
    <w:rsid w:val="00ED41A8"/>
    <w:rsid w:val="00ED452D"/>
    <w:rsid w:val="00ED5DD6"/>
    <w:rsid w:val="00EE29BE"/>
    <w:rsid w:val="00EE3CDA"/>
    <w:rsid w:val="00EF038F"/>
    <w:rsid w:val="00EF07C3"/>
    <w:rsid w:val="00EF607A"/>
    <w:rsid w:val="00EF6331"/>
    <w:rsid w:val="00F00241"/>
    <w:rsid w:val="00F01AED"/>
    <w:rsid w:val="00F109A7"/>
    <w:rsid w:val="00F1303C"/>
    <w:rsid w:val="00F15E8D"/>
    <w:rsid w:val="00F175AF"/>
    <w:rsid w:val="00F22A61"/>
    <w:rsid w:val="00F236DC"/>
    <w:rsid w:val="00F2464A"/>
    <w:rsid w:val="00F247BC"/>
    <w:rsid w:val="00F2719D"/>
    <w:rsid w:val="00F313E8"/>
    <w:rsid w:val="00F31EFE"/>
    <w:rsid w:val="00F3277D"/>
    <w:rsid w:val="00F33D35"/>
    <w:rsid w:val="00F34F38"/>
    <w:rsid w:val="00F35253"/>
    <w:rsid w:val="00F36405"/>
    <w:rsid w:val="00F37625"/>
    <w:rsid w:val="00F42120"/>
    <w:rsid w:val="00F428F8"/>
    <w:rsid w:val="00F517F3"/>
    <w:rsid w:val="00F53132"/>
    <w:rsid w:val="00F5456A"/>
    <w:rsid w:val="00F545FC"/>
    <w:rsid w:val="00F573F1"/>
    <w:rsid w:val="00F57CAC"/>
    <w:rsid w:val="00F66320"/>
    <w:rsid w:val="00F663A8"/>
    <w:rsid w:val="00F6767A"/>
    <w:rsid w:val="00F67E6A"/>
    <w:rsid w:val="00F70BAD"/>
    <w:rsid w:val="00F71668"/>
    <w:rsid w:val="00F73140"/>
    <w:rsid w:val="00F74666"/>
    <w:rsid w:val="00F7568A"/>
    <w:rsid w:val="00F81073"/>
    <w:rsid w:val="00F825C9"/>
    <w:rsid w:val="00F83EEA"/>
    <w:rsid w:val="00F8461A"/>
    <w:rsid w:val="00F87FA4"/>
    <w:rsid w:val="00F90063"/>
    <w:rsid w:val="00F90A3D"/>
    <w:rsid w:val="00F91222"/>
    <w:rsid w:val="00F9267B"/>
    <w:rsid w:val="00F94AE5"/>
    <w:rsid w:val="00F96F50"/>
    <w:rsid w:val="00F970A7"/>
    <w:rsid w:val="00F9738D"/>
    <w:rsid w:val="00FA2228"/>
    <w:rsid w:val="00FA2A03"/>
    <w:rsid w:val="00FA59C6"/>
    <w:rsid w:val="00FA5A3F"/>
    <w:rsid w:val="00FB15EB"/>
    <w:rsid w:val="00FB47DE"/>
    <w:rsid w:val="00FB4A1C"/>
    <w:rsid w:val="00FB60CC"/>
    <w:rsid w:val="00FB60FB"/>
    <w:rsid w:val="00FC111B"/>
    <w:rsid w:val="00FC23C7"/>
    <w:rsid w:val="00FC52C1"/>
    <w:rsid w:val="00FC5A6D"/>
    <w:rsid w:val="00FC5B2A"/>
    <w:rsid w:val="00FD12DB"/>
    <w:rsid w:val="00FD1306"/>
    <w:rsid w:val="00FD3713"/>
    <w:rsid w:val="00FD57E2"/>
    <w:rsid w:val="00FD77C2"/>
    <w:rsid w:val="00FE2ED7"/>
    <w:rsid w:val="00FE3E6F"/>
    <w:rsid w:val="00FE797F"/>
    <w:rsid w:val="00FF052C"/>
    <w:rsid w:val="00FF1B26"/>
    <w:rsid w:val="00FF27FB"/>
    <w:rsid w:val="00FF4658"/>
    <w:rsid w:val="00FF609F"/>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08FD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unhideWhenUsed/>
    <w:rsid w:val="00EA5747"/>
    <w:rPr>
      <w:sz w:val="20"/>
    </w:rPr>
  </w:style>
  <w:style w:type="character" w:customStyle="1" w:styleId="TextkomenteChar">
    <w:name w:val="Text komentáře Char"/>
    <w:basedOn w:val="Standardnpsmoodstavce"/>
    <w:link w:val="Textkomente"/>
    <w:uiPriority w:val="99"/>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 w:type="character" w:customStyle="1" w:styleId="Nevyeenzmnka2">
    <w:name w:val="Nevyřešená zmínka2"/>
    <w:basedOn w:val="Standardnpsmoodstavce"/>
    <w:uiPriority w:val="99"/>
    <w:semiHidden/>
    <w:unhideWhenUsed/>
    <w:rsid w:val="005A0ACF"/>
    <w:rPr>
      <w:color w:val="605E5C"/>
      <w:shd w:val="clear" w:color="auto" w:fill="E1DFDD"/>
    </w:rPr>
  </w:style>
  <w:style w:type="character" w:styleId="Nevyeenzmnka">
    <w:name w:val="Unresolved Mention"/>
    <w:basedOn w:val="Standardnpsmoodstavce"/>
    <w:uiPriority w:val="99"/>
    <w:semiHidden/>
    <w:unhideWhenUsed/>
    <w:rsid w:val="00BA19E0"/>
    <w:rPr>
      <w:color w:val="605E5C"/>
      <w:shd w:val="clear" w:color="auto" w:fill="E1DFDD"/>
    </w:rPr>
  </w:style>
  <w:style w:type="table" w:styleId="Mkatabulky">
    <w:name w:val="Table Grid"/>
    <w:basedOn w:val="Normlntabulka"/>
    <w:uiPriority w:val="39"/>
    <w:rsid w:val="0001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6F7BDA"/>
    <w:rPr>
      <w:sz w:val="20"/>
    </w:rPr>
  </w:style>
  <w:style w:type="character" w:customStyle="1" w:styleId="TextpoznpodarouChar">
    <w:name w:val="Text pozn. pod čarou Char"/>
    <w:basedOn w:val="Standardnpsmoodstavce"/>
    <w:link w:val="Textpoznpodarou"/>
    <w:uiPriority w:val="99"/>
    <w:semiHidden/>
    <w:rsid w:val="006F7BDA"/>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6F7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0764336">
      <w:bodyDiv w:val="1"/>
      <w:marLeft w:val="0"/>
      <w:marRight w:val="0"/>
      <w:marTop w:val="0"/>
      <w:marBottom w:val="0"/>
      <w:divBdr>
        <w:top w:val="none" w:sz="0" w:space="0" w:color="auto"/>
        <w:left w:val="none" w:sz="0" w:space="0" w:color="auto"/>
        <w:bottom w:val="none" w:sz="0" w:space="0" w:color="auto"/>
        <w:right w:val="none" w:sz="0" w:space="0" w:color="auto"/>
      </w:divBdr>
    </w:div>
    <w:div w:id="65881925">
      <w:bodyDiv w:val="1"/>
      <w:marLeft w:val="0"/>
      <w:marRight w:val="0"/>
      <w:marTop w:val="0"/>
      <w:marBottom w:val="0"/>
      <w:divBdr>
        <w:top w:val="none" w:sz="0" w:space="0" w:color="auto"/>
        <w:left w:val="none" w:sz="0" w:space="0" w:color="auto"/>
        <w:bottom w:val="none" w:sz="0" w:space="0" w:color="auto"/>
        <w:right w:val="none" w:sz="0" w:space="0" w:color="auto"/>
      </w:divBdr>
    </w:div>
    <w:div w:id="66729864">
      <w:bodyDiv w:val="1"/>
      <w:marLeft w:val="0"/>
      <w:marRight w:val="0"/>
      <w:marTop w:val="0"/>
      <w:marBottom w:val="0"/>
      <w:divBdr>
        <w:top w:val="none" w:sz="0" w:space="0" w:color="auto"/>
        <w:left w:val="none" w:sz="0" w:space="0" w:color="auto"/>
        <w:bottom w:val="none" w:sz="0" w:space="0" w:color="auto"/>
        <w:right w:val="none" w:sz="0" w:space="0" w:color="auto"/>
      </w:divBdr>
    </w:div>
    <w:div w:id="97651239">
      <w:bodyDiv w:val="1"/>
      <w:marLeft w:val="0"/>
      <w:marRight w:val="0"/>
      <w:marTop w:val="0"/>
      <w:marBottom w:val="0"/>
      <w:divBdr>
        <w:top w:val="none" w:sz="0" w:space="0" w:color="auto"/>
        <w:left w:val="none" w:sz="0" w:space="0" w:color="auto"/>
        <w:bottom w:val="none" w:sz="0" w:space="0" w:color="auto"/>
        <w:right w:val="none" w:sz="0" w:space="0" w:color="auto"/>
      </w:divBdr>
    </w:div>
    <w:div w:id="104077534">
      <w:bodyDiv w:val="1"/>
      <w:marLeft w:val="0"/>
      <w:marRight w:val="0"/>
      <w:marTop w:val="0"/>
      <w:marBottom w:val="0"/>
      <w:divBdr>
        <w:top w:val="none" w:sz="0" w:space="0" w:color="auto"/>
        <w:left w:val="none" w:sz="0" w:space="0" w:color="auto"/>
        <w:bottom w:val="none" w:sz="0" w:space="0" w:color="auto"/>
        <w:right w:val="none" w:sz="0" w:space="0" w:color="auto"/>
      </w:divBdr>
    </w:div>
    <w:div w:id="132212633">
      <w:bodyDiv w:val="1"/>
      <w:marLeft w:val="0"/>
      <w:marRight w:val="0"/>
      <w:marTop w:val="0"/>
      <w:marBottom w:val="0"/>
      <w:divBdr>
        <w:top w:val="none" w:sz="0" w:space="0" w:color="auto"/>
        <w:left w:val="none" w:sz="0" w:space="0" w:color="auto"/>
        <w:bottom w:val="none" w:sz="0" w:space="0" w:color="auto"/>
        <w:right w:val="none" w:sz="0" w:space="0" w:color="auto"/>
      </w:divBdr>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180977078">
      <w:bodyDiv w:val="1"/>
      <w:marLeft w:val="0"/>
      <w:marRight w:val="0"/>
      <w:marTop w:val="0"/>
      <w:marBottom w:val="0"/>
      <w:divBdr>
        <w:top w:val="none" w:sz="0" w:space="0" w:color="auto"/>
        <w:left w:val="none" w:sz="0" w:space="0" w:color="auto"/>
        <w:bottom w:val="none" w:sz="0" w:space="0" w:color="auto"/>
        <w:right w:val="none" w:sz="0" w:space="0" w:color="auto"/>
      </w:divBdr>
    </w:div>
    <w:div w:id="212424732">
      <w:bodyDiv w:val="1"/>
      <w:marLeft w:val="0"/>
      <w:marRight w:val="0"/>
      <w:marTop w:val="0"/>
      <w:marBottom w:val="0"/>
      <w:divBdr>
        <w:top w:val="none" w:sz="0" w:space="0" w:color="auto"/>
        <w:left w:val="none" w:sz="0" w:space="0" w:color="auto"/>
        <w:bottom w:val="none" w:sz="0" w:space="0" w:color="auto"/>
        <w:right w:val="none" w:sz="0" w:space="0" w:color="auto"/>
      </w:divBdr>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15168246">
      <w:bodyDiv w:val="1"/>
      <w:marLeft w:val="0"/>
      <w:marRight w:val="0"/>
      <w:marTop w:val="0"/>
      <w:marBottom w:val="0"/>
      <w:divBdr>
        <w:top w:val="none" w:sz="0" w:space="0" w:color="auto"/>
        <w:left w:val="none" w:sz="0" w:space="0" w:color="auto"/>
        <w:bottom w:val="none" w:sz="0" w:space="0" w:color="auto"/>
        <w:right w:val="none" w:sz="0" w:space="0" w:color="auto"/>
      </w:divBdr>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231698303">
      <w:bodyDiv w:val="1"/>
      <w:marLeft w:val="0"/>
      <w:marRight w:val="0"/>
      <w:marTop w:val="0"/>
      <w:marBottom w:val="0"/>
      <w:divBdr>
        <w:top w:val="none" w:sz="0" w:space="0" w:color="auto"/>
        <w:left w:val="none" w:sz="0" w:space="0" w:color="auto"/>
        <w:bottom w:val="none" w:sz="0" w:space="0" w:color="auto"/>
        <w:right w:val="none" w:sz="0" w:space="0" w:color="auto"/>
      </w:divBdr>
    </w:div>
    <w:div w:id="236210548">
      <w:bodyDiv w:val="1"/>
      <w:marLeft w:val="0"/>
      <w:marRight w:val="0"/>
      <w:marTop w:val="0"/>
      <w:marBottom w:val="0"/>
      <w:divBdr>
        <w:top w:val="none" w:sz="0" w:space="0" w:color="auto"/>
        <w:left w:val="none" w:sz="0" w:space="0" w:color="auto"/>
        <w:bottom w:val="none" w:sz="0" w:space="0" w:color="auto"/>
        <w:right w:val="none" w:sz="0" w:space="0" w:color="auto"/>
      </w:divBdr>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31490063">
      <w:bodyDiv w:val="1"/>
      <w:marLeft w:val="0"/>
      <w:marRight w:val="0"/>
      <w:marTop w:val="0"/>
      <w:marBottom w:val="0"/>
      <w:divBdr>
        <w:top w:val="none" w:sz="0" w:space="0" w:color="auto"/>
        <w:left w:val="none" w:sz="0" w:space="0" w:color="auto"/>
        <w:bottom w:val="none" w:sz="0" w:space="0" w:color="auto"/>
        <w:right w:val="none" w:sz="0" w:space="0" w:color="auto"/>
      </w:divBdr>
    </w:div>
    <w:div w:id="343899673">
      <w:bodyDiv w:val="1"/>
      <w:marLeft w:val="0"/>
      <w:marRight w:val="0"/>
      <w:marTop w:val="0"/>
      <w:marBottom w:val="0"/>
      <w:divBdr>
        <w:top w:val="none" w:sz="0" w:space="0" w:color="auto"/>
        <w:left w:val="none" w:sz="0" w:space="0" w:color="auto"/>
        <w:bottom w:val="none" w:sz="0" w:space="0" w:color="auto"/>
        <w:right w:val="none" w:sz="0" w:space="0" w:color="auto"/>
      </w:divBdr>
    </w:div>
    <w:div w:id="358311346">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408618435">
      <w:bodyDiv w:val="1"/>
      <w:marLeft w:val="0"/>
      <w:marRight w:val="0"/>
      <w:marTop w:val="0"/>
      <w:marBottom w:val="0"/>
      <w:divBdr>
        <w:top w:val="none" w:sz="0" w:space="0" w:color="auto"/>
        <w:left w:val="none" w:sz="0" w:space="0" w:color="auto"/>
        <w:bottom w:val="none" w:sz="0" w:space="0" w:color="auto"/>
        <w:right w:val="none" w:sz="0" w:space="0" w:color="auto"/>
      </w:divBdr>
    </w:div>
    <w:div w:id="411201801">
      <w:bodyDiv w:val="1"/>
      <w:marLeft w:val="0"/>
      <w:marRight w:val="0"/>
      <w:marTop w:val="0"/>
      <w:marBottom w:val="0"/>
      <w:divBdr>
        <w:top w:val="none" w:sz="0" w:space="0" w:color="auto"/>
        <w:left w:val="none" w:sz="0" w:space="0" w:color="auto"/>
        <w:bottom w:val="none" w:sz="0" w:space="0" w:color="auto"/>
        <w:right w:val="none" w:sz="0" w:space="0" w:color="auto"/>
      </w:divBdr>
    </w:div>
    <w:div w:id="420875207">
      <w:bodyDiv w:val="1"/>
      <w:marLeft w:val="0"/>
      <w:marRight w:val="0"/>
      <w:marTop w:val="0"/>
      <w:marBottom w:val="0"/>
      <w:divBdr>
        <w:top w:val="none" w:sz="0" w:space="0" w:color="auto"/>
        <w:left w:val="none" w:sz="0" w:space="0" w:color="auto"/>
        <w:bottom w:val="none" w:sz="0" w:space="0" w:color="auto"/>
        <w:right w:val="none" w:sz="0" w:space="0" w:color="auto"/>
      </w:divBdr>
    </w:div>
    <w:div w:id="421756657">
      <w:bodyDiv w:val="1"/>
      <w:marLeft w:val="0"/>
      <w:marRight w:val="0"/>
      <w:marTop w:val="0"/>
      <w:marBottom w:val="0"/>
      <w:divBdr>
        <w:top w:val="none" w:sz="0" w:space="0" w:color="auto"/>
        <w:left w:val="none" w:sz="0" w:space="0" w:color="auto"/>
        <w:bottom w:val="none" w:sz="0" w:space="0" w:color="auto"/>
        <w:right w:val="none" w:sz="0" w:space="0" w:color="auto"/>
      </w:divBdr>
    </w:div>
    <w:div w:id="430663453">
      <w:bodyDiv w:val="1"/>
      <w:marLeft w:val="0"/>
      <w:marRight w:val="0"/>
      <w:marTop w:val="0"/>
      <w:marBottom w:val="0"/>
      <w:divBdr>
        <w:top w:val="none" w:sz="0" w:space="0" w:color="auto"/>
        <w:left w:val="none" w:sz="0" w:space="0" w:color="auto"/>
        <w:bottom w:val="none" w:sz="0" w:space="0" w:color="auto"/>
        <w:right w:val="none" w:sz="0" w:space="0" w:color="auto"/>
      </w:divBdr>
    </w:div>
    <w:div w:id="443963842">
      <w:bodyDiv w:val="1"/>
      <w:marLeft w:val="0"/>
      <w:marRight w:val="0"/>
      <w:marTop w:val="0"/>
      <w:marBottom w:val="0"/>
      <w:divBdr>
        <w:top w:val="none" w:sz="0" w:space="0" w:color="auto"/>
        <w:left w:val="none" w:sz="0" w:space="0" w:color="auto"/>
        <w:bottom w:val="none" w:sz="0" w:space="0" w:color="auto"/>
        <w:right w:val="none" w:sz="0" w:space="0" w:color="auto"/>
      </w:divBdr>
    </w:div>
    <w:div w:id="507059065">
      <w:bodyDiv w:val="1"/>
      <w:marLeft w:val="0"/>
      <w:marRight w:val="0"/>
      <w:marTop w:val="0"/>
      <w:marBottom w:val="0"/>
      <w:divBdr>
        <w:top w:val="none" w:sz="0" w:space="0" w:color="auto"/>
        <w:left w:val="none" w:sz="0" w:space="0" w:color="auto"/>
        <w:bottom w:val="none" w:sz="0" w:space="0" w:color="auto"/>
        <w:right w:val="none" w:sz="0" w:space="0" w:color="auto"/>
      </w:divBdr>
    </w:div>
    <w:div w:id="512230630">
      <w:bodyDiv w:val="1"/>
      <w:marLeft w:val="0"/>
      <w:marRight w:val="0"/>
      <w:marTop w:val="0"/>
      <w:marBottom w:val="0"/>
      <w:divBdr>
        <w:top w:val="none" w:sz="0" w:space="0" w:color="auto"/>
        <w:left w:val="none" w:sz="0" w:space="0" w:color="auto"/>
        <w:bottom w:val="none" w:sz="0" w:space="0" w:color="auto"/>
        <w:right w:val="none" w:sz="0" w:space="0" w:color="auto"/>
      </w:divBdr>
    </w:div>
    <w:div w:id="530805065">
      <w:bodyDiv w:val="1"/>
      <w:marLeft w:val="0"/>
      <w:marRight w:val="0"/>
      <w:marTop w:val="0"/>
      <w:marBottom w:val="0"/>
      <w:divBdr>
        <w:top w:val="none" w:sz="0" w:space="0" w:color="auto"/>
        <w:left w:val="none" w:sz="0" w:space="0" w:color="auto"/>
        <w:bottom w:val="none" w:sz="0" w:space="0" w:color="auto"/>
        <w:right w:val="none" w:sz="0" w:space="0" w:color="auto"/>
      </w:divBdr>
    </w:div>
    <w:div w:id="541747342">
      <w:bodyDiv w:val="1"/>
      <w:marLeft w:val="0"/>
      <w:marRight w:val="0"/>
      <w:marTop w:val="0"/>
      <w:marBottom w:val="0"/>
      <w:divBdr>
        <w:top w:val="none" w:sz="0" w:space="0" w:color="auto"/>
        <w:left w:val="none" w:sz="0" w:space="0" w:color="auto"/>
        <w:bottom w:val="none" w:sz="0" w:space="0" w:color="auto"/>
        <w:right w:val="none" w:sz="0" w:space="0" w:color="auto"/>
      </w:divBdr>
    </w:div>
    <w:div w:id="547766773">
      <w:bodyDiv w:val="1"/>
      <w:marLeft w:val="0"/>
      <w:marRight w:val="0"/>
      <w:marTop w:val="0"/>
      <w:marBottom w:val="0"/>
      <w:divBdr>
        <w:top w:val="none" w:sz="0" w:space="0" w:color="auto"/>
        <w:left w:val="none" w:sz="0" w:space="0" w:color="auto"/>
        <w:bottom w:val="none" w:sz="0" w:space="0" w:color="auto"/>
        <w:right w:val="none" w:sz="0" w:space="0" w:color="auto"/>
      </w:divBdr>
    </w:div>
    <w:div w:id="566258281">
      <w:bodyDiv w:val="1"/>
      <w:marLeft w:val="0"/>
      <w:marRight w:val="0"/>
      <w:marTop w:val="0"/>
      <w:marBottom w:val="0"/>
      <w:divBdr>
        <w:top w:val="none" w:sz="0" w:space="0" w:color="auto"/>
        <w:left w:val="none" w:sz="0" w:space="0" w:color="auto"/>
        <w:bottom w:val="none" w:sz="0" w:space="0" w:color="auto"/>
        <w:right w:val="none" w:sz="0" w:space="0" w:color="auto"/>
      </w:divBdr>
    </w:div>
    <w:div w:id="624774902">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759524415">
      <w:bodyDiv w:val="1"/>
      <w:marLeft w:val="0"/>
      <w:marRight w:val="0"/>
      <w:marTop w:val="0"/>
      <w:marBottom w:val="0"/>
      <w:divBdr>
        <w:top w:val="none" w:sz="0" w:space="0" w:color="auto"/>
        <w:left w:val="none" w:sz="0" w:space="0" w:color="auto"/>
        <w:bottom w:val="none" w:sz="0" w:space="0" w:color="auto"/>
        <w:right w:val="none" w:sz="0" w:space="0" w:color="auto"/>
      </w:divBdr>
    </w:div>
    <w:div w:id="822359253">
      <w:bodyDiv w:val="1"/>
      <w:marLeft w:val="0"/>
      <w:marRight w:val="0"/>
      <w:marTop w:val="0"/>
      <w:marBottom w:val="0"/>
      <w:divBdr>
        <w:top w:val="none" w:sz="0" w:space="0" w:color="auto"/>
        <w:left w:val="none" w:sz="0" w:space="0" w:color="auto"/>
        <w:bottom w:val="none" w:sz="0" w:space="0" w:color="auto"/>
        <w:right w:val="none" w:sz="0" w:space="0" w:color="auto"/>
      </w:divBdr>
    </w:div>
    <w:div w:id="832257858">
      <w:bodyDiv w:val="1"/>
      <w:marLeft w:val="0"/>
      <w:marRight w:val="0"/>
      <w:marTop w:val="0"/>
      <w:marBottom w:val="0"/>
      <w:divBdr>
        <w:top w:val="none" w:sz="0" w:space="0" w:color="auto"/>
        <w:left w:val="none" w:sz="0" w:space="0" w:color="auto"/>
        <w:bottom w:val="none" w:sz="0" w:space="0" w:color="auto"/>
        <w:right w:val="none" w:sz="0" w:space="0" w:color="auto"/>
      </w:divBdr>
    </w:div>
    <w:div w:id="832260493">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81332576">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52442645">
      <w:bodyDiv w:val="1"/>
      <w:marLeft w:val="0"/>
      <w:marRight w:val="0"/>
      <w:marTop w:val="0"/>
      <w:marBottom w:val="0"/>
      <w:divBdr>
        <w:top w:val="none" w:sz="0" w:space="0" w:color="auto"/>
        <w:left w:val="none" w:sz="0" w:space="0" w:color="auto"/>
        <w:bottom w:val="none" w:sz="0" w:space="0" w:color="auto"/>
        <w:right w:val="none" w:sz="0" w:space="0" w:color="auto"/>
      </w:divBdr>
    </w:div>
    <w:div w:id="968975400">
      <w:bodyDiv w:val="1"/>
      <w:marLeft w:val="0"/>
      <w:marRight w:val="0"/>
      <w:marTop w:val="0"/>
      <w:marBottom w:val="0"/>
      <w:divBdr>
        <w:top w:val="none" w:sz="0" w:space="0" w:color="auto"/>
        <w:left w:val="none" w:sz="0" w:space="0" w:color="auto"/>
        <w:bottom w:val="none" w:sz="0" w:space="0" w:color="auto"/>
        <w:right w:val="none" w:sz="0" w:space="0" w:color="auto"/>
      </w:divBdr>
      <w:divsChild>
        <w:div w:id="1350522814">
          <w:marLeft w:val="0"/>
          <w:marRight w:val="150"/>
          <w:marTop w:val="0"/>
          <w:marBottom w:val="0"/>
          <w:divBdr>
            <w:top w:val="single" w:sz="2" w:space="0" w:color="000000"/>
            <w:left w:val="single" w:sz="2" w:space="0" w:color="000000"/>
            <w:bottom w:val="single" w:sz="2" w:space="0" w:color="000000"/>
            <w:right w:val="single" w:sz="2" w:space="0" w:color="000000"/>
          </w:divBdr>
          <w:divsChild>
            <w:div w:id="419184993">
              <w:marLeft w:val="0"/>
              <w:marRight w:val="0"/>
              <w:marTop w:val="0"/>
              <w:marBottom w:val="0"/>
              <w:divBdr>
                <w:top w:val="single" w:sz="2" w:space="0" w:color="000000"/>
                <w:left w:val="single" w:sz="2" w:space="0" w:color="000000"/>
                <w:bottom w:val="single" w:sz="2" w:space="0" w:color="000000"/>
                <w:right w:val="single" w:sz="2" w:space="0" w:color="000000"/>
              </w:divBdr>
              <w:divsChild>
                <w:div w:id="1983074791">
                  <w:marLeft w:val="0"/>
                  <w:marRight w:val="0"/>
                  <w:marTop w:val="0"/>
                  <w:marBottom w:val="0"/>
                  <w:divBdr>
                    <w:top w:val="single" w:sz="2" w:space="0" w:color="000000"/>
                    <w:left w:val="single" w:sz="2" w:space="0" w:color="000000"/>
                    <w:bottom w:val="single" w:sz="2" w:space="0" w:color="000000"/>
                    <w:right w:val="single" w:sz="2" w:space="0" w:color="000000"/>
                  </w:divBdr>
                  <w:divsChild>
                    <w:div w:id="914239938">
                      <w:marLeft w:val="0"/>
                      <w:marRight w:val="0"/>
                      <w:marTop w:val="0"/>
                      <w:marBottom w:val="0"/>
                      <w:divBdr>
                        <w:top w:val="single" w:sz="2" w:space="0" w:color="000000"/>
                        <w:left w:val="single" w:sz="2" w:space="0" w:color="000000"/>
                        <w:bottom w:val="single" w:sz="2" w:space="0" w:color="000000"/>
                        <w:right w:val="single" w:sz="2" w:space="0" w:color="000000"/>
                      </w:divBdr>
                      <w:divsChild>
                        <w:div w:id="929580508">
                          <w:marLeft w:val="0"/>
                          <w:marRight w:val="0"/>
                          <w:marTop w:val="0"/>
                          <w:marBottom w:val="0"/>
                          <w:divBdr>
                            <w:top w:val="none" w:sz="0" w:space="0" w:color="auto"/>
                            <w:left w:val="none" w:sz="0" w:space="0" w:color="auto"/>
                            <w:bottom w:val="none" w:sz="0" w:space="0" w:color="auto"/>
                            <w:right w:val="none" w:sz="0" w:space="0" w:color="auto"/>
                          </w:divBdr>
                          <w:divsChild>
                            <w:div w:id="2019498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8825838">
          <w:marLeft w:val="0"/>
          <w:marRight w:val="0"/>
          <w:marTop w:val="0"/>
          <w:marBottom w:val="0"/>
          <w:divBdr>
            <w:top w:val="single" w:sz="2" w:space="0" w:color="000000"/>
            <w:left w:val="single" w:sz="2" w:space="0" w:color="000000"/>
            <w:bottom w:val="single" w:sz="2" w:space="8" w:color="000000"/>
            <w:right w:val="single" w:sz="2" w:space="0" w:color="000000"/>
          </w:divBdr>
          <w:divsChild>
            <w:div w:id="2075395400">
              <w:marLeft w:val="0"/>
              <w:marRight w:val="0"/>
              <w:marTop w:val="0"/>
              <w:marBottom w:val="0"/>
              <w:divBdr>
                <w:top w:val="single" w:sz="2" w:space="0" w:color="000000"/>
                <w:left w:val="single" w:sz="2" w:space="0" w:color="000000"/>
                <w:bottom w:val="single" w:sz="2" w:space="0" w:color="000000"/>
                <w:right w:val="single" w:sz="2" w:space="0" w:color="000000"/>
              </w:divBdr>
              <w:divsChild>
                <w:div w:id="201989819">
                  <w:marLeft w:val="0"/>
                  <w:marRight w:val="0"/>
                  <w:marTop w:val="0"/>
                  <w:marBottom w:val="30"/>
                  <w:divBdr>
                    <w:top w:val="single" w:sz="2" w:space="0" w:color="000000"/>
                    <w:left w:val="single" w:sz="2" w:space="0" w:color="000000"/>
                    <w:bottom w:val="single" w:sz="2" w:space="0" w:color="000000"/>
                    <w:right w:val="single" w:sz="2" w:space="0" w:color="000000"/>
                  </w:divBdr>
                  <w:divsChild>
                    <w:div w:id="1779834749">
                      <w:marLeft w:val="0"/>
                      <w:marRight w:val="0"/>
                      <w:marTop w:val="0"/>
                      <w:marBottom w:val="0"/>
                      <w:divBdr>
                        <w:top w:val="single" w:sz="2" w:space="0" w:color="000000"/>
                        <w:left w:val="single" w:sz="2" w:space="0" w:color="000000"/>
                        <w:bottom w:val="single" w:sz="2" w:space="0" w:color="000000"/>
                        <w:right w:val="single" w:sz="2" w:space="0" w:color="000000"/>
                      </w:divBdr>
                      <w:divsChild>
                        <w:div w:id="70584360">
                          <w:marLeft w:val="0"/>
                          <w:marRight w:val="0"/>
                          <w:marTop w:val="0"/>
                          <w:marBottom w:val="0"/>
                          <w:divBdr>
                            <w:top w:val="single" w:sz="2" w:space="0" w:color="000000"/>
                            <w:left w:val="single" w:sz="2" w:space="0" w:color="000000"/>
                            <w:bottom w:val="single" w:sz="2" w:space="0" w:color="000000"/>
                            <w:right w:val="single" w:sz="2" w:space="0" w:color="000000"/>
                          </w:divBdr>
                          <w:divsChild>
                            <w:div w:id="1392079576">
                              <w:marLeft w:val="0"/>
                              <w:marRight w:val="0"/>
                              <w:marTop w:val="0"/>
                              <w:marBottom w:val="0"/>
                              <w:divBdr>
                                <w:top w:val="single" w:sz="2" w:space="0" w:color="000000"/>
                                <w:left w:val="single" w:sz="2" w:space="0" w:color="000000"/>
                                <w:bottom w:val="single" w:sz="2" w:space="0" w:color="000000"/>
                                <w:right w:val="single" w:sz="2" w:space="0" w:color="000000"/>
                              </w:divBdr>
                              <w:divsChild>
                                <w:div w:id="1962956154">
                                  <w:marLeft w:val="0"/>
                                  <w:marRight w:val="0"/>
                                  <w:marTop w:val="0"/>
                                  <w:marBottom w:val="0"/>
                                  <w:divBdr>
                                    <w:top w:val="single" w:sz="2" w:space="0" w:color="000000"/>
                                    <w:left w:val="single" w:sz="2" w:space="0" w:color="000000"/>
                                    <w:bottom w:val="single" w:sz="2" w:space="0" w:color="000000"/>
                                    <w:right w:val="single" w:sz="2" w:space="0" w:color="000000"/>
                                  </w:divBdr>
                                  <w:divsChild>
                                    <w:div w:id="1719091966">
                                      <w:marLeft w:val="0"/>
                                      <w:marRight w:val="0"/>
                                      <w:marTop w:val="0"/>
                                      <w:marBottom w:val="0"/>
                                      <w:divBdr>
                                        <w:top w:val="single" w:sz="2" w:space="0" w:color="000000"/>
                                        <w:left w:val="single" w:sz="2" w:space="0" w:color="000000"/>
                                        <w:bottom w:val="single" w:sz="2" w:space="0" w:color="000000"/>
                                        <w:right w:val="single" w:sz="2" w:space="0" w:color="000000"/>
                                      </w:divBdr>
                                      <w:divsChild>
                                        <w:div w:id="2044553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9860268">
                                      <w:marLeft w:val="75"/>
                                      <w:marRight w:val="0"/>
                                      <w:marTop w:val="0"/>
                                      <w:marBottom w:val="0"/>
                                      <w:divBdr>
                                        <w:top w:val="single" w:sz="2" w:space="0" w:color="000000"/>
                                        <w:left w:val="single" w:sz="2" w:space="0" w:color="000000"/>
                                        <w:bottom w:val="single" w:sz="2" w:space="0" w:color="000000"/>
                                        <w:right w:val="single" w:sz="2" w:space="0" w:color="000000"/>
                                      </w:divBdr>
                                      <w:divsChild>
                                        <w:div w:id="85446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2290291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96210244">
              <w:marLeft w:val="0"/>
              <w:marRight w:val="0"/>
              <w:marTop w:val="0"/>
              <w:marBottom w:val="0"/>
              <w:divBdr>
                <w:top w:val="single" w:sz="2" w:space="0" w:color="000000"/>
                <w:left w:val="single" w:sz="2" w:space="0" w:color="000000"/>
                <w:bottom w:val="single" w:sz="2" w:space="0" w:color="000000"/>
                <w:right w:val="single" w:sz="2" w:space="0" w:color="000000"/>
              </w:divBdr>
              <w:divsChild>
                <w:div w:id="1702171599">
                  <w:marLeft w:val="0"/>
                  <w:marRight w:val="0"/>
                  <w:marTop w:val="0"/>
                  <w:marBottom w:val="0"/>
                  <w:divBdr>
                    <w:top w:val="single" w:sz="2" w:space="0" w:color="000000"/>
                    <w:left w:val="single" w:sz="2" w:space="0" w:color="000000"/>
                    <w:bottom w:val="single" w:sz="2" w:space="0" w:color="000000"/>
                    <w:right w:val="single" w:sz="2" w:space="0" w:color="000000"/>
                  </w:divBdr>
                  <w:divsChild>
                    <w:div w:id="555556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033238">
                  <w:marLeft w:val="0"/>
                  <w:marRight w:val="0"/>
                  <w:marTop w:val="0"/>
                  <w:marBottom w:val="0"/>
                  <w:divBdr>
                    <w:top w:val="single" w:sz="2" w:space="0" w:color="000000"/>
                    <w:left w:val="single" w:sz="2" w:space="0" w:color="000000"/>
                    <w:bottom w:val="single" w:sz="2" w:space="0" w:color="000000"/>
                    <w:right w:val="single" w:sz="2" w:space="0" w:color="000000"/>
                  </w:divBdr>
                  <w:divsChild>
                    <w:div w:id="1143278826">
                      <w:marLeft w:val="0"/>
                      <w:marRight w:val="0"/>
                      <w:marTop w:val="0"/>
                      <w:marBottom w:val="0"/>
                      <w:divBdr>
                        <w:top w:val="single" w:sz="2" w:space="0" w:color="000000"/>
                        <w:left w:val="single" w:sz="2" w:space="0" w:color="000000"/>
                        <w:bottom w:val="single" w:sz="2" w:space="0" w:color="000000"/>
                        <w:right w:val="single" w:sz="2" w:space="0" w:color="000000"/>
                      </w:divBdr>
                      <w:divsChild>
                        <w:div w:id="1894271443">
                          <w:marLeft w:val="0"/>
                          <w:marRight w:val="0"/>
                          <w:marTop w:val="150"/>
                          <w:marBottom w:val="0"/>
                          <w:divBdr>
                            <w:top w:val="single" w:sz="2" w:space="0" w:color="000000"/>
                            <w:left w:val="single" w:sz="2" w:space="0" w:color="000000"/>
                            <w:bottom w:val="single" w:sz="2" w:space="0" w:color="000000"/>
                            <w:right w:val="single" w:sz="2" w:space="0" w:color="000000"/>
                          </w:divBdr>
                          <w:divsChild>
                            <w:div w:id="1464040857">
                              <w:marLeft w:val="0"/>
                              <w:marRight w:val="0"/>
                              <w:marTop w:val="0"/>
                              <w:marBottom w:val="0"/>
                              <w:divBdr>
                                <w:top w:val="single" w:sz="2" w:space="0" w:color="000000"/>
                                <w:left w:val="single" w:sz="2" w:space="0" w:color="000000"/>
                                <w:bottom w:val="single" w:sz="2" w:space="0" w:color="000000"/>
                                <w:right w:val="single" w:sz="2" w:space="0" w:color="000000"/>
                              </w:divBdr>
                              <w:divsChild>
                                <w:div w:id="1662074022">
                                  <w:marLeft w:val="0"/>
                                  <w:marRight w:val="0"/>
                                  <w:marTop w:val="0"/>
                                  <w:marBottom w:val="0"/>
                                  <w:divBdr>
                                    <w:top w:val="single" w:sz="2" w:space="0" w:color="000000"/>
                                    <w:left w:val="single" w:sz="2" w:space="0" w:color="000000"/>
                                    <w:bottom w:val="single" w:sz="2" w:space="0" w:color="000000"/>
                                    <w:right w:val="single" w:sz="2" w:space="0" w:color="000000"/>
                                  </w:divBdr>
                                  <w:divsChild>
                                    <w:div w:id="1497575823">
                                      <w:marLeft w:val="0"/>
                                      <w:marRight w:val="0"/>
                                      <w:marTop w:val="0"/>
                                      <w:marBottom w:val="0"/>
                                      <w:divBdr>
                                        <w:top w:val="single" w:sz="2" w:space="0" w:color="000000"/>
                                        <w:left w:val="single" w:sz="2" w:space="0" w:color="000000"/>
                                        <w:bottom w:val="single" w:sz="2" w:space="0" w:color="000000"/>
                                        <w:right w:val="single" w:sz="2" w:space="0" w:color="000000"/>
                                      </w:divBdr>
                                      <w:divsChild>
                                        <w:div w:id="172844713">
                                          <w:marLeft w:val="0"/>
                                          <w:marRight w:val="0"/>
                                          <w:marTop w:val="0"/>
                                          <w:marBottom w:val="0"/>
                                          <w:divBdr>
                                            <w:top w:val="single" w:sz="2" w:space="0" w:color="000000"/>
                                            <w:left w:val="single" w:sz="2" w:space="0" w:color="000000"/>
                                            <w:bottom w:val="single" w:sz="2" w:space="0" w:color="000000"/>
                                            <w:right w:val="single" w:sz="2" w:space="0" w:color="000000"/>
                                          </w:divBdr>
                                          <w:divsChild>
                                            <w:div w:id="145826655">
                                              <w:marLeft w:val="0"/>
                                              <w:marRight w:val="0"/>
                                              <w:marTop w:val="0"/>
                                              <w:marBottom w:val="0"/>
                                              <w:divBdr>
                                                <w:top w:val="single" w:sz="2" w:space="0" w:color="000000"/>
                                                <w:left w:val="single" w:sz="2" w:space="0" w:color="000000"/>
                                                <w:bottom w:val="single" w:sz="2" w:space="0" w:color="000000"/>
                                                <w:right w:val="single" w:sz="2" w:space="0" w:color="000000"/>
                                              </w:divBdr>
                                              <w:divsChild>
                                                <w:div w:id="1208638256">
                                                  <w:marLeft w:val="0"/>
                                                  <w:marRight w:val="0"/>
                                                  <w:marTop w:val="0"/>
                                                  <w:marBottom w:val="0"/>
                                                  <w:divBdr>
                                                    <w:top w:val="single" w:sz="2" w:space="0" w:color="000000"/>
                                                    <w:left w:val="single" w:sz="2" w:space="8" w:color="000000"/>
                                                    <w:bottom w:val="single" w:sz="2" w:space="0" w:color="000000"/>
                                                    <w:right w:val="single" w:sz="2" w:space="8" w:color="000000"/>
                                                  </w:divBdr>
                                                  <w:divsChild>
                                                    <w:div w:id="1928464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4856711">
                                                  <w:marLeft w:val="0"/>
                                                  <w:marRight w:val="0"/>
                                                  <w:marTop w:val="0"/>
                                                  <w:marBottom w:val="0"/>
                                                  <w:divBdr>
                                                    <w:top w:val="single" w:sz="2" w:space="0" w:color="000000"/>
                                                    <w:left w:val="single" w:sz="2" w:space="8" w:color="000000"/>
                                                    <w:bottom w:val="single" w:sz="2" w:space="0" w:color="000000"/>
                                                    <w:right w:val="single" w:sz="2" w:space="0" w:color="000000"/>
                                                  </w:divBdr>
                                                  <w:divsChild>
                                                    <w:div w:id="190402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2988206">
                                          <w:marLeft w:val="0"/>
                                          <w:marRight w:val="0"/>
                                          <w:marTop w:val="75"/>
                                          <w:marBottom w:val="0"/>
                                          <w:divBdr>
                                            <w:top w:val="single" w:sz="2" w:space="0" w:color="000000"/>
                                            <w:left w:val="single" w:sz="2" w:space="0" w:color="000000"/>
                                            <w:bottom w:val="single" w:sz="2" w:space="0" w:color="000000"/>
                                            <w:right w:val="single" w:sz="2" w:space="0" w:color="000000"/>
                                          </w:divBdr>
                                          <w:divsChild>
                                            <w:div w:id="1491291521">
                                              <w:marLeft w:val="0"/>
                                              <w:marRight w:val="0"/>
                                              <w:marTop w:val="0"/>
                                              <w:marBottom w:val="0"/>
                                              <w:divBdr>
                                                <w:top w:val="single" w:sz="2" w:space="0" w:color="000000"/>
                                                <w:left w:val="single" w:sz="2" w:space="0" w:color="000000"/>
                                                <w:bottom w:val="single" w:sz="2" w:space="0" w:color="000000"/>
                                                <w:right w:val="single" w:sz="2" w:space="0" w:color="000000"/>
                                              </w:divBdr>
                                              <w:divsChild>
                                                <w:div w:id="354237189">
                                                  <w:marLeft w:val="0"/>
                                                  <w:marRight w:val="0"/>
                                                  <w:marTop w:val="0"/>
                                                  <w:marBottom w:val="0"/>
                                                  <w:divBdr>
                                                    <w:top w:val="single" w:sz="2" w:space="0" w:color="000000"/>
                                                    <w:left w:val="single" w:sz="2" w:space="8" w:color="000000"/>
                                                    <w:bottom w:val="single" w:sz="2" w:space="0" w:color="000000"/>
                                                    <w:right w:val="single" w:sz="2" w:space="8" w:color="000000"/>
                                                  </w:divBdr>
                                                  <w:divsChild>
                                                    <w:div w:id="10146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2356615">
                                                  <w:marLeft w:val="0"/>
                                                  <w:marRight w:val="0"/>
                                                  <w:marTop w:val="0"/>
                                                  <w:marBottom w:val="0"/>
                                                  <w:divBdr>
                                                    <w:top w:val="single" w:sz="2" w:space="0" w:color="000000"/>
                                                    <w:left w:val="single" w:sz="2" w:space="8" w:color="000000"/>
                                                    <w:bottom w:val="single" w:sz="2" w:space="0" w:color="000000"/>
                                                    <w:right w:val="single" w:sz="2" w:space="0" w:color="000000"/>
                                                  </w:divBdr>
                                                  <w:divsChild>
                                                    <w:div w:id="1110931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4566048">
                                          <w:marLeft w:val="0"/>
                                          <w:marRight w:val="0"/>
                                          <w:marTop w:val="75"/>
                                          <w:marBottom w:val="0"/>
                                          <w:divBdr>
                                            <w:top w:val="single" w:sz="2" w:space="0" w:color="000000"/>
                                            <w:left w:val="single" w:sz="2" w:space="0" w:color="000000"/>
                                            <w:bottom w:val="single" w:sz="2" w:space="0" w:color="000000"/>
                                            <w:right w:val="single" w:sz="2" w:space="0" w:color="000000"/>
                                          </w:divBdr>
                                          <w:divsChild>
                                            <w:div w:id="1746099576">
                                              <w:marLeft w:val="0"/>
                                              <w:marRight w:val="0"/>
                                              <w:marTop w:val="0"/>
                                              <w:marBottom w:val="0"/>
                                              <w:divBdr>
                                                <w:top w:val="single" w:sz="2" w:space="0" w:color="000000"/>
                                                <w:left w:val="single" w:sz="2" w:space="0" w:color="000000"/>
                                                <w:bottom w:val="single" w:sz="2" w:space="0" w:color="000000"/>
                                                <w:right w:val="single" w:sz="2" w:space="0" w:color="000000"/>
                                              </w:divBdr>
                                              <w:divsChild>
                                                <w:div w:id="2134010985">
                                                  <w:marLeft w:val="0"/>
                                                  <w:marRight w:val="0"/>
                                                  <w:marTop w:val="0"/>
                                                  <w:marBottom w:val="0"/>
                                                  <w:divBdr>
                                                    <w:top w:val="single" w:sz="2" w:space="0" w:color="000000"/>
                                                    <w:left w:val="single" w:sz="2" w:space="8" w:color="000000"/>
                                                    <w:bottom w:val="single" w:sz="2" w:space="0" w:color="000000"/>
                                                    <w:right w:val="single" w:sz="2" w:space="8" w:color="000000"/>
                                                  </w:divBdr>
                                                  <w:divsChild>
                                                    <w:div w:id="1329213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4777583">
                                                  <w:marLeft w:val="0"/>
                                                  <w:marRight w:val="0"/>
                                                  <w:marTop w:val="0"/>
                                                  <w:marBottom w:val="0"/>
                                                  <w:divBdr>
                                                    <w:top w:val="single" w:sz="2" w:space="0" w:color="000000"/>
                                                    <w:left w:val="single" w:sz="2" w:space="8" w:color="000000"/>
                                                    <w:bottom w:val="single" w:sz="2" w:space="0" w:color="000000"/>
                                                    <w:right w:val="single" w:sz="2" w:space="0" w:color="000000"/>
                                                  </w:divBdr>
                                                  <w:divsChild>
                                                    <w:div w:id="479616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0835978">
                                          <w:marLeft w:val="0"/>
                                          <w:marRight w:val="0"/>
                                          <w:marTop w:val="150"/>
                                          <w:marBottom w:val="0"/>
                                          <w:divBdr>
                                            <w:top w:val="single" w:sz="2" w:space="0" w:color="000000"/>
                                            <w:left w:val="single" w:sz="2" w:space="0" w:color="000000"/>
                                            <w:bottom w:val="single" w:sz="2" w:space="0" w:color="000000"/>
                                            <w:right w:val="single" w:sz="2" w:space="0" w:color="000000"/>
                                          </w:divBdr>
                                          <w:divsChild>
                                            <w:div w:id="427583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07630827">
      <w:bodyDiv w:val="1"/>
      <w:marLeft w:val="0"/>
      <w:marRight w:val="0"/>
      <w:marTop w:val="0"/>
      <w:marBottom w:val="0"/>
      <w:divBdr>
        <w:top w:val="none" w:sz="0" w:space="0" w:color="auto"/>
        <w:left w:val="none" w:sz="0" w:space="0" w:color="auto"/>
        <w:bottom w:val="none" w:sz="0" w:space="0" w:color="auto"/>
        <w:right w:val="none" w:sz="0" w:space="0" w:color="auto"/>
      </w:divBdr>
    </w:div>
    <w:div w:id="1034380407">
      <w:bodyDiv w:val="1"/>
      <w:marLeft w:val="0"/>
      <w:marRight w:val="0"/>
      <w:marTop w:val="0"/>
      <w:marBottom w:val="0"/>
      <w:divBdr>
        <w:top w:val="none" w:sz="0" w:space="0" w:color="auto"/>
        <w:left w:val="none" w:sz="0" w:space="0" w:color="auto"/>
        <w:bottom w:val="none" w:sz="0" w:space="0" w:color="auto"/>
        <w:right w:val="none" w:sz="0" w:space="0" w:color="auto"/>
      </w:divBdr>
    </w:div>
    <w:div w:id="1065756110">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54027908">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184320010">
      <w:bodyDiv w:val="1"/>
      <w:marLeft w:val="0"/>
      <w:marRight w:val="0"/>
      <w:marTop w:val="0"/>
      <w:marBottom w:val="0"/>
      <w:divBdr>
        <w:top w:val="none" w:sz="0" w:space="0" w:color="auto"/>
        <w:left w:val="none" w:sz="0" w:space="0" w:color="auto"/>
        <w:bottom w:val="none" w:sz="0" w:space="0" w:color="auto"/>
        <w:right w:val="none" w:sz="0" w:space="0" w:color="auto"/>
      </w:divBdr>
    </w:div>
    <w:div w:id="1200707317">
      <w:bodyDiv w:val="1"/>
      <w:marLeft w:val="0"/>
      <w:marRight w:val="0"/>
      <w:marTop w:val="0"/>
      <w:marBottom w:val="0"/>
      <w:divBdr>
        <w:top w:val="none" w:sz="0" w:space="0" w:color="auto"/>
        <w:left w:val="none" w:sz="0" w:space="0" w:color="auto"/>
        <w:bottom w:val="none" w:sz="0" w:space="0" w:color="auto"/>
        <w:right w:val="none" w:sz="0" w:space="0" w:color="auto"/>
      </w:divBdr>
    </w:div>
    <w:div w:id="1209335892">
      <w:bodyDiv w:val="1"/>
      <w:marLeft w:val="0"/>
      <w:marRight w:val="0"/>
      <w:marTop w:val="0"/>
      <w:marBottom w:val="0"/>
      <w:divBdr>
        <w:top w:val="none" w:sz="0" w:space="0" w:color="auto"/>
        <w:left w:val="none" w:sz="0" w:space="0" w:color="auto"/>
        <w:bottom w:val="none" w:sz="0" w:space="0" w:color="auto"/>
        <w:right w:val="none" w:sz="0" w:space="0" w:color="auto"/>
      </w:divBdr>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268585387">
      <w:bodyDiv w:val="1"/>
      <w:marLeft w:val="0"/>
      <w:marRight w:val="0"/>
      <w:marTop w:val="0"/>
      <w:marBottom w:val="0"/>
      <w:divBdr>
        <w:top w:val="none" w:sz="0" w:space="0" w:color="auto"/>
        <w:left w:val="none" w:sz="0" w:space="0" w:color="auto"/>
        <w:bottom w:val="none" w:sz="0" w:space="0" w:color="auto"/>
        <w:right w:val="none" w:sz="0" w:space="0" w:color="auto"/>
      </w:divBdr>
    </w:div>
    <w:div w:id="1283875638">
      <w:bodyDiv w:val="1"/>
      <w:marLeft w:val="0"/>
      <w:marRight w:val="0"/>
      <w:marTop w:val="0"/>
      <w:marBottom w:val="0"/>
      <w:divBdr>
        <w:top w:val="none" w:sz="0" w:space="0" w:color="auto"/>
        <w:left w:val="none" w:sz="0" w:space="0" w:color="auto"/>
        <w:bottom w:val="none" w:sz="0" w:space="0" w:color="auto"/>
        <w:right w:val="none" w:sz="0" w:space="0" w:color="auto"/>
      </w:divBdr>
    </w:div>
    <w:div w:id="1285237181">
      <w:bodyDiv w:val="1"/>
      <w:marLeft w:val="0"/>
      <w:marRight w:val="0"/>
      <w:marTop w:val="0"/>
      <w:marBottom w:val="0"/>
      <w:divBdr>
        <w:top w:val="none" w:sz="0" w:space="0" w:color="auto"/>
        <w:left w:val="none" w:sz="0" w:space="0" w:color="auto"/>
        <w:bottom w:val="none" w:sz="0" w:space="0" w:color="auto"/>
        <w:right w:val="none" w:sz="0" w:space="0" w:color="auto"/>
      </w:divBdr>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373380894">
      <w:bodyDiv w:val="1"/>
      <w:marLeft w:val="0"/>
      <w:marRight w:val="0"/>
      <w:marTop w:val="0"/>
      <w:marBottom w:val="0"/>
      <w:divBdr>
        <w:top w:val="none" w:sz="0" w:space="0" w:color="auto"/>
        <w:left w:val="none" w:sz="0" w:space="0" w:color="auto"/>
        <w:bottom w:val="none" w:sz="0" w:space="0" w:color="auto"/>
        <w:right w:val="none" w:sz="0" w:space="0" w:color="auto"/>
      </w:divBdr>
    </w:div>
    <w:div w:id="1411075325">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30332780">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568108159">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10316242">
      <w:bodyDiv w:val="1"/>
      <w:marLeft w:val="0"/>
      <w:marRight w:val="0"/>
      <w:marTop w:val="0"/>
      <w:marBottom w:val="0"/>
      <w:divBdr>
        <w:top w:val="none" w:sz="0" w:space="0" w:color="auto"/>
        <w:left w:val="none" w:sz="0" w:space="0" w:color="auto"/>
        <w:bottom w:val="none" w:sz="0" w:space="0" w:color="auto"/>
        <w:right w:val="none" w:sz="0" w:space="0" w:color="auto"/>
      </w:divBdr>
    </w:div>
    <w:div w:id="1625690487">
      <w:bodyDiv w:val="1"/>
      <w:marLeft w:val="0"/>
      <w:marRight w:val="0"/>
      <w:marTop w:val="0"/>
      <w:marBottom w:val="0"/>
      <w:divBdr>
        <w:top w:val="none" w:sz="0" w:space="0" w:color="auto"/>
        <w:left w:val="none" w:sz="0" w:space="0" w:color="auto"/>
        <w:bottom w:val="none" w:sz="0" w:space="0" w:color="auto"/>
        <w:right w:val="none" w:sz="0" w:space="0" w:color="auto"/>
      </w:divBdr>
    </w:div>
    <w:div w:id="1652515071">
      <w:bodyDiv w:val="1"/>
      <w:marLeft w:val="0"/>
      <w:marRight w:val="0"/>
      <w:marTop w:val="0"/>
      <w:marBottom w:val="0"/>
      <w:divBdr>
        <w:top w:val="none" w:sz="0" w:space="0" w:color="auto"/>
        <w:left w:val="none" w:sz="0" w:space="0" w:color="auto"/>
        <w:bottom w:val="none" w:sz="0" w:space="0" w:color="auto"/>
        <w:right w:val="none" w:sz="0" w:space="0" w:color="auto"/>
      </w:divBdr>
    </w:div>
    <w:div w:id="1672639719">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37510226">
      <w:bodyDiv w:val="1"/>
      <w:marLeft w:val="0"/>
      <w:marRight w:val="0"/>
      <w:marTop w:val="0"/>
      <w:marBottom w:val="0"/>
      <w:divBdr>
        <w:top w:val="none" w:sz="0" w:space="0" w:color="auto"/>
        <w:left w:val="none" w:sz="0" w:space="0" w:color="auto"/>
        <w:bottom w:val="none" w:sz="0" w:space="0" w:color="auto"/>
        <w:right w:val="none" w:sz="0" w:space="0" w:color="auto"/>
      </w:divBdr>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790010770">
      <w:bodyDiv w:val="1"/>
      <w:marLeft w:val="0"/>
      <w:marRight w:val="0"/>
      <w:marTop w:val="0"/>
      <w:marBottom w:val="0"/>
      <w:divBdr>
        <w:top w:val="none" w:sz="0" w:space="0" w:color="auto"/>
        <w:left w:val="none" w:sz="0" w:space="0" w:color="auto"/>
        <w:bottom w:val="none" w:sz="0" w:space="0" w:color="auto"/>
        <w:right w:val="none" w:sz="0" w:space="0" w:color="auto"/>
      </w:divBdr>
    </w:div>
    <w:div w:id="1879589351">
      <w:bodyDiv w:val="1"/>
      <w:marLeft w:val="0"/>
      <w:marRight w:val="0"/>
      <w:marTop w:val="0"/>
      <w:marBottom w:val="0"/>
      <w:divBdr>
        <w:top w:val="none" w:sz="0" w:space="0" w:color="auto"/>
        <w:left w:val="none" w:sz="0" w:space="0" w:color="auto"/>
        <w:bottom w:val="none" w:sz="0" w:space="0" w:color="auto"/>
        <w:right w:val="none" w:sz="0" w:space="0" w:color="auto"/>
      </w:divBdr>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1938127327">
      <w:bodyDiv w:val="1"/>
      <w:marLeft w:val="0"/>
      <w:marRight w:val="0"/>
      <w:marTop w:val="0"/>
      <w:marBottom w:val="0"/>
      <w:divBdr>
        <w:top w:val="none" w:sz="0" w:space="0" w:color="auto"/>
        <w:left w:val="none" w:sz="0" w:space="0" w:color="auto"/>
        <w:bottom w:val="none" w:sz="0" w:space="0" w:color="auto"/>
        <w:right w:val="none" w:sz="0" w:space="0" w:color="auto"/>
      </w:divBdr>
    </w:div>
    <w:div w:id="1964920720">
      <w:bodyDiv w:val="1"/>
      <w:marLeft w:val="0"/>
      <w:marRight w:val="0"/>
      <w:marTop w:val="0"/>
      <w:marBottom w:val="0"/>
      <w:divBdr>
        <w:top w:val="none" w:sz="0" w:space="0" w:color="auto"/>
        <w:left w:val="none" w:sz="0" w:space="0" w:color="auto"/>
        <w:bottom w:val="none" w:sz="0" w:space="0" w:color="auto"/>
        <w:right w:val="none" w:sz="0" w:space="0" w:color="auto"/>
      </w:divBdr>
    </w:div>
    <w:div w:id="1988048669">
      <w:bodyDiv w:val="1"/>
      <w:marLeft w:val="0"/>
      <w:marRight w:val="0"/>
      <w:marTop w:val="0"/>
      <w:marBottom w:val="0"/>
      <w:divBdr>
        <w:top w:val="none" w:sz="0" w:space="0" w:color="auto"/>
        <w:left w:val="none" w:sz="0" w:space="0" w:color="auto"/>
        <w:bottom w:val="none" w:sz="0" w:space="0" w:color="auto"/>
        <w:right w:val="none" w:sz="0" w:space="0" w:color="auto"/>
      </w:divBdr>
    </w:div>
    <w:div w:id="2006467231">
      <w:bodyDiv w:val="1"/>
      <w:marLeft w:val="0"/>
      <w:marRight w:val="0"/>
      <w:marTop w:val="0"/>
      <w:marBottom w:val="0"/>
      <w:divBdr>
        <w:top w:val="none" w:sz="0" w:space="0" w:color="auto"/>
        <w:left w:val="none" w:sz="0" w:space="0" w:color="auto"/>
        <w:bottom w:val="none" w:sz="0" w:space="0" w:color="auto"/>
        <w:right w:val="none" w:sz="0" w:space="0" w:color="auto"/>
      </w:divBdr>
    </w:div>
    <w:div w:id="2016418330">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21292041">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aonlin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aonlin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F6F5-D843-4129-900A-FD170C2A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741</Words>
  <Characters>4373</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Andrea Trudičová</cp:lastModifiedBy>
  <cp:revision>13</cp:revision>
  <cp:lastPrinted>2020-09-16T06:48:00Z</cp:lastPrinted>
  <dcterms:created xsi:type="dcterms:W3CDTF">2021-10-16T19:16:00Z</dcterms:created>
  <dcterms:modified xsi:type="dcterms:W3CDTF">2021-10-18T05:23:00Z</dcterms:modified>
</cp:coreProperties>
</file>