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11B59" w14:textId="3E0492ED" w:rsidR="009139AF" w:rsidRPr="00DD4A8E" w:rsidRDefault="009139AF" w:rsidP="00635F63">
      <w:pPr>
        <w:rPr>
          <w:rFonts w:ascii="Calibri" w:hAnsi="Calibri" w:cs="Arial"/>
          <w:b/>
          <w:color w:val="13576B"/>
          <w:sz w:val="36"/>
          <w:szCs w:val="36"/>
        </w:rPr>
      </w:pPr>
      <w:r w:rsidRPr="00DD4A8E">
        <w:rPr>
          <w:rFonts w:ascii="Calibri" w:hAnsi="Calibri" w:cs="Arial"/>
          <w:b/>
          <w:color w:val="13576B"/>
          <w:sz w:val="36"/>
          <w:szCs w:val="36"/>
        </w:rPr>
        <w:t xml:space="preserve">MAKROEKONOMICKÁ PROGNÓZA </w:t>
      </w:r>
      <w:r w:rsidR="001A7E43" w:rsidRPr="00DD4A8E">
        <w:rPr>
          <w:rFonts w:ascii="Calibri" w:hAnsi="Calibri" w:cs="Arial"/>
          <w:b/>
          <w:color w:val="13576B"/>
          <w:sz w:val="36"/>
          <w:szCs w:val="36"/>
        </w:rPr>
        <w:t>ČESKÉ BANKOVNÍ ASOCIACE</w:t>
      </w:r>
      <w:r w:rsidR="00B64486" w:rsidRPr="00DD4A8E">
        <w:rPr>
          <w:rFonts w:ascii="Calibri" w:hAnsi="Calibri" w:cs="Arial"/>
          <w:b/>
          <w:color w:val="13576B"/>
          <w:sz w:val="36"/>
          <w:szCs w:val="36"/>
        </w:rPr>
        <w:t xml:space="preserve"> </w:t>
      </w:r>
    </w:p>
    <w:p w14:paraId="27792D8C" w14:textId="77777777" w:rsidR="008C3E6D" w:rsidRPr="00DD4A8E" w:rsidRDefault="008C3E6D" w:rsidP="00635F63">
      <w:pPr>
        <w:rPr>
          <w:rFonts w:ascii="Calibri" w:hAnsi="Calibri" w:cs="Arial"/>
          <w:b/>
          <w:color w:val="13576B"/>
          <w:sz w:val="28"/>
          <w:szCs w:val="28"/>
        </w:rPr>
      </w:pPr>
    </w:p>
    <w:p w14:paraId="07C7C74A" w14:textId="5084BE3D" w:rsidR="00B64486" w:rsidRPr="00DD4A8E" w:rsidRDefault="00484A70" w:rsidP="00635F63">
      <w:pPr>
        <w:rPr>
          <w:rFonts w:ascii="Calibri" w:hAnsi="Calibri" w:cs="Arial"/>
          <w:b/>
          <w:color w:val="13576B"/>
          <w:sz w:val="32"/>
          <w:szCs w:val="32"/>
        </w:rPr>
      </w:pPr>
      <w:r w:rsidRPr="00DD4A8E">
        <w:rPr>
          <w:rFonts w:ascii="Calibri" w:hAnsi="Calibri" w:cs="Arial"/>
          <w:b/>
          <w:color w:val="13576B"/>
          <w:sz w:val="32"/>
          <w:szCs w:val="32"/>
        </w:rPr>
        <w:t>Podle srpnového odhadu e</w:t>
      </w:r>
      <w:r w:rsidR="00B64486" w:rsidRPr="00DD4A8E">
        <w:rPr>
          <w:rFonts w:ascii="Calibri" w:hAnsi="Calibri" w:cs="Arial"/>
          <w:b/>
          <w:color w:val="13576B"/>
          <w:sz w:val="32"/>
          <w:szCs w:val="32"/>
        </w:rPr>
        <w:t>konom</w:t>
      </w:r>
      <w:r w:rsidRPr="00DD4A8E">
        <w:rPr>
          <w:rFonts w:ascii="Calibri" w:hAnsi="Calibri" w:cs="Arial"/>
          <w:b/>
          <w:color w:val="13576B"/>
          <w:sz w:val="32"/>
          <w:szCs w:val="32"/>
        </w:rPr>
        <w:t>ů</w:t>
      </w:r>
      <w:r w:rsidR="00B64486" w:rsidRPr="00DD4A8E">
        <w:rPr>
          <w:rFonts w:ascii="Calibri" w:hAnsi="Calibri" w:cs="Arial"/>
          <w:b/>
          <w:color w:val="13576B"/>
          <w:sz w:val="32"/>
          <w:szCs w:val="32"/>
        </w:rPr>
        <w:t xml:space="preserve"> bank </w:t>
      </w:r>
      <w:r w:rsidRPr="00DD4A8E">
        <w:rPr>
          <w:rFonts w:ascii="Calibri" w:hAnsi="Calibri" w:cs="Arial"/>
          <w:b/>
          <w:color w:val="13576B"/>
          <w:sz w:val="32"/>
          <w:szCs w:val="32"/>
        </w:rPr>
        <w:t>poroste č</w:t>
      </w:r>
      <w:r w:rsidR="001A7E43" w:rsidRPr="00DD4A8E">
        <w:rPr>
          <w:rFonts w:ascii="Calibri" w:hAnsi="Calibri" w:cs="Arial"/>
          <w:b/>
          <w:color w:val="13576B"/>
          <w:sz w:val="32"/>
          <w:szCs w:val="32"/>
        </w:rPr>
        <w:t xml:space="preserve">eská ekonomika letos </w:t>
      </w:r>
      <w:r w:rsidR="00BF5C5A">
        <w:rPr>
          <w:rFonts w:ascii="Calibri" w:hAnsi="Calibri" w:cs="Arial"/>
          <w:b/>
          <w:color w:val="13576B"/>
          <w:sz w:val="32"/>
          <w:szCs w:val="32"/>
        </w:rPr>
        <w:br/>
      </w:r>
      <w:r w:rsidR="001A7E43" w:rsidRPr="00DD4A8E">
        <w:rPr>
          <w:rFonts w:ascii="Calibri" w:hAnsi="Calibri" w:cs="Arial"/>
          <w:b/>
          <w:color w:val="13576B"/>
          <w:sz w:val="32"/>
          <w:szCs w:val="32"/>
        </w:rPr>
        <w:t>o 3,</w:t>
      </w:r>
      <w:r w:rsidRPr="00DD4A8E">
        <w:rPr>
          <w:rFonts w:ascii="Calibri" w:hAnsi="Calibri" w:cs="Arial"/>
          <w:b/>
          <w:color w:val="13576B"/>
          <w:sz w:val="32"/>
          <w:szCs w:val="32"/>
        </w:rPr>
        <w:t>4</w:t>
      </w:r>
      <w:r w:rsidR="001A7E43" w:rsidRPr="00DD4A8E">
        <w:rPr>
          <w:rFonts w:ascii="Calibri" w:hAnsi="Calibri" w:cs="Arial"/>
          <w:b/>
          <w:color w:val="13576B"/>
          <w:sz w:val="32"/>
          <w:szCs w:val="32"/>
        </w:rPr>
        <w:t xml:space="preserve"> %</w:t>
      </w:r>
      <w:r w:rsidRPr="00DD4A8E">
        <w:rPr>
          <w:rFonts w:ascii="Calibri" w:hAnsi="Calibri" w:cs="Arial"/>
          <w:b/>
          <w:color w:val="13576B"/>
          <w:sz w:val="32"/>
          <w:szCs w:val="32"/>
        </w:rPr>
        <w:t xml:space="preserve"> a</w:t>
      </w:r>
      <w:r w:rsidR="001A7E43" w:rsidRPr="00DD4A8E">
        <w:rPr>
          <w:rFonts w:ascii="Calibri" w:hAnsi="Calibri" w:cs="Arial"/>
          <w:b/>
          <w:color w:val="13576B"/>
          <w:sz w:val="32"/>
          <w:szCs w:val="32"/>
        </w:rPr>
        <w:t xml:space="preserve"> příští rok o 4,</w:t>
      </w:r>
      <w:r w:rsidRPr="00DD4A8E">
        <w:rPr>
          <w:rFonts w:ascii="Calibri" w:hAnsi="Calibri" w:cs="Arial"/>
          <w:b/>
          <w:color w:val="13576B"/>
          <w:sz w:val="32"/>
          <w:szCs w:val="32"/>
        </w:rPr>
        <w:t>5</w:t>
      </w:r>
      <w:r w:rsidR="001A7E43" w:rsidRPr="00DD4A8E">
        <w:rPr>
          <w:rFonts w:ascii="Calibri" w:hAnsi="Calibri" w:cs="Arial"/>
          <w:b/>
          <w:color w:val="13576B"/>
          <w:sz w:val="32"/>
          <w:szCs w:val="32"/>
        </w:rPr>
        <w:t xml:space="preserve"> %</w:t>
      </w:r>
    </w:p>
    <w:p w14:paraId="060B2915" w14:textId="3E36ACE3" w:rsidR="001317FA" w:rsidRPr="00DD4A8E" w:rsidRDefault="009139AF" w:rsidP="001317FA">
      <w:pPr>
        <w:pStyle w:val="Normlnweb"/>
        <w:jc w:val="both"/>
        <w:rPr>
          <w:rFonts w:ascii="Calibri" w:hAnsi="Calibri" w:cs="Calibri"/>
          <w:color w:val="13576B"/>
          <w:sz w:val="20"/>
        </w:rPr>
      </w:pPr>
      <w:r w:rsidRPr="00DD4A8E">
        <w:rPr>
          <w:rFonts w:ascii="Calibri" w:hAnsi="Calibri" w:cs="Calibri"/>
          <w:b/>
          <w:color w:val="13576B"/>
          <w:sz w:val="20"/>
        </w:rPr>
        <w:t xml:space="preserve">Praha, </w:t>
      </w:r>
      <w:r w:rsidR="00F860E1" w:rsidRPr="00DD4A8E">
        <w:rPr>
          <w:rFonts w:ascii="Calibri" w:hAnsi="Calibri" w:cs="Calibri"/>
          <w:b/>
          <w:color w:val="13576B"/>
          <w:sz w:val="20"/>
        </w:rPr>
        <w:t>1</w:t>
      </w:r>
      <w:r w:rsidR="000C1D98" w:rsidRPr="00DD4A8E">
        <w:rPr>
          <w:rFonts w:ascii="Calibri" w:hAnsi="Calibri" w:cs="Calibri"/>
          <w:b/>
          <w:color w:val="13576B"/>
          <w:sz w:val="20"/>
        </w:rPr>
        <w:t>2</w:t>
      </w:r>
      <w:r w:rsidRPr="00DD4A8E">
        <w:rPr>
          <w:rFonts w:ascii="Calibri" w:hAnsi="Calibri" w:cs="Calibri"/>
          <w:b/>
          <w:color w:val="13576B"/>
          <w:sz w:val="20"/>
        </w:rPr>
        <w:t xml:space="preserve">. </w:t>
      </w:r>
      <w:r w:rsidR="00977832" w:rsidRPr="00DD4A8E">
        <w:rPr>
          <w:rFonts w:ascii="Calibri" w:hAnsi="Calibri" w:cs="Calibri"/>
          <w:b/>
          <w:color w:val="13576B"/>
          <w:sz w:val="20"/>
        </w:rPr>
        <w:t>srp</w:t>
      </w:r>
      <w:r w:rsidR="000162B2" w:rsidRPr="00DD4A8E">
        <w:rPr>
          <w:rFonts w:ascii="Calibri" w:hAnsi="Calibri" w:cs="Calibri"/>
          <w:b/>
          <w:color w:val="13576B"/>
          <w:sz w:val="20"/>
        </w:rPr>
        <w:t>na</w:t>
      </w:r>
      <w:r w:rsidRPr="00DD4A8E">
        <w:rPr>
          <w:rFonts w:ascii="Calibri" w:hAnsi="Calibri" w:cs="Calibri"/>
          <w:b/>
          <w:color w:val="13576B"/>
          <w:sz w:val="20"/>
        </w:rPr>
        <w:t xml:space="preserve"> 20</w:t>
      </w:r>
      <w:r w:rsidR="007F6300" w:rsidRPr="00DD4A8E">
        <w:rPr>
          <w:rFonts w:ascii="Calibri" w:hAnsi="Calibri" w:cs="Calibri"/>
          <w:b/>
          <w:color w:val="13576B"/>
          <w:sz w:val="20"/>
        </w:rPr>
        <w:t>2</w:t>
      </w:r>
      <w:r w:rsidR="00F860E1" w:rsidRPr="00DD4A8E">
        <w:rPr>
          <w:rFonts w:ascii="Calibri" w:hAnsi="Calibri" w:cs="Calibri"/>
          <w:b/>
          <w:color w:val="13576B"/>
          <w:sz w:val="20"/>
        </w:rPr>
        <w:t>1</w:t>
      </w:r>
      <w:r w:rsidRPr="00DD4A8E">
        <w:rPr>
          <w:rFonts w:ascii="Calibri" w:hAnsi="Calibri" w:cs="Calibri"/>
          <w:b/>
          <w:color w:val="13576B"/>
          <w:sz w:val="20"/>
        </w:rPr>
        <w:t xml:space="preserve"> </w:t>
      </w:r>
      <w:r w:rsidR="001A7E43" w:rsidRPr="00DD4A8E">
        <w:rPr>
          <w:rFonts w:ascii="Calibri" w:hAnsi="Calibri" w:cs="Calibri"/>
          <w:b/>
          <w:color w:val="13576B"/>
          <w:sz w:val="20"/>
        </w:rPr>
        <w:t>–</w:t>
      </w:r>
      <w:r w:rsidR="000766D5" w:rsidRPr="00DD4A8E">
        <w:rPr>
          <w:rFonts w:ascii="Calibri" w:hAnsi="Calibri" w:cs="Calibri"/>
          <w:b/>
          <w:color w:val="13576B"/>
          <w:sz w:val="20"/>
        </w:rPr>
        <w:t xml:space="preserve"> </w:t>
      </w:r>
      <w:r w:rsidR="001317FA" w:rsidRPr="00DD4A8E">
        <w:rPr>
          <w:rFonts w:ascii="Calibri" w:hAnsi="Calibri" w:cs="Calibri"/>
          <w:b/>
          <w:color w:val="13576B"/>
          <w:sz w:val="20"/>
        </w:rPr>
        <w:t xml:space="preserve">Hlavní ekonomové bank zastoupení v prognostickém panelu České bankovní asociace (ČBA) </w:t>
      </w:r>
      <w:r w:rsidR="001317FA">
        <w:rPr>
          <w:rFonts w:ascii="Calibri" w:hAnsi="Calibri" w:cs="Calibri"/>
          <w:b/>
          <w:color w:val="13576B"/>
          <w:sz w:val="20"/>
        </w:rPr>
        <w:t xml:space="preserve">téměř nezměnili, </w:t>
      </w:r>
      <w:r w:rsidR="001317FA" w:rsidRPr="00DD4A8E">
        <w:rPr>
          <w:rFonts w:ascii="Calibri" w:hAnsi="Calibri" w:cs="Calibri"/>
          <w:b/>
          <w:color w:val="13576B"/>
          <w:sz w:val="20"/>
        </w:rPr>
        <w:t>vzhledem k potvrzujícím se známkám nastupujícího oživení</w:t>
      </w:r>
      <w:r w:rsidR="001317FA">
        <w:rPr>
          <w:rFonts w:ascii="Calibri" w:hAnsi="Calibri" w:cs="Calibri"/>
          <w:b/>
          <w:color w:val="13576B"/>
          <w:sz w:val="20"/>
        </w:rPr>
        <w:t>,</w:t>
      </w:r>
      <w:r w:rsidR="001317FA" w:rsidRPr="00DD4A8E">
        <w:rPr>
          <w:rFonts w:ascii="Calibri" w:hAnsi="Calibri" w:cs="Calibri"/>
          <w:b/>
          <w:color w:val="13576B"/>
          <w:sz w:val="20"/>
        </w:rPr>
        <w:t xml:space="preserve"> předchozí odhad růstu HDP </w:t>
      </w:r>
      <w:r w:rsidR="001317FA">
        <w:rPr>
          <w:rFonts w:ascii="Calibri" w:hAnsi="Calibri" w:cs="Calibri"/>
          <w:b/>
          <w:color w:val="13576B"/>
          <w:sz w:val="20"/>
        </w:rPr>
        <w:t xml:space="preserve">a čekají letos růst tuzemské ekonomiky o </w:t>
      </w:r>
      <w:r w:rsidR="001317FA" w:rsidRPr="00DD4A8E">
        <w:rPr>
          <w:rFonts w:ascii="Calibri" w:hAnsi="Calibri" w:cs="Calibri"/>
          <w:b/>
          <w:color w:val="13576B"/>
          <w:sz w:val="20"/>
        </w:rPr>
        <w:t>3,4 %</w:t>
      </w:r>
      <w:r w:rsidR="001317FA">
        <w:rPr>
          <w:rFonts w:ascii="Calibri" w:hAnsi="Calibri" w:cs="Calibri"/>
          <w:b/>
          <w:color w:val="13576B"/>
          <w:sz w:val="20"/>
        </w:rPr>
        <w:t>.</w:t>
      </w:r>
      <w:r w:rsidR="001317FA" w:rsidRPr="00DD4A8E">
        <w:rPr>
          <w:rFonts w:ascii="Calibri" w:hAnsi="Calibri" w:cs="Calibri"/>
          <w:b/>
          <w:color w:val="13576B"/>
          <w:sz w:val="20"/>
        </w:rPr>
        <w:t xml:space="preserve"> </w:t>
      </w:r>
      <w:r w:rsidR="001317FA">
        <w:rPr>
          <w:rFonts w:ascii="Calibri" w:hAnsi="Calibri" w:cs="Calibri"/>
          <w:b/>
          <w:color w:val="13576B"/>
          <w:sz w:val="20"/>
        </w:rPr>
        <w:t>O</w:t>
      </w:r>
      <w:r w:rsidR="001317FA" w:rsidRPr="00DD4A8E">
        <w:rPr>
          <w:rFonts w:ascii="Calibri" w:hAnsi="Calibri" w:cs="Calibri"/>
          <w:b/>
          <w:color w:val="13576B"/>
          <w:sz w:val="20"/>
        </w:rPr>
        <w:t>dhad pro rok 2022 mírně upravili směrem vzhůru na 4,5 %. Většina rizik</w:t>
      </w:r>
      <w:r w:rsidR="001317FA">
        <w:rPr>
          <w:rFonts w:ascii="Calibri" w:hAnsi="Calibri" w:cs="Calibri"/>
          <w:b/>
          <w:color w:val="13576B"/>
          <w:sz w:val="20"/>
        </w:rPr>
        <w:t xml:space="preserve"> spojených se </w:t>
      </w:r>
      <w:proofErr w:type="gramStart"/>
      <w:r w:rsidR="001317FA">
        <w:rPr>
          <w:rFonts w:ascii="Calibri" w:hAnsi="Calibri" w:cs="Calibri"/>
          <w:b/>
          <w:color w:val="13576B"/>
          <w:sz w:val="20"/>
        </w:rPr>
        <w:t>slabším</w:t>
      </w:r>
      <w:proofErr w:type="gramEnd"/>
      <w:r w:rsidR="00A772EE">
        <w:rPr>
          <w:rFonts w:ascii="Calibri" w:hAnsi="Calibri" w:cs="Calibri"/>
          <w:b/>
          <w:color w:val="13576B"/>
          <w:sz w:val="20"/>
        </w:rPr>
        <w:t xml:space="preserve"> </w:t>
      </w:r>
      <w:r w:rsidR="001317FA">
        <w:rPr>
          <w:rFonts w:ascii="Calibri" w:hAnsi="Calibri" w:cs="Calibri"/>
          <w:b/>
          <w:color w:val="13576B"/>
          <w:sz w:val="20"/>
        </w:rPr>
        <w:t xml:space="preserve">než očekávaným růstem </w:t>
      </w:r>
      <w:r w:rsidR="001317FA" w:rsidRPr="00DD4A8E">
        <w:rPr>
          <w:rFonts w:ascii="Calibri" w:hAnsi="Calibri" w:cs="Calibri"/>
          <w:b/>
          <w:color w:val="13576B"/>
          <w:sz w:val="20"/>
        </w:rPr>
        <w:t xml:space="preserve">souvisí s nejistotou ohledně dalšího vývoje Covid-19 a jeho hospodářskými dopady, ke kterým </w:t>
      </w:r>
      <w:r w:rsidR="001317FA">
        <w:rPr>
          <w:rFonts w:ascii="Calibri" w:hAnsi="Calibri" w:cs="Calibri"/>
          <w:b/>
          <w:color w:val="13576B"/>
          <w:sz w:val="20"/>
        </w:rPr>
        <w:t xml:space="preserve">zatím </w:t>
      </w:r>
      <w:r w:rsidR="001317FA" w:rsidRPr="00DD4A8E">
        <w:rPr>
          <w:rFonts w:ascii="Calibri" w:hAnsi="Calibri" w:cs="Calibri"/>
          <w:b/>
          <w:color w:val="13576B"/>
          <w:sz w:val="20"/>
        </w:rPr>
        <w:t xml:space="preserve">patří i poruchy dodávek některých komponentů ze zámoří. </w:t>
      </w:r>
    </w:p>
    <w:p w14:paraId="15858FAE" w14:textId="51388748" w:rsidR="00E82C0C" w:rsidRPr="00DD4A8E" w:rsidRDefault="00F80A00" w:rsidP="001317FA">
      <w:pPr>
        <w:pStyle w:val="Normlnweb"/>
        <w:jc w:val="both"/>
        <w:rPr>
          <w:rFonts w:ascii="Calibri" w:hAnsi="Calibri" w:cs="Calibri"/>
          <w:sz w:val="20"/>
        </w:rPr>
      </w:pPr>
      <w:r w:rsidRPr="00DD4A8E">
        <w:rPr>
          <w:rFonts w:ascii="Calibri" w:hAnsi="Calibri" w:cs="Calibri"/>
          <w:sz w:val="20"/>
        </w:rPr>
        <w:t xml:space="preserve">Předběžný odhad růstu HDP zveřejněný </w:t>
      </w:r>
      <w:r w:rsidR="00EB6F2B">
        <w:rPr>
          <w:rFonts w:ascii="Calibri" w:hAnsi="Calibri" w:cs="Calibri"/>
          <w:sz w:val="20"/>
        </w:rPr>
        <w:t xml:space="preserve">ČSÚ </w:t>
      </w:r>
      <w:r w:rsidRPr="00DD4A8E">
        <w:rPr>
          <w:rFonts w:ascii="Calibri" w:hAnsi="Calibri" w:cs="Calibri"/>
          <w:sz w:val="20"/>
        </w:rPr>
        <w:t>na konci července potvrdil, že se české hospodářství pozvolna pohybuje po trajektorii oživení</w:t>
      </w:r>
      <w:r w:rsidR="00AD2C6F">
        <w:rPr>
          <w:rFonts w:ascii="Calibri" w:hAnsi="Calibri" w:cs="Calibri"/>
          <w:sz w:val="20"/>
        </w:rPr>
        <w:t>.</w:t>
      </w:r>
      <w:r w:rsidR="00BF5C5A">
        <w:rPr>
          <w:rFonts w:ascii="Calibri" w:hAnsi="Calibri" w:cs="Calibri"/>
          <w:sz w:val="20"/>
        </w:rPr>
        <w:t xml:space="preserve"> </w:t>
      </w:r>
      <w:r w:rsidR="00AD2C6F">
        <w:rPr>
          <w:rFonts w:ascii="Calibri" w:hAnsi="Calibri" w:cs="Calibri"/>
          <w:sz w:val="20"/>
        </w:rPr>
        <w:t>A to i</w:t>
      </w:r>
      <w:r w:rsidR="00BF5C5A">
        <w:rPr>
          <w:rFonts w:ascii="Calibri" w:hAnsi="Calibri" w:cs="Calibri"/>
          <w:sz w:val="20"/>
        </w:rPr>
        <w:t xml:space="preserve"> </w:t>
      </w:r>
      <w:r w:rsidRPr="00DD4A8E">
        <w:rPr>
          <w:rFonts w:ascii="Calibri" w:hAnsi="Calibri" w:cs="Calibri"/>
          <w:sz w:val="20"/>
        </w:rPr>
        <w:t xml:space="preserve">když tržní očekávání byla ještě vyšší než </w:t>
      </w:r>
      <w:r w:rsidR="009A24CC" w:rsidRPr="00DD4A8E">
        <w:rPr>
          <w:rFonts w:ascii="Calibri" w:hAnsi="Calibri" w:cs="Calibri"/>
          <w:sz w:val="20"/>
        </w:rPr>
        <w:t xml:space="preserve">oznámené 7,8% </w:t>
      </w:r>
      <w:r w:rsidR="00970853">
        <w:rPr>
          <w:rFonts w:ascii="Calibri" w:hAnsi="Calibri" w:cs="Calibri"/>
          <w:sz w:val="20"/>
        </w:rPr>
        <w:t xml:space="preserve">meziroční </w:t>
      </w:r>
      <w:r w:rsidR="009A24CC" w:rsidRPr="00DD4A8E">
        <w:rPr>
          <w:rFonts w:ascii="Calibri" w:hAnsi="Calibri" w:cs="Calibri"/>
          <w:sz w:val="20"/>
        </w:rPr>
        <w:t>tempo</w:t>
      </w:r>
      <w:r w:rsidR="00970853">
        <w:rPr>
          <w:rFonts w:ascii="Calibri" w:hAnsi="Calibri" w:cs="Calibri"/>
          <w:sz w:val="20"/>
        </w:rPr>
        <w:t xml:space="preserve">, které bylo </w:t>
      </w:r>
      <w:r w:rsidR="009A24CC" w:rsidRPr="00DD4A8E">
        <w:rPr>
          <w:rFonts w:ascii="Calibri" w:hAnsi="Calibri" w:cs="Calibri"/>
          <w:sz w:val="20"/>
        </w:rPr>
        <w:t>měřené oproti velmi nízké srovnávací základně</w:t>
      </w:r>
      <w:r w:rsidR="00970853">
        <w:rPr>
          <w:rFonts w:ascii="Calibri" w:hAnsi="Calibri" w:cs="Calibri"/>
          <w:sz w:val="20"/>
        </w:rPr>
        <w:t>, tj</w:t>
      </w:r>
      <w:r w:rsidR="00BF5C5A">
        <w:rPr>
          <w:rFonts w:ascii="Calibri" w:hAnsi="Calibri" w:cs="Calibri"/>
          <w:sz w:val="20"/>
        </w:rPr>
        <w:t>.</w:t>
      </w:r>
      <w:r w:rsidR="009A24CC" w:rsidRPr="00DD4A8E">
        <w:rPr>
          <w:rFonts w:ascii="Calibri" w:hAnsi="Calibri" w:cs="Calibri"/>
          <w:sz w:val="20"/>
        </w:rPr>
        <w:t xml:space="preserve"> nejhorší</w:t>
      </w:r>
      <w:r w:rsidR="00EB6F2B">
        <w:rPr>
          <w:rFonts w:ascii="Calibri" w:hAnsi="Calibri" w:cs="Calibri"/>
          <w:sz w:val="20"/>
        </w:rPr>
        <w:t>mu</w:t>
      </w:r>
      <w:r w:rsidR="009A24CC" w:rsidRPr="00DD4A8E">
        <w:rPr>
          <w:rFonts w:ascii="Calibri" w:hAnsi="Calibri" w:cs="Calibri"/>
          <w:sz w:val="20"/>
        </w:rPr>
        <w:t xml:space="preserve"> druhé</w:t>
      </w:r>
      <w:r w:rsidR="00EB6F2B">
        <w:rPr>
          <w:rFonts w:ascii="Calibri" w:hAnsi="Calibri" w:cs="Calibri"/>
          <w:sz w:val="20"/>
        </w:rPr>
        <w:t>mu</w:t>
      </w:r>
      <w:r w:rsidR="009A24CC" w:rsidRPr="00DD4A8E">
        <w:rPr>
          <w:rFonts w:ascii="Calibri" w:hAnsi="Calibri" w:cs="Calibri"/>
          <w:sz w:val="20"/>
        </w:rPr>
        <w:t xml:space="preserve"> kvartálu</w:t>
      </w:r>
      <w:r w:rsidR="00970853">
        <w:rPr>
          <w:rFonts w:ascii="Calibri" w:hAnsi="Calibri" w:cs="Calibri"/>
          <w:sz w:val="20"/>
        </w:rPr>
        <w:t xml:space="preserve"> loňského roku</w:t>
      </w:r>
      <w:r w:rsidR="009A24CC" w:rsidRPr="00DD4A8E">
        <w:rPr>
          <w:rFonts w:ascii="Calibri" w:hAnsi="Calibri" w:cs="Calibri"/>
          <w:sz w:val="20"/>
        </w:rPr>
        <w:t xml:space="preserve">. </w:t>
      </w:r>
      <w:r w:rsidR="0091603D" w:rsidRPr="00DD4A8E">
        <w:rPr>
          <w:rFonts w:ascii="Calibri" w:hAnsi="Calibri" w:cs="Calibri"/>
          <w:sz w:val="20"/>
        </w:rPr>
        <w:t>P</w:t>
      </w:r>
      <w:r w:rsidR="004709C3">
        <w:rPr>
          <w:rFonts w:ascii="Calibri" w:hAnsi="Calibri" w:cs="Calibri"/>
          <w:sz w:val="20"/>
        </w:rPr>
        <w:t>rognostický p</w:t>
      </w:r>
      <w:r w:rsidR="0091603D" w:rsidRPr="00DD4A8E">
        <w:rPr>
          <w:rFonts w:ascii="Calibri" w:hAnsi="Calibri" w:cs="Calibri"/>
          <w:sz w:val="20"/>
        </w:rPr>
        <w:t xml:space="preserve">anel ČBA předpokládá, že </w:t>
      </w:r>
      <w:r w:rsidR="009A24CC" w:rsidRPr="00DD4A8E">
        <w:rPr>
          <w:rFonts w:ascii="Calibri" w:hAnsi="Calibri" w:cs="Calibri"/>
          <w:sz w:val="20"/>
        </w:rPr>
        <w:t xml:space="preserve">o růst </w:t>
      </w:r>
      <w:r w:rsidR="0091603D" w:rsidRPr="00DD4A8E">
        <w:rPr>
          <w:rFonts w:ascii="Calibri" w:hAnsi="Calibri" w:cs="Calibri"/>
          <w:sz w:val="20"/>
        </w:rPr>
        <w:t xml:space="preserve">se zasloužila především </w:t>
      </w:r>
      <w:r w:rsidR="00970853">
        <w:rPr>
          <w:rFonts w:ascii="Calibri" w:hAnsi="Calibri" w:cs="Calibri"/>
          <w:sz w:val="20"/>
        </w:rPr>
        <w:t>rostoucí</w:t>
      </w:r>
      <w:r w:rsidR="00970853" w:rsidRPr="00DD4A8E">
        <w:rPr>
          <w:rFonts w:ascii="Calibri" w:hAnsi="Calibri" w:cs="Calibri"/>
          <w:sz w:val="20"/>
        </w:rPr>
        <w:t xml:space="preserve"> </w:t>
      </w:r>
      <w:r w:rsidR="009A24CC" w:rsidRPr="00DD4A8E">
        <w:rPr>
          <w:rFonts w:ascii="Calibri" w:hAnsi="Calibri" w:cs="Calibri"/>
          <w:sz w:val="20"/>
        </w:rPr>
        <w:t>spotřeba domácností i stále vysoká vládní spotřeba</w:t>
      </w:r>
      <w:r w:rsidR="00970853">
        <w:rPr>
          <w:rFonts w:ascii="Calibri" w:hAnsi="Calibri" w:cs="Calibri"/>
          <w:sz w:val="20"/>
        </w:rPr>
        <w:t>, a to</w:t>
      </w:r>
      <w:r w:rsidR="009A24CC" w:rsidRPr="00DD4A8E">
        <w:rPr>
          <w:rFonts w:ascii="Calibri" w:hAnsi="Calibri" w:cs="Calibri"/>
          <w:sz w:val="20"/>
        </w:rPr>
        <w:t xml:space="preserve"> o něco více než zatím pokulhávající investice</w:t>
      </w:r>
      <w:r w:rsidR="00970853">
        <w:rPr>
          <w:rFonts w:ascii="Calibri" w:hAnsi="Calibri" w:cs="Calibri"/>
          <w:sz w:val="20"/>
        </w:rPr>
        <w:t>. V</w:t>
      </w:r>
      <w:r w:rsidR="009A24CC" w:rsidRPr="00DD4A8E">
        <w:rPr>
          <w:rFonts w:ascii="Calibri" w:hAnsi="Calibri" w:cs="Calibri"/>
          <w:sz w:val="20"/>
        </w:rPr>
        <w:t xml:space="preserve"> průběhu roku by se však všechny tři složky měly na růstu HDP podílet v zásadě vyrovnaně. </w:t>
      </w:r>
      <w:r w:rsidR="002A2B40" w:rsidRPr="00DD4A8E">
        <w:rPr>
          <w:rFonts w:ascii="Calibri" w:hAnsi="Calibri" w:cs="Calibri"/>
          <w:sz w:val="20"/>
        </w:rPr>
        <w:t xml:space="preserve">Příspěvek </w:t>
      </w:r>
      <w:r w:rsidR="009A24CC" w:rsidRPr="00DD4A8E">
        <w:rPr>
          <w:rFonts w:ascii="Calibri" w:hAnsi="Calibri" w:cs="Calibri"/>
          <w:sz w:val="20"/>
        </w:rPr>
        <w:t xml:space="preserve">čistých vývozů </w:t>
      </w:r>
      <w:r w:rsidR="002A2B40" w:rsidRPr="00DD4A8E">
        <w:rPr>
          <w:rFonts w:ascii="Calibri" w:hAnsi="Calibri" w:cs="Calibri"/>
          <w:sz w:val="20"/>
        </w:rPr>
        <w:t xml:space="preserve">k růstu </w:t>
      </w:r>
      <w:r w:rsidR="009A24CC" w:rsidRPr="00DD4A8E">
        <w:rPr>
          <w:rFonts w:ascii="Calibri" w:hAnsi="Calibri" w:cs="Calibri"/>
          <w:sz w:val="20"/>
        </w:rPr>
        <w:t>bude za nimi</w:t>
      </w:r>
      <w:r w:rsidR="00970853">
        <w:rPr>
          <w:rFonts w:ascii="Calibri" w:hAnsi="Calibri" w:cs="Calibri"/>
          <w:sz w:val="20"/>
        </w:rPr>
        <w:t>,</w:t>
      </w:r>
      <w:r w:rsidR="009A24CC" w:rsidRPr="00DD4A8E">
        <w:rPr>
          <w:rFonts w:ascii="Calibri" w:hAnsi="Calibri" w:cs="Calibri"/>
          <w:sz w:val="20"/>
        </w:rPr>
        <w:t xml:space="preserve"> vzhledem k akcelerujícím dovozům</w:t>
      </w:r>
      <w:r w:rsidR="00970853">
        <w:rPr>
          <w:rFonts w:ascii="Calibri" w:hAnsi="Calibri" w:cs="Calibri"/>
          <w:sz w:val="20"/>
        </w:rPr>
        <w:t>,</w:t>
      </w:r>
      <w:r w:rsidR="009A24CC" w:rsidRPr="00DD4A8E">
        <w:rPr>
          <w:rFonts w:ascii="Calibri" w:hAnsi="Calibri" w:cs="Calibri"/>
          <w:sz w:val="20"/>
        </w:rPr>
        <w:t xml:space="preserve"> letos </w:t>
      </w:r>
      <w:r w:rsidR="001828E8">
        <w:rPr>
          <w:rFonts w:ascii="Calibri" w:hAnsi="Calibri" w:cs="Calibri"/>
          <w:sz w:val="20"/>
        </w:rPr>
        <w:t>zaostávat</w:t>
      </w:r>
      <w:r w:rsidR="00970853">
        <w:rPr>
          <w:rFonts w:ascii="Calibri" w:hAnsi="Calibri" w:cs="Calibri"/>
          <w:sz w:val="20"/>
        </w:rPr>
        <w:t>.</w:t>
      </w:r>
      <w:r w:rsidR="00970853" w:rsidRPr="00DD4A8E">
        <w:rPr>
          <w:rFonts w:ascii="Calibri" w:hAnsi="Calibri" w:cs="Calibri"/>
          <w:sz w:val="20"/>
        </w:rPr>
        <w:t xml:space="preserve"> </w:t>
      </w:r>
      <w:r w:rsidR="00970853">
        <w:rPr>
          <w:rFonts w:ascii="Calibri" w:hAnsi="Calibri" w:cs="Calibri"/>
          <w:sz w:val="20"/>
        </w:rPr>
        <w:t>N</w:t>
      </w:r>
      <w:r w:rsidR="009A24CC" w:rsidRPr="00DD4A8E">
        <w:rPr>
          <w:rFonts w:ascii="Calibri" w:hAnsi="Calibri" w:cs="Calibri"/>
          <w:sz w:val="20"/>
        </w:rPr>
        <w:t xml:space="preserve">apřesrok by </w:t>
      </w:r>
      <w:r w:rsidR="002A2B40" w:rsidRPr="00DD4A8E">
        <w:rPr>
          <w:rFonts w:ascii="Calibri" w:hAnsi="Calibri" w:cs="Calibri"/>
          <w:sz w:val="20"/>
        </w:rPr>
        <w:t>se mohl s </w:t>
      </w:r>
      <w:r w:rsidR="00970853" w:rsidRPr="00DD4A8E">
        <w:rPr>
          <w:rFonts w:ascii="Calibri" w:hAnsi="Calibri" w:cs="Calibri"/>
          <w:sz w:val="20"/>
        </w:rPr>
        <w:t>očekávan</w:t>
      </w:r>
      <w:r w:rsidR="00970853">
        <w:rPr>
          <w:rFonts w:ascii="Calibri" w:hAnsi="Calibri" w:cs="Calibri"/>
          <w:sz w:val="20"/>
        </w:rPr>
        <w:t>ým</w:t>
      </w:r>
      <w:r w:rsidR="00970853" w:rsidRPr="00DD4A8E">
        <w:rPr>
          <w:rFonts w:ascii="Calibri" w:hAnsi="Calibri" w:cs="Calibri"/>
          <w:sz w:val="20"/>
        </w:rPr>
        <w:t xml:space="preserve"> </w:t>
      </w:r>
      <w:r w:rsidR="00970853">
        <w:rPr>
          <w:rFonts w:ascii="Calibri" w:hAnsi="Calibri" w:cs="Calibri"/>
          <w:sz w:val="20"/>
        </w:rPr>
        <w:t xml:space="preserve">růstem </w:t>
      </w:r>
      <w:r w:rsidR="009A24CC" w:rsidRPr="00DD4A8E">
        <w:rPr>
          <w:rFonts w:ascii="Calibri" w:hAnsi="Calibri" w:cs="Calibri"/>
          <w:sz w:val="20"/>
        </w:rPr>
        <w:t>dovozů investičního zboží</w:t>
      </w:r>
      <w:r w:rsidR="002A2B40" w:rsidRPr="00DD4A8E">
        <w:rPr>
          <w:rFonts w:ascii="Calibri" w:hAnsi="Calibri" w:cs="Calibri"/>
          <w:sz w:val="20"/>
        </w:rPr>
        <w:t xml:space="preserve"> na čas dostat i do záporu</w:t>
      </w:r>
      <w:r w:rsidR="009A24CC" w:rsidRPr="00DD4A8E">
        <w:rPr>
          <w:rFonts w:ascii="Calibri" w:hAnsi="Calibri" w:cs="Calibri"/>
          <w:sz w:val="20"/>
        </w:rPr>
        <w:t xml:space="preserve">.  </w:t>
      </w:r>
    </w:p>
    <w:p w14:paraId="10B3F741" w14:textId="3BD0B28D" w:rsidR="00B403E8" w:rsidRPr="00DD4A8E" w:rsidRDefault="00B403E8" w:rsidP="00B4285D">
      <w:pPr>
        <w:rPr>
          <w:rFonts w:ascii="Calibri" w:hAnsi="Calibri" w:cs="Calibri"/>
          <w:sz w:val="20"/>
        </w:rPr>
      </w:pPr>
    </w:p>
    <w:p w14:paraId="3D5DA6B2" w14:textId="78A446D8" w:rsidR="00F32F3A" w:rsidRPr="00DD4A8E" w:rsidRDefault="00A2430B" w:rsidP="00EB6C50">
      <w:pPr>
        <w:spacing w:after="120"/>
        <w:rPr>
          <w:rFonts w:ascii="Calibri" w:hAnsi="Calibri" w:cs="Calibri"/>
          <w:b/>
          <w:color w:val="13576B"/>
          <w:sz w:val="22"/>
          <w:szCs w:val="22"/>
        </w:rPr>
      </w:pPr>
      <w:r w:rsidRPr="00DD4A8E">
        <w:rPr>
          <w:rFonts w:ascii="Calibri" w:hAnsi="Calibri" w:cs="Calibri"/>
          <w:b/>
          <w:color w:val="13576B"/>
          <w:sz w:val="22"/>
          <w:szCs w:val="22"/>
        </w:rPr>
        <w:t xml:space="preserve">Vliv </w:t>
      </w:r>
      <w:r w:rsidR="005C60BB" w:rsidRPr="00DD4A8E">
        <w:rPr>
          <w:rFonts w:ascii="Calibri" w:hAnsi="Calibri" w:cs="Calibri"/>
          <w:b/>
          <w:color w:val="13576B"/>
          <w:sz w:val="22"/>
          <w:szCs w:val="22"/>
        </w:rPr>
        <w:t xml:space="preserve">hospodářského </w:t>
      </w:r>
      <w:r w:rsidR="00EA6FE9" w:rsidRPr="00DD4A8E">
        <w:rPr>
          <w:rFonts w:ascii="Calibri" w:hAnsi="Calibri" w:cs="Calibri"/>
          <w:b/>
          <w:color w:val="13576B"/>
          <w:sz w:val="22"/>
          <w:szCs w:val="22"/>
        </w:rPr>
        <w:t xml:space="preserve">vývoje </w:t>
      </w:r>
      <w:r w:rsidR="005C60BB" w:rsidRPr="00DD4A8E">
        <w:rPr>
          <w:rFonts w:ascii="Calibri" w:hAnsi="Calibri" w:cs="Calibri"/>
          <w:b/>
          <w:color w:val="13576B"/>
          <w:sz w:val="22"/>
          <w:szCs w:val="22"/>
        </w:rPr>
        <w:t xml:space="preserve">ve světě </w:t>
      </w:r>
      <w:r w:rsidRPr="00DD4A8E">
        <w:rPr>
          <w:rFonts w:ascii="Calibri" w:hAnsi="Calibri" w:cs="Calibri"/>
          <w:b/>
          <w:color w:val="13576B"/>
          <w:sz w:val="22"/>
          <w:szCs w:val="22"/>
        </w:rPr>
        <w:t>na</w:t>
      </w:r>
      <w:r w:rsidR="004D7651" w:rsidRPr="00DD4A8E">
        <w:rPr>
          <w:rFonts w:ascii="Calibri" w:hAnsi="Calibri" w:cs="Calibri"/>
          <w:b/>
          <w:color w:val="13576B"/>
          <w:sz w:val="22"/>
          <w:szCs w:val="22"/>
        </w:rPr>
        <w:t xml:space="preserve"> české </w:t>
      </w:r>
      <w:r w:rsidR="00F32F3A" w:rsidRPr="00DD4A8E">
        <w:rPr>
          <w:rFonts w:ascii="Calibri" w:hAnsi="Calibri" w:cs="Calibri"/>
          <w:b/>
          <w:color w:val="13576B"/>
          <w:sz w:val="22"/>
          <w:szCs w:val="22"/>
        </w:rPr>
        <w:t>hospodářství</w:t>
      </w:r>
    </w:p>
    <w:p w14:paraId="1A8DCF44" w14:textId="5F7AAA06" w:rsidR="00912FEF" w:rsidRPr="00DD4A8E" w:rsidRDefault="00CF04CA" w:rsidP="00912FEF">
      <w:pPr>
        <w:rPr>
          <w:rFonts w:ascii="Calibri" w:hAnsi="Calibri" w:cs="Calibri"/>
          <w:sz w:val="20"/>
        </w:rPr>
      </w:pPr>
      <w:r w:rsidRPr="00DD4A8E">
        <w:rPr>
          <w:rFonts w:ascii="Calibri" w:hAnsi="Calibri" w:cs="Calibri"/>
          <w:sz w:val="20"/>
        </w:rPr>
        <w:t>Mezinárodní měnový fond</w:t>
      </w:r>
      <w:r w:rsidR="004D7651" w:rsidRPr="00DD4A8E">
        <w:rPr>
          <w:rFonts w:ascii="Calibri" w:hAnsi="Calibri" w:cs="Calibri"/>
          <w:sz w:val="20"/>
        </w:rPr>
        <w:t xml:space="preserve"> </w:t>
      </w:r>
      <w:r w:rsidR="00D7765B" w:rsidRPr="00DD4A8E">
        <w:rPr>
          <w:rFonts w:ascii="Calibri" w:hAnsi="Calibri" w:cs="Calibri"/>
          <w:sz w:val="20"/>
        </w:rPr>
        <w:t>(MMF)</w:t>
      </w:r>
      <w:r w:rsidR="00AC08E3" w:rsidRPr="00DD4A8E">
        <w:rPr>
          <w:rFonts w:ascii="Calibri" w:hAnsi="Calibri" w:cs="Calibri"/>
          <w:sz w:val="20"/>
        </w:rPr>
        <w:t xml:space="preserve"> po poklesu </w:t>
      </w:r>
      <w:r w:rsidR="005B12FA" w:rsidRPr="00DD4A8E">
        <w:rPr>
          <w:rFonts w:ascii="Calibri" w:hAnsi="Calibri" w:cs="Calibri"/>
          <w:sz w:val="20"/>
        </w:rPr>
        <w:t>globálního výkonu o</w:t>
      </w:r>
      <w:r w:rsidR="00AC08E3" w:rsidRPr="00DD4A8E">
        <w:rPr>
          <w:rFonts w:ascii="Calibri" w:hAnsi="Calibri" w:cs="Calibri"/>
          <w:sz w:val="20"/>
        </w:rPr>
        <w:t xml:space="preserve"> 3,</w:t>
      </w:r>
      <w:r w:rsidR="00977832" w:rsidRPr="00DD4A8E">
        <w:rPr>
          <w:rFonts w:ascii="Calibri" w:hAnsi="Calibri" w:cs="Calibri"/>
          <w:sz w:val="20"/>
        </w:rPr>
        <w:t>2</w:t>
      </w:r>
      <w:r w:rsidR="00AC08E3" w:rsidRPr="00DD4A8E">
        <w:rPr>
          <w:rFonts w:ascii="Calibri" w:hAnsi="Calibri" w:cs="Calibri"/>
          <w:sz w:val="20"/>
        </w:rPr>
        <w:t xml:space="preserve"> % v roce 2020</w:t>
      </w:r>
      <w:r w:rsidR="00912FEF" w:rsidRPr="00DD4A8E">
        <w:rPr>
          <w:rFonts w:ascii="Calibri" w:hAnsi="Calibri" w:cs="Calibri"/>
          <w:sz w:val="20"/>
        </w:rPr>
        <w:t xml:space="preserve"> </w:t>
      </w:r>
      <w:r w:rsidR="00977832" w:rsidRPr="00DD4A8E">
        <w:rPr>
          <w:rFonts w:ascii="Calibri" w:hAnsi="Calibri" w:cs="Calibri"/>
          <w:sz w:val="20"/>
        </w:rPr>
        <w:t xml:space="preserve">potvrdil svá jarní </w:t>
      </w:r>
      <w:r w:rsidR="008D1230" w:rsidRPr="00DD4A8E">
        <w:rPr>
          <w:rFonts w:ascii="Calibri" w:hAnsi="Calibri" w:cs="Calibri"/>
          <w:sz w:val="20"/>
        </w:rPr>
        <w:t>očekává</w:t>
      </w:r>
      <w:r w:rsidR="00977832" w:rsidRPr="00DD4A8E">
        <w:rPr>
          <w:rFonts w:ascii="Calibri" w:hAnsi="Calibri" w:cs="Calibri"/>
          <w:sz w:val="20"/>
        </w:rPr>
        <w:t>ní</w:t>
      </w:r>
      <w:r w:rsidR="005F772B" w:rsidRPr="00DD4A8E">
        <w:rPr>
          <w:rFonts w:ascii="Calibri" w:hAnsi="Calibri" w:cs="Calibri"/>
          <w:sz w:val="20"/>
        </w:rPr>
        <w:t xml:space="preserve"> </w:t>
      </w:r>
      <w:r w:rsidR="00977832" w:rsidRPr="00DD4A8E">
        <w:rPr>
          <w:rFonts w:ascii="Calibri" w:hAnsi="Calibri" w:cs="Calibri"/>
          <w:sz w:val="20"/>
        </w:rPr>
        <w:t xml:space="preserve">letošního </w:t>
      </w:r>
      <w:r w:rsidR="005F772B" w:rsidRPr="00DD4A8E">
        <w:rPr>
          <w:rFonts w:ascii="Calibri" w:hAnsi="Calibri" w:cs="Calibri"/>
          <w:sz w:val="20"/>
        </w:rPr>
        <w:t>růst</w:t>
      </w:r>
      <w:r w:rsidR="00977832" w:rsidRPr="00DD4A8E">
        <w:rPr>
          <w:rFonts w:ascii="Calibri" w:hAnsi="Calibri" w:cs="Calibri"/>
          <w:sz w:val="20"/>
        </w:rPr>
        <w:t>u</w:t>
      </w:r>
      <w:r w:rsidR="005F772B" w:rsidRPr="00DD4A8E">
        <w:rPr>
          <w:rFonts w:ascii="Calibri" w:hAnsi="Calibri" w:cs="Calibri"/>
          <w:sz w:val="20"/>
        </w:rPr>
        <w:t xml:space="preserve"> světového HDP</w:t>
      </w:r>
      <w:r w:rsidR="00AC08E3" w:rsidRPr="00DD4A8E">
        <w:rPr>
          <w:rFonts w:ascii="Calibri" w:hAnsi="Calibri" w:cs="Calibri"/>
          <w:sz w:val="20"/>
        </w:rPr>
        <w:t xml:space="preserve"> </w:t>
      </w:r>
      <w:r w:rsidR="00977832" w:rsidRPr="00DD4A8E">
        <w:rPr>
          <w:rFonts w:ascii="Calibri" w:hAnsi="Calibri" w:cs="Calibri"/>
          <w:sz w:val="20"/>
        </w:rPr>
        <w:t>na</w:t>
      </w:r>
      <w:r w:rsidR="008D1230" w:rsidRPr="00DD4A8E">
        <w:rPr>
          <w:rFonts w:ascii="Calibri" w:hAnsi="Calibri" w:cs="Calibri"/>
          <w:sz w:val="20"/>
        </w:rPr>
        <w:t xml:space="preserve"> </w:t>
      </w:r>
      <w:r w:rsidR="005F772B" w:rsidRPr="00DD4A8E">
        <w:rPr>
          <w:rFonts w:ascii="Calibri" w:hAnsi="Calibri" w:cs="Calibri"/>
          <w:sz w:val="20"/>
        </w:rPr>
        <w:t>6</w:t>
      </w:r>
      <w:r w:rsidR="005C3C3C" w:rsidRPr="00DD4A8E">
        <w:rPr>
          <w:rFonts w:ascii="Calibri" w:hAnsi="Calibri" w:cs="Calibri"/>
          <w:sz w:val="20"/>
        </w:rPr>
        <w:t xml:space="preserve"> </w:t>
      </w:r>
      <w:r w:rsidR="00224284" w:rsidRPr="00DD4A8E">
        <w:rPr>
          <w:rFonts w:ascii="Calibri" w:hAnsi="Calibri" w:cs="Calibri"/>
          <w:sz w:val="20"/>
        </w:rPr>
        <w:t>%</w:t>
      </w:r>
      <w:r w:rsidR="005F772B" w:rsidRPr="00DD4A8E">
        <w:rPr>
          <w:rFonts w:ascii="Calibri" w:hAnsi="Calibri" w:cs="Calibri"/>
          <w:sz w:val="20"/>
        </w:rPr>
        <w:t xml:space="preserve">. V roce </w:t>
      </w:r>
      <w:r w:rsidR="008D1230" w:rsidRPr="00DD4A8E">
        <w:rPr>
          <w:rFonts w:ascii="Calibri" w:hAnsi="Calibri" w:cs="Calibri"/>
          <w:sz w:val="20"/>
        </w:rPr>
        <w:t xml:space="preserve">2022 </w:t>
      </w:r>
      <w:r w:rsidR="00B4671E" w:rsidRPr="00DD4A8E">
        <w:rPr>
          <w:rFonts w:ascii="Calibri" w:hAnsi="Calibri" w:cs="Calibri"/>
          <w:sz w:val="20"/>
        </w:rPr>
        <w:t xml:space="preserve">pak </w:t>
      </w:r>
      <w:r w:rsidR="005F772B" w:rsidRPr="00DD4A8E">
        <w:rPr>
          <w:rFonts w:ascii="Calibri" w:hAnsi="Calibri" w:cs="Calibri"/>
          <w:sz w:val="20"/>
        </w:rPr>
        <w:t xml:space="preserve">předpovídá </w:t>
      </w:r>
      <w:r w:rsidR="008D1230" w:rsidRPr="00DD4A8E">
        <w:rPr>
          <w:rFonts w:ascii="Calibri" w:hAnsi="Calibri" w:cs="Calibri"/>
          <w:sz w:val="20"/>
        </w:rPr>
        <w:t>zmírnění tempa na 4,</w:t>
      </w:r>
      <w:r w:rsidR="00977832" w:rsidRPr="00DD4A8E">
        <w:rPr>
          <w:rFonts w:ascii="Calibri" w:hAnsi="Calibri" w:cs="Calibri"/>
          <w:sz w:val="20"/>
        </w:rPr>
        <w:t>9</w:t>
      </w:r>
      <w:r w:rsidR="005C3C3C" w:rsidRPr="00DD4A8E">
        <w:rPr>
          <w:rFonts w:ascii="Calibri" w:hAnsi="Calibri" w:cs="Calibri"/>
          <w:sz w:val="20"/>
        </w:rPr>
        <w:t xml:space="preserve"> </w:t>
      </w:r>
      <w:r w:rsidR="008D1230" w:rsidRPr="00DD4A8E">
        <w:rPr>
          <w:rFonts w:ascii="Calibri" w:hAnsi="Calibri" w:cs="Calibri"/>
          <w:sz w:val="20"/>
        </w:rPr>
        <w:t>%</w:t>
      </w:r>
      <w:r w:rsidR="00977832" w:rsidRPr="00DD4A8E">
        <w:rPr>
          <w:rFonts w:ascii="Calibri" w:hAnsi="Calibri" w:cs="Calibri"/>
          <w:sz w:val="20"/>
        </w:rPr>
        <w:t xml:space="preserve"> (</w:t>
      </w:r>
      <w:r w:rsidR="00F24AFC" w:rsidRPr="00DD4A8E">
        <w:rPr>
          <w:rFonts w:ascii="Calibri" w:hAnsi="Calibri" w:cs="Calibri"/>
          <w:sz w:val="20"/>
        </w:rPr>
        <w:t>což je</w:t>
      </w:r>
      <w:r w:rsidR="00977832" w:rsidRPr="00DD4A8E">
        <w:rPr>
          <w:rFonts w:ascii="Calibri" w:hAnsi="Calibri" w:cs="Calibri"/>
          <w:sz w:val="20"/>
        </w:rPr>
        <w:t xml:space="preserve"> o 0,5 </w:t>
      </w:r>
      <w:proofErr w:type="spellStart"/>
      <w:r w:rsidR="00977832" w:rsidRPr="00DD4A8E">
        <w:rPr>
          <w:rFonts w:ascii="Calibri" w:hAnsi="Calibri" w:cs="Calibri"/>
          <w:sz w:val="20"/>
        </w:rPr>
        <w:t>p.b</w:t>
      </w:r>
      <w:proofErr w:type="spellEnd"/>
      <w:r w:rsidR="00977832" w:rsidRPr="00DD4A8E">
        <w:rPr>
          <w:rFonts w:ascii="Calibri" w:hAnsi="Calibri" w:cs="Calibri"/>
          <w:sz w:val="20"/>
        </w:rPr>
        <w:t>. v</w:t>
      </w:r>
      <w:r w:rsidR="00F24AFC" w:rsidRPr="00DD4A8E">
        <w:rPr>
          <w:rFonts w:ascii="Calibri" w:hAnsi="Calibri" w:cs="Calibri"/>
          <w:sz w:val="20"/>
        </w:rPr>
        <w:t>ýš</w:t>
      </w:r>
      <w:r w:rsidR="00977832" w:rsidRPr="00DD4A8E">
        <w:rPr>
          <w:rFonts w:ascii="Calibri" w:hAnsi="Calibri" w:cs="Calibri"/>
          <w:sz w:val="20"/>
        </w:rPr>
        <w:t>, než čekal na jaře)</w:t>
      </w:r>
      <w:r w:rsidR="008D1230" w:rsidRPr="00DD4A8E">
        <w:rPr>
          <w:rFonts w:ascii="Calibri" w:hAnsi="Calibri" w:cs="Calibri"/>
          <w:sz w:val="20"/>
        </w:rPr>
        <w:t>.</w:t>
      </w:r>
      <w:r w:rsidR="00AC08E3" w:rsidRPr="00DD4A8E">
        <w:rPr>
          <w:rFonts w:ascii="Calibri" w:hAnsi="Calibri" w:cs="Calibri"/>
          <w:sz w:val="20"/>
        </w:rPr>
        <w:t xml:space="preserve"> </w:t>
      </w:r>
    </w:p>
    <w:p w14:paraId="18324678" w14:textId="77777777" w:rsidR="00912FEF" w:rsidRPr="00DD4A8E" w:rsidRDefault="00912FEF" w:rsidP="00912FEF">
      <w:pPr>
        <w:rPr>
          <w:rFonts w:ascii="Calibri" w:hAnsi="Calibri" w:cs="Calibri"/>
        </w:rPr>
      </w:pPr>
    </w:p>
    <w:p w14:paraId="7481E7CE" w14:textId="255DD4C5" w:rsidR="007836B5" w:rsidRPr="00DD4A8E" w:rsidRDefault="009F012D" w:rsidP="007836B5">
      <w:pPr>
        <w:pStyle w:val="Textkomente"/>
        <w:rPr>
          <w:rFonts w:ascii="Calibri" w:hAnsi="Calibri" w:cs="Calibri"/>
        </w:rPr>
      </w:pPr>
      <w:r w:rsidRPr="00DD4A8E">
        <w:rPr>
          <w:rFonts w:ascii="Calibri" w:hAnsi="Calibri" w:cs="Calibri"/>
        </w:rPr>
        <w:t xml:space="preserve">I další údaje v upřesněné předpovědi korigoval </w:t>
      </w:r>
      <w:r w:rsidR="001828E8">
        <w:rPr>
          <w:rFonts w:ascii="Calibri" w:hAnsi="Calibri" w:cs="Calibri"/>
        </w:rPr>
        <w:t>směrem vzhůru</w:t>
      </w:r>
      <w:r w:rsidRPr="00DD4A8E">
        <w:rPr>
          <w:rFonts w:ascii="Calibri" w:hAnsi="Calibri" w:cs="Calibri"/>
        </w:rPr>
        <w:t xml:space="preserve">. U </w:t>
      </w:r>
      <w:r w:rsidR="001B44EF" w:rsidRPr="00DD4A8E">
        <w:rPr>
          <w:rFonts w:ascii="Calibri" w:hAnsi="Calibri" w:cs="Calibri"/>
        </w:rPr>
        <w:t>Čín</w:t>
      </w:r>
      <w:r w:rsidRPr="00DD4A8E">
        <w:rPr>
          <w:rFonts w:ascii="Calibri" w:hAnsi="Calibri" w:cs="Calibri"/>
        </w:rPr>
        <w:t>y</w:t>
      </w:r>
      <w:r w:rsidR="00224284" w:rsidRPr="00DD4A8E">
        <w:rPr>
          <w:rFonts w:ascii="Calibri" w:hAnsi="Calibri" w:cs="Calibri"/>
        </w:rPr>
        <w:t>,</w:t>
      </w:r>
      <w:r w:rsidR="007836B5" w:rsidRPr="00DD4A8E">
        <w:rPr>
          <w:rFonts w:ascii="Calibri" w:hAnsi="Calibri" w:cs="Calibri"/>
        </w:rPr>
        <w:t xml:space="preserve"> jejíž hospodářství v loňském roce vzrostlo </w:t>
      </w:r>
      <w:r w:rsidR="009D150F" w:rsidRPr="00DD4A8E">
        <w:rPr>
          <w:rFonts w:ascii="Calibri" w:hAnsi="Calibri" w:cs="Calibri"/>
        </w:rPr>
        <w:t xml:space="preserve">o </w:t>
      </w:r>
      <w:r w:rsidR="001B44EF" w:rsidRPr="00DD4A8E">
        <w:rPr>
          <w:rFonts w:ascii="Calibri" w:hAnsi="Calibri" w:cs="Calibri"/>
        </w:rPr>
        <w:t>2,3</w:t>
      </w:r>
      <w:r w:rsidR="00224284" w:rsidRPr="00DD4A8E">
        <w:rPr>
          <w:rFonts w:ascii="Calibri" w:hAnsi="Calibri" w:cs="Calibri"/>
        </w:rPr>
        <w:t xml:space="preserve"> %, letos </w:t>
      </w:r>
      <w:r w:rsidRPr="00DD4A8E">
        <w:rPr>
          <w:rFonts w:ascii="Calibri" w:hAnsi="Calibri" w:cs="Calibri"/>
        </w:rPr>
        <w:t xml:space="preserve">čeká </w:t>
      </w:r>
      <w:r w:rsidR="00224284" w:rsidRPr="00DD4A8E">
        <w:rPr>
          <w:rFonts w:ascii="Calibri" w:hAnsi="Calibri" w:cs="Calibri"/>
        </w:rPr>
        <w:t>zrychl</w:t>
      </w:r>
      <w:r w:rsidRPr="00DD4A8E">
        <w:rPr>
          <w:rFonts w:ascii="Calibri" w:hAnsi="Calibri" w:cs="Calibri"/>
        </w:rPr>
        <w:t>ení</w:t>
      </w:r>
      <w:r w:rsidR="00224284" w:rsidRPr="00DD4A8E">
        <w:rPr>
          <w:rFonts w:ascii="Calibri" w:hAnsi="Calibri" w:cs="Calibri"/>
        </w:rPr>
        <w:t xml:space="preserve"> na</w:t>
      </w:r>
      <w:r w:rsidR="001B44EF" w:rsidRPr="00DD4A8E">
        <w:rPr>
          <w:rFonts w:ascii="Calibri" w:hAnsi="Calibri" w:cs="Calibri"/>
        </w:rPr>
        <w:t xml:space="preserve"> 8,</w:t>
      </w:r>
      <w:r w:rsidRPr="00DD4A8E">
        <w:rPr>
          <w:rFonts w:ascii="Calibri" w:hAnsi="Calibri" w:cs="Calibri"/>
        </w:rPr>
        <w:t>1</w:t>
      </w:r>
      <w:r w:rsidR="00D7765B" w:rsidRPr="00DD4A8E">
        <w:rPr>
          <w:rFonts w:ascii="Calibri" w:hAnsi="Calibri" w:cs="Calibri"/>
        </w:rPr>
        <w:t xml:space="preserve"> </w:t>
      </w:r>
      <w:r w:rsidR="00224284" w:rsidRPr="00DD4A8E">
        <w:rPr>
          <w:rFonts w:ascii="Calibri" w:hAnsi="Calibri" w:cs="Calibri"/>
        </w:rPr>
        <w:t>%</w:t>
      </w:r>
      <w:r w:rsidR="00365B2D" w:rsidRPr="00DD4A8E">
        <w:rPr>
          <w:rFonts w:ascii="Calibri" w:hAnsi="Calibri" w:cs="Calibri"/>
        </w:rPr>
        <w:t xml:space="preserve"> a</w:t>
      </w:r>
      <w:r w:rsidR="00224284" w:rsidRPr="00DD4A8E">
        <w:rPr>
          <w:rFonts w:ascii="Calibri" w:hAnsi="Calibri" w:cs="Calibri"/>
        </w:rPr>
        <w:t xml:space="preserve"> napřesrok </w:t>
      </w:r>
      <w:r w:rsidRPr="00DD4A8E">
        <w:rPr>
          <w:rFonts w:ascii="Calibri" w:hAnsi="Calibri" w:cs="Calibri"/>
        </w:rPr>
        <w:t xml:space="preserve">má její HDP </w:t>
      </w:r>
      <w:r w:rsidR="00224284" w:rsidRPr="00DD4A8E">
        <w:rPr>
          <w:rFonts w:ascii="Calibri" w:hAnsi="Calibri" w:cs="Calibri"/>
        </w:rPr>
        <w:t>stoupnout o</w:t>
      </w:r>
      <w:r w:rsidR="00D7765B" w:rsidRPr="00DD4A8E">
        <w:rPr>
          <w:rFonts w:ascii="Calibri" w:hAnsi="Calibri" w:cs="Calibri"/>
        </w:rPr>
        <w:t xml:space="preserve"> </w:t>
      </w:r>
      <w:r w:rsidR="001B44EF" w:rsidRPr="00DD4A8E">
        <w:rPr>
          <w:rFonts w:ascii="Calibri" w:hAnsi="Calibri" w:cs="Calibri"/>
        </w:rPr>
        <w:t>5,</w:t>
      </w:r>
      <w:r w:rsidRPr="00DD4A8E">
        <w:rPr>
          <w:rFonts w:ascii="Calibri" w:hAnsi="Calibri" w:cs="Calibri"/>
        </w:rPr>
        <w:t>7</w:t>
      </w:r>
      <w:r w:rsidR="00D7765B" w:rsidRPr="00DD4A8E">
        <w:rPr>
          <w:rFonts w:ascii="Calibri" w:hAnsi="Calibri" w:cs="Calibri"/>
        </w:rPr>
        <w:t xml:space="preserve"> </w:t>
      </w:r>
      <w:r w:rsidR="001B44EF" w:rsidRPr="00DD4A8E">
        <w:rPr>
          <w:rFonts w:ascii="Calibri" w:hAnsi="Calibri" w:cs="Calibri"/>
        </w:rPr>
        <w:t xml:space="preserve">%. </w:t>
      </w:r>
      <w:r w:rsidRPr="00DD4A8E">
        <w:rPr>
          <w:rFonts w:ascii="Calibri" w:hAnsi="Calibri" w:cs="Calibri"/>
        </w:rPr>
        <w:t>N</w:t>
      </w:r>
      <w:r w:rsidR="001B44EF" w:rsidRPr="00DD4A8E">
        <w:rPr>
          <w:rFonts w:ascii="Calibri" w:hAnsi="Calibri" w:cs="Calibri"/>
        </w:rPr>
        <w:t>ěmecko</w:t>
      </w:r>
      <w:r w:rsidRPr="00DD4A8E">
        <w:rPr>
          <w:rFonts w:ascii="Calibri" w:hAnsi="Calibri" w:cs="Calibri"/>
        </w:rPr>
        <w:t xml:space="preserve"> </w:t>
      </w:r>
      <w:r w:rsidR="009D150F" w:rsidRPr="00DD4A8E">
        <w:rPr>
          <w:rFonts w:ascii="Calibri" w:hAnsi="Calibri" w:cs="Calibri"/>
        </w:rPr>
        <w:t>by se mělo</w:t>
      </w:r>
      <w:r w:rsidR="006146A8" w:rsidRPr="00DD4A8E">
        <w:rPr>
          <w:rFonts w:ascii="Calibri" w:hAnsi="Calibri" w:cs="Calibri"/>
        </w:rPr>
        <w:t>,</w:t>
      </w:r>
      <w:r w:rsidR="009D150F" w:rsidRPr="00DD4A8E">
        <w:rPr>
          <w:rFonts w:ascii="Calibri" w:hAnsi="Calibri" w:cs="Calibri"/>
        </w:rPr>
        <w:t xml:space="preserve"> po loňském poklesu o </w:t>
      </w:r>
      <w:r w:rsidR="007836B5" w:rsidRPr="00DD4A8E">
        <w:rPr>
          <w:rFonts w:ascii="Calibri" w:hAnsi="Calibri" w:cs="Calibri"/>
        </w:rPr>
        <w:t>4,</w:t>
      </w:r>
      <w:r w:rsidRPr="00DD4A8E">
        <w:rPr>
          <w:rFonts w:ascii="Calibri" w:hAnsi="Calibri" w:cs="Calibri"/>
        </w:rPr>
        <w:t>8</w:t>
      </w:r>
      <w:r w:rsidR="009D150F" w:rsidRPr="00DD4A8E">
        <w:rPr>
          <w:rFonts w:ascii="Calibri" w:hAnsi="Calibri" w:cs="Calibri"/>
        </w:rPr>
        <w:t xml:space="preserve"> </w:t>
      </w:r>
      <w:r w:rsidR="006146A8" w:rsidRPr="00DD4A8E">
        <w:rPr>
          <w:rFonts w:ascii="Calibri" w:hAnsi="Calibri" w:cs="Calibri"/>
        </w:rPr>
        <w:t>%, vrátit k</w:t>
      </w:r>
      <w:r w:rsidR="00224284" w:rsidRPr="00DD4A8E">
        <w:rPr>
          <w:rFonts w:ascii="Calibri" w:hAnsi="Calibri" w:cs="Calibri"/>
        </w:rPr>
        <w:t> </w:t>
      </w:r>
      <w:r w:rsidR="006146A8" w:rsidRPr="00DD4A8E">
        <w:rPr>
          <w:rFonts w:ascii="Calibri" w:hAnsi="Calibri" w:cs="Calibri"/>
        </w:rPr>
        <w:t>růstu</w:t>
      </w:r>
      <w:r w:rsidR="00224284" w:rsidRPr="00DD4A8E">
        <w:rPr>
          <w:rFonts w:ascii="Calibri" w:hAnsi="Calibri" w:cs="Calibri"/>
        </w:rPr>
        <w:t xml:space="preserve"> o 3,</w:t>
      </w:r>
      <w:r w:rsidR="007836B5" w:rsidRPr="00DD4A8E">
        <w:rPr>
          <w:rFonts w:ascii="Calibri" w:hAnsi="Calibri" w:cs="Calibri"/>
        </w:rPr>
        <w:t>6</w:t>
      </w:r>
      <w:r w:rsidR="00224284" w:rsidRPr="00DD4A8E">
        <w:rPr>
          <w:rFonts w:ascii="Calibri" w:hAnsi="Calibri" w:cs="Calibri"/>
        </w:rPr>
        <w:t xml:space="preserve"> %, a v příštím roce</w:t>
      </w:r>
      <w:r w:rsidRPr="00DD4A8E">
        <w:rPr>
          <w:rFonts w:ascii="Calibri" w:hAnsi="Calibri" w:cs="Calibri"/>
        </w:rPr>
        <w:t xml:space="preserve"> dokonce</w:t>
      </w:r>
      <w:r w:rsidR="007836B5" w:rsidRPr="00DD4A8E">
        <w:rPr>
          <w:rFonts w:ascii="Calibri" w:hAnsi="Calibri" w:cs="Calibri"/>
        </w:rPr>
        <w:t xml:space="preserve"> o </w:t>
      </w:r>
      <w:r w:rsidRPr="00DD4A8E">
        <w:rPr>
          <w:rFonts w:ascii="Calibri" w:hAnsi="Calibri" w:cs="Calibri"/>
        </w:rPr>
        <w:t>4</w:t>
      </w:r>
      <w:r w:rsidR="007836B5" w:rsidRPr="00DD4A8E">
        <w:rPr>
          <w:rFonts w:ascii="Calibri" w:hAnsi="Calibri" w:cs="Calibri"/>
        </w:rPr>
        <w:t>,1 %</w:t>
      </w:r>
      <w:r w:rsidRPr="00DD4A8E">
        <w:rPr>
          <w:rFonts w:ascii="Calibri" w:hAnsi="Calibri" w:cs="Calibri"/>
        </w:rPr>
        <w:t xml:space="preserve"> (tady zvýšil MMF odhad o celý procentní bod!)</w:t>
      </w:r>
      <w:r w:rsidR="00364371">
        <w:rPr>
          <w:rFonts w:ascii="Calibri" w:hAnsi="Calibri" w:cs="Calibri"/>
        </w:rPr>
        <w:t>. T</w:t>
      </w:r>
      <w:r w:rsidRPr="00DD4A8E">
        <w:rPr>
          <w:rFonts w:ascii="Calibri" w:hAnsi="Calibri" w:cs="Calibri"/>
        </w:rPr>
        <w:t>o samozřejmě znamená dobré zprávy i pro naši exportně orientovanou ekonomiku</w:t>
      </w:r>
      <w:r w:rsidR="007836B5" w:rsidRPr="00DD4A8E">
        <w:rPr>
          <w:rFonts w:ascii="Calibri" w:hAnsi="Calibri" w:cs="Calibri"/>
        </w:rPr>
        <w:t xml:space="preserve">. </w:t>
      </w:r>
      <w:r w:rsidRPr="00DD4A8E">
        <w:rPr>
          <w:rFonts w:ascii="Calibri" w:hAnsi="Calibri" w:cs="Calibri"/>
        </w:rPr>
        <w:t xml:space="preserve"> </w:t>
      </w:r>
    </w:p>
    <w:p w14:paraId="58F0CBB0" w14:textId="77777777" w:rsidR="009F012D" w:rsidRPr="00DD4A8E" w:rsidRDefault="009F012D" w:rsidP="007836B5">
      <w:pPr>
        <w:pStyle w:val="Textkomente"/>
        <w:rPr>
          <w:rFonts w:ascii="Calibri" w:hAnsi="Calibri" w:cs="Calibri"/>
        </w:rPr>
      </w:pPr>
    </w:p>
    <w:p w14:paraId="21EF1CDB" w14:textId="6FB9C55E" w:rsidR="00BF5C5A" w:rsidRDefault="00BF5C5A" w:rsidP="00DB5DA9">
      <w:pPr>
        <w:pStyle w:val="Textkomente"/>
        <w:rPr>
          <w:rFonts w:ascii="Calibri" w:hAnsi="Calibri" w:cs="Calibri"/>
        </w:rPr>
      </w:pPr>
      <w:r w:rsidRPr="00C15C17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E7E5370" wp14:editId="58C77419">
                <wp:simplePos x="0" y="0"/>
                <wp:positionH relativeFrom="column">
                  <wp:posOffset>635</wp:posOffset>
                </wp:positionH>
                <wp:positionV relativeFrom="paragraph">
                  <wp:posOffset>661670</wp:posOffset>
                </wp:positionV>
                <wp:extent cx="6461760" cy="782320"/>
                <wp:effectExtent l="0" t="0" r="15240" b="1778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02031" w14:textId="61D59744" w:rsidR="00BF5C5A" w:rsidRPr="00F37DC9" w:rsidRDefault="00BF5C5A" w:rsidP="00BF5C5A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Jakub Seidler</w:t>
                            </w:r>
                            <w:r w:rsidRPr="00F37DC9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hlavní ekonom</w:t>
                            </w:r>
                            <w:r w:rsidRPr="00F37DC9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České bankovní asociace:</w:t>
                            </w:r>
                          </w:p>
                          <w:p w14:paraId="06CFC5A8" w14:textId="26AFF930" w:rsidR="00BF5C5A" w:rsidRPr="00F37DC9" w:rsidRDefault="00BF5C5A" w:rsidP="00BF5C5A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„</w:t>
                            </w:r>
                            <w:r w:rsidRPr="00BF5C5A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Globální ekonomika se sice z pandemického vývoje zotavuje, řada zemí však začíná bojovat s dalšími vlnami </w:t>
                            </w:r>
                            <w:proofErr w:type="spellStart"/>
                            <w:r w:rsidRPr="00BF5C5A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koronavirových</w:t>
                            </w:r>
                            <w:proofErr w:type="spellEnd"/>
                            <w:r w:rsidRPr="00BF5C5A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 mutací. To bude dále prodlužovat problémy v dodavatelských řetězcích, které narušují ekonomické oživení nejen v domácí ekonomice, ale zároveň způsobují rychlý růst inflace.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E537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.05pt;margin-top:52.1pt;width:508.8pt;height:6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">
                <v:textbox>
                  <w:txbxContent>
                    <w:p w14:paraId="33B02031" w14:textId="61D59744" w:rsidR="00BF5C5A" w:rsidRPr="00F37DC9" w:rsidRDefault="00BF5C5A" w:rsidP="00BF5C5A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Jakub Seidler</w:t>
                      </w:r>
                      <w:r w:rsidRPr="00F37DC9">
                        <w:rPr>
                          <w:rFonts w:ascii="Calibri" w:hAnsi="Calibri" w:cs="Calibri"/>
                          <w:sz w:val="20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hlavní ekonom</w:t>
                      </w:r>
                      <w:r w:rsidRPr="00F37DC9">
                        <w:rPr>
                          <w:rFonts w:ascii="Calibri" w:hAnsi="Calibri" w:cs="Calibri"/>
                          <w:sz w:val="20"/>
                        </w:rPr>
                        <w:t xml:space="preserve"> České bankovní asociace:</w:t>
                      </w:r>
                    </w:p>
                    <w:p w14:paraId="06CFC5A8" w14:textId="26AFF930" w:rsidR="00BF5C5A" w:rsidRPr="00F37DC9" w:rsidRDefault="00BF5C5A" w:rsidP="00BF5C5A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„</w:t>
                      </w:r>
                      <w:r w:rsidRPr="00BF5C5A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Globální ekonomika se sice z pandemického vývoje zotavuje, řada zemí však začíná bojovat s dalšími vlnami </w:t>
                      </w:r>
                      <w:proofErr w:type="spellStart"/>
                      <w:r w:rsidRPr="00BF5C5A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koronavirových</w:t>
                      </w:r>
                      <w:proofErr w:type="spellEnd"/>
                      <w:r w:rsidRPr="00BF5C5A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 mutací. To bude dále prodlužovat problémy v dodavatelských řetězcích, které narušují ekonomické oživení nejen v domácí ekonomice, ale zároveň způsobují rychlý růst inflace.</w:t>
                      </w:r>
                      <w:r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44EF" w:rsidRPr="00DD4A8E">
        <w:rPr>
          <w:rFonts w:ascii="Calibri" w:hAnsi="Calibri" w:cs="Calibri"/>
        </w:rPr>
        <w:t xml:space="preserve">Hospodářství eurozóny jako celku </w:t>
      </w:r>
      <w:r w:rsidR="00F97C75" w:rsidRPr="00DD4A8E">
        <w:rPr>
          <w:rFonts w:ascii="Calibri" w:hAnsi="Calibri" w:cs="Calibri"/>
        </w:rPr>
        <w:t>dle</w:t>
      </w:r>
      <w:r w:rsidR="00F93181" w:rsidRPr="00DD4A8E">
        <w:rPr>
          <w:rFonts w:ascii="Calibri" w:hAnsi="Calibri" w:cs="Calibri"/>
        </w:rPr>
        <w:t xml:space="preserve"> </w:t>
      </w:r>
      <w:r w:rsidR="00DB5DA9" w:rsidRPr="00DD4A8E">
        <w:rPr>
          <w:rFonts w:ascii="Calibri" w:hAnsi="Calibri" w:cs="Calibri"/>
        </w:rPr>
        <w:t xml:space="preserve">MMF </w:t>
      </w:r>
      <w:r w:rsidR="005864AD" w:rsidRPr="00DD4A8E">
        <w:rPr>
          <w:rFonts w:ascii="Calibri" w:hAnsi="Calibri" w:cs="Calibri"/>
        </w:rPr>
        <w:t xml:space="preserve">loni </w:t>
      </w:r>
      <w:r w:rsidR="00F93181" w:rsidRPr="00DD4A8E">
        <w:rPr>
          <w:rFonts w:ascii="Calibri" w:hAnsi="Calibri" w:cs="Calibri"/>
        </w:rPr>
        <w:t xml:space="preserve">kleslo </w:t>
      </w:r>
      <w:r w:rsidR="00F97C75" w:rsidRPr="00DD4A8E">
        <w:rPr>
          <w:rFonts w:ascii="Calibri" w:hAnsi="Calibri" w:cs="Calibri"/>
        </w:rPr>
        <w:t xml:space="preserve">o </w:t>
      </w:r>
      <w:r w:rsidR="00F93181" w:rsidRPr="00DD4A8E">
        <w:rPr>
          <w:rFonts w:ascii="Calibri" w:hAnsi="Calibri" w:cs="Calibri"/>
        </w:rPr>
        <w:t>6,</w:t>
      </w:r>
      <w:r w:rsidR="009F012D" w:rsidRPr="00DD4A8E">
        <w:rPr>
          <w:rFonts w:ascii="Calibri" w:hAnsi="Calibri" w:cs="Calibri"/>
        </w:rPr>
        <w:t>5</w:t>
      </w:r>
      <w:r w:rsidR="00F97C75" w:rsidRPr="00DD4A8E">
        <w:rPr>
          <w:rFonts w:ascii="Calibri" w:hAnsi="Calibri" w:cs="Calibri"/>
        </w:rPr>
        <w:t xml:space="preserve"> %, letos </w:t>
      </w:r>
      <w:r w:rsidR="00F93181" w:rsidRPr="00DD4A8E">
        <w:rPr>
          <w:rFonts w:ascii="Calibri" w:hAnsi="Calibri" w:cs="Calibri"/>
        </w:rPr>
        <w:t xml:space="preserve">by </w:t>
      </w:r>
      <w:r w:rsidR="001828E8">
        <w:rPr>
          <w:rFonts w:ascii="Calibri" w:hAnsi="Calibri" w:cs="Calibri"/>
        </w:rPr>
        <w:t>po</w:t>
      </w:r>
      <w:r w:rsidR="00F93181" w:rsidRPr="00DD4A8E">
        <w:rPr>
          <w:rFonts w:ascii="Calibri" w:hAnsi="Calibri" w:cs="Calibri"/>
        </w:rPr>
        <w:t xml:space="preserve">dle </w:t>
      </w:r>
      <w:r w:rsidR="00B52170" w:rsidRPr="00DD4A8E">
        <w:rPr>
          <w:rFonts w:ascii="Calibri" w:hAnsi="Calibri" w:cs="Calibri"/>
        </w:rPr>
        <w:t xml:space="preserve">něj </w:t>
      </w:r>
      <w:r w:rsidR="00F93181" w:rsidRPr="00DD4A8E">
        <w:rPr>
          <w:rFonts w:ascii="Calibri" w:hAnsi="Calibri" w:cs="Calibri"/>
        </w:rPr>
        <w:t>mělo růst</w:t>
      </w:r>
      <w:r w:rsidR="00F97C75" w:rsidRPr="00DD4A8E">
        <w:rPr>
          <w:rFonts w:ascii="Calibri" w:hAnsi="Calibri" w:cs="Calibri"/>
        </w:rPr>
        <w:t xml:space="preserve"> o 4,</w:t>
      </w:r>
      <w:r w:rsidR="009F012D" w:rsidRPr="00DD4A8E">
        <w:rPr>
          <w:rFonts w:ascii="Calibri" w:hAnsi="Calibri" w:cs="Calibri"/>
        </w:rPr>
        <w:t>6</w:t>
      </w:r>
      <w:r w:rsidR="00F97C75" w:rsidRPr="00DD4A8E">
        <w:rPr>
          <w:rFonts w:ascii="Calibri" w:hAnsi="Calibri" w:cs="Calibri"/>
        </w:rPr>
        <w:t xml:space="preserve"> % a o </w:t>
      </w:r>
      <w:r w:rsidR="009F012D" w:rsidRPr="00DD4A8E">
        <w:rPr>
          <w:rFonts w:ascii="Calibri" w:hAnsi="Calibri" w:cs="Calibri"/>
        </w:rPr>
        <w:t>4,3</w:t>
      </w:r>
      <w:r w:rsidR="00F97C75" w:rsidRPr="00DD4A8E">
        <w:rPr>
          <w:rFonts w:ascii="Calibri" w:hAnsi="Calibri" w:cs="Calibri"/>
        </w:rPr>
        <w:t xml:space="preserve"> % v roce příštím</w:t>
      </w:r>
      <w:r w:rsidR="009F012D" w:rsidRPr="00DD4A8E">
        <w:rPr>
          <w:rFonts w:ascii="Calibri" w:hAnsi="Calibri" w:cs="Calibri"/>
        </w:rPr>
        <w:t xml:space="preserve"> </w:t>
      </w:r>
      <w:r w:rsidR="007963E0">
        <w:rPr>
          <w:rFonts w:ascii="Calibri" w:hAnsi="Calibri" w:cs="Calibri"/>
        </w:rPr>
        <w:br/>
      </w:r>
      <w:r w:rsidR="009F012D" w:rsidRPr="00DD4A8E">
        <w:rPr>
          <w:rFonts w:ascii="Calibri" w:hAnsi="Calibri" w:cs="Calibri"/>
        </w:rPr>
        <w:t xml:space="preserve">(i tady jde o korekci o 0,5 </w:t>
      </w:r>
      <w:proofErr w:type="spellStart"/>
      <w:r w:rsidR="009F012D" w:rsidRPr="00DD4A8E">
        <w:rPr>
          <w:rFonts w:ascii="Calibri" w:hAnsi="Calibri" w:cs="Calibri"/>
        </w:rPr>
        <w:t>p.b</w:t>
      </w:r>
      <w:proofErr w:type="spellEnd"/>
      <w:r w:rsidR="009F012D" w:rsidRPr="00DD4A8E">
        <w:rPr>
          <w:rFonts w:ascii="Calibri" w:hAnsi="Calibri" w:cs="Calibri"/>
        </w:rPr>
        <w:t>. směrem vzhůru</w:t>
      </w:r>
      <w:r w:rsidR="00F24AFC" w:rsidRPr="00DD4A8E">
        <w:rPr>
          <w:rFonts w:ascii="Calibri" w:hAnsi="Calibri" w:cs="Calibri"/>
        </w:rPr>
        <w:t>)</w:t>
      </w:r>
      <w:r w:rsidR="009F012D" w:rsidRPr="00DD4A8E">
        <w:rPr>
          <w:rFonts w:ascii="Calibri" w:hAnsi="Calibri" w:cs="Calibri"/>
        </w:rPr>
        <w:t>.</w:t>
      </w:r>
      <w:r w:rsidR="001B44EF" w:rsidRPr="00DD4A8E">
        <w:rPr>
          <w:rFonts w:ascii="Calibri" w:hAnsi="Calibri" w:cs="Calibri"/>
        </w:rPr>
        <w:t xml:space="preserve"> </w:t>
      </w:r>
      <w:r w:rsidR="009F012D" w:rsidRPr="00DD4A8E">
        <w:rPr>
          <w:rFonts w:ascii="Calibri" w:hAnsi="Calibri" w:cs="Calibri"/>
        </w:rPr>
        <w:t>Kontrast s flexibilnější ekonomikou USA se však prohlubuje: po loňském 3,5% poklesu HDP očekává Fond jeho 7% růst letos a 4,9</w:t>
      </w:r>
      <w:r w:rsidR="00395434" w:rsidRPr="00DD4A8E">
        <w:rPr>
          <w:rFonts w:ascii="Calibri" w:hAnsi="Calibri" w:cs="Calibri"/>
        </w:rPr>
        <w:t xml:space="preserve"> </w:t>
      </w:r>
      <w:r w:rsidR="009F012D" w:rsidRPr="00DD4A8E">
        <w:rPr>
          <w:rFonts w:ascii="Calibri" w:hAnsi="Calibri" w:cs="Calibri"/>
        </w:rPr>
        <w:t xml:space="preserve">% napřesrok. </w:t>
      </w:r>
    </w:p>
    <w:p w14:paraId="4D56D116" w14:textId="0CE8FCDF" w:rsidR="00BF5C5A" w:rsidRPr="00DD4A8E" w:rsidRDefault="00BF5C5A" w:rsidP="00DB5DA9">
      <w:pPr>
        <w:pStyle w:val="Textkomente"/>
        <w:rPr>
          <w:rFonts w:ascii="Calibri" w:hAnsi="Calibri" w:cs="Calibri"/>
        </w:rPr>
      </w:pPr>
    </w:p>
    <w:p w14:paraId="640FA93F" w14:textId="269144AB" w:rsidR="001B44EF" w:rsidRPr="00DD4A8E" w:rsidRDefault="001B44EF" w:rsidP="00B4285D">
      <w:pPr>
        <w:rPr>
          <w:rFonts w:ascii="Calibri" w:hAnsi="Calibri" w:cs="Calibri"/>
          <w:sz w:val="20"/>
        </w:rPr>
      </w:pPr>
    </w:p>
    <w:p w14:paraId="7306EF6D" w14:textId="7F4C1B0C" w:rsidR="00F32F3A" w:rsidRPr="00DD4A8E" w:rsidRDefault="00A2430B" w:rsidP="00EB6C50">
      <w:pPr>
        <w:spacing w:after="120"/>
        <w:rPr>
          <w:rFonts w:ascii="Calibri" w:hAnsi="Calibri" w:cs="Calibri"/>
          <w:b/>
          <w:color w:val="13576B"/>
          <w:sz w:val="22"/>
          <w:szCs w:val="22"/>
        </w:rPr>
      </w:pPr>
      <w:r w:rsidRPr="00DD4A8E">
        <w:rPr>
          <w:rFonts w:ascii="Calibri" w:hAnsi="Calibri" w:cs="Calibri"/>
          <w:b/>
          <w:color w:val="13576B"/>
          <w:sz w:val="22"/>
          <w:szCs w:val="22"/>
        </w:rPr>
        <w:t>Výhled h</w:t>
      </w:r>
      <w:r w:rsidR="00F32F3A" w:rsidRPr="00DD4A8E">
        <w:rPr>
          <w:rFonts w:ascii="Calibri" w:hAnsi="Calibri" w:cs="Calibri"/>
          <w:b/>
          <w:color w:val="13576B"/>
          <w:sz w:val="22"/>
          <w:szCs w:val="22"/>
        </w:rPr>
        <w:t>ospodářsk</w:t>
      </w:r>
      <w:r w:rsidRPr="00DD4A8E">
        <w:rPr>
          <w:rFonts w:ascii="Calibri" w:hAnsi="Calibri" w:cs="Calibri"/>
          <w:b/>
          <w:color w:val="13576B"/>
          <w:sz w:val="22"/>
          <w:szCs w:val="22"/>
        </w:rPr>
        <w:t>ého</w:t>
      </w:r>
      <w:r w:rsidR="00F32F3A" w:rsidRPr="00DD4A8E">
        <w:rPr>
          <w:rFonts w:ascii="Calibri" w:hAnsi="Calibri" w:cs="Calibri"/>
          <w:b/>
          <w:color w:val="13576B"/>
          <w:sz w:val="22"/>
          <w:szCs w:val="22"/>
        </w:rPr>
        <w:t xml:space="preserve"> růst</w:t>
      </w:r>
      <w:r w:rsidRPr="00DD4A8E">
        <w:rPr>
          <w:rFonts w:ascii="Calibri" w:hAnsi="Calibri" w:cs="Calibri"/>
          <w:b/>
          <w:color w:val="13576B"/>
          <w:sz w:val="22"/>
          <w:szCs w:val="22"/>
        </w:rPr>
        <w:t>u ČR</w:t>
      </w:r>
      <w:r w:rsidR="005C60BB" w:rsidRPr="00DD4A8E">
        <w:rPr>
          <w:rFonts w:ascii="Calibri" w:hAnsi="Calibri" w:cs="Calibri"/>
          <w:b/>
          <w:color w:val="13576B"/>
          <w:sz w:val="22"/>
          <w:szCs w:val="22"/>
        </w:rPr>
        <w:t xml:space="preserve">: </w:t>
      </w:r>
      <w:r w:rsidR="00F24AFC" w:rsidRPr="00DD4A8E">
        <w:rPr>
          <w:rFonts w:ascii="Calibri" w:hAnsi="Calibri" w:cs="Calibri"/>
          <w:b/>
          <w:color w:val="13576B"/>
          <w:sz w:val="22"/>
          <w:szCs w:val="22"/>
        </w:rPr>
        <w:t>oživení potvrzeno, ale…</w:t>
      </w:r>
    </w:p>
    <w:p w14:paraId="0DCC7770" w14:textId="173B7EEF" w:rsidR="00752180" w:rsidRPr="00DD4A8E" w:rsidRDefault="00364371" w:rsidP="00B4285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</w:t>
      </w:r>
      <w:r w:rsidRPr="00DD4A8E">
        <w:rPr>
          <w:rFonts w:ascii="Calibri" w:hAnsi="Calibri" w:cs="Calibri"/>
          <w:sz w:val="20"/>
        </w:rPr>
        <w:t>o meziročním poklesu HDP o 2,1 %</w:t>
      </w:r>
      <w:r>
        <w:rPr>
          <w:rFonts w:ascii="Calibri" w:hAnsi="Calibri" w:cs="Calibri"/>
          <w:sz w:val="20"/>
        </w:rPr>
        <w:t xml:space="preserve"> </w:t>
      </w:r>
      <w:r w:rsidR="00537C68" w:rsidRPr="00DD4A8E">
        <w:rPr>
          <w:rFonts w:ascii="Calibri" w:hAnsi="Calibri" w:cs="Calibri"/>
          <w:sz w:val="20"/>
        </w:rPr>
        <w:t xml:space="preserve">v prvním čtvrtletí tohoto roku </w:t>
      </w:r>
      <w:r w:rsidR="00EB6F2B">
        <w:rPr>
          <w:rFonts w:ascii="Calibri" w:hAnsi="Calibri" w:cs="Calibri"/>
          <w:sz w:val="20"/>
        </w:rPr>
        <w:t>se č</w:t>
      </w:r>
      <w:r w:rsidR="00EB6F2B" w:rsidRPr="00DD4A8E">
        <w:rPr>
          <w:rFonts w:ascii="Calibri" w:hAnsi="Calibri" w:cs="Calibri"/>
          <w:sz w:val="20"/>
        </w:rPr>
        <w:t xml:space="preserve">eská ekonomika </w:t>
      </w:r>
      <w:r w:rsidR="00537C68" w:rsidRPr="00DD4A8E">
        <w:rPr>
          <w:rFonts w:ascii="Calibri" w:hAnsi="Calibri" w:cs="Calibri"/>
          <w:sz w:val="20"/>
        </w:rPr>
        <w:t>do fáze oživení</w:t>
      </w:r>
      <w:r w:rsidR="00EB6F2B" w:rsidRPr="00EB6F2B">
        <w:rPr>
          <w:rFonts w:ascii="Calibri" w:hAnsi="Calibri" w:cs="Calibri"/>
          <w:sz w:val="20"/>
        </w:rPr>
        <w:t xml:space="preserve"> </w:t>
      </w:r>
      <w:r w:rsidR="00EB6F2B" w:rsidRPr="00DD4A8E">
        <w:rPr>
          <w:rFonts w:ascii="Calibri" w:hAnsi="Calibri" w:cs="Calibri"/>
          <w:sz w:val="20"/>
        </w:rPr>
        <w:t>překlopila</w:t>
      </w:r>
      <w:r w:rsidR="00EB6F2B">
        <w:rPr>
          <w:rFonts w:ascii="Calibri" w:hAnsi="Calibri" w:cs="Calibri"/>
          <w:sz w:val="20"/>
        </w:rPr>
        <w:t xml:space="preserve"> už</w:t>
      </w:r>
      <w:r w:rsidR="00537C68" w:rsidRPr="00DD4A8E">
        <w:rPr>
          <w:rFonts w:ascii="Calibri" w:hAnsi="Calibri" w:cs="Calibri"/>
          <w:sz w:val="20"/>
        </w:rPr>
        <w:t xml:space="preserve"> ve druhé polovině dubna. </w:t>
      </w:r>
      <w:r w:rsidR="00752180" w:rsidRPr="00DD4A8E">
        <w:rPr>
          <w:rFonts w:ascii="Calibri" w:hAnsi="Calibri" w:cs="Calibri"/>
          <w:sz w:val="20"/>
        </w:rPr>
        <w:t>V návaznosti na zlepšující se epidemiologický výhled u nás i v zahraničí, zvyšující se tempo růstu zejména německého hospodářství a rostoucí proočkovanost populace byla očekávání ohledně výkonu české ekonomiky ve druhém letošním kvartálu poměrně vysoká. Předběžné údaje ČSÚ zveřejněné na konci července však optimismus poněkud tlumí, i když 7,8 % meziročně na první pohled nevypad</w:t>
      </w:r>
      <w:r w:rsidR="00B9723F" w:rsidRPr="00DD4A8E">
        <w:rPr>
          <w:rFonts w:ascii="Calibri" w:hAnsi="Calibri" w:cs="Calibri"/>
          <w:sz w:val="20"/>
        </w:rPr>
        <w:t>á</w:t>
      </w:r>
      <w:r w:rsidR="00752180" w:rsidRPr="00DD4A8E">
        <w:rPr>
          <w:rFonts w:ascii="Calibri" w:hAnsi="Calibri" w:cs="Calibri"/>
          <w:sz w:val="20"/>
        </w:rPr>
        <w:t xml:space="preserve"> špatně. Trh však očekával tempa růstu HDP </w:t>
      </w:r>
      <w:r w:rsidR="00C73708">
        <w:rPr>
          <w:rFonts w:ascii="Calibri" w:hAnsi="Calibri" w:cs="Calibri"/>
          <w:sz w:val="20"/>
        </w:rPr>
        <w:t>cca</w:t>
      </w:r>
      <w:r w:rsidR="00752180" w:rsidRPr="00DD4A8E">
        <w:rPr>
          <w:rFonts w:ascii="Calibri" w:hAnsi="Calibri" w:cs="Calibri"/>
          <w:sz w:val="20"/>
        </w:rPr>
        <w:t xml:space="preserve"> o </w:t>
      </w:r>
      <w:r w:rsidR="00C73708">
        <w:rPr>
          <w:rFonts w:ascii="Calibri" w:hAnsi="Calibri" w:cs="Calibri"/>
          <w:sz w:val="20"/>
        </w:rPr>
        <w:t>1</w:t>
      </w:r>
      <w:r w:rsidR="00752180" w:rsidRPr="00DD4A8E">
        <w:rPr>
          <w:rFonts w:ascii="Calibri" w:hAnsi="Calibri" w:cs="Calibri"/>
          <w:sz w:val="20"/>
        </w:rPr>
        <w:t xml:space="preserve"> </w:t>
      </w:r>
      <w:proofErr w:type="spellStart"/>
      <w:r w:rsidR="00752180" w:rsidRPr="00DD4A8E">
        <w:rPr>
          <w:rFonts w:ascii="Calibri" w:hAnsi="Calibri" w:cs="Calibri"/>
          <w:sz w:val="20"/>
        </w:rPr>
        <w:t>p.b</w:t>
      </w:r>
      <w:proofErr w:type="spellEnd"/>
      <w:r w:rsidR="00752180" w:rsidRPr="00DD4A8E">
        <w:rPr>
          <w:rFonts w:ascii="Calibri" w:hAnsi="Calibri" w:cs="Calibri"/>
          <w:sz w:val="20"/>
        </w:rPr>
        <w:t>. vyšší</w:t>
      </w:r>
      <w:r>
        <w:rPr>
          <w:rFonts w:ascii="Calibri" w:hAnsi="Calibri" w:cs="Calibri"/>
          <w:sz w:val="20"/>
        </w:rPr>
        <w:t>.</w:t>
      </w:r>
      <w:r w:rsidR="00752180" w:rsidRPr="00DD4A8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A</w:t>
      </w:r>
      <w:r w:rsidR="00752180" w:rsidRPr="00DD4A8E">
        <w:rPr>
          <w:rFonts w:ascii="Calibri" w:hAnsi="Calibri" w:cs="Calibri"/>
          <w:sz w:val="20"/>
        </w:rPr>
        <w:t xml:space="preserve"> ještě měsíc si bude muset počkat</w:t>
      </w:r>
      <w:r w:rsidR="00DB7417" w:rsidRPr="00DD4A8E">
        <w:rPr>
          <w:rFonts w:ascii="Calibri" w:hAnsi="Calibri" w:cs="Calibri"/>
          <w:sz w:val="20"/>
        </w:rPr>
        <w:t xml:space="preserve"> na upřesnění</w:t>
      </w:r>
      <w:r w:rsidR="00752180" w:rsidRPr="00DD4A8E">
        <w:rPr>
          <w:rFonts w:ascii="Calibri" w:hAnsi="Calibri" w:cs="Calibri"/>
          <w:sz w:val="20"/>
        </w:rPr>
        <w:t>, která z jeho složek za zveřejněnými odhady stojí</w:t>
      </w:r>
      <w:r w:rsidR="00076CE4">
        <w:rPr>
          <w:rFonts w:ascii="Calibri" w:hAnsi="Calibri" w:cs="Calibri"/>
          <w:sz w:val="20"/>
        </w:rPr>
        <w:t>. Zda je to</w:t>
      </w:r>
      <w:r w:rsidR="00752180" w:rsidRPr="00DD4A8E">
        <w:rPr>
          <w:rFonts w:ascii="Calibri" w:hAnsi="Calibri" w:cs="Calibri"/>
          <w:sz w:val="20"/>
        </w:rPr>
        <w:t xml:space="preserve"> nečekaně vysoký růst dovozů</w:t>
      </w:r>
      <w:r w:rsidR="00076CE4">
        <w:rPr>
          <w:rFonts w:ascii="Calibri" w:hAnsi="Calibri" w:cs="Calibri"/>
          <w:sz w:val="20"/>
        </w:rPr>
        <w:t>, n</w:t>
      </w:r>
      <w:r w:rsidR="00C73708">
        <w:rPr>
          <w:rFonts w:ascii="Calibri" w:hAnsi="Calibri" w:cs="Calibri"/>
          <w:sz w:val="20"/>
        </w:rPr>
        <w:t>árůst</w:t>
      </w:r>
      <w:r w:rsidR="00752180" w:rsidRPr="00DD4A8E">
        <w:rPr>
          <w:rFonts w:ascii="Calibri" w:hAnsi="Calibri" w:cs="Calibri"/>
          <w:sz w:val="20"/>
        </w:rPr>
        <w:t xml:space="preserve"> </w:t>
      </w:r>
      <w:r w:rsidR="00752180" w:rsidRPr="00DD4A8E">
        <w:rPr>
          <w:rFonts w:ascii="Calibri" w:hAnsi="Calibri" w:cs="Calibri"/>
          <w:sz w:val="20"/>
        </w:rPr>
        <w:lastRenderedPageBreak/>
        <w:t xml:space="preserve">zásob v souvislosti </w:t>
      </w:r>
      <w:r w:rsidR="00325C91" w:rsidRPr="00DD4A8E">
        <w:rPr>
          <w:rFonts w:ascii="Calibri" w:hAnsi="Calibri" w:cs="Calibri"/>
          <w:sz w:val="20"/>
        </w:rPr>
        <w:t xml:space="preserve">s ne úplně hladkými dodávkami některých komponent (např. čipů pro </w:t>
      </w:r>
      <w:proofErr w:type="spellStart"/>
      <w:r w:rsidR="00325C91" w:rsidRPr="00DD4A8E">
        <w:rPr>
          <w:rFonts w:ascii="Calibri" w:hAnsi="Calibri" w:cs="Calibri"/>
          <w:i/>
          <w:iCs/>
          <w:sz w:val="20"/>
        </w:rPr>
        <w:t>automotive</w:t>
      </w:r>
      <w:proofErr w:type="spellEnd"/>
      <w:r w:rsidR="00325C91" w:rsidRPr="00DD4A8E">
        <w:rPr>
          <w:rFonts w:ascii="Calibri" w:hAnsi="Calibri" w:cs="Calibri"/>
          <w:sz w:val="20"/>
        </w:rPr>
        <w:t>)</w:t>
      </w:r>
      <w:r w:rsidR="00C73708">
        <w:rPr>
          <w:rFonts w:ascii="Calibri" w:hAnsi="Calibri" w:cs="Calibri"/>
          <w:sz w:val="20"/>
        </w:rPr>
        <w:t xml:space="preserve"> a nedokončenou výrobou</w:t>
      </w:r>
      <w:r w:rsidR="00325C91" w:rsidRPr="00DD4A8E">
        <w:rPr>
          <w:rFonts w:ascii="Calibri" w:hAnsi="Calibri" w:cs="Calibri"/>
          <w:sz w:val="20"/>
        </w:rPr>
        <w:t xml:space="preserve"> nebo zkrátka jen nedostatek</w:t>
      </w:r>
      <w:r w:rsidR="00752180" w:rsidRPr="00DD4A8E">
        <w:rPr>
          <w:rFonts w:ascii="Calibri" w:hAnsi="Calibri" w:cs="Calibri"/>
          <w:sz w:val="20"/>
        </w:rPr>
        <w:t xml:space="preserve"> </w:t>
      </w:r>
      <w:r w:rsidR="00325C91" w:rsidRPr="00DD4A8E">
        <w:rPr>
          <w:rFonts w:ascii="Calibri" w:hAnsi="Calibri" w:cs="Calibri"/>
          <w:sz w:val="20"/>
        </w:rPr>
        <w:t>dat implikující možné korekce směrem k původním očekáváním</w:t>
      </w:r>
      <w:r w:rsidR="00076CE4">
        <w:rPr>
          <w:rFonts w:ascii="Calibri" w:hAnsi="Calibri" w:cs="Calibri"/>
          <w:sz w:val="20"/>
        </w:rPr>
        <w:t>.</w:t>
      </w:r>
    </w:p>
    <w:p w14:paraId="69E31F4A" w14:textId="493459B6" w:rsidR="00537C68" w:rsidRPr="00DD4A8E" w:rsidRDefault="00537C68" w:rsidP="00B4285D">
      <w:pPr>
        <w:rPr>
          <w:rFonts w:ascii="Calibri" w:hAnsi="Calibri" w:cs="Calibri"/>
          <w:sz w:val="20"/>
        </w:rPr>
      </w:pPr>
    </w:p>
    <w:p w14:paraId="5F07D033" w14:textId="4572F629" w:rsidR="002A7837" w:rsidRPr="00DD4A8E" w:rsidRDefault="00C73708" w:rsidP="00B4285D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Navzdory neuspokojivému hospodářskému výkonu</w:t>
      </w:r>
      <w:r w:rsidR="00364371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ve druhém čtvrtletí jsou e</w:t>
      </w:r>
      <w:r w:rsidR="009A1DCA" w:rsidRPr="00DD4A8E">
        <w:rPr>
          <w:rFonts w:ascii="Calibri" w:hAnsi="Calibri" w:cs="Calibri"/>
          <w:sz w:val="20"/>
        </w:rPr>
        <w:t>xperti prognostického panelu ČBA</w:t>
      </w:r>
      <w:r w:rsidR="00D9338E" w:rsidRPr="00DD4A8E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v zásadě stejného názoru jako </w:t>
      </w:r>
      <w:r w:rsidR="00474A86" w:rsidRPr="00DD4A8E">
        <w:rPr>
          <w:rFonts w:ascii="Calibri" w:hAnsi="Calibri" w:cs="Calibri"/>
          <w:sz w:val="20"/>
        </w:rPr>
        <w:t>v </w:t>
      </w:r>
      <w:r w:rsidR="00794FB6" w:rsidRPr="00DD4A8E">
        <w:rPr>
          <w:rFonts w:ascii="Calibri" w:hAnsi="Calibri" w:cs="Calibri"/>
          <w:sz w:val="20"/>
        </w:rPr>
        <w:t>květnu</w:t>
      </w:r>
      <w:r w:rsidR="00474A86" w:rsidRPr="00DD4A8E">
        <w:rPr>
          <w:rFonts w:ascii="Calibri" w:hAnsi="Calibri" w:cs="Calibri"/>
          <w:sz w:val="20"/>
        </w:rPr>
        <w:t>, kdy ČBA</w:t>
      </w:r>
      <w:r w:rsidR="00C31CD3" w:rsidRPr="00DD4A8E">
        <w:rPr>
          <w:rFonts w:ascii="Calibri" w:hAnsi="Calibri" w:cs="Calibri"/>
          <w:sz w:val="20"/>
        </w:rPr>
        <w:t xml:space="preserve"> prezentovala </w:t>
      </w:r>
      <w:r w:rsidR="00794FB6" w:rsidRPr="00DD4A8E">
        <w:rPr>
          <w:rFonts w:ascii="Calibri" w:hAnsi="Calibri" w:cs="Calibri"/>
          <w:sz w:val="20"/>
        </w:rPr>
        <w:t>druhý</w:t>
      </w:r>
      <w:r w:rsidR="00C31CD3" w:rsidRPr="00DD4A8E">
        <w:rPr>
          <w:rFonts w:ascii="Calibri" w:hAnsi="Calibri" w:cs="Calibri"/>
          <w:sz w:val="20"/>
        </w:rPr>
        <w:t xml:space="preserve"> letošní hospodářský výhled.</w:t>
      </w:r>
      <w:r w:rsidR="002A2B40" w:rsidRPr="00DD4A8E">
        <w:rPr>
          <w:rFonts w:ascii="Calibri" w:hAnsi="Calibri" w:cs="Calibri"/>
          <w:sz w:val="20"/>
        </w:rPr>
        <w:t xml:space="preserve"> Letos by tak </w:t>
      </w:r>
      <w:r w:rsidR="00421049" w:rsidRPr="00DD4A8E">
        <w:rPr>
          <w:rFonts w:ascii="Calibri" w:hAnsi="Calibri" w:cs="Calibri"/>
          <w:b/>
          <w:bCs/>
          <w:sz w:val="20"/>
        </w:rPr>
        <w:t>podle mediánu jejich odhadů měl HDP meziročně vzrůst o 3,</w:t>
      </w:r>
      <w:r w:rsidR="002A2B40" w:rsidRPr="00DD4A8E">
        <w:rPr>
          <w:rFonts w:ascii="Calibri" w:hAnsi="Calibri" w:cs="Calibri"/>
          <w:b/>
          <w:bCs/>
          <w:sz w:val="20"/>
        </w:rPr>
        <w:t>4</w:t>
      </w:r>
      <w:r w:rsidR="00421049" w:rsidRPr="00DD4A8E">
        <w:rPr>
          <w:rFonts w:ascii="Calibri" w:hAnsi="Calibri" w:cs="Calibri"/>
          <w:b/>
          <w:bCs/>
          <w:sz w:val="20"/>
        </w:rPr>
        <w:t xml:space="preserve"> %</w:t>
      </w:r>
      <w:r w:rsidR="00C31CD3" w:rsidRPr="00DD4A8E">
        <w:rPr>
          <w:rFonts w:ascii="Calibri" w:hAnsi="Calibri" w:cs="Calibri"/>
          <w:sz w:val="20"/>
        </w:rPr>
        <w:t>.</w:t>
      </w:r>
      <w:r w:rsidR="007948B6" w:rsidRPr="00DD4A8E">
        <w:rPr>
          <w:rFonts w:ascii="Calibri" w:hAnsi="Calibri" w:cs="Calibri"/>
          <w:sz w:val="20"/>
        </w:rPr>
        <w:t xml:space="preserve"> </w:t>
      </w:r>
      <w:r w:rsidR="00CE5DCA" w:rsidRPr="00DD4A8E">
        <w:rPr>
          <w:rFonts w:ascii="Calibri" w:hAnsi="Calibri" w:cs="Calibri"/>
          <w:sz w:val="20"/>
        </w:rPr>
        <w:t>P</w:t>
      </w:r>
      <w:r w:rsidR="007948B6" w:rsidRPr="00DD4A8E">
        <w:rPr>
          <w:rFonts w:ascii="Calibri" w:hAnsi="Calibri" w:cs="Calibri"/>
          <w:sz w:val="20"/>
        </w:rPr>
        <w:t xml:space="preserve">o </w:t>
      </w:r>
      <w:proofErr w:type="gramStart"/>
      <w:r w:rsidR="007948B6" w:rsidRPr="00DD4A8E">
        <w:rPr>
          <w:rFonts w:ascii="Calibri" w:hAnsi="Calibri" w:cs="Calibri"/>
          <w:sz w:val="20"/>
        </w:rPr>
        <w:t>2,</w:t>
      </w:r>
      <w:r w:rsidR="001828E8">
        <w:rPr>
          <w:rFonts w:ascii="Calibri" w:hAnsi="Calibri" w:cs="Calibri"/>
          <w:sz w:val="20"/>
        </w:rPr>
        <w:t>1</w:t>
      </w:r>
      <w:r w:rsidR="007948B6" w:rsidRPr="00DD4A8E">
        <w:rPr>
          <w:rFonts w:ascii="Calibri" w:hAnsi="Calibri" w:cs="Calibri"/>
          <w:sz w:val="20"/>
        </w:rPr>
        <w:t>%</w:t>
      </w:r>
      <w:proofErr w:type="gramEnd"/>
      <w:r w:rsidR="007948B6" w:rsidRPr="00DD4A8E">
        <w:rPr>
          <w:rFonts w:ascii="Calibri" w:hAnsi="Calibri" w:cs="Calibri"/>
          <w:sz w:val="20"/>
        </w:rPr>
        <w:t xml:space="preserve"> meziročním propadu v prvním čtvrtletí</w:t>
      </w:r>
      <w:r w:rsidR="002A2B40" w:rsidRPr="00DD4A8E">
        <w:rPr>
          <w:rFonts w:ascii="Calibri" w:hAnsi="Calibri" w:cs="Calibri"/>
          <w:sz w:val="20"/>
        </w:rPr>
        <w:t xml:space="preserve"> a 7,8% meziročním růstu ve </w:t>
      </w:r>
      <w:r w:rsidR="00435C21" w:rsidRPr="00DD4A8E">
        <w:rPr>
          <w:rFonts w:ascii="Calibri" w:hAnsi="Calibri" w:cs="Calibri"/>
          <w:sz w:val="20"/>
        </w:rPr>
        <w:t>čtvrtletí</w:t>
      </w:r>
      <w:r w:rsidR="002A2B40" w:rsidRPr="00DD4A8E">
        <w:rPr>
          <w:rFonts w:ascii="Calibri" w:hAnsi="Calibri" w:cs="Calibri"/>
          <w:sz w:val="20"/>
        </w:rPr>
        <w:t xml:space="preserve"> druhém očekávají ve zbytku roku 3,5 </w:t>
      </w:r>
      <w:r w:rsidR="00F01F41">
        <w:rPr>
          <w:rFonts w:ascii="Calibri" w:hAnsi="Calibri" w:cs="Calibri"/>
          <w:sz w:val="20"/>
        </w:rPr>
        <w:t>až</w:t>
      </w:r>
      <w:r w:rsidR="002A2B40" w:rsidRPr="00DD4A8E">
        <w:rPr>
          <w:rFonts w:ascii="Calibri" w:hAnsi="Calibri" w:cs="Calibri"/>
          <w:sz w:val="20"/>
        </w:rPr>
        <w:t xml:space="preserve"> 3,9% tempo. </w:t>
      </w:r>
      <w:r w:rsidR="00421049" w:rsidRPr="00DD4A8E">
        <w:rPr>
          <w:rFonts w:ascii="Calibri" w:hAnsi="Calibri" w:cs="Calibri"/>
          <w:sz w:val="20"/>
        </w:rPr>
        <w:t xml:space="preserve">Podle </w:t>
      </w:r>
      <w:r w:rsidR="002A2B40" w:rsidRPr="00DD4A8E">
        <w:rPr>
          <w:rFonts w:ascii="Calibri" w:hAnsi="Calibri" w:cs="Calibri"/>
          <w:sz w:val="20"/>
        </w:rPr>
        <w:t xml:space="preserve">jejich názoru </w:t>
      </w:r>
      <w:r w:rsidR="00421049" w:rsidRPr="00DD4A8E">
        <w:rPr>
          <w:rFonts w:ascii="Calibri" w:hAnsi="Calibri" w:cs="Calibri"/>
          <w:sz w:val="20"/>
        </w:rPr>
        <w:t xml:space="preserve">se o zesilování počínajícího oživení v zásadě rovnoměrně postará spotřeba domácností, </w:t>
      </w:r>
      <w:r w:rsidR="00087A3D" w:rsidRPr="00DD4A8E">
        <w:rPr>
          <w:rFonts w:ascii="Calibri" w:hAnsi="Calibri" w:cs="Calibri"/>
          <w:sz w:val="20"/>
        </w:rPr>
        <w:t xml:space="preserve">vládní spotřeba a </w:t>
      </w:r>
      <w:r w:rsidR="00C83793" w:rsidRPr="00DD4A8E">
        <w:rPr>
          <w:rFonts w:ascii="Calibri" w:hAnsi="Calibri" w:cs="Calibri"/>
          <w:sz w:val="20"/>
        </w:rPr>
        <w:t>(</w:t>
      </w:r>
      <w:r w:rsidR="00087A3D" w:rsidRPr="00DD4A8E">
        <w:rPr>
          <w:rFonts w:ascii="Calibri" w:hAnsi="Calibri" w:cs="Calibri"/>
          <w:sz w:val="20"/>
        </w:rPr>
        <w:t>spíše ve druhé polovině roku</w:t>
      </w:r>
      <w:r w:rsidR="00C83793" w:rsidRPr="00DD4A8E">
        <w:rPr>
          <w:rFonts w:ascii="Calibri" w:hAnsi="Calibri" w:cs="Calibri"/>
          <w:sz w:val="20"/>
        </w:rPr>
        <w:t>)</w:t>
      </w:r>
      <w:r w:rsidR="00087A3D" w:rsidRPr="00DD4A8E">
        <w:rPr>
          <w:rFonts w:ascii="Calibri" w:hAnsi="Calibri" w:cs="Calibri"/>
          <w:sz w:val="20"/>
        </w:rPr>
        <w:t xml:space="preserve"> i investice</w:t>
      </w:r>
      <w:r>
        <w:rPr>
          <w:rFonts w:ascii="Calibri" w:hAnsi="Calibri" w:cs="Calibri"/>
          <w:sz w:val="20"/>
        </w:rPr>
        <w:t>.</w:t>
      </w:r>
      <w:r w:rsidR="00087A3D" w:rsidRPr="00DD4A8E">
        <w:rPr>
          <w:rFonts w:ascii="Calibri" w:hAnsi="Calibri" w:cs="Calibri"/>
          <w:sz w:val="20"/>
        </w:rPr>
        <w:t xml:space="preserve"> </w:t>
      </w:r>
      <w:r w:rsidR="002A2B40" w:rsidRPr="00DD4A8E">
        <w:rPr>
          <w:rFonts w:ascii="Calibri" w:hAnsi="Calibri" w:cs="Calibri"/>
          <w:sz w:val="20"/>
        </w:rPr>
        <w:t xml:space="preserve">Tempo růstu vývozů (10,4 %) by mělo mírně překonat tempo dovozního růstu (10,1 %). </w:t>
      </w:r>
    </w:p>
    <w:p w14:paraId="53C7D0DD" w14:textId="3CD691F8" w:rsidR="00F37DC9" w:rsidRPr="00DD4A8E" w:rsidRDefault="00F37DC9" w:rsidP="00B4285D">
      <w:pPr>
        <w:rPr>
          <w:rFonts w:ascii="Calibri" w:hAnsi="Calibri" w:cs="Calibri"/>
          <w:sz w:val="20"/>
        </w:rPr>
      </w:pPr>
    </w:p>
    <w:p w14:paraId="603FEB81" w14:textId="525ED7FC" w:rsidR="007948B6" w:rsidRPr="00DD4A8E" w:rsidRDefault="004709C3" w:rsidP="00B4285D">
      <w:pPr>
        <w:rPr>
          <w:rFonts w:ascii="Calibri" w:hAnsi="Calibri" w:cs="Calibri"/>
          <w:sz w:val="20"/>
        </w:rPr>
      </w:pPr>
      <w:r w:rsidRPr="00C15C1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2C25A2" wp14:editId="682B83E4">
                <wp:simplePos x="0" y="0"/>
                <wp:positionH relativeFrom="column">
                  <wp:posOffset>-50800</wp:posOffset>
                </wp:positionH>
                <wp:positionV relativeFrom="paragraph">
                  <wp:posOffset>630750</wp:posOffset>
                </wp:positionV>
                <wp:extent cx="6461760" cy="782320"/>
                <wp:effectExtent l="0" t="0" r="15240" b="1778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2BB6C" w14:textId="690A11FC" w:rsidR="001802DE" w:rsidRPr="00F37DC9" w:rsidRDefault="001802DE" w:rsidP="001802DE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Petr Dufek</w:t>
                            </w:r>
                            <w:r w:rsidRPr="00F37DC9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analytik ČSOB</w:t>
                            </w:r>
                            <w:r w:rsidRPr="00F37DC9">
                              <w:rPr>
                                <w:rFonts w:ascii="Calibri" w:hAnsi="Calibri" w:cs="Calibri"/>
                                <w:sz w:val="20"/>
                              </w:rPr>
                              <w:t>:</w:t>
                            </w:r>
                          </w:p>
                          <w:p w14:paraId="32CCDFE0" w14:textId="7EEA6052" w:rsidR="001802DE" w:rsidRPr="00F37DC9" w:rsidRDefault="001802DE" w:rsidP="001802DE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1802DE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„Česká ekonomika se postupně vzpamatovává z </w:t>
                            </w:r>
                            <w:proofErr w:type="spellStart"/>
                            <w:r w:rsidR="00C73C1A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c</w:t>
                            </w:r>
                            <w:r w:rsidR="00C73C1A" w:rsidRPr="001802DE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ovidového</w:t>
                            </w:r>
                            <w:proofErr w:type="spellEnd"/>
                            <w:r w:rsidR="00C73C1A" w:rsidRPr="001802DE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 w:rsidRPr="001802DE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šoku. Tuzemské firmy se musejí vypořádávat s vysokými cenami komodit, nedostatkem dovážených komponent, drahou mezinárodní dopravou i chybějícími zaměstnanci. Počínající konjunktura je proto ve znamení vyšší inflace a růstu úrokových sazeb.“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C25A2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7" type="#_x0000_t202" style="position:absolute;left:0;text-align:left;margin-left:-4pt;margin-top:49.65pt;width:508.8pt;height:6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">
                <v:textbox>
                  <w:txbxContent>
                    <w:p w14:paraId="1BB2BB6C" w14:textId="690A11FC" w:rsidR="001802DE" w:rsidRPr="00F37DC9" w:rsidRDefault="001802DE" w:rsidP="001802DE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Petr Dufek</w:t>
                      </w:r>
                      <w:r w:rsidRPr="00F37DC9">
                        <w:rPr>
                          <w:rFonts w:ascii="Calibri" w:hAnsi="Calibri" w:cs="Calibri"/>
                          <w:sz w:val="20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analytik ČSOB</w:t>
                      </w:r>
                      <w:r w:rsidRPr="00F37DC9">
                        <w:rPr>
                          <w:rFonts w:ascii="Calibri" w:hAnsi="Calibri" w:cs="Calibri"/>
                          <w:sz w:val="20"/>
                        </w:rPr>
                        <w:t>:</w:t>
                      </w:r>
                    </w:p>
                    <w:p w14:paraId="32CCDFE0" w14:textId="7EEA6052" w:rsidR="001802DE" w:rsidRPr="00F37DC9" w:rsidRDefault="001802DE" w:rsidP="001802DE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1802DE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„Česká ekonomika se postupně vzpamatovává z </w:t>
                      </w:r>
                      <w:proofErr w:type="spellStart"/>
                      <w:r w:rsidR="00C73C1A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c</w:t>
                      </w:r>
                      <w:r w:rsidR="00C73C1A" w:rsidRPr="001802DE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ovidového</w:t>
                      </w:r>
                      <w:proofErr w:type="spellEnd"/>
                      <w:r w:rsidR="00C73C1A" w:rsidRPr="001802DE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 xml:space="preserve"> </w:t>
                      </w:r>
                      <w:r w:rsidRPr="001802DE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šoku. Tuzemské firmy se musejí vypořádávat s vysokými cenami komodit, nedostatkem dovážených komponent, drahou mezinárodní dopravou i chybějícími zaměstnanci. Počínající konjunktura je proto ve znamení vyšší inflace a růstu úrokových sazeb.“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9BE" w:rsidRPr="00DD4A8E">
        <w:rPr>
          <w:rFonts w:ascii="Calibri" w:hAnsi="Calibri" w:cs="Calibri"/>
          <w:sz w:val="20"/>
        </w:rPr>
        <w:t xml:space="preserve">Pro </w:t>
      </w:r>
      <w:r w:rsidR="00B639BE" w:rsidRPr="00DD4A8E">
        <w:rPr>
          <w:rFonts w:ascii="Calibri" w:hAnsi="Calibri" w:cs="Calibri"/>
          <w:b/>
          <w:sz w:val="20"/>
        </w:rPr>
        <w:t>rok 2022</w:t>
      </w:r>
      <w:r w:rsidR="00B639BE" w:rsidRPr="00DD4A8E">
        <w:rPr>
          <w:rFonts w:ascii="Calibri" w:hAnsi="Calibri" w:cs="Calibri"/>
          <w:b/>
          <w:bCs/>
          <w:sz w:val="20"/>
        </w:rPr>
        <w:t xml:space="preserve"> </w:t>
      </w:r>
      <w:r w:rsidR="00087A3D" w:rsidRPr="00DD4A8E">
        <w:rPr>
          <w:rFonts w:ascii="Calibri" w:hAnsi="Calibri" w:cs="Calibri"/>
          <w:b/>
          <w:bCs/>
          <w:sz w:val="20"/>
        </w:rPr>
        <w:t>očekávají</w:t>
      </w:r>
      <w:r w:rsidR="00B639BE" w:rsidRPr="00DD4A8E">
        <w:rPr>
          <w:rFonts w:ascii="Calibri" w:hAnsi="Calibri" w:cs="Calibri"/>
          <w:b/>
          <w:bCs/>
          <w:sz w:val="20"/>
        </w:rPr>
        <w:t xml:space="preserve"> hlavní ekonomové bank </w:t>
      </w:r>
      <w:r w:rsidR="00087A3D" w:rsidRPr="00DD4A8E">
        <w:rPr>
          <w:rFonts w:ascii="Calibri" w:hAnsi="Calibri" w:cs="Calibri"/>
          <w:b/>
          <w:bCs/>
          <w:sz w:val="20"/>
        </w:rPr>
        <w:t>4,</w:t>
      </w:r>
      <w:r w:rsidR="002A2B40" w:rsidRPr="00DD4A8E">
        <w:rPr>
          <w:rFonts w:ascii="Calibri" w:hAnsi="Calibri" w:cs="Calibri"/>
          <w:b/>
          <w:bCs/>
          <w:sz w:val="20"/>
        </w:rPr>
        <w:t>5</w:t>
      </w:r>
      <w:r w:rsidR="009F1744" w:rsidRPr="00DD4A8E">
        <w:rPr>
          <w:rFonts w:ascii="Calibri" w:hAnsi="Calibri" w:cs="Calibri"/>
          <w:b/>
          <w:bCs/>
          <w:sz w:val="20"/>
        </w:rPr>
        <w:t>% růst HDP</w:t>
      </w:r>
      <w:r w:rsidR="00364371">
        <w:rPr>
          <w:rFonts w:ascii="Calibri" w:hAnsi="Calibri" w:cs="Calibri"/>
          <w:sz w:val="20"/>
        </w:rPr>
        <w:t>. Ten</w:t>
      </w:r>
      <w:r w:rsidR="00087A3D" w:rsidRPr="00DD4A8E">
        <w:rPr>
          <w:rFonts w:ascii="Calibri" w:hAnsi="Calibri" w:cs="Calibri"/>
          <w:sz w:val="20"/>
        </w:rPr>
        <w:t xml:space="preserve"> </w:t>
      </w:r>
      <w:r w:rsidR="00571647" w:rsidRPr="00DD4A8E">
        <w:rPr>
          <w:rFonts w:ascii="Calibri" w:hAnsi="Calibri" w:cs="Calibri"/>
          <w:sz w:val="20"/>
        </w:rPr>
        <w:t>by</w:t>
      </w:r>
      <w:r w:rsidR="00364371">
        <w:rPr>
          <w:rFonts w:ascii="Calibri" w:hAnsi="Calibri" w:cs="Calibri"/>
          <w:sz w:val="20"/>
        </w:rPr>
        <w:t>,</w:t>
      </w:r>
      <w:r w:rsidR="00571647" w:rsidRPr="00DD4A8E">
        <w:rPr>
          <w:rFonts w:ascii="Calibri" w:hAnsi="Calibri" w:cs="Calibri"/>
          <w:sz w:val="20"/>
        </w:rPr>
        <w:t xml:space="preserve"> </w:t>
      </w:r>
      <w:r w:rsidR="00087A3D" w:rsidRPr="00DD4A8E">
        <w:rPr>
          <w:rFonts w:ascii="Calibri" w:hAnsi="Calibri" w:cs="Calibri"/>
          <w:sz w:val="20"/>
        </w:rPr>
        <w:t xml:space="preserve">vedle </w:t>
      </w:r>
      <w:r w:rsidR="001828E8">
        <w:rPr>
          <w:rFonts w:ascii="Calibri" w:hAnsi="Calibri" w:cs="Calibri"/>
          <w:sz w:val="20"/>
        </w:rPr>
        <w:t xml:space="preserve">soukromé </w:t>
      </w:r>
      <w:r w:rsidR="00087A3D" w:rsidRPr="00DD4A8E">
        <w:rPr>
          <w:rFonts w:ascii="Calibri" w:hAnsi="Calibri" w:cs="Calibri"/>
          <w:sz w:val="20"/>
        </w:rPr>
        <w:t xml:space="preserve">spotřeby zrychlující na </w:t>
      </w:r>
      <w:r w:rsidR="00E03E1A" w:rsidRPr="00DD4A8E">
        <w:rPr>
          <w:rFonts w:ascii="Calibri" w:hAnsi="Calibri" w:cs="Calibri"/>
          <w:sz w:val="20"/>
        </w:rPr>
        <w:t xml:space="preserve">meziroční tempo růstu ve výši </w:t>
      </w:r>
      <w:r w:rsidR="00611EFE" w:rsidRPr="00DD4A8E">
        <w:rPr>
          <w:rFonts w:ascii="Calibri" w:hAnsi="Calibri" w:cs="Calibri"/>
          <w:sz w:val="20"/>
        </w:rPr>
        <w:t>4,6</w:t>
      </w:r>
      <w:r w:rsidR="00435C21" w:rsidRPr="00DD4A8E">
        <w:rPr>
          <w:rFonts w:ascii="Calibri" w:hAnsi="Calibri" w:cs="Calibri"/>
          <w:sz w:val="20"/>
        </w:rPr>
        <w:t xml:space="preserve"> </w:t>
      </w:r>
      <w:r w:rsidR="00087A3D" w:rsidRPr="00DD4A8E">
        <w:rPr>
          <w:rFonts w:ascii="Calibri" w:hAnsi="Calibri" w:cs="Calibri"/>
          <w:sz w:val="20"/>
        </w:rPr>
        <w:t>%</w:t>
      </w:r>
      <w:r w:rsidR="00364371">
        <w:rPr>
          <w:rFonts w:ascii="Calibri" w:hAnsi="Calibri" w:cs="Calibri"/>
          <w:sz w:val="20"/>
        </w:rPr>
        <w:t>,</w:t>
      </w:r>
      <w:r w:rsidR="00087A3D" w:rsidRPr="00DD4A8E">
        <w:rPr>
          <w:rFonts w:ascii="Calibri" w:hAnsi="Calibri" w:cs="Calibri"/>
          <w:sz w:val="20"/>
        </w:rPr>
        <w:t xml:space="preserve"> </w:t>
      </w:r>
      <w:r w:rsidR="00571647" w:rsidRPr="00DD4A8E">
        <w:rPr>
          <w:rFonts w:ascii="Calibri" w:hAnsi="Calibri" w:cs="Calibri"/>
          <w:sz w:val="20"/>
        </w:rPr>
        <w:t>měl</w:t>
      </w:r>
      <w:r w:rsidR="00087A3D" w:rsidRPr="00DD4A8E">
        <w:rPr>
          <w:rFonts w:ascii="Calibri" w:hAnsi="Calibri" w:cs="Calibri"/>
          <w:sz w:val="20"/>
        </w:rPr>
        <w:t xml:space="preserve"> být tažen </w:t>
      </w:r>
      <w:r w:rsidR="00611EFE" w:rsidRPr="00DD4A8E">
        <w:rPr>
          <w:rFonts w:ascii="Calibri" w:hAnsi="Calibri" w:cs="Calibri"/>
          <w:sz w:val="20"/>
        </w:rPr>
        <w:t xml:space="preserve">(konečně) </w:t>
      </w:r>
      <w:r w:rsidR="00087A3D" w:rsidRPr="00DD4A8E">
        <w:rPr>
          <w:rFonts w:ascii="Calibri" w:hAnsi="Calibri" w:cs="Calibri"/>
          <w:sz w:val="20"/>
        </w:rPr>
        <w:t xml:space="preserve">především </w:t>
      </w:r>
      <w:proofErr w:type="gramStart"/>
      <w:r w:rsidR="00611EFE" w:rsidRPr="00DD4A8E">
        <w:rPr>
          <w:rFonts w:ascii="Calibri" w:hAnsi="Calibri" w:cs="Calibri"/>
          <w:sz w:val="20"/>
        </w:rPr>
        <w:t>6</w:t>
      </w:r>
      <w:r w:rsidR="00087A3D" w:rsidRPr="00DD4A8E">
        <w:rPr>
          <w:rFonts w:ascii="Calibri" w:hAnsi="Calibri" w:cs="Calibri"/>
          <w:sz w:val="20"/>
        </w:rPr>
        <w:t>%</w:t>
      </w:r>
      <w:proofErr w:type="gramEnd"/>
      <w:r w:rsidR="00087A3D" w:rsidRPr="00DD4A8E">
        <w:rPr>
          <w:rFonts w:ascii="Calibri" w:hAnsi="Calibri" w:cs="Calibri"/>
          <w:sz w:val="20"/>
        </w:rPr>
        <w:t xml:space="preserve"> oživením investiční aktivity firem. </w:t>
      </w:r>
      <w:r w:rsidR="007948B6" w:rsidRPr="00DD4A8E">
        <w:rPr>
          <w:rFonts w:ascii="Calibri" w:hAnsi="Calibri" w:cs="Calibri"/>
          <w:sz w:val="20"/>
        </w:rPr>
        <w:t xml:space="preserve">Veřejná spotřeba by oproti letošku měla růst pouze </w:t>
      </w:r>
      <w:proofErr w:type="gramStart"/>
      <w:r w:rsidR="007948B6" w:rsidRPr="00DD4A8E">
        <w:rPr>
          <w:rFonts w:ascii="Calibri" w:hAnsi="Calibri" w:cs="Calibri"/>
          <w:sz w:val="20"/>
        </w:rPr>
        <w:t>1</w:t>
      </w:r>
      <w:r w:rsidR="00611EFE" w:rsidRPr="00DD4A8E">
        <w:rPr>
          <w:rFonts w:ascii="Calibri" w:hAnsi="Calibri" w:cs="Calibri"/>
          <w:sz w:val="20"/>
        </w:rPr>
        <w:t>,1</w:t>
      </w:r>
      <w:r w:rsidR="007948B6" w:rsidRPr="00DD4A8E">
        <w:rPr>
          <w:rFonts w:ascii="Calibri" w:hAnsi="Calibri" w:cs="Calibri"/>
          <w:sz w:val="20"/>
        </w:rPr>
        <w:t>%</w:t>
      </w:r>
      <w:proofErr w:type="gramEnd"/>
      <w:r w:rsidR="007948B6" w:rsidRPr="00DD4A8E">
        <w:rPr>
          <w:rFonts w:ascii="Calibri" w:hAnsi="Calibri" w:cs="Calibri"/>
          <w:sz w:val="20"/>
        </w:rPr>
        <w:t xml:space="preserve"> tempem a pokračující dovozní aktivita způsobí, že čisté exporty budou </w:t>
      </w:r>
      <w:r w:rsidR="00611EFE" w:rsidRPr="00DD4A8E">
        <w:rPr>
          <w:rFonts w:ascii="Calibri" w:hAnsi="Calibri" w:cs="Calibri"/>
          <w:sz w:val="20"/>
        </w:rPr>
        <w:t>z</w:t>
      </w:r>
      <w:r w:rsidR="007948B6" w:rsidRPr="00DD4A8E">
        <w:rPr>
          <w:rFonts w:ascii="Calibri" w:hAnsi="Calibri" w:cs="Calibri"/>
          <w:sz w:val="20"/>
        </w:rPr>
        <w:t xml:space="preserve"> růstu </w:t>
      </w:r>
      <w:r w:rsidR="00611EFE" w:rsidRPr="00DD4A8E">
        <w:rPr>
          <w:rFonts w:ascii="Calibri" w:hAnsi="Calibri" w:cs="Calibri"/>
          <w:sz w:val="20"/>
        </w:rPr>
        <w:t>spíše odečítat</w:t>
      </w:r>
      <w:r w:rsidR="007948B6" w:rsidRPr="00DD4A8E">
        <w:rPr>
          <w:rFonts w:ascii="Calibri" w:hAnsi="Calibri" w:cs="Calibri"/>
          <w:sz w:val="20"/>
        </w:rPr>
        <w:t>.</w:t>
      </w:r>
    </w:p>
    <w:p w14:paraId="5A2AAB49" w14:textId="3368B119" w:rsidR="007948B6" w:rsidRDefault="007948B6" w:rsidP="00B4285D">
      <w:pPr>
        <w:rPr>
          <w:rFonts w:ascii="Calibri" w:hAnsi="Calibri" w:cs="Calibri"/>
          <w:sz w:val="20"/>
        </w:rPr>
      </w:pPr>
      <w:r w:rsidRPr="00DD4A8E">
        <w:rPr>
          <w:rFonts w:ascii="Calibri" w:hAnsi="Calibri" w:cs="Calibri"/>
          <w:sz w:val="20"/>
        </w:rPr>
        <w:t xml:space="preserve"> </w:t>
      </w:r>
    </w:p>
    <w:p w14:paraId="660A0413" w14:textId="77777777" w:rsidR="001802DE" w:rsidRPr="00DD4A8E" w:rsidRDefault="001802DE" w:rsidP="00B4285D">
      <w:pPr>
        <w:rPr>
          <w:rFonts w:ascii="Calibri" w:hAnsi="Calibri" w:cs="Calibri"/>
          <w:sz w:val="20"/>
        </w:rPr>
      </w:pPr>
    </w:p>
    <w:p w14:paraId="2FB25880" w14:textId="46B6FAD7" w:rsidR="005C60BB" w:rsidRPr="00DD4A8E" w:rsidRDefault="005C60BB" w:rsidP="00EB6C50">
      <w:pPr>
        <w:spacing w:after="120"/>
        <w:rPr>
          <w:rFonts w:ascii="Calibri" w:hAnsi="Calibri" w:cs="Calibri"/>
          <w:b/>
          <w:color w:val="007E79"/>
          <w:sz w:val="22"/>
          <w:szCs w:val="22"/>
        </w:rPr>
      </w:pPr>
      <w:r w:rsidRPr="00DD4A8E">
        <w:rPr>
          <w:rFonts w:ascii="Calibri" w:hAnsi="Calibri" w:cs="Calibri"/>
          <w:b/>
          <w:color w:val="13576B"/>
          <w:sz w:val="22"/>
          <w:szCs w:val="22"/>
        </w:rPr>
        <w:t>Trh práce</w:t>
      </w:r>
      <w:r w:rsidR="00C83793" w:rsidRPr="00DD4A8E">
        <w:rPr>
          <w:rFonts w:ascii="Calibri" w:hAnsi="Calibri" w:cs="Calibri"/>
          <w:b/>
          <w:color w:val="13576B"/>
          <w:sz w:val="22"/>
          <w:szCs w:val="22"/>
        </w:rPr>
        <w:t>:</w:t>
      </w:r>
      <w:r w:rsidR="006A54C3" w:rsidRPr="00DD4A8E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  <w:r w:rsidR="00835E99" w:rsidRPr="00DD4A8E">
        <w:rPr>
          <w:rFonts w:ascii="Calibri" w:hAnsi="Calibri" w:cs="Calibri"/>
          <w:b/>
          <w:color w:val="13576B"/>
          <w:sz w:val="22"/>
          <w:szCs w:val="22"/>
        </w:rPr>
        <w:t xml:space="preserve">nezaměstnanost </w:t>
      </w:r>
      <w:r w:rsidR="0037353B" w:rsidRPr="00DD4A8E">
        <w:rPr>
          <w:rFonts w:ascii="Calibri" w:hAnsi="Calibri" w:cs="Calibri"/>
          <w:b/>
          <w:color w:val="13576B"/>
          <w:sz w:val="22"/>
          <w:szCs w:val="22"/>
        </w:rPr>
        <w:t>stále</w:t>
      </w:r>
      <w:r w:rsidR="00835E99" w:rsidRPr="00DD4A8E">
        <w:rPr>
          <w:rFonts w:ascii="Calibri" w:hAnsi="Calibri" w:cs="Calibri"/>
          <w:b/>
          <w:color w:val="13576B"/>
          <w:sz w:val="22"/>
          <w:szCs w:val="22"/>
        </w:rPr>
        <w:t xml:space="preserve"> nízká, </w:t>
      </w:r>
      <w:r w:rsidR="0037353B" w:rsidRPr="00DD4A8E">
        <w:rPr>
          <w:rFonts w:ascii="Calibri" w:hAnsi="Calibri" w:cs="Calibri"/>
          <w:b/>
          <w:color w:val="13576B"/>
          <w:sz w:val="22"/>
          <w:szCs w:val="22"/>
        </w:rPr>
        <w:t xml:space="preserve">odráží přetrvávající </w:t>
      </w:r>
      <w:r w:rsidR="006A54C3" w:rsidRPr="00DD4A8E">
        <w:rPr>
          <w:rFonts w:ascii="Calibri" w:hAnsi="Calibri" w:cs="Calibri"/>
          <w:b/>
          <w:color w:val="13576B"/>
          <w:sz w:val="22"/>
          <w:szCs w:val="22"/>
        </w:rPr>
        <w:t xml:space="preserve">strukturální </w:t>
      </w:r>
      <w:r w:rsidR="0037353B" w:rsidRPr="00DD4A8E">
        <w:rPr>
          <w:rFonts w:ascii="Calibri" w:hAnsi="Calibri" w:cs="Calibri"/>
          <w:b/>
          <w:color w:val="13576B"/>
          <w:sz w:val="22"/>
          <w:szCs w:val="22"/>
        </w:rPr>
        <w:t>nedostatky</w:t>
      </w:r>
    </w:p>
    <w:p w14:paraId="6AB29993" w14:textId="2B048DDA" w:rsidR="00E900AF" w:rsidRPr="00DD4A8E" w:rsidRDefault="00E900AF" w:rsidP="00B4285D">
      <w:pPr>
        <w:rPr>
          <w:rFonts w:ascii="Calibri" w:hAnsi="Calibri" w:cs="Calibri"/>
          <w:noProof/>
          <w:sz w:val="20"/>
        </w:rPr>
      </w:pPr>
      <w:r w:rsidRPr="00DD4A8E">
        <w:rPr>
          <w:rFonts w:ascii="Calibri" w:hAnsi="Calibri" w:cs="Calibri"/>
          <w:noProof/>
          <w:sz w:val="20"/>
        </w:rPr>
        <w:t>Charakteristiky českého trhu práce se v čase příliš nemění a jeho</w:t>
      </w:r>
      <w:r w:rsidR="00D20E42">
        <w:rPr>
          <w:rFonts w:ascii="Calibri" w:hAnsi="Calibri" w:cs="Calibri"/>
          <w:noProof/>
          <w:sz w:val="20"/>
        </w:rPr>
        <w:t xml:space="preserve"> nepružnost </w:t>
      </w:r>
      <w:r w:rsidRPr="00DD4A8E">
        <w:rPr>
          <w:rFonts w:ascii="Calibri" w:hAnsi="Calibri" w:cs="Calibri"/>
          <w:noProof/>
          <w:sz w:val="20"/>
        </w:rPr>
        <w:t xml:space="preserve">se i po pandemii dále </w:t>
      </w:r>
      <w:r w:rsidR="00D20E42">
        <w:rPr>
          <w:rFonts w:ascii="Calibri" w:hAnsi="Calibri" w:cs="Calibri"/>
          <w:noProof/>
          <w:sz w:val="20"/>
        </w:rPr>
        <w:t>zhoršuje</w:t>
      </w:r>
      <w:r w:rsidRPr="00DD4A8E">
        <w:rPr>
          <w:rFonts w:ascii="Calibri" w:hAnsi="Calibri" w:cs="Calibri"/>
          <w:noProof/>
          <w:sz w:val="20"/>
        </w:rPr>
        <w:t xml:space="preserve">. </w:t>
      </w:r>
      <w:r w:rsidR="004C1B31" w:rsidRPr="00DD4A8E">
        <w:rPr>
          <w:rFonts w:ascii="Calibri" w:hAnsi="Calibri" w:cs="Calibri"/>
          <w:noProof/>
          <w:sz w:val="20"/>
        </w:rPr>
        <w:t>Mezera mezi volnými pracovními místy a počtem nezaměstnaných se od nejvyšší hodnoty</w:t>
      </w:r>
      <w:r w:rsidR="00026596" w:rsidRPr="00DD4A8E">
        <w:rPr>
          <w:rFonts w:ascii="Calibri" w:hAnsi="Calibri" w:cs="Calibri"/>
          <w:noProof/>
          <w:sz w:val="20"/>
        </w:rPr>
        <w:t xml:space="preserve"> </w:t>
      </w:r>
      <w:r w:rsidR="005B12FA" w:rsidRPr="00DD4A8E">
        <w:rPr>
          <w:rFonts w:ascii="Calibri" w:hAnsi="Calibri" w:cs="Calibri"/>
          <w:noProof/>
          <w:sz w:val="20"/>
        </w:rPr>
        <w:t>v březnu 2020</w:t>
      </w:r>
      <w:r w:rsidR="004C1B31" w:rsidRPr="00DD4A8E">
        <w:rPr>
          <w:rFonts w:ascii="Calibri" w:hAnsi="Calibri" w:cs="Calibri"/>
          <w:noProof/>
          <w:sz w:val="20"/>
        </w:rPr>
        <w:t>, kdy volných míst bylo o cca 124 tisíc více než žadatelů</w:t>
      </w:r>
      <w:r w:rsidR="00364371">
        <w:rPr>
          <w:rFonts w:ascii="Calibri" w:hAnsi="Calibri" w:cs="Calibri"/>
          <w:noProof/>
          <w:sz w:val="20"/>
        </w:rPr>
        <w:t>,</w:t>
      </w:r>
      <w:r w:rsidR="00CB5C47" w:rsidRPr="00DD4A8E">
        <w:rPr>
          <w:rFonts w:ascii="Calibri" w:hAnsi="Calibri" w:cs="Calibri"/>
          <w:noProof/>
          <w:sz w:val="20"/>
        </w:rPr>
        <w:t xml:space="preserve"> </w:t>
      </w:r>
      <w:r w:rsidR="004C1B31" w:rsidRPr="00DD4A8E">
        <w:rPr>
          <w:rFonts w:ascii="Calibri" w:hAnsi="Calibri" w:cs="Calibri"/>
          <w:noProof/>
          <w:sz w:val="20"/>
        </w:rPr>
        <w:t>postupně uzavírala</w:t>
      </w:r>
      <w:r w:rsidR="00CB5C47" w:rsidRPr="00DD4A8E">
        <w:rPr>
          <w:rFonts w:ascii="Calibri" w:hAnsi="Calibri" w:cs="Calibri"/>
          <w:noProof/>
          <w:sz w:val="20"/>
        </w:rPr>
        <w:t>.</w:t>
      </w:r>
      <w:r w:rsidRPr="00DD4A8E">
        <w:rPr>
          <w:rFonts w:ascii="Calibri" w:hAnsi="Calibri" w:cs="Calibri"/>
          <w:noProof/>
          <w:sz w:val="20"/>
        </w:rPr>
        <w:t xml:space="preserve"> </w:t>
      </w:r>
      <w:r w:rsidR="00CB5C47" w:rsidRPr="00DD4A8E">
        <w:rPr>
          <w:rFonts w:ascii="Calibri" w:hAnsi="Calibri" w:cs="Calibri"/>
          <w:noProof/>
          <w:sz w:val="20"/>
        </w:rPr>
        <w:t>P</w:t>
      </w:r>
      <w:r w:rsidRPr="00DD4A8E">
        <w:rPr>
          <w:rFonts w:ascii="Calibri" w:hAnsi="Calibri" w:cs="Calibri"/>
          <w:noProof/>
          <w:sz w:val="20"/>
        </w:rPr>
        <w:t>očínaje lednem 2021</w:t>
      </w:r>
      <w:r w:rsidR="00CB5C47" w:rsidRPr="00DD4A8E">
        <w:rPr>
          <w:rFonts w:ascii="Calibri" w:hAnsi="Calibri" w:cs="Calibri"/>
          <w:noProof/>
          <w:sz w:val="20"/>
        </w:rPr>
        <w:t xml:space="preserve"> </w:t>
      </w:r>
      <w:r w:rsidRPr="00DD4A8E">
        <w:rPr>
          <w:rFonts w:ascii="Calibri" w:hAnsi="Calibri" w:cs="Calibri"/>
          <w:noProof/>
          <w:sz w:val="20"/>
        </w:rPr>
        <w:t>(nejnižší převis na úrovni „pouhých</w:t>
      </w:r>
      <w:r w:rsidR="00364371">
        <w:rPr>
          <w:rFonts w:ascii="Calibri" w:hAnsi="Calibri" w:cs="Calibri"/>
          <w:noProof/>
          <w:sz w:val="20"/>
        </w:rPr>
        <w:t>“</w:t>
      </w:r>
      <w:r w:rsidRPr="00DD4A8E">
        <w:rPr>
          <w:rFonts w:ascii="Calibri" w:hAnsi="Calibri" w:cs="Calibri"/>
          <w:noProof/>
          <w:sz w:val="20"/>
        </w:rPr>
        <w:t xml:space="preserve"> 16,8 tis. volných míst) se </w:t>
      </w:r>
      <w:r w:rsidR="00CB5C47" w:rsidRPr="00DD4A8E">
        <w:rPr>
          <w:rFonts w:ascii="Calibri" w:hAnsi="Calibri" w:cs="Calibri"/>
          <w:noProof/>
          <w:sz w:val="20"/>
        </w:rPr>
        <w:t xml:space="preserve">však </w:t>
      </w:r>
      <w:r w:rsidRPr="00DD4A8E">
        <w:rPr>
          <w:rFonts w:ascii="Calibri" w:hAnsi="Calibri" w:cs="Calibri"/>
          <w:noProof/>
          <w:sz w:val="20"/>
        </w:rPr>
        <w:t xml:space="preserve">tento dočasný trend začal obracet a v červnu t.r. statistiky zaznamenaly o 82,3 tisíc více volných míst než žadatelů o práci. </w:t>
      </w:r>
      <w:r w:rsidR="00AC3C60" w:rsidRPr="00DD4A8E">
        <w:rPr>
          <w:rFonts w:ascii="Calibri" w:hAnsi="Calibri" w:cs="Calibri"/>
          <w:noProof/>
          <w:sz w:val="20"/>
        </w:rPr>
        <w:t>Podíl nezaměstnaných osob podle definice MPSV v</w:t>
      </w:r>
      <w:r w:rsidR="001828E8">
        <w:rPr>
          <w:rFonts w:ascii="Calibri" w:hAnsi="Calibri" w:cs="Calibri"/>
          <w:noProof/>
          <w:sz w:val="20"/>
        </w:rPr>
        <w:t>e stejném měsíci</w:t>
      </w:r>
      <w:r w:rsidR="00AC3C60" w:rsidRPr="00DD4A8E">
        <w:rPr>
          <w:rFonts w:ascii="Calibri" w:hAnsi="Calibri" w:cs="Calibri"/>
          <w:noProof/>
          <w:sz w:val="20"/>
        </w:rPr>
        <w:t xml:space="preserve"> poklesl na 3,7 %, </w:t>
      </w:r>
      <w:r w:rsidR="00397F9F">
        <w:rPr>
          <w:rFonts w:ascii="Calibri" w:hAnsi="Calibri" w:cs="Calibri"/>
          <w:noProof/>
          <w:sz w:val="20"/>
        </w:rPr>
        <w:t xml:space="preserve">přičemž </w:t>
      </w:r>
      <w:r w:rsidR="00AC3C60" w:rsidRPr="00DD4A8E">
        <w:rPr>
          <w:rFonts w:ascii="Calibri" w:hAnsi="Calibri" w:cs="Calibri"/>
          <w:noProof/>
          <w:sz w:val="20"/>
        </w:rPr>
        <w:t>strukturální charakteristiky trhu práce se dále zhoršovaly.</w:t>
      </w:r>
      <w:r w:rsidR="006D0B7D">
        <w:rPr>
          <w:rFonts w:ascii="Calibri" w:hAnsi="Calibri" w:cs="Calibri"/>
          <w:noProof/>
          <w:sz w:val="20"/>
        </w:rPr>
        <w:t xml:space="preserve"> Dle definice ILO činila obecná míra nezaměstnanosti </w:t>
      </w:r>
      <w:r w:rsidR="001317FA">
        <w:rPr>
          <w:rFonts w:ascii="Calibri" w:hAnsi="Calibri" w:cs="Calibri"/>
          <w:noProof/>
          <w:sz w:val="20"/>
        </w:rPr>
        <w:t>2,9</w:t>
      </w:r>
      <w:r w:rsidR="006D0B7D">
        <w:rPr>
          <w:rFonts w:ascii="Calibri" w:hAnsi="Calibri" w:cs="Calibri"/>
          <w:noProof/>
          <w:sz w:val="20"/>
        </w:rPr>
        <w:t xml:space="preserve"> %. </w:t>
      </w:r>
    </w:p>
    <w:p w14:paraId="6E22E580" w14:textId="77777777" w:rsidR="00E900AF" w:rsidRPr="00DD4A8E" w:rsidRDefault="00E900AF" w:rsidP="00B4285D">
      <w:pPr>
        <w:rPr>
          <w:rFonts w:ascii="Calibri" w:hAnsi="Calibri" w:cs="Calibri"/>
          <w:noProof/>
          <w:sz w:val="20"/>
        </w:rPr>
      </w:pPr>
    </w:p>
    <w:p w14:paraId="52223CA0" w14:textId="5CC237E3" w:rsidR="00B85767" w:rsidRPr="00DD4A8E" w:rsidRDefault="00B85767" w:rsidP="00B4285D">
      <w:pPr>
        <w:rPr>
          <w:rFonts w:ascii="Calibri" w:hAnsi="Calibri" w:cs="Calibri"/>
          <w:noProof/>
          <w:sz w:val="20"/>
        </w:rPr>
      </w:pPr>
      <w:r w:rsidRPr="00DD4A8E">
        <w:rPr>
          <w:rFonts w:ascii="Calibri" w:hAnsi="Calibri" w:cs="Calibri"/>
          <w:b/>
          <w:bCs/>
          <w:noProof/>
          <w:sz w:val="20"/>
        </w:rPr>
        <w:t xml:space="preserve">V roce </w:t>
      </w:r>
      <w:r w:rsidR="0027402B" w:rsidRPr="00DD4A8E">
        <w:rPr>
          <w:rFonts w:ascii="Calibri" w:hAnsi="Calibri" w:cs="Calibri"/>
          <w:b/>
          <w:bCs/>
          <w:noProof/>
          <w:sz w:val="20"/>
        </w:rPr>
        <w:t>2021</w:t>
      </w:r>
      <w:r w:rsidR="00E00755" w:rsidRPr="00DD4A8E">
        <w:rPr>
          <w:rFonts w:ascii="Calibri" w:hAnsi="Calibri" w:cs="Calibri"/>
          <w:b/>
          <w:bCs/>
          <w:noProof/>
          <w:sz w:val="20"/>
        </w:rPr>
        <w:t xml:space="preserve"> od</w:t>
      </w:r>
      <w:r w:rsidR="00BF1E98" w:rsidRPr="00DD4A8E">
        <w:rPr>
          <w:rFonts w:ascii="Calibri" w:hAnsi="Calibri" w:cs="Calibri"/>
          <w:b/>
          <w:bCs/>
          <w:noProof/>
          <w:sz w:val="20"/>
        </w:rPr>
        <w:t xml:space="preserve">haduje </w:t>
      </w:r>
      <w:r w:rsidR="00310201" w:rsidRPr="00DD4A8E">
        <w:rPr>
          <w:rFonts w:ascii="Calibri" w:hAnsi="Calibri" w:cs="Calibri"/>
          <w:b/>
          <w:bCs/>
          <w:noProof/>
          <w:sz w:val="20"/>
        </w:rPr>
        <w:t xml:space="preserve">Prognostický panel ČBA </w:t>
      </w:r>
      <w:r w:rsidR="002C4547" w:rsidRPr="00DD4A8E">
        <w:rPr>
          <w:rFonts w:ascii="Calibri" w:hAnsi="Calibri" w:cs="Calibri"/>
          <w:b/>
          <w:bCs/>
          <w:noProof/>
          <w:sz w:val="20"/>
        </w:rPr>
        <w:t xml:space="preserve">průměrnou nezaměstnanost na </w:t>
      </w:r>
      <w:r w:rsidR="00310201" w:rsidRPr="00DD4A8E">
        <w:rPr>
          <w:rFonts w:ascii="Calibri" w:hAnsi="Calibri" w:cs="Calibri"/>
          <w:b/>
          <w:bCs/>
          <w:noProof/>
          <w:sz w:val="20"/>
        </w:rPr>
        <w:t>4 %</w:t>
      </w:r>
      <w:r w:rsidRPr="00DD4A8E">
        <w:rPr>
          <w:rFonts w:ascii="Calibri" w:hAnsi="Calibri" w:cs="Calibri"/>
          <w:b/>
          <w:bCs/>
          <w:noProof/>
          <w:sz w:val="20"/>
        </w:rPr>
        <w:t xml:space="preserve">, </w:t>
      </w:r>
      <w:r w:rsidR="002C4547" w:rsidRPr="00DD4A8E">
        <w:rPr>
          <w:rFonts w:ascii="Calibri" w:hAnsi="Calibri" w:cs="Calibri"/>
          <w:b/>
          <w:bCs/>
          <w:noProof/>
          <w:sz w:val="20"/>
        </w:rPr>
        <w:t xml:space="preserve">která </w:t>
      </w:r>
      <w:r w:rsidRPr="00DD4A8E">
        <w:rPr>
          <w:rFonts w:ascii="Calibri" w:hAnsi="Calibri" w:cs="Calibri"/>
          <w:b/>
          <w:bCs/>
          <w:noProof/>
          <w:sz w:val="20"/>
        </w:rPr>
        <w:t xml:space="preserve">by následně v roce 2022 </w:t>
      </w:r>
      <w:r w:rsidR="009F5C2E" w:rsidRPr="00DD4A8E">
        <w:rPr>
          <w:rFonts w:ascii="Calibri" w:hAnsi="Calibri" w:cs="Calibri"/>
          <w:b/>
          <w:bCs/>
          <w:noProof/>
          <w:sz w:val="20"/>
        </w:rPr>
        <w:t>měla</w:t>
      </w:r>
      <w:r w:rsidRPr="00DD4A8E">
        <w:rPr>
          <w:rFonts w:ascii="Calibri" w:hAnsi="Calibri" w:cs="Calibri"/>
          <w:b/>
          <w:bCs/>
          <w:noProof/>
          <w:sz w:val="20"/>
        </w:rPr>
        <w:t xml:space="preserve"> </w:t>
      </w:r>
      <w:r w:rsidR="009F5C2E" w:rsidRPr="00DD4A8E">
        <w:rPr>
          <w:rFonts w:ascii="Calibri" w:hAnsi="Calibri" w:cs="Calibri"/>
          <w:b/>
          <w:bCs/>
          <w:noProof/>
          <w:sz w:val="20"/>
        </w:rPr>
        <w:t>poklesnout</w:t>
      </w:r>
      <w:r w:rsidRPr="00DD4A8E">
        <w:rPr>
          <w:rFonts w:ascii="Calibri" w:hAnsi="Calibri" w:cs="Calibri"/>
          <w:b/>
          <w:bCs/>
          <w:noProof/>
          <w:sz w:val="20"/>
        </w:rPr>
        <w:t xml:space="preserve"> </w:t>
      </w:r>
      <w:r w:rsidR="00310201" w:rsidRPr="00DD4A8E">
        <w:rPr>
          <w:rFonts w:ascii="Calibri" w:hAnsi="Calibri" w:cs="Calibri"/>
          <w:b/>
          <w:bCs/>
          <w:noProof/>
          <w:sz w:val="20"/>
        </w:rPr>
        <w:t xml:space="preserve">dokonce </w:t>
      </w:r>
      <w:r w:rsidRPr="00DD4A8E">
        <w:rPr>
          <w:rFonts w:ascii="Calibri" w:hAnsi="Calibri" w:cs="Calibri"/>
          <w:b/>
          <w:bCs/>
          <w:noProof/>
          <w:sz w:val="20"/>
        </w:rPr>
        <w:t xml:space="preserve">na </w:t>
      </w:r>
      <w:r w:rsidR="00310201" w:rsidRPr="00DD4A8E">
        <w:rPr>
          <w:rFonts w:ascii="Calibri" w:hAnsi="Calibri" w:cs="Calibri"/>
          <w:b/>
          <w:bCs/>
          <w:noProof/>
          <w:sz w:val="20"/>
        </w:rPr>
        <w:t>3,6</w:t>
      </w:r>
      <w:r w:rsidR="002C4547" w:rsidRPr="00DD4A8E">
        <w:rPr>
          <w:rFonts w:ascii="Calibri" w:hAnsi="Calibri" w:cs="Calibri"/>
          <w:b/>
          <w:bCs/>
          <w:noProof/>
          <w:sz w:val="20"/>
        </w:rPr>
        <w:t xml:space="preserve"> %</w:t>
      </w:r>
      <w:r w:rsidR="00310201" w:rsidRPr="00DD4A8E">
        <w:rPr>
          <w:rFonts w:ascii="Calibri" w:hAnsi="Calibri" w:cs="Calibri"/>
          <w:b/>
          <w:bCs/>
          <w:noProof/>
          <w:sz w:val="20"/>
        </w:rPr>
        <w:t xml:space="preserve"> (což je hodnota o polovinu p.b. nižší oproti květnovému odhadu)</w:t>
      </w:r>
      <w:r w:rsidR="002C4547" w:rsidRPr="00DD4A8E">
        <w:rPr>
          <w:rFonts w:ascii="Calibri" w:hAnsi="Calibri" w:cs="Calibri"/>
          <w:noProof/>
          <w:sz w:val="20"/>
        </w:rPr>
        <w:t>.</w:t>
      </w:r>
    </w:p>
    <w:p w14:paraId="76110AB7" w14:textId="0296FD09" w:rsidR="00B403E8" w:rsidRDefault="00B403E8" w:rsidP="00B4285D">
      <w:pPr>
        <w:rPr>
          <w:rFonts w:ascii="Calibri" w:hAnsi="Calibri" w:cs="Calibri"/>
          <w:noProof/>
          <w:sz w:val="20"/>
        </w:rPr>
      </w:pPr>
    </w:p>
    <w:p w14:paraId="7575EFC0" w14:textId="77777777" w:rsidR="00862465" w:rsidRPr="00DD4A8E" w:rsidRDefault="00862465" w:rsidP="00B4285D">
      <w:pPr>
        <w:rPr>
          <w:rFonts w:ascii="Calibri" w:hAnsi="Calibri" w:cs="Calibri"/>
          <w:noProof/>
          <w:sz w:val="20"/>
        </w:rPr>
      </w:pPr>
    </w:p>
    <w:p w14:paraId="17B9ABDD" w14:textId="5AE9D3B7" w:rsidR="006C6CFF" w:rsidRPr="00DD4A8E" w:rsidRDefault="002D12BD" w:rsidP="00EB6C50">
      <w:pPr>
        <w:spacing w:after="120"/>
        <w:rPr>
          <w:rFonts w:ascii="Calibri" w:hAnsi="Calibri" w:cs="Calibri"/>
          <w:b/>
          <w:sz w:val="22"/>
          <w:szCs w:val="22"/>
        </w:rPr>
      </w:pPr>
      <w:r w:rsidRPr="00DD4A8E">
        <w:rPr>
          <w:rFonts w:ascii="Calibri" w:hAnsi="Calibri" w:cs="Calibri"/>
          <w:b/>
          <w:color w:val="13576B"/>
          <w:sz w:val="22"/>
          <w:szCs w:val="22"/>
        </w:rPr>
        <w:t>Veřejné finance</w:t>
      </w:r>
      <w:r w:rsidR="005C60BB" w:rsidRPr="00DD4A8E">
        <w:rPr>
          <w:rFonts w:ascii="Calibri" w:hAnsi="Calibri" w:cs="Calibri"/>
          <w:b/>
          <w:color w:val="13576B"/>
          <w:sz w:val="22"/>
          <w:szCs w:val="22"/>
        </w:rPr>
        <w:t xml:space="preserve">: </w:t>
      </w:r>
      <w:r w:rsidR="00DB46CC" w:rsidRPr="00DD4A8E">
        <w:rPr>
          <w:rFonts w:ascii="Calibri" w:hAnsi="Calibri" w:cs="Calibri"/>
          <w:b/>
          <w:color w:val="13576B"/>
          <w:sz w:val="22"/>
          <w:szCs w:val="22"/>
        </w:rPr>
        <w:t>volání po</w:t>
      </w:r>
      <w:r w:rsidR="00C94C33" w:rsidRPr="00DD4A8E">
        <w:rPr>
          <w:rFonts w:ascii="Calibri" w:hAnsi="Calibri" w:cs="Calibri"/>
          <w:b/>
          <w:color w:val="13576B"/>
          <w:sz w:val="22"/>
          <w:szCs w:val="22"/>
        </w:rPr>
        <w:t xml:space="preserve"> konsolidaci</w:t>
      </w:r>
      <w:r w:rsidR="00DB46CC" w:rsidRPr="00DD4A8E">
        <w:rPr>
          <w:rFonts w:ascii="Calibri" w:hAnsi="Calibri" w:cs="Calibri"/>
          <w:b/>
          <w:color w:val="13576B"/>
          <w:sz w:val="22"/>
          <w:szCs w:val="22"/>
        </w:rPr>
        <w:t xml:space="preserve"> sílí, expanze </w:t>
      </w:r>
      <w:r w:rsidR="001828E8">
        <w:rPr>
          <w:rFonts w:ascii="Calibri" w:hAnsi="Calibri" w:cs="Calibri"/>
          <w:b/>
          <w:color w:val="13576B"/>
          <w:sz w:val="22"/>
          <w:szCs w:val="22"/>
        </w:rPr>
        <w:t xml:space="preserve">přesto </w:t>
      </w:r>
      <w:r w:rsidR="00DB46CC" w:rsidRPr="00DD4A8E">
        <w:rPr>
          <w:rFonts w:ascii="Calibri" w:hAnsi="Calibri" w:cs="Calibri"/>
          <w:b/>
          <w:color w:val="13576B"/>
          <w:sz w:val="22"/>
          <w:szCs w:val="22"/>
        </w:rPr>
        <w:t>pokračuje</w:t>
      </w:r>
    </w:p>
    <w:p w14:paraId="3701BD55" w14:textId="63B81C49" w:rsidR="00DB46CC" w:rsidRPr="00DD4A8E" w:rsidRDefault="00DB7417" w:rsidP="00247943">
      <w:pPr>
        <w:rPr>
          <w:rFonts w:ascii="Calibri" w:hAnsi="Calibri" w:cs="Calibri"/>
          <w:noProof/>
          <w:sz w:val="20"/>
        </w:rPr>
      </w:pPr>
      <w:r w:rsidRPr="00DD4A8E">
        <w:rPr>
          <w:rFonts w:ascii="Calibri" w:hAnsi="Calibri" w:cs="Calibri"/>
          <w:noProof/>
          <w:sz w:val="20"/>
        </w:rPr>
        <w:t>Vzhledem k</w:t>
      </w:r>
      <w:r w:rsidR="00DB46CC" w:rsidRPr="00DD4A8E">
        <w:rPr>
          <w:rFonts w:ascii="Calibri" w:hAnsi="Calibri" w:cs="Calibri"/>
          <w:noProof/>
          <w:sz w:val="20"/>
        </w:rPr>
        <w:t xml:space="preserve"> loňském</w:t>
      </w:r>
      <w:r w:rsidRPr="00DD4A8E">
        <w:rPr>
          <w:rFonts w:ascii="Calibri" w:hAnsi="Calibri" w:cs="Calibri"/>
          <w:noProof/>
          <w:sz w:val="20"/>
        </w:rPr>
        <w:t>u</w:t>
      </w:r>
      <w:r w:rsidR="00DB46CC" w:rsidRPr="00DD4A8E">
        <w:rPr>
          <w:rFonts w:ascii="Calibri" w:hAnsi="Calibri" w:cs="Calibri"/>
          <w:noProof/>
          <w:sz w:val="20"/>
        </w:rPr>
        <w:t xml:space="preserve"> </w:t>
      </w:r>
      <w:r w:rsidR="00C31CD3" w:rsidRPr="00DD4A8E">
        <w:rPr>
          <w:rFonts w:ascii="Calibri" w:hAnsi="Calibri" w:cs="Calibri"/>
          <w:noProof/>
          <w:sz w:val="20"/>
        </w:rPr>
        <w:t>„covidovém</w:t>
      </w:r>
      <w:r w:rsidRPr="00DD4A8E">
        <w:rPr>
          <w:rFonts w:ascii="Calibri" w:hAnsi="Calibri" w:cs="Calibri"/>
          <w:noProof/>
          <w:sz w:val="20"/>
        </w:rPr>
        <w:t>u</w:t>
      </w:r>
      <w:r w:rsidR="00C31CD3" w:rsidRPr="00DD4A8E">
        <w:rPr>
          <w:rFonts w:ascii="Calibri" w:hAnsi="Calibri" w:cs="Calibri"/>
          <w:noProof/>
          <w:sz w:val="20"/>
        </w:rPr>
        <w:t xml:space="preserve">“ schodku </w:t>
      </w:r>
      <w:r w:rsidR="00DB46CC" w:rsidRPr="00DD4A8E">
        <w:rPr>
          <w:rFonts w:ascii="Calibri" w:hAnsi="Calibri" w:cs="Calibri"/>
          <w:noProof/>
          <w:sz w:val="20"/>
        </w:rPr>
        <w:t xml:space="preserve">veřejných financí </w:t>
      </w:r>
      <w:r w:rsidR="00C31CD3" w:rsidRPr="00DD4A8E">
        <w:rPr>
          <w:rFonts w:ascii="Calibri" w:hAnsi="Calibri" w:cs="Calibri"/>
          <w:noProof/>
          <w:sz w:val="20"/>
        </w:rPr>
        <w:t xml:space="preserve">6,2 % HDP </w:t>
      </w:r>
      <w:r w:rsidR="00DB46CC" w:rsidRPr="00DD4A8E">
        <w:rPr>
          <w:rFonts w:ascii="Calibri" w:hAnsi="Calibri" w:cs="Calibri"/>
          <w:noProof/>
          <w:sz w:val="20"/>
        </w:rPr>
        <w:t xml:space="preserve">vzrostl </w:t>
      </w:r>
      <w:r w:rsidR="00C31CD3" w:rsidRPr="00DD4A8E">
        <w:rPr>
          <w:rFonts w:ascii="Calibri" w:hAnsi="Calibri" w:cs="Calibri"/>
          <w:noProof/>
          <w:sz w:val="20"/>
        </w:rPr>
        <w:t xml:space="preserve">kumulovaný veřejný dluh </w:t>
      </w:r>
      <w:r w:rsidR="00DB46CC" w:rsidRPr="00DD4A8E">
        <w:rPr>
          <w:rFonts w:ascii="Calibri" w:hAnsi="Calibri" w:cs="Calibri"/>
          <w:noProof/>
          <w:sz w:val="20"/>
        </w:rPr>
        <w:t>ČR</w:t>
      </w:r>
      <w:r w:rsidR="00C31CD3" w:rsidRPr="00DD4A8E">
        <w:rPr>
          <w:rFonts w:ascii="Calibri" w:hAnsi="Calibri" w:cs="Calibri"/>
          <w:noProof/>
          <w:sz w:val="20"/>
        </w:rPr>
        <w:t xml:space="preserve"> na 38,1 % HDP. </w:t>
      </w:r>
      <w:r w:rsidR="00DB46CC" w:rsidRPr="00DD4A8E">
        <w:rPr>
          <w:rFonts w:ascii="Calibri" w:hAnsi="Calibri" w:cs="Calibri"/>
          <w:noProof/>
          <w:sz w:val="20"/>
        </w:rPr>
        <w:t xml:space="preserve">Obrázek podobný řadě (nejenom) evropských států, u </w:t>
      </w:r>
      <w:r w:rsidR="001828E8">
        <w:rPr>
          <w:rFonts w:ascii="Calibri" w:hAnsi="Calibri" w:cs="Calibri"/>
          <w:noProof/>
          <w:sz w:val="20"/>
        </w:rPr>
        <w:t>mnoha</w:t>
      </w:r>
      <w:r w:rsidR="00DB46CC" w:rsidRPr="00DD4A8E">
        <w:rPr>
          <w:rFonts w:ascii="Calibri" w:hAnsi="Calibri" w:cs="Calibri"/>
          <w:noProof/>
          <w:sz w:val="20"/>
        </w:rPr>
        <w:t xml:space="preserve"> z nich navíc </w:t>
      </w:r>
      <w:r w:rsidRPr="00DD4A8E">
        <w:rPr>
          <w:rFonts w:ascii="Calibri" w:hAnsi="Calibri" w:cs="Calibri"/>
          <w:noProof/>
          <w:sz w:val="20"/>
        </w:rPr>
        <w:t>na</w:t>
      </w:r>
      <w:r w:rsidR="004F0729">
        <w:rPr>
          <w:rFonts w:ascii="Calibri" w:hAnsi="Calibri" w:cs="Calibri"/>
          <w:noProof/>
          <w:sz w:val="20"/>
        </w:rPr>
        <w:t xml:space="preserve"> značně</w:t>
      </w:r>
      <w:r w:rsidR="00DB46CC" w:rsidRPr="00DD4A8E">
        <w:rPr>
          <w:rFonts w:ascii="Calibri" w:hAnsi="Calibri" w:cs="Calibri"/>
          <w:noProof/>
          <w:sz w:val="20"/>
        </w:rPr>
        <w:t xml:space="preserve"> vyšší úrovn</w:t>
      </w:r>
      <w:r w:rsidRPr="00DD4A8E">
        <w:rPr>
          <w:rFonts w:ascii="Calibri" w:hAnsi="Calibri" w:cs="Calibri"/>
          <w:noProof/>
          <w:sz w:val="20"/>
        </w:rPr>
        <w:t>i</w:t>
      </w:r>
      <w:r w:rsidR="00DB46CC" w:rsidRPr="00DD4A8E">
        <w:rPr>
          <w:rFonts w:ascii="Calibri" w:hAnsi="Calibri" w:cs="Calibri"/>
          <w:noProof/>
          <w:sz w:val="20"/>
        </w:rPr>
        <w:t xml:space="preserve"> zadlužení. Česká republika se však z představy o odpovídající reakci na krizi a následném návratu na udržitelnou trajektorii vymyká </w:t>
      </w:r>
      <w:r w:rsidR="004C5DF3" w:rsidRPr="00DD4A8E">
        <w:rPr>
          <w:rFonts w:ascii="Calibri" w:hAnsi="Calibri" w:cs="Calibri"/>
          <w:noProof/>
          <w:sz w:val="20"/>
        </w:rPr>
        <w:t xml:space="preserve">hned v několika </w:t>
      </w:r>
      <w:r w:rsidR="00DB46CC" w:rsidRPr="00DD4A8E">
        <w:rPr>
          <w:rFonts w:ascii="Calibri" w:hAnsi="Calibri" w:cs="Calibri"/>
          <w:noProof/>
          <w:sz w:val="20"/>
        </w:rPr>
        <w:t>směrech. Za prvé (podle</w:t>
      </w:r>
      <w:r w:rsidRPr="00DD4A8E">
        <w:rPr>
          <w:rFonts w:ascii="Calibri" w:hAnsi="Calibri" w:cs="Calibri"/>
          <w:noProof/>
          <w:sz w:val="20"/>
        </w:rPr>
        <w:t xml:space="preserve"> údajů</w:t>
      </w:r>
      <w:r w:rsidR="00DB46CC" w:rsidRPr="00DD4A8E">
        <w:rPr>
          <w:rFonts w:ascii="Calibri" w:hAnsi="Calibri" w:cs="Calibri"/>
          <w:noProof/>
          <w:sz w:val="20"/>
        </w:rPr>
        <w:t xml:space="preserve"> </w:t>
      </w:r>
      <w:r w:rsidR="00EB531D" w:rsidRPr="00DD4A8E">
        <w:rPr>
          <w:rFonts w:ascii="Calibri" w:hAnsi="Calibri" w:cs="Calibri"/>
          <w:noProof/>
          <w:sz w:val="20"/>
        </w:rPr>
        <w:t xml:space="preserve">dubnového </w:t>
      </w:r>
      <w:r w:rsidR="00DB46CC" w:rsidRPr="00DD4A8E">
        <w:rPr>
          <w:rFonts w:ascii="Calibri" w:hAnsi="Calibri" w:cs="Calibri"/>
          <w:noProof/>
          <w:sz w:val="20"/>
        </w:rPr>
        <w:t>Konvergenčního programu</w:t>
      </w:r>
      <w:r w:rsidRPr="00DD4A8E">
        <w:rPr>
          <w:rFonts w:ascii="Calibri" w:hAnsi="Calibri" w:cs="Calibri"/>
          <w:noProof/>
          <w:sz w:val="20"/>
        </w:rPr>
        <w:t xml:space="preserve"> ČR</w:t>
      </w:r>
      <w:r w:rsidR="00EB531D" w:rsidRPr="00DD4A8E">
        <w:rPr>
          <w:rFonts w:ascii="Calibri" w:hAnsi="Calibri" w:cs="Calibri"/>
          <w:noProof/>
          <w:sz w:val="20"/>
        </w:rPr>
        <w:t xml:space="preserve">) to nemá být návrat nikterak razantní: schodek na letošní rok odhaduje </w:t>
      </w:r>
      <w:r w:rsidR="004C5DF3" w:rsidRPr="00DD4A8E">
        <w:rPr>
          <w:rFonts w:ascii="Calibri" w:hAnsi="Calibri" w:cs="Calibri"/>
          <w:noProof/>
          <w:sz w:val="20"/>
        </w:rPr>
        <w:t xml:space="preserve">MF </w:t>
      </w:r>
      <w:r w:rsidR="00EB531D" w:rsidRPr="00DD4A8E">
        <w:rPr>
          <w:rFonts w:ascii="Calibri" w:hAnsi="Calibri" w:cs="Calibri"/>
          <w:noProof/>
          <w:sz w:val="20"/>
        </w:rPr>
        <w:t>na 8,8 %, téměř 6 % na rok 2022 a shodně nad 5 % po dva následující roky. Skoro jako bychom od tradiční české rozpočtové střídmosti a odpovědnosti mířili opačným směrem</w:t>
      </w:r>
      <w:r w:rsidR="008C67EB">
        <w:rPr>
          <w:rFonts w:ascii="Calibri" w:hAnsi="Calibri" w:cs="Calibri"/>
          <w:noProof/>
          <w:sz w:val="20"/>
        </w:rPr>
        <w:t>.</w:t>
      </w:r>
      <w:r w:rsidR="00EB531D" w:rsidRPr="00DD4A8E">
        <w:rPr>
          <w:rFonts w:ascii="Calibri" w:hAnsi="Calibri" w:cs="Calibri"/>
          <w:noProof/>
          <w:sz w:val="20"/>
        </w:rPr>
        <w:t xml:space="preserve"> Za druhé</w:t>
      </w:r>
      <w:r w:rsidR="00E8230A" w:rsidRPr="00DD4A8E">
        <w:rPr>
          <w:rFonts w:ascii="Calibri" w:hAnsi="Calibri" w:cs="Calibri"/>
          <w:noProof/>
          <w:sz w:val="20"/>
        </w:rPr>
        <w:t>:</w:t>
      </w:r>
      <w:r w:rsidR="00EB531D" w:rsidRPr="00DD4A8E">
        <w:rPr>
          <w:rFonts w:ascii="Calibri" w:hAnsi="Calibri" w:cs="Calibri"/>
          <w:noProof/>
          <w:sz w:val="20"/>
        </w:rPr>
        <w:t xml:space="preserve"> po nedávném ničím nekompenzovaném zrušení superhrubé mzdy zůstala na příjmové straně cca 100 mld. Kč mezera a dosud nezodpovězená otázka jak rychle a čím ji zaplnit. </w:t>
      </w:r>
      <w:r w:rsidR="00C04531" w:rsidRPr="00DD4A8E">
        <w:rPr>
          <w:rFonts w:ascii="Calibri" w:hAnsi="Calibri" w:cs="Calibri"/>
          <w:noProof/>
          <w:sz w:val="20"/>
        </w:rPr>
        <w:t xml:space="preserve">Za třetí se od </w:t>
      </w:r>
      <w:r w:rsidR="00E8230A" w:rsidRPr="00DD4A8E">
        <w:rPr>
          <w:rFonts w:ascii="Calibri" w:hAnsi="Calibri" w:cs="Calibri"/>
          <w:noProof/>
          <w:sz w:val="20"/>
        </w:rPr>
        <w:t>řady</w:t>
      </w:r>
      <w:r w:rsidR="00C04531" w:rsidRPr="00DD4A8E">
        <w:rPr>
          <w:rFonts w:ascii="Calibri" w:hAnsi="Calibri" w:cs="Calibri"/>
          <w:noProof/>
          <w:sz w:val="20"/>
        </w:rPr>
        <w:t xml:space="preserve"> zemí EU (a zejména od našich německých či rakouských sousedů) lišíme nejenom neexistencí konsolidační strategie, ale především znepokojujícím způsobem rostoucí dynamikou zadlužování, vzhledem k níž se k blízkosti dluhové brzdy (zákonem stanovené na 55 % HDP) přibližujeme až nepříjemně svižně</w:t>
      </w:r>
      <w:r w:rsidRPr="00DD4A8E">
        <w:rPr>
          <w:rFonts w:ascii="Calibri" w:hAnsi="Calibri" w:cs="Calibri"/>
          <w:noProof/>
          <w:sz w:val="20"/>
        </w:rPr>
        <w:t>.</w:t>
      </w:r>
      <w:r w:rsidR="00E8230A" w:rsidRPr="00DD4A8E">
        <w:rPr>
          <w:rFonts w:ascii="Calibri" w:hAnsi="Calibri" w:cs="Calibri"/>
          <w:noProof/>
          <w:sz w:val="20"/>
        </w:rPr>
        <w:t xml:space="preserve"> </w:t>
      </w:r>
      <w:r w:rsidRPr="00DD4A8E">
        <w:rPr>
          <w:rFonts w:ascii="Calibri" w:hAnsi="Calibri" w:cs="Calibri"/>
          <w:noProof/>
          <w:sz w:val="20"/>
        </w:rPr>
        <w:t>V</w:t>
      </w:r>
      <w:r w:rsidR="00E8230A" w:rsidRPr="00DD4A8E">
        <w:rPr>
          <w:rFonts w:ascii="CIDFont+F1" w:eastAsiaTheme="minorHAnsi" w:hAnsi="CIDFont+F1" w:cs="CIDFont+F1"/>
          <w:sz w:val="20"/>
          <w:lang w:eastAsia="en-US"/>
        </w:rPr>
        <w:t xml:space="preserve"> prvním čtvrtletí roku 2021 vzrostl český veřejný dluh hned po Kypru </w:t>
      </w:r>
      <w:r w:rsidR="00E8230A" w:rsidRPr="00DD4A8E">
        <w:rPr>
          <w:rFonts w:ascii="CIDFont+F2" w:eastAsiaTheme="minorHAnsi" w:hAnsi="CIDFont+F2" w:cs="CIDFont+F2"/>
          <w:sz w:val="20"/>
          <w:lang w:eastAsia="en-US"/>
        </w:rPr>
        <w:t>nejrychleji ze všech zemí EU a povinné šlápnutí</w:t>
      </w:r>
      <w:r w:rsidR="00E8230A" w:rsidRPr="00DD4A8E">
        <w:rPr>
          <w:rFonts w:ascii="Calibri" w:hAnsi="Calibri" w:cs="Calibri"/>
          <w:noProof/>
          <w:sz w:val="20"/>
        </w:rPr>
        <w:t xml:space="preserve"> na dluhovou brzdu by bez včasného otočení kormidlem mohlo přijít </w:t>
      </w:r>
      <w:r w:rsidR="002636B5">
        <w:rPr>
          <w:rFonts w:ascii="Calibri" w:hAnsi="Calibri" w:cs="Calibri"/>
          <w:noProof/>
          <w:sz w:val="20"/>
        </w:rPr>
        <w:t>v nejbližších letech</w:t>
      </w:r>
      <w:r w:rsidR="00E8230A" w:rsidRPr="00DD4A8E">
        <w:rPr>
          <w:rFonts w:ascii="CIDFont+F2" w:eastAsiaTheme="minorHAnsi" w:hAnsi="CIDFont+F2" w:cs="CIDFont+F2"/>
          <w:sz w:val="20"/>
          <w:lang w:eastAsia="en-US"/>
        </w:rPr>
        <w:t>.</w:t>
      </w:r>
      <w:r w:rsidR="00C04531" w:rsidRPr="00DD4A8E">
        <w:rPr>
          <w:rFonts w:ascii="Calibri" w:hAnsi="Calibri" w:cs="Calibri"/>
          <w:noProof/>
          <w:sz w:val="20"/>
        </w:rPr>
        <w:t xml:space="preserve"> </w:t>
      </w:r>
    </w:p>
    <w:p w14:paraId="39230419" w14:textId="4C048221" w:rsidR="00DB46CC" w:rsidRPr="00DD4A8E" w:rsidRDefault="00DB46CC" w:rsidP="00247943">
      <w:pPr>
        <w:rPr>
          <w:rFonts w:ascii="Calibri" w:hAnsi="Calibri" w:cs="Calibri"/>
          <w:noProof/>
          <w:sz w:val="20"/>
        </w:rPr>
      </w:pPr>
    </w:p>
    <w:p w14:paraId="1BCEBB35" w14:textId="596B09FF" w:rsidR="001317FA" w:rsidRDefault="007656CF" w:rsidP="001317FA">
      <w:pPr>
        <w:overflowPunct/>
        <w:textAlignment w:val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Ze</w:t>
      </w:r>
      <w:r w:rsidR="00DB7417" w:rsidRPr="00DD4A8E">
        <w:rPr>
          <w:rFonts w:ascii="Calibri" w:hAnsi="Calibri" w:cs="Calibri"/>
          <w:sz w:val="20"/>
        </w:rPr>
        <w:t xml:space="preserve"> zákon</w:t>
      </w:r>
      <w:r w:rsidR="00FB795F" w:rsidRPr="00DD4A8E">
        <w:rPr>
          <w:rFonts w:ascii="Calibri" w:hAnsi="Calibri" w:cs="Calibri"/>
          <w:sz w:val="20"/>
        </w:rPr>
        <w:t xml:space="preserve">a by tím vládě vznikla bezprostřední povinnost </w:t>
      </w:r>
      <w:r w:rsidR="00DB7417" w:rsidRPr="00DD4A8E">
        <w:rPr>
          <w:rFonts w:ascii="Calibri" w:hAnsi="Calibri" w:cs="Calibri"/>
          <w:sz w:val="20"/>
        </w:rPr>
        <w:t>předložit</w:t>
      </w:r>
      <w:r w:rsidR="00FB795F" w:rsidRPr="00DD4A8E">
        <w:rPr>
          <w:rFonts w:ascii="Calibri" w:hAnsi="Calibri" w:cs="Calibri"/>
          <w:sz w:val="20"/>
        </w:rPr>
        <w:t xml:space="preserve"> Poslanecké s</w:t>
      </w:r>
      <w:r w:rsidR="00DB7417" w:rsidRPr="00DD4A8E">
        <w:rPr>
          <w:rFonts w:ascii="Calibri" w:hAnsi="Calibri" w:cs="Calibri"/>
          <w:sz w:val="20"/>
        </w:rPr>
        <w:t xml:space="preserve">němovně ke schválení plán opatření vedoucích </w:t>
      </w:r>
      <w:r w:rsidR="0013597E">
        <w:rPr>
          <w:rFonts w:ascii="Calibri" w:hAnsi="Calibri" w:cs="Calibri"/>
          <w:sz w:val="20"/>
        </w:rPr>
        <w:t>„</w:t>
      </w:r>
      <w:r w:rsidR="00DB7417" w:rsidRPr="00DD4A8E">
        <w:rPr>
          <w:rFonts w:ascii="Calibri" w:hAnsi="Calibri" w:cs="Calibri"/>
          <w:sz w:val="20"/>
        </w:rPr>
        <w:t>k</w:t>
      </w:r>
      <w:r>
        <w:rPr>
          <w:rFonts w:ascii="Calibri" w:hAnsi="Calibri" w:cs="Calibri"/>
          <w:sz w:val="20"/>
        </w:rPr>
        <w:t> dlouhodobě udržitelnému stavu veřejných financí</w:t>
      </w:r>
      <w:r w:rsidR="0013597E">
        <w:rPr>
          <w:rFonts w:ascii="Calibri" w:hAnsi="Calibri" w:cs="Calibri"/>
          <w:sz w:val="20"/>
        </w:rPr>
        <w:t>“</w:t>
      </w:r>
      <w:r w:rsidR="0013597E" w:rsidDel="00397F9F">
        <w:rPr>
          <w:rFonts w:ascii="Calibri" w:hAnsi="Calibri" w:cs="Calibri"/>
          <w:sz w:val="20"/>
        </w:rPr>
        <w:t xml:space="preserve"> </w:t>
      </w:r>
      <w:r w:rsidR="0013597E" w:rsidRPr="001317FA">
        <w:rPr>
          <w:rFonts w:ascii="Calibri" w:hAnsi="Calibri" w:cs="Calibri"/>
          <w:i/>
          <w:iCs/>
          <w:sz w:val="20"/>
        </w:rPr>
        <w:t>(</w:t>
      </w:r>
      <w:proofErr w:type="spellStart"/>
      <w:r w:rsidR="0013597E" w:rsidRPr="001317FA">
        <w:rPr>
          <w:rFonts w:ascii="Calibri" w:hAnsi="Calibri" w:cs="Calibri"/>
          <w:i/>
          <w:iCs/>
          <w:sz w:val="20"/>
        </w:rPr>
        <w:t>cit</w:t>
      </w:r>
      <w:r w:rsidR="0013597E">
        <w:rPr>
          <w:rFonts w:ascii="Calibri" w:hAnsi="Calibri" w:cs="Calibri"/>
          <w:i/>
          <w:iCs/>
          <w:sz w:val="20"/>
        </w:rPr>
        <w:t>.zák</w:t>
      </w:r>
      <w:proofErr w:type="spellEnd"/>
      <w:r w:rsidR="0013597E">
        <w:rPr>
          <w:rFonts w:ascii="Calibri" w:hAnsi="Calibri" w:cs="Calibri"/>
          <w:i/>
          <w:iCs/>
          <w:sz w:val="20"/>
        </w:rPr>
        <w:t>.</w:t>
      </w:r>
      <w:r w:rsidR="0013597E" w:rsidRPr="001317FA">
        <w:rPr>
          <w:rFonts w:ascii="Calibri" w:hAnsi="Calibri" w:cs="Calibri"/>
          <w:i/>
          <w:iCs/>
          <w:sz w:val="20"/>
        </w:rPr>
        <w:t>)</w:t>
      </w:r>
      <w:r w:rsidR="00DB7417" w:rsidRPr="001317FA">
        <w:rPr>
          <w:rFonts w:ascii="Calibri" w:hAnsi="Calibri" w:cs="Calibri"/>
          <w:i/>
          <w:iCs/>
          <w:sz w:val="20"/>
        </w:rPr>
        <w:t xml:space="preserve">. </w:t>
      </w:r>
      <w:r w:rsidR="00DB7417" w:rsidRPr="00DD4A8E">
        <w:rPr>
          <w:rFonts w:ascii="Calibri" w:hAnsi="Calibri" w:cs="Calibri"/>
          <w:sz w:val="20"/>
        </w:rPr>
        <w:t xml:space="preserve">Obce, kraje a zdravotní pojišťovny </w:t>
      </w:r>
      <w:r w:rsidR="00FB795F" w:rsidRPr="00DD4A8E">
        <w:rPr>
          <w:rFonts w:ascii="Calibri" w:hAnsi="Calibri" w:cs="Calibri"/>
          <w:sz w:val="20"/>
        </w:rPr>
        <w:t xml:space="preserve">by </w:t>
      </w:r>
      <w:r>
        <w:rPr>
          <w:rFonts w:ascii="Calibri" w:hAnsi="Calibri" w:cs="Calibri"/>
          <w:sz w:val="20"/>
        </w:rPr>
        <w:t xml:space="preserve">však </w:t>
      </w:r>
      <w:r w:rsidR="00FB795F" w:rsidRPr="00DD4A8E">
        <w:rPr>
          <w:rFonts w:ascii="Calibri" w:hAnsi="Calibri" w:cs="Calibri"/>
          <w:sz w:val="20"/>
        </w:rPr>
        <w:t xml:space="preserve">musely </w:t>
      </w:r>
      <w:r w:rsidR="00DB7417" w:rsidRPr="00DD4A8E">
        <w:rPr>
          <w:rFonts w:ascii="Calibri" w:hAnsi="Calibri" w:cs="Calibri"/>
          <w:sz w:val="20"/>
        </w:rPr>
        <w:t xml:space="preserve">na následující rok </w:t>
      </w:r>
      <w:r w:rsidR="00FB795F" w:rsidRPr="00DD4A8E">
        <w:rPr>
          <w:rFonts w:ascii="Calibri" w:hAnsi="Calibri" w:cs="Calibri"/>
          <w:sz w:val="20"/>
        </w:rPr>
        <w:t xml:space="preserve">připravit </w:t>
      </w:r>
      <w:r w:rsidR="00DB7417" w:rsidRPr="00DD4A8E">
        <w:rPr>
          <w:rFonts w:ascii="Calibri" w:hAnsi="Calibri" w:cs="Calibri"/>
          <w:sz w:val="20"/>
        </w:rPr>
        <w:t>vyrovnaný nebo přebytkový rozpočet a ostatní veřejné instituce (školy, školky, vysoké školy, ČMZRB, Česká exportní</w:t>
      </w:r>
      <w:r w:rsidR="00425C7D" w:rsidRPr="00DD4A8E">
        <w:rPr>
          <w:rFonts w:ascii="Calibri" w:hAnsi="Calibri" w:cs="Calibri"/>
          <w:sz w:val="20"/>
        </w:rPr>
        <w:t xml:space="preserve"> </w:t>
      </w:r>
      <w:r w:rsidR="00DB7417" w:rsidRPr="00DD4A8E">
        <w:rPr>
          <w:rFonts w:ascii="Calibri" w:hAnsi="Calibri" w:cs="Calibri"/>
          <w:sz w:val="20"/>
        </w:rPr>
        <w:t>banka, výzkumné ústavy) od tohoto okamžiku nesmí uzavřít žádnou novou smlouvu či závazek, který by vedl ke</w:t>
      </w:r>
      <w:r w:rsidR="00425C7D" w:rsidRPr="00DD4A8E">
        <w:rPr>
          <w:rFonts w:ascii="Calibri" w:hAnsi="Calibri" w:cs="Calibri"/>
          <w:sz w:val="20"/>
        </w:rPr>
        <w:t xml:space="preserve"> </w:t>
      </w:r>
      <w:r w:rsidR="00DB7417" w:rsidRPr="00DD4A8E">
        <w:rPr>
          <w:rFonts w:ascii="Calibri" w:hAnsi="Calibri" w:cs="Calibri"/>
          <w:sz w:val="20"/>
        </w:rPr>
        <w:t xml:space="preserve">zvýšení </w:t>
      </w:r>
      <w:r w:rsidR="00DB7417" w:rsidRPr="00DD4A8E">
        <w:rPr>
          <w:rFonts w:ascii="Calibri" w:hAnsi="Calibri" w:cs="Calibri"/>
          <w:sz w:val="20"/>
        </w:rPr>
        <w:lastRenderedPageBreak/>
        <w:t xml:space="preserve">jejich zadlužení. </w:t>
      </w:r>
      <w:r w:rsidR="00425C7D" w:rsidRPr="00DD4A8E">
        <w:rPr>
          <w:rFonts w:ascii="Calibri" w:hAnsi="Calibri" w:cs="Calibri"/>
          <w:sz w:val="20"/>
        </w:rPr>
        <w:t>Co by to</w:t>
      </w:r>
      <w:r w:rsidR="006E6C76" w:rsidRPr="00DD4A8E">
        <w:rPr>
          <w:rFonts w:ascii="Calibri" w:hAnsi="Calibri" w:cs="Calibri"/>
          <w:sz w:val="20"/>
        </w:rPr>
        <w:t xml:space="preserve"> </w:t>
      </w:r>
      <w:r w:rsidR="00425C7D" w:rsidRPr="00DD4A8E">
        <w:rPr>
          <w:rFonts w:ascii="Calibri" w:hAnsi="Calibri" w:cs="Calibri"/>
          <w:sz w:val="20"/>
        </w:rPr>
        <w:t>znamenalo v praxi? Z</w:t>
      </w:r>
      <w:r w:rsidR="00DB7417" w:rsidRPr="00DD4A8E">
        <w:rPr>
          <w:rFonts w:ascii="Calibri" w:hAnsi="Calibri" w:cs="Calibri"/>
          <w:sz w:val="20"/>
        </w:rPr>
        <w:t xml:space="preserve"> deficitů </w:t>
      </w:r>
      <w:r w:rsidR="00425C7D" w:rsidRPr="00DD4A8E">
        <w:rPr>
          <w:rFonts w:ascii="Calibri" w:hAnsi="Calibri" w:cs="Calibri"/>
          <w:sz w:val="20"/>
        </w:rPr>
        <w:t xml:space="preserve">by se </w:t>
      </w:r>
      <w:r>
        <w:rPr>
          <w:rFonts w:ascii="Calibri" w:hAnsi="Calibri" w:cs="Calibri"/>
          <w:sz w:val="20"/>
        </w:rPr>
        <w:t>tak některé instituce, pro něž platí velmi tvrdé rozpočtové omezení,</w:t>
      </w:r>
      <w:r w:rsidR="00425C7D" w:rsidRPr="00DD4A8E">
        <w:rPr>
          <w:rFonts w:ascii="Calibri" w:hAnsi="Calibri" w:cs="Calibri"/>
          <w:sz w:val="20"/>
        </w:rPr>
        <w:t xml:space="preserve"> musely v rámci daného roku dostat </w:t>
      </w:r>
      <w:r w:rsidR="00DB7417" w:rsidRPr="00DD4A8E">
        <w:rPr>
          <w:rFonts w:ascii="Calibri" w:hAnsi="Calibri" w:cs="Calibri"/>
          <w:sz w:val="20"/>
        </w:rPr>
        <w:t>na čistou nulu</w:t>
      </w:r>
      <w:r>
        <w:rPr>
          <w:rFonts w:ascii="Calibri" w:hAnsi="Calibri" w:cs="Calibri"/>
          <w:sz w:val="20"/>
        </w:rPr>
        <w:t>.</w:t>
      </w:r>
      <w:r w:rsidR="00425C7D" w:rsidRPr="00DD4A8E">
        <w:rPr>
          <w:rFonts w:ascii="Calibri" w:hAnsi="Calibri" w:cs="Calibri"/>
          <w:sz w:val="20"/>
        </w:rPr>
        <w:t xml:space="preserve"> V tak krátkém období by jedinou možností, jak toho dosáhnout,</w:t>
      </w:r>
      <w:r w:rsidR="001317FA">
        <w:rPr>
          <w:rFonts w:ascii="Calibri" w:hAnsi="Calibri" w:cs="Calibri"/>
          <w:sz w:val="20"/>
        </w:rPr>
        <w:t xml:space="preserve"> byly</w:t>
      </w:r>
      <w:r w:rsidR="00425C7D" w:rsidRPr="00DD4A8E">
        <w:rPr>
          <w:rFonts w:ascii="Calibri" w:hAnsi="Calibri" w:cs="Calibri"/>
          <w:sz w:val="20"/>
        </w:rPr>
        <w:t xml:space="preserve"> </w:t>
      </w:r>
      <w:r w:rsidR="001317FA" w:rsidRPr="00DD4A8E">
        <w:rPr>
          <w:rFonts w:ascii="Calibri" w:hAnsi="Calibri" w:cs="Calibri"/>
          <w:sz w:val="20"/>
        </w:rPr>
        <w:t>dramatické škrty v</w:t>
      </w:r>
      <w:r w:rsidR="001317FA">
        <w:rPr>
          <w:rFonts w:ascii="Calibri" w:hAnsi="Calibri" w:cs="Calibri"/>
          <w:sz w:val="20"/>
        </w:rPr>
        <w:t> jejich výdajích</w:t>
      </w:r>
      <w:r w:rsidR="001317FA" w:rsidRPr="00DD4A8E">
        <w:rPr>
          <w:rFonts w:ascii="Calibri" w:hAnsi="Calibri" w:cs="Calibri"/>
          <w:sz w:val="20"/>
        </w:rPr>
        <w:t xml:space="preserve"> včetně omezení některých služeb, a zároveň zvýšení daní a jiných příjmů státu. Není tedy na </w:t>
      </w:r>
      <w:r w:rsidR="004709C3" w:rsidRPr="00C15C17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58E977" wp14:editId="006654CD">
                <wp:simplePos x="0" y="0"/>
                <wp:positionH relativeFrom="margin">
                  <wp:posOffset>-53558</wp:posOffset>
                </wp:positionH>
                <wp:positionV relativeFrom="paragraph">
                  <wp:posOffset>786200</wp:posOffset>
                </wp:positionV>
                <wp:extent cx="6461760" cy="782320"/>
                <wp:effectExtent l="0" t="0" r="15240" b="17780"/>
                <wp:wrapSquare wrapText="bothSides"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979F8" w14:textId="4095089C" w:rsidR="00F01F41" w:rsidRPr="00F37DC9" w:rsidRDefault="00F01F41" w:rsidP="00F01F41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</w:rPr>
                              <w:t>Michal Skořepa</w:t>
                            </w:r>
                            <w:r w:rsidRPr="00F37DC9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</w:rPr>
                              <w:t>makroekonomický analytik České spořitelny</w:t>
                            </w:r>
                            <w:r w:rsidRPr="00F37DC9">
                              <w:rPr>
                                <w:rFonts w:ascii="Calibri" w:hAnsi="Calibri" w:cs="Calibri"/>
                                <w:sz w:val="20"/>
                              </w:rPr>
                              <w:t>:</w:t>
                            </w:r>
                          </w:p>
                          <w:p w14:paraId="3D18E4A1" w14:textId="2B27D0DE" w:rsidR="00F01F41" w:rsidRPr="00F37DC9" w:rsidRDefault="00F01F41" w:rsidP="00F01F41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</w:pPr>
                            <w:r w:rsidRPr="00F01F41">
                              <w:rPr>
                                <w:rFonts w:ascii="Calibri" w:hAnsi="Calibri" w:cs="Calibri"/>
                                <w:i/>
                                <w:iCs/>
                                <w:sz w:val="20"/>
                              </w:rPr>
                              <w:t>"Zákon je tedy formulován bohužel dost nešťastně: důsledky nárazu na dluhovou brzdu jsou tvrdé především pro části veřejného sektoru mimo samotnou vládu, ačkoli jejích chování má oproti vládě mnohem menší vliv na to, zda k nárazu na brzdu dojde."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E977" id="Textové pole 1" o:spid="_x0000_s1028" type="#_x0000_t202" style="position:absolute;left:0;text-align:left;margin-left:-4.2pt;margin-top:61.9pt;width:508.8pt;height:6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">
                <v:textbox>
                  <w:txbxContent>
                    <w:p w14:paraId="288979F8" w14:textId="4095089C" w:rsidR="00F01F41" w:rsidRPr="00F37DC9" w:rsidRDefault="00F01F41" w:rsidP="00F01F41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0"/>
                        </w:rPr>
                        <w:t>Michal Skořepa</w:t>
                      </w:r>
                      <w:r w:rsidRPr="00F37DC9">
                        <w:rPr>
                          <w:rFonts w:ascii="Calibri" w:hAnsi="Calibri" w:cs="Calibri"/>
                          <w:sz w:val="20"/>
                        </w:rPr>
                        <w:t xml:space="preserve">, </w:t>
                      </w:r>
                      <w:r>
                        <w:rPr>
                          <w:rFonts w:ascii="Calibri" w:hAnsi="Calibri" w:cs="Calibri"/>
                          <w:sz w:val="20"/>
                        </w:rPr>
                        <w:t>makroekonomický analytik České spořitelny</w:t>
                      </w:r>
                      <w:r w:rsidRPr="00F37DC9">
                        <w:rPr>
                          <w:rFonts w:ascii="Calibri" w:hAnsi="Calibri" w:cs="Calibri"/>
                          <w:sz w:val="20"/>
                        </w:rPr>
                        <w:t>:</w:t>
                      </w:r>
                    </w:p>
                    <w:p w14:paraId="3D18E4A1" w14:textId="2B27D0DE" w:rsidR="00F01F41" w:rsidRPr="00F37DC9" w:rsidRDefault="00F01F41" w:rsidP="00F01F41">
                      <w:pPr>
                        <w:rPr>
                          <w:rFonts w:ascii="Calibri" w:hAnsi="Calibri" w:cs="Calibri"/>
                          <w:i/>
                          <w:iCs/>
                        </w:rPr>
                      </w:pPr>
                      <w:r w:rsidRPr="00F01F41">
                        <w:rPr>
                          <w:rFonts w:ascii="Calibri" w:hAnsi="Calibri" w:cs="Calibri"/>
                          <w:i/>
                          <w:iCs/>
                          <w:sz w:val="20"/>
                        </w:rPr>
                        <w:t>"Zákon je tedy formulován bohužel dost nešťastně: důsledky nárazu na dluhovou brzdu jsou tvrdé především pro části veřejného sektoru mimo samotnou vládu, ačkoli jejích chování má oproti vládě mnohem menší vliv na to, zda k nárazu na brzdu dojde."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317FA" w:rsidRPr="00DD4A8E">
        <w:rPr>
          <w:rFonts w:ascii="Calibri" w:hAnsi="Calibri" w:cs="Calibri"/>
          <w:sz w:val="20"/>
        </w:rPr>
        <w:t>co čekat – méně bolestivá postupná konsolidace je rozhodně lepší volbou.</w:t>
      </w:r>
    </w:p>
    <w:p w14:paraId="1D493A12" w14:textId="09C804C1" w:rsidR="004709C3" w:rsidRDefault="004709C3" w:rsidP="001317FA">
      <w:pPr>
        <w:overflowPunct/>
        <w:textAlignment w:val="auto"/>
        <w:rPr>
          <w:rFonts w:ascii="Calibri" w:hAnsi="Calibri" w:cs="Calibri"/>
          <w:sz w:val="20"/>
        </w:rPr>
      </w:pPr>
    </w:p>
    <w:p w14:paraId="2B9234C3" w14:textId="2BFDBE58" w:rsidR="00505C9C" w:rsidRPr="00DD4A8E" w:rsidRDefault="007C5704" w:rsidP="001317FA">
      <w:pPr>
        <w:overflowPunct/>
        <w:textAlignment w:val="auto"/>
        <w:rPr>
          <w:rFonts w:ascii="Calibri" w:hAnsi="Calibri" w:cs="Calibri"/>
          <w:sz w:val="20"/>
        </w:rPr>
      </w:pPr>
      <w:r w:rsidRPr="00DD4A8E">
        <w:rPr>
          <w:rFonts w:ascii="Calibri" w:hAnsi="Calibri" w:cs="Calibri"/>
          <w:sz w:val="20"/>
        </w:rPr>
        <w:t>Prognostický panel Č</w:t>
      </w:r>
      <w:r w:rsidR="002511A0" w:rsidRPr="00DD4A8E">
        <w:rPr>
          <w:rFonts w:ascii="Calibri" w:hAnsi="Calibri" w:cs="Calibri"/>
          <w:sz w:val="20"/>
        </w:rPr>
        <w:t xml:space="preserve">BA </w:t>
      </w:r>
      <w:r w:rsidRPr="00DD4A8E">
        <w:rPr>
          <w:rFonts w:ascii="Calibri" w:hAnsi="Calibri" w:cs="Calibri"/>
          <w:sz w:val="20"/>
        </w:rPr>
        <w:t xml:space="preserve">odhaduje </w:t>
      </w:r>
      <w:r w:rsidR="002511A0" w:rsidRPr="00DD4A8E">
        <w:rPr>
          <w:rFonts w:ascii="Calibri" w:hAnsi="Calibri" w:cs="Calibri"/>
          <w:sz w:val="20"/>
        </w:rPr>
        <w:t xml:space="preserve">schodek veřejných financí </w:t>
      </w:r>
      <w:r w:rsidR="002E5008" w:rsidRPr="00DD4A8E">
        <w:rPr>
          <w:rFonts w:ascii="Calibri" w:hAnsi="Calibri" w:cs="Calibri"/>
          <w:sz w:val="20"/>
        </w:rPr>
        <w:t xml:space="preserve">v letošním roce </w:t>
      </w:r>
      <w:r w:rsidR="007948B6" w:rsidRPr="00DD4A8E">
        <w:rPr>
          <w:rFonts w:ascii="Calibri" w:hAnsi="Calibri" w:cs="Calibri"/>
          <w:b/>
          <w:bCs/>
          <w:sz w:val="20"/>
        </w:rPr>
        <w:t>na 7,</w:t>
      </w:r>
      <w:r w:rsidR="00611EFE" w:rsidRPr="00DD4A8E">
        <w:rPr>
          <w:rFonts w:ascii="Calibri" w:hAnsi="Calibri" w:cs="Calibri"/>
          <w:b/>
          <w:bCs/>
          <w:sz w:val="20"/>
        </w:rPr>
        <w:t>3</w:t>
      </w:r>
      <w:r w:rsidR="007948B6" w:rsidRPr="00DD4A8E">
        <w:rPr>
          <w:rFonts w:ascii="Calibri" w:hAnsi="Calibri" w:cs="Calibri"/>
          <w:b/>
          <w:bCs/>
          <w:sz w:val="20"/>
        </w:rPr>
        <w:t xml:space="preserve"> % HDP, přičemž veřejný dluh vzroste na 4</w:t>
      </w:r>
      <w:r w:rsidR="00611EFE" w:rsidRPr="00DD4A8E">
        <w:rPr>
          <w:rFonts w:ascii="Calibri" w:hAnsi="Calibri" w:cs="Calibri"/>
          <w:b/>
          <w:bCs/>
          <w:sz w:val="20"/>
        </w:rPr>
        <w:t>3</w:t>
      </w:r>
      <w:r w:rsidR="007948B6" w:rsidRPr="00DD4A8E">
        <w:rPr>
          <w:rFonts w:ascii="Calibri" w:hAnsi="Calibri" w:cs="Calibri"/>
          <w:b/>
          <w:bCs/>
          <w:sz w:val="20"/>
        </w:rPr>
        <w:t>,</w:t>
      </w:r>
      <w:r w:rsidR="00611EFE" w:rsidRPr="00DD4A8E">
        <w:rPr>
          <w:rFonts w:ascii="Calibri" w:hAnsi="Calibri" w:cs="Calibri"/>
          <w:b/>
          <w:bCs/>
          <w:sz w:val="20"/>
        </w:rPr>
        <w:t>5</w:t>
      </w:r>
      <w:r w:rsidR="007948B6" w:rsidRPr="00DD4A8E">
        <w:rPr>
          <w:rFonts w:ascii="Calibri" w:hAnsi="Calibri" w:cs="Calibri"/>
          <w:b/>
          <w:bCs/>
          <w:sz w:val="20"/>
        </w:rPr>
        <w:t xml:space="preserve"> % HDP</w:t>
      </w:r>
      <w:r w:rsidR="007948B6" w:rsidRPr="00DD4A8E">
        <w:rPr>
          <w:rFonts w:ascii="Calibri" w:hAnsi="Calibri" w:cs="Calibri"/>
          <w:sz w:val="20"/>
        </w:rPr>
        <w:t xml:space="preserve">. </w:t>
      </w:r>
      <w:r w:rsidRPr="00DD4A8E">
        <w:rPr>
          <w:rFonts w:ascii="Calibri" w:hAnsi="Calibri" w:cs="Calibri"/>
          <w:sz w:val="20"/>
        </w:rPr>
        <w:t xml:space="preserve">Dopad razantního výpadku příjmů bez přijetí </w:t>
      </w:r>
      <w:r w:rsidR="00CB5392" w:rsidRPr="00DD4A8E">
        <w:rPr>
          <w:rFonts w:ascii="Calibri" w:hAnsi="Calibri" w:cs="Calibri"/>
          <w:sz w:val="20"/>
        </w:rPr>
        <w:t>dostatečných</w:t>
      </w:r>
      <w:r w:rsidRPr="00DD4A8E">
        <w:rPr>
          <w:rFonts w:ascii="Calibri" w:hAnsi="Calibri" w:cs="Calibri"/>
          <w:sz w:val="20"/>
        </w:rPr>
        <w:t xml:space="preserve"> opatření na výdajové straně ani v roce 2022 neumožní </w:t>
      </w:r>
      <w:r w:rsidR="00ED1237" w:rsidRPr="00DD4A8E">
        <w:rPr>
          <w:rFonts w:ascii="Calibri" w:hAnsi="Calibri" w:cs="Calibri"/>
          <w:sz w:val="20"/>
        </w:rPr>
        <w:t>snížení schodku veřejných financí pod</w:t>
      </w:r>
      <w:r w:rsidRPr="00DD4A8E">
        <w:rPr>
          <w:rFonts w:ascii="Calibri" w:hAnsi="Calibri" w:cs="Calibri"/>
          <w:sz w:val="20"/>
        </w:rPr>
        <w:t xml:space="preserve"> </w:t>
      </w:r>
      <w:r w:rsidR="00CB5392" w:rsidRPr="00DD4A8E">
        <w:rPr>
          <w:rFonts w:ascii="Calibri" w:hAnsi="Calibri" w:cs="Calibri"/>
          <w:sz w:val="20"/>
        </w:rPr>
        <w:t>4</w:t>
      </w:r>
      <w:r w:rsidR="00A6400E">
        <w:rPr>
          <w:rFonts w:ascii="Calibri" w:hAnsi="Calibri" w:cs="Calibri"/>
          <w:sz w:val="20"/>
        </w:rPr>
        <w:t>,6</w:t>
      </w:r>
      <w:r w:rsidRPr="00DD4A8E">
        <w:rPr>
          <w:rFonts w:ascii="Calibri" w:hAnsi="Calibri" w:cs="Calibri"/>
          <w:sz w:val="20"/>
        </w:rPr>
        <w:t xml:space="preserve"> % HDP</w:t>
      </w:r>
      <w:r w:rsidR="00611EFE" w:rsidRPr="00DD4A8E">
        <w:rPr>
          <w:rFonts w:ascii="Calibri" w:hAnsi="Calibri" w:cs="Calibri"/>
          <w:sz w:val="20"/>
        </w:rPr>
        <w:t xml:space="preserve"> (což není hodnota příliš korespondující s pokračující konjunkturou)</w:t>
      </w:r>
      <w:r w:rsidRPr="00DD4A8E">
        <w:rPr>
          <w:rFonts w:ascii="Calibri" w:hAnsi="Calibri" w:cs="Calibri"/>
          <w:sz w:val="20"/>
        </w:rPr>
        <w:t xml:space="preserve">. </w:t>
      </w:r>
      <w:r w:rsidR="00E11110" w:rsidRPr="00DD4A8E">
        <w:rPr>
          <w:rFonts w:ascii="Calibri" w:hAnsi="Calibri" w:cs="Calibri"/>
          <w:sz w:val="20"/>
        </w:rPr>
        <w:t>V</w:t>
      </w:r>
      <w:r w:rsidR="002511A0" w:rsidRPr="00DD4A8E">
        <w:rPr>
          <w:rFonts w:ascii="Calibri" w:hAnsi="Calibri" w:cs="Calibri"/>
          <w:sz w:val="20"/>
        </w:rPr>
        <w:t>eřejný dluh</w:t>
      </w:r>
      <w:r w:rsidR="005C7415" w:rsidRPr="00DD4A8E">
        <w:rPr>
          <w:rFonts w:ascii="Calibri" w:hAnsi="Calibri" w:cs="Calibri"/>
          <w:sz w:val="20"/>
        </w:rPr>
        <w:t xml:space="preserve"> </w:t>
      </w:r>
      <w:r w:rsidR="00E11110" w:rsidRPr="00DD4A8E">
        <w:rPr>
          <w:rFonts w:ascii="Calibri" w:hAnsi="Calibri" w:cs="Calibri"/>
          <w:sz w:val="20"/>
        </w:rPr>
        <w:t xml:space="preserve">by se tak </w:t>
      </w:r>
      <w:r w:rsidR="00CB5392" w:rsidRPr="00DD4A8E">
        <w:rPr>
          <w:rFonts w:ascii="Calibri" w:hAnsi="Calibri" w:cs="Calibri"/>
          <w:sz w:val="20"/>
        </w:rPr>
        <w:t>v</w:t>
      </w:r>
      <w:r w:rsidR="00E11110" w:rsidRPr="00DD4A8E">
        <w:rPr>
          <w:rFonts w:ascii="Calibri" w:hAnsi="Calibri" w:cs="Calibri"/>
          <w:sz w:val="20"/>
        </w:rPr>
        <w:t>yšplhal</w:t>
      </w:r>
      <w:r w:rsidR="00CB5392" w:rsidRPr="00DD4A8E">
        <w:rPr>
          <w:rFonts w:ascii="Calibri" w:hAnsi="Calibri" w:cs="Calibri"/>
          <w:sz w:val="20"/>
        </w:rPr>
        <w:t xml:space="preserve"> na 45,</w:t>
      </w:r>
      <w:r w:rsidR="00611EFE" w:rsidRPr="00DD4A8E">
        <w:rPr>
          <w:rFonts w:ascii="Calibri" w:hAnsi="Calibri" w:cs="Calibri"/>
          <w:sz w:val="20"/>
        </w:rPr>
        <w:t>5</w:t>
      </w:r>
      <w:r w:rsidR="00CB5392" w:rsidRPr="00DD4A8E">
        <w:rPr>
          <w:rFonts w:ascii="Calibri" w:hAnsi="Calibri" w:cs="Calibri"/>
          <w:sz w:val="20"/>
        </w:rPr>
        <w:t xml:space="preserve"> % HDP. </w:t>
      </w:r>
      <w:r w:rsidR="00CB5392" w:rsidRPr="00D20E42">
        <w:rPr>
          <w:rFonts w:ascii="Calibri" w:hAnsi="Calibri" w:cs="Calibri"/>
          <w:sz w:val="20"/>
        </w:rPr>
        <w:t>Pokud vláda vzešlá z podzimních voleb nezačne veřejné finance razantně konsolidovat, k nárazu na dluhovou brzdu</w:t>
      </w:r>
      <w:r w:rsidR="00ED1237" w:rsidRPr="00D20E42">
        <w:rPr>
          <w:rFonts w:ascii="Calibri" w:hAnsi="Calibri" w:cs="Calibri"/>
          <w:sz w:val="20"/>
        </w:rPr>
        <w:t>,</w:t>
      </w:r>
      <w:r w:rsidR="00CB5392" w:rsidRPr="00D20E42">
        <w:rPr>
          <w:rFonts w:ascii="Calibri" w:hAnsi="Calibri" w:cs="Calibri"/>
          <w:sz w:val="20"/>
        </w:rPr>
        <w:t xml:space="preserve"> </w:t>
      </w:r>
      <w:r w:rsidRPr="00D20E42">
        <w:rPr>
          <w:rFonts w:ascii="Calibri" w:hAnsi="Calibri" w:cs="Calibri"/>
          <w:sz w:val="20"/>
        </w:rPr>
        <w:t>stanoven</w:t>
      </w:r>
      <w:r w:rsidR="00CB5392" w:rsidRPr="00D20E42">
        <w:rPr>
          <w:rFonts w:ascii="Calibri" w:hAnsi="Calibri" w:cs="Calibri"/>
          <w:sz w:val="20"/>
        </w:rPr>
        <w:t>ou</w:t>
      </w:r>
      <w:r w:rsidRPr="00D20E42">
        <w:rPr>
          <w:rFonts w:ascii="Calibri" w:hAnsi="Calibri" w:cs="Calibri"/>
          <w:sz w:val="20"/>
        </w:rPr>
        <w:t xml:space="preserve"> </w:t>
      </w:r>
      <w:r w:rsidR="00E11110" w:rsidRPr="00D20E42">
        <w:rPr>
          <w:rFonts w:ascii="Calibri" w:hAnsi="Calibri" w:cs="Calibri"/>
          <w:sz w:val="20"/>
        </w:rPr>
        <w:t xml:space="preserve">zákonem o rozpočtové odpovědnosti </w:t>
      </w:r>
      <w:r w:rsidRPr="00D20E42">
        <w:rPr>
          <w:rFonts w:ascii="Calibri" w:hAnsi="Calibri" w:cs="Calibri"/>
          <w:sz w:val="20"/>
        </w:rPr>
        <w:t>na 55 %</w:t>
      </w:r>
      <w:r w:rsidR="007642B3" w:rsidRPr="00D20E42">
        <w:rPr>
          <w:rFonts w:ascii="Calibri" w:hAnsi="Calibri" w:cs="Calibri"/>
          <w:sz w:val="20"/>
        </w:rPr>
        <w:t xml:space="preserve"> HDP</w:t>
      </w:r>
      <w:r w:rsidR="00CB5392" w:rsidRPr="00D20E42">
        <w:rPr>
          <w:rFonts w:ascii="Calibri" w:hAnsi="Calibri" w:cs="Calibri"/>
          <w:sz w:val="20"/>
        </w:rPr>
        <w:t xml:space="preserve">, by mohlo dojít </w:t>
      </w:r>
      <w:r w:rsidR="002636B5" w:rsidRPr="00D20E42">
        <w:rPr>
          <w:rFonts w:ascii="Calibri" w:hAnsi="Calibri" w:cs="Calibri"/>
          <w:sz w:val="20"/>
        </w:rPr>
        <w:t>v nejbližších letech</w:t>
      </w:r>
      <w:r w:rsidRPr="00D20E42">
        <w:rPr>
          <w:rFonts w:ascii="Calibri" w:hAnsi="Calibri" w:cs="Calibri"/>
          <w:sz w:val="20"/>
        </w:rPr>
        <w:t>.</w:t>
      </w:r>
      <w:r w:rsidRPr="00DD4A8E">
        <w:rPr>
          <w:rFonts w:ascii="Calibri" w:hAnsi="Calibri" w:cs="Calibri"/>
          <w:sz w:val="20"/>
        </w:rPr>
        <w:t xml:space="preserve"> </w:t>
      </w:r>
    </w:p>
    <w:p w14:paraId="5B0B104F" w14:textId="511758CF" w:rsidR="007C5704" w:rsidRPr="00DD4A8E" w:rsidRDefault="007C5704" w:rsidP="00B4285D">
      <w:pPr>
        <w:rPr>
          <w:rFonts w:ascii="Calibri" w:hAnsi="Calibri" w:cs="Calibri"/>
          <w:sz w:val="20"/>
        </w:rPr>
      </w:pPr>
    </w:p>
    <w:p w14:paraId="37B537A9" w14:textId="6DAC5619" w:rsidR="000A6730" w:rsidRDefault="004C5DF3" w:rsidP="00B4285D">
      <w:pPr>
        <w:rPr>
          <w:rFonts w:ascii="Calibri" w:hAnsi="Calibri" w:cs="Calibri"/>
          <w:sz w:val="20"/>
        </w:rPr>
      </w:pPr>
      <w:r w:rsidRPr="00DD4A8E">
        <w:rPr>
          <w:rFonts w:ascii="Calibri" w:hAnsi="Calibri" w:cs="Calibri"/>
          <w:sz w:val="20"/>
        </w:rPr>
        <w:t xml:space="preserve">Opakování je matkou moudrosti. </w:t>
      </w:r>
      <w:r w:rsidR="002E5008" w:rsidRPr="00DD4A8E">
        <w:rPr>
          <w:rFonts w:ascii="Calibri" w:hAnsi="Calibri" w:cs="Calibri"/>
          <w:sz w:val="20"/>
        </w:rPr>
        <w:t>P</w:t>
      </w:r>
      <w:r w:rsidR="00CA0CF8" w:rsidRPr="00DD4A8E">
        <w:rPr>
          <w:rFonts w:ascii="Calibri" w:hAnsi="Calibri" w:cs="Calibri"/>
          <w:sz w:val="20"/>
        </w:rPr>
        <w:t>řestože ve srovnání s řadou států EU</w:t>
      </w:r>
      <w:r w:rsidR="00C25EA6" w:rsidRPr="00DD4A8E">
        <w:rPr>
          <w:rFonts w:ascii="Calibri" w:hAnsi="Calibri" w:cs="Calibri"/>
          <w:sz w:val="20"/>
        </w:rPr>
        <w:t xml:space="preserve">, pokud jde o úroveň dluhu, </w:t>
      </w:r>
      <w:r w:rsidR="00C25EA6" w:rsidRPr="00DD4A8E">
        <w:rPr>
          <w:rFonts w:ascii="Calibri" w:hAnsi="Calibri" w:cs="Calibri"/>
          <w:iCs/>
          <w:sz w:val="20"/>
        </w:rPr>
        <w:t>zatím</w:t>
      </w:r>
      <w:r w:rsidR="00C25EA6" w:rsidRPr="00DD4A8E">
        <w:rPr>
          <w:rFonts w:ascii="Calibri" w:hAnsi="Calibri" w:cs="Calibri"/>
          <w:sz w:val="20"/>
        </w:rPr>
        <w:t xml:space="preserve"> </w:t>
      </w:r>
      <w:r w:rsidR="00CA0CF8" w:rsidRPr="00DD4A8E">
        <w:rPr>
          <w:rFonts w:ascii="Calibri" w:hAnsi="Calibri" w:cs="Calibri"/>
          <w:sz w:val="20"/>
        </w:rPr>
        <w:t>patříme ve fiskální oblasti mezi premianty</w:t>
      </w:r>
      <w:r w:rsidR="000A6730" w:rsidRPr="00DD4A8E">
        <w:rPr>
          <w:rFonts w:ascii="Calibri" w:hAnsi="Calibri" w:cs="Calibri"/>
          <w:sz w:val="20"/>
        </w:rPr>
        <w:t>,</w:t>
      </w:r>
      <w:r w:rsidR="00FF69E1" w:rsidRPr="00DD4A8E">
        <w:rPr>
          <w:rFonts w:ascii="Calibri" w:hAnsi="Calibri" w:cs="Calibri"/>
          <w:sz w:val="20"/>
        </w:rPr>
        <w:t xml:space="preserve"> z dynamického pohledu se řadíme k těm nejhorším </w:t>
      </w:r>
      <w:r w:rsidR="00FC7377" w:rsidRPr="00DD4A8E">
        <w:rPr>
          <w:rFonts w:ascii="Calibri" w:hAnsi="Calibri" w:cs="Calibri"/>
          <w:sz w:val="20"/>
        </w:rPr>
        <w:t>–</w:t>
      </w:r>
      <w:r w:rsidR="00CA0CF8" w:rsidRPr="00DD4A8E">
        <w:rPr>
          <w:rFonts w:ascii="Calibri" w:hAnsi="Calibri" w:cs="Calibri"/>
          <w:sz w:val="20"/>
        </w:rPr>
        <w:t xml:space="preserve"> rozsah zadlužení českého státu se rychle zhoršuje. </w:t>
      </w:r>
      <w:r w:rsidR="00DF7A07" w:rsidRPr="00DD4A8E">
        <w:rPr>
          <w:rFonts w:ascii="Calibri" w:hAnsi="Calibri" w:cs="Calibri"/>
          <w:sz w:val="20"/>
        </w:rPr>
        <w:t>N</w:t>
      </w:r>
      <w:r w:rsidR="008910AF" w:rsidRPr="00DD4A8E">
        <w:rPr>
          <w:rFonts w:ascii="Calibri" w:hAnsi="Calibri" w:cs="Calibri"/>
          <w:sz w:val="20"/>
        </w:rPr>
        <w:t>áraz</w:t>
      </w:r>
      <w:r w:rsidR="006648C4" w:rsidRPr="00DD4A8E">
        <w:rPr>
          <w:rFonts w:ascii="Calibri" w:hAnsi="Calibri" w:cs="Calibri"/>
          <w:sz w:val="20"/>
        </w:rPr>
        <w:t xml:space="preserve"> na dluhovou brzdu</w:t>
      </w:r>
      <w:r w:rsidR="00CA0CF8" w:rsidRPr="00DD4A8E">
        <w:rPr>
          <w:rFonts w:ascii="Calibri" w:hAnsi="Calibri" w:cs="Calibri"/>
          <w:sz w:val="20"/>
        </w:rPr>
        <w:t xml:space="preserve"> navíc </w:t>
      </w:r>
      <w:r w:rsidR="006648C4" w:rsidRPr="00DD4A8E">
        <w:rPr>
          <w:rFonts w:ascii="Calibri" w:hAnsi="Calibri" w:cs="Calibri"/>
          <w:sz w:val="20"/>
        </w:rPr>
        <w:t xml:space="preserve">hrozí v situaci, kdy naopak </w:t>
      </w:r>
      <w:r w:rsidRPr="00DD4A8E">
        <w:rPr>
          <w:rFonts w:ascii="Calibri" w:hAnsi="Calibri" w:cs="Calibri"/>
          <w:sz w:val="20"/>
        </w:rPr>
        <w:t xml:space="preserve">by </w:t>
      </w:r>
      <w:r w:rsidR="006648C4" w:rsidRPr="00DD4A8E">
        <w:rPr>
          <w:rFonts w:ascii="Calibri" w:hAnsi="Calibri" w:cs="Calibri"/>
          <w:sz w:val="20"/>
        </w:rPr>
        <w:t xml:space="preserve">bylo potřeba </w:t>
      </w:r>
      <w:r w:rsidR="008910AF" w:rsidRPr="00DD4A8E">
        <w:rPr>
          <w:rFonts w:ascii="Calibri" w:hAnsi="Calibri" w:cs="Calibri"/>
          <w:sz w:val="20"/>
        </w:rPr>
        <w:t xml:space="preserve">konečně realizovat desetiletí odkládanou reformu </w:t>
      </w:r>
      <w:r w:rsidR="007642B3" w:rsidRPr="00DD4A8E">
        <w:rPr>
          <w:rFonts w:ascii="Calibri" w:hAnsi="Calibri" w:cs="Calibri"/>
          <w:sz w:val="20"/>
        </w:rPr>
        <w:t xml:space="preserve">penzijního systému </w:t>
      </w:r>
      <w:r w:rsidR="008910AF" w:rsidRPr="00DD4A8E">
        <w:rPr>
          <w:rFonts w:ascii="Calibri" w:hAnsi="Calibri" w:cs="Calibri"/>
          <w:sz w:val="20"/>
        </w:rPr>
        <w:t xml:space="preserve">a </w:t>
      </w:r>
      <w:r w:rsidR="00ED1237" w:rsidRPr="00DD4A8E">
        <w:rPr>
          <w:rFonts w:ascii="Calibri" w:hAnsi="Calibri" w:cs="Calibri"/>
          <w:sz w:val="20"/>
        </w:rPr>
        <w:t xml:space="preserve">vytvořit fiskální prostor pro </w:t>
      </w:r>
      <w:r w:rsidR="008910AF" w:rsidRPr="00DD4A8E">
        <w:rPr>
          <w:rFonts w:ascii="Calibri" w:hAnsi="Calibri" w:cs="Calibri"/>
          <w:sz w:val="20"/>
        </w:rPr>
        <w:t xml:space="preserve">financování zdravotní péče. </w:t>
      </w:r>
      <w:r w:rsidRPr="00DD4A8E">
        <w:rPr>
          <w:rFonts w:ascii="Calibri" w:hAnsi="Calibri" w:cs="Calibri"/>
          <w:sz w:val="20"/>
        </w:rPr>
        <w:t xml:space="preserve">Prognostickému panelu ČBA tak </w:t>
      </w:r>
      <w:r w:rsidR="00362759" w:rsidRPr="00DD4A8E">
        <w:rPr>
          <w:rFonts w:ascii="Calibri" w:hAnsi="Calibri" w:cs="Calibri"/>
          <w:sz w:val="20"/>
        </w:rPr>
        <w:t xml:space="preserve">nezbývá než znovu a znovu </w:t>
      </w:r>
      <w:r w:rsidR="00362759">
        <w:rPr>
          <w:rFonts w:ascii="Calibri" w:hAnsi="Calibri" w:cs="Calibri"/>
          <w:sz w:val="20"/>
        </w:rPr>
        <w:t>zdůrazňov</w:t>
      </w:r>
      <w:r w:rsidR="00362759" w:rsidRPr="00DD4A8E">
        <w:rPr>
          <w:rFonts w:ascii="Calibri" w:hAnsi="Calibri" w:cs="Calibri"/>
          <w:sz w:val="20"/>
        </w:rPr>
        <w:t xml:space="preserve">at </w:t>
      </w:r>
      <w:r w:rsidR="008910AF" w:rsidRPr="00DD4A8E">
        <w:rPr>
          <w:rFonts w:ascii="Calibri" w:hAnsi="Calibri" w:cs="Calibri"/>
          <w:sz w:val="20"/>
        </w:rPr>
        <w:t xml:space="preserve">apel na urychlené přijetí plánu konsolidace </w:t>
      </w:r>
      <w:r w:rsidRPr="00DD4A8E">
        <w:rPr>
          <w:rFonts w:ascii="Calibri" w:hAnsi="Calibri" w:cs="Calibri"/>
          <w:sz w:val="20"/>
        </w:rPr>
        <w:t>veřejných financí</w:t>
      </w:r>
      <w:r w:rsidR="00362759">
        <w:rPr>
          <w:rFonts w:ascii="Calibri" w:hAnsi="Calibri" w:cs="Calibri"/>
          <w:sz w:val="20"/>
        </w:rPr>
        <w:t xml:space="preserve">. </w:t>
      </w:r>
      <w:r w:rsidR="008910AF" w:rsidRPr="00DD4A8E">
        <w:rPr>
          <w:rFonts w:ascii="Calibri" w:hAnsi="Calibri" w:cs="Calibri"/>
          <w:sz w:val="20"/>
        </w:rPr>
        <w:t>Změní-li</w:t>
      </w:r>
      <w:r w:rsidR="007642B3" w:rsidRPr="00DD4A8E">
        <w:rPr>
          <w:rFonts w:ascii="Calibri" w:hAnsi="Calibri" w:cs="Calibri"/>
          <w:sz w:val="20"/>
        </w:rPr>
        <w:t xml:space="preserve"> se</w:t>
      </w:r>
      <w:r w:rsidR="008910AF" w:rsidRPr="00DD4A8E">
        <w:rPr>
          <w:rFonts w:ascii="Calibri" w:hAnsi="Calibri" w:cs="Calibri"/>
          <w:sz w:val="20"/>
        </w:rPr>
        <w:t xml:space="preserve"> sentiment investorů </w:t>
      </w:r>
      <w:r w:rsidR="007642B3" w:rsidRPr="00DD4A8E">
        <w:rPr>
          <w:rFonts w:ascii="Calibri" w:hAnsi="Calibri" w:cs="Calibri"/>
          <w:sz w:val="20"/>
        </w:rPr>
        <w:t>(což může nastat i při nezměněném</w:t>
      </w:r>
      <w:r w:rsidR="008910AF" w:rsidRPr="00DD4A8E">
        <w:rPr>
          <w:rFonts w:ascii="Calibri" w:hAnsi="Calibri" w:cs="Calibri"/>
          <w:sz w:val="20"/>
        </w:rPr>
        <w:t> ratingu ČR</w:t>
      </w:r>
      <w:r w:rsidR="007642B3" w:rsidRPr="00DD4A8E">
        <w:rPr>
          <w:rFonts w:ascii="Calibri" w:hAnsi="Calibri" w:cs="Calibri"/>
          <w:sz w:val="20"/>
        </w:rPr>
        <w:t>)</w:t>
      </w:r>
      <w:r w:rsidR="008910AF" w:rsidRPr="00DD4A8E">
        <w:rPr>
          <w:rFonts w:ascii="Calibri" w:hAnsi="Calibri" w:cs="Calibri"/>
          <w:sz w:val="20"/>
        </w:rPr>
        <w:t xml:space="preserve"> dříve</w:t>
      </w:r>
      <w:r w:rsidR="00247943" w:rsidRPr="00DD4A8E">
        <w:rPr>
          <w:rFonts w:ascii="Calibri" w:hAnsi="Calibri" w:cs="Calibri"/>
          <w:sz w:val="20"/>
        </w:rPr>
        <w:t>,</w:t>
      </w:r>
      <w:r w:rsidR="008910AF" w:rsidRPr="00DD4A8E">
        <w:rPr>
          <w:rFonts w:ascii="Calibri" w:hAnsi="Calibri" w:cs="Calibri"/>
          <w:sz w:val="20"/>
        </w:rPr>
        <w:t xml:space="preserve"> než bude </w:t>
      </w:r>
      <w:r w:rsidRPr="00DD4A8E">
        <w:rPr>
          <w:rFonts w:ascii="Calibri" w:hAnsi="Calibri" w:cs="Calibri"/>
          <w:sz w:val="20"/>
        </w:rPr>
        <w:t xml:space="preserve">důvěryhodný </w:t>
      </w:r>
      <w:r w:rsidR="008910AF" w:rsidRPr="00DD4A8E">
        <w:rPr>
          <w:rFonts w:ascii="Calibri" w:hAnsi="Calibri" w:cs="Calibri"/>
          <w:sz w:val="20"/>
        </w:rPr>
        <w:t>plán přijat,</w:t>
      </w:r>
      <w:r w:rsidRPr="00DD4A8E">
        <w:rPr>
          <w:rFonts w:ascii="Calibri" w:hAnsi="Calibri" w:cs="Calibri"/>
          <w:sz w:val="20"/>
        </w:rPr>
        <w:t xml:space="preserve"> </w:t>
      </w:r>
      <w:r w:rsidR="008910AF" w:rsidRPr="00DD4A8E">
        <w:rPr>
          <w:rFonts w:ascii="Calibri" w:hAnsi="Calibri" w:cs="Calibri"/>
          <w:sz w:val="20"/>
        </w:rPr>
        <w:t>výsledné zdražení obsluhy veřejného dluhu</w:t>
      </w:r>
      <w:r w:rsidRPr="00DD4A8E">
        <w:rPr>
          <w:rFonts w:ascii="Calibri" w:hAnsi="Calibri" w:cs="Calibri"/>
          <w:sz w:val="20"/>
        </w:rPr>
        <w:t xml:space="preserve"> by</w:t>
      </w:r>
      <w:r w:rsidR="008910AF" w:rsidRPr="00DD4A8E">
        <w:rPr>
          <w:rFonts w:ascii="Calibri" w:hAnsi="Calibri" w:cs="Calibri"/>
          <w:sz w:val="20"/>
        </w:rPr>
        <w:t xml:space="preserve"> </w:t>
      </w:r>
      <w:r w:rsidR="009224FC" w:rsidRPr="00DD4A8E">
        <w:rPr>
          <w:rFonts w:ascii="Calibri" w:hAnsi="Calibri" w:cs="Calibri"/>
          <w:sz w:val="20"/>
        </w:rPr>
        <w:t xml:space="preserve">dále zkomplikovalo </w:t>
      </w:r>
      <w:r w:rsidR="008910AF" w:rsidRPr="00DD4A8E">
        <w:rPr>
          <w:rFonts w:ascii="Calibri" w:hAnsi="Calibri" w:cs="Calibri"/>
          <w:sz w:val="20"/>
        </w:rPr>
        <w:t>situaci, v jaké se české veřejné finance</w:t>
      </w:r>
      <w:r w:rsidR="003366D7" w:rsidRPr="00DD4A8E">
        <w:rPr>
          <w:rFonts w:ascii="Calibri" w:hAnsi="Calibri" w:cs="Calibri"/>
          <w:sz w:val="20"/>
        </w:rPr>
        <w:t xml:space="preserve"> nacházejí</w:t>
      </w:r>
      <w:r w:rsidR="009224FC" w:rsidRPr="00DD4A8E">
        <w:rPr>
          <w:rFonts w:ascii="Calibri" w:hAnsi="Calibri" w:cs="Calibri"/>
          <w:sz w:val="20"/>
        </w:rPr>
        <w:t>.</w:t>
      </w:r>
      <w:r w:rsidR="00E76C3A" w:rsidRPr="00DD4A8E">
        <w:rPr>
          <w:rFonts w:ascii="Calibri" w:hAnsi="Calibri" w:cs="Calibri"/>
          <w:sz w:val="20"/>
        </w:rPr>
        <w:t xml:space="preserve"> </w:t>
      </w:r>
    </w:p>
    <w:p w14:paraId="574512A2" w14:textId="70CFDF50" w:rsidR="002636B5" w:rsidRDefault="002636B5" w:rsidP="00B4285D">
      <w:pPr>
        <w:rPr>
          <w:rFonts w:ascii="Calibri" w:hAnsi="Calibri" w:cs="Calibri"/>
          <w:sz w:val="20"/>
        </w:rPr>
      </w:pPr>
    </w:p>
    <w:p w14:paraId="71B6EBA9" w14:textId="77777777" w:rsidR="004709C3" w:rsidRPr="00DD4A8E" w:rsidRDefault="004709C3" w:rsidP="00B4285D">
      <w:pPr>
        <w:rPr>
          <w:rFonts w:ascii="Calibri" w:hAnsi="Calibri" w:cs="Calibri"/>
          <w:sz w:val="20"/>
        </w:rPr>
      </w:pPr>
    </w:p>
    <w:p w14:paraId="55C3D391" w14:textId="0AAB4CE8" w:rsidR="006C6CFF" w:rsidRPr="00DD4A8E" w:rsidRDefault="002D12BD" w:rsidP="00EB6C50">
      <w:pPr>
        <w:spacing w:after="120"/>
        <w:rPr>
          <w:rFonts w:ascii="Calibri" w:hAnsi="Calibri" w:cs="Calibri"/>
          <w:b/>
          <w:color w:val="13576B"/>
          <w:sz w:val="20"/>
        </w:rPr>
      </w:pPr>
      <w:r w:rsidRPr="00DD4A8E">
        <w:rPr>
          <w:rFonts w:ascii="Calibri" w:hAnsi="Calibri" w:cs="Calibri"/>
          <w:b/>
          <w:color w:val="13576B"/>
          <w:sz w:val="22"/>
          <w:szCs w:val="22"/>
        </w:rPr>
        <w:t>Měnová politika, inflace a měnový kurz</w:t>
      </w:r>
      <w:r w:rsidR="00125474" w:rsidRPr="00DD4A8E">
        <w:rPr>
          <w:rFonts w:ascii="Calibri" w:hAnsi="Calibri" w:cs="Calibri"/>
          <w:b/>
          <w:color w:val="13576B"/>
          <w:sz w:val="22"/>
          <w:szCs w:val="22"/>
        </w:rPr>
        <w:t xml:space="preserve"> </w:t>
      </w:r>
    </w:p>
    <w:p w14:paraId="373A0B11" w14:textId="77777777" w:rsidR="001317FA" w:rsidRPr="00DD4A8E" w:rsidRDefault="001317FA" w:rsidP="001317FA">
      <w:pPr>
        <w:rPr>
          <w:rFonts w:ascii="Calibri" w:hAnsi="Calibri" w:cs="Calibri"/>
          <w:sz w:val="20"/>
        </w:rPr>
      </w:pPr>
      <w:r w:rsidRPr="00DD4A8E">
        <w:rPr>
          <w:rFonts w:ascii="Calibri" w:hAnsi="Calibri" w:cs="Calibri"/>
          <w:sz w:val="20"/>
        </w:rPr>
        <w:t>V krizovém roce 2020 i v nejistotou zatížených prvních pěti měsících roku 2021 setrvávala měnová politika v uvolněném módu navzdory spotřebitelské inflaci</w:t>
      </w:r>
      <w:r>
        <w:rPr>
          <w:rFonts w:ascii="Calibri" w:hAnsi="Calibri" w:cs="Calibri"/>
          <w:sz w:val="20"/>
        </w:rPr>
        <w:t xml:space="preserve">. Ta </w:t>
      </w:r>
      <w:r w:rsidRPr="00DD4A8E">
        <w:rPr>
          <w:rFonts w:ascii="Calibri" w:hAnsi="Calibri" w:cs="Calibri"/>
          <w:sz w:val="20"/>
        </w:rPr>
        <w:t>se od loňského dubna pohybovala nad inflačním cílem, a do konce letošního ledna i mírně nad horní hranicí tolerančního pásma. V závěru prvního letošního čtvrtletí bylo možné pozorovat postupný návrat hodnoty indexu spotřebitelských cen do tolerančního pásma</w:t>
      </w:r>
      <w:r>
        <w:rPr>
          <w:rFonts w:ascii="Calibri" w:hAnsi="Calibri" w:cs="Calibri"/>
          <w:sz w:val="20"/>
        </w:rPr>
        <w:t xml:space="preserve">. V červenci však inflace vzrostla nad očekávání trhu i centrální banky a dosáhla 3,4 %, zejména z titulu růstu cen potravin a cen souvisejících s bydlením. </w:t>
      </w:r>
      <w:r w:rsidRPr="001045A6">
        <w:rPr>
          <w:rFonts w:ascii="Calibri" w:hAnsi="Calibri" w:cs="Calibri"/>
          <w:sz w:val="20"/>
        </w:rPr>
        <w:t xml:space="preserve">Rizika nárůstu cen </w:t>
      </w:r>
      <w:r>
        <w:rPr>
          <w:rFonts w:ascii="Calibri" w:hAnsi="Calibri" w:cs="Calibri"/>
          <w:sz w:val="20"/>
        </w:rPr>
        <w:t xml:space="preserve">energií, </w:t>
      </w:r>
      <w:r w:rsidRPr="001045A6">
        <w:rPr>
          <w:rFonts w:ascii="Calibri" w:hAnsi="Calibri" w:cs="Calibri"/>
          <w:sz w:val="20"/>
        </w:rPr>
        <w:t>některých materiálů</w:t>
      </w:r>
      <w:r>
        <w:rPr>
          <w:rFonts w:ascii="Calibri" w:hAnsi="Calibri" w:cs="Calibri"/>
          <w:sz w:val="20"/>
        </w:rPr>
        <w:t xml:space="preserve"> a problémy v dodavatelských řetězcích pak patrně inflaci ve druhé polovině roku dále zvýší ke 4% hranici.</w:t>
      </w:r>
    </w:p>
    <w:p w14:paraId="48C751FC" w14:textId="77777777" w:rsidR="001317FA" w:rsidRPr="00DD4A8E" w:rsidRDefault="001317FA" w:rsidP="001317FA">
      <w:pPr>
        <w:rPr>
          <w:rFonts w:ascii="Calibri" w:hAnsi="Calibri" w:cs="Calibri"/>
          <w:sz w:val="20"/>
        </w:rPr>
      </w:pPr>
    </w:p>
    <w:p w14:paraId="21A0FCFA" w14:textId="77777777" w:rsidR="001317FA" w:rsidRPr="00DD4A8E" w:rsidRDefault="001317FA" w:rsidP="001317FA">
      <w:pPr>
        <w:rPr>
          <w:rFonts w:ascii="Calibri" w:hAnsi="Calibri" w:cs="Calibri"/>
          <w:sz w:val="20"/>
        </w:rPr>
      </w:pPr>
      <w:r w:rsidRPr="00DD4A8E">
        <w:rPr>
          <w:rFonts w:ascii="Calibri" w:hAnsi="Calibri" w:cs="Calibri"/>
          <w:sz w:val="20"/>
        </w:rPr>
        <w:t xml:space="preserve">Po červnovém startu zvyšování měnově-politických sazeb o „tradiční čtvrtku“ – tedy 0,25 %, </w:t>
      </w:r>
      <w:r>
        <w:rPr>
          <w:rFonts w:ascii="Calibri" w:hAnsi="Calibri" w:cs="Calibri"/>
          <w:sz w:val="20"/>
        </w:rPr>
        <w:t xml:space="preserve">ke </w:t>
      </w:r>
      <w:r w:rsidRPr="00DD4A8E">
        <w:rPr>
          <w:rFonts w:ascii="Calibri" w:hAnsi="Calibri" w:cs="Calibri"/>
          <w:sz w:val="20"/>
        </w:rPr>
        <w:t xml:space="preserve">kterým ČNB </w:t>
      </w:r>
      <w:r>
        <w:rPr>
          <w:rFonts w:ascii="Calibri" w:hAnsi="Calibri" w:cs="Calibri"/>
          <w:sz w:val="20"/>
        </w:rPr>
        <w:t xml:space="preserve">přistoupila jako letos </w:t>
      </w:r>
      <w:r w:rsidRPr="00DD4A8E">
        <w:rPr>
          <w:rFonts w:ascii="Calibri" w:hAnsi="Calibri" w:cs="Calibri"/>
          <w:sz w:val="20"/>
        </w:rPr>
        <w:t>teprve druh</w:t>
      </w:r>
      <w:r>
        <w:rPr>
          <w:rFonts w:ascii="Calibri" w:hAnsi="Calibri" w:cs="Calibri"/>
          <w:sz w:val="20"/>
        </w:rPr>
        <w:t>á</w:t>
      </w:r>
      <w:r w:rsidRPr="00DD4A8E">
        <w:rPr>
          <w:rFonts w:ascii="Calibri" w:hAnsi="Calibri" w:cs="Calibri"/>
          <w:sz w:val="20"/>
        </w:rPr>
        <w:t xml:space="preserve"> centrální bank</w:t>
      </w:r>
      <w:r>
        <w:rPr>
          <w:rFonts w:ascii="Calibri" w:hAnsi="Calibri" w:cs="Calibri"/>
          <w:sz w:val="20"/>
        </w:rPr>
        <w:t>a</w:t>
      </w:r>
      <w:r w:rsidRPr="00DD4A8E">
        <w:rPr>
          <w:rFonts w:ascii="Calibri" w:hAnsi="Calibri" w:cs="Calibri"/>
          <w:sz w:val="20"/>
        </w:rPr>
        <w:t xml:space="preserve"> v EU, očekávaly trhy další krok stejným směrem při zveřejnění její srpnové prognózy. S výjimkou těch</w:t>
      </w:r>
      <w:r>
        <w:rPr>
          <w:rFonts w:ascii="Calibri" w:hAnsi="Calibri" w:cs="Calibri"/>
          <w:sz w:val="20"/>
        </w:rPr>
        <w:t xml:space="preserve"> ekonomů</w:t>
      </w:r>
      <w:r w:rsidRPr="00DD4A8E">
        <w:rPr>
          <w:rFonts w:ascii="Calibri" w:hAnsi="Calibri" w:cs="Calibri"/>
          <w:sz w:val="20"/>
        </w:rPr>
        <w:t>, kteří předpovídali „</w:t>
      </w:r>
      <w:proofErr w:type="spellStart"/>
      <w:r w:rsidRPr="00DD4A8E">
        <w:rPr>
          <w:rFonts w:ascii="Calibri" w:hAnsi="Calibri" w:cs="Calibri"/>
          <w:sz w:val="20"/>
        </w:rPr>
        <w:t>hike</w:t>
      </w:r>
      <w:proofErr w:type="spellEnd"/>
      <w:r w:rsidRPr="00DD4A8E">
        <w:rPr>
          <w:rFonts w:ascii="Calibri" w:hAnsi="Calibri" w:cs="Calibri"/>
          <w:sz w:val="20"/>
        </w:rPr>
        <w:t xml:space="preserve">“ ještě vyšší, nebyli </w:t>
      </w:r>
      <w:r>
        <w:rPr>
          <w:rFonts w:ascii="Calibri" w:hAnsi="Calibri" w:cs="Calibri"/>
          <w:sz w:val="20"/>
        </w:rPr>
        <w:t xml:space="preserve">ostatní </w:t>
      </w:r>
      <w:r w:rsidRPr="00DD4A8E">
        <w:rPr>
          <w:rFonts w:ascii="Calibri" w:hAnsi="Calibri" w:cs="Calibri"/>
          <w:sz w:val="20"/>
        </w:rPr>
        <w:t xml:space="preserve">zklamáni. Bankovní rada na srpnovém zasedání rozhodla o zvýšení dvoutýdenní </w:t>
      </w:r>
      <w:proofErr w:type="spellStart"/>
      <w:r w:rsidRPr="00DD4A8E">
        <w:rPr>
          <w:rFonts w:ascii="Calibri" w:hAnsi="Calibri" w:cs="Calibri"/>
          <w:sz w:val="20"/>
        </w:rPr>
        <w:t>repo</w:t>
      </w:r>
      <w:proofErr w:type="spellEnd"/>
      <w:r w:rsidRPr="00DD4A8E">
        <w:rPr>
          <w:rFonts w:ascii="Calibri" w:hAnsi="Calibri" w:cs="Calibri"/>
          <w:sz w:val="20"/>
        </w:rPr>
        <w:t xml:space="preserve"> sazby o dalších 0,25 %, čímž se počínaje 6.</w:t>
      </w:r>
      <w:r>
        <w:rPr>
          <w:rFonts w:ascii="Calibri" w:hAnsi="Calibri" w:cs="Calibri"/>
          <w:sz w:val="20"/>
        </w:rPr>
        <w:t xml:space="preserve"> srpnem </w:t>
      </w:r>
      <w:r w:rsidRPr="00DD4A8E">
        <w:rPr>
          <w:rFonts w:ascii="Calibri" w:hAnsi="Calibri" w:cs="Calibri"/>
          <w:sz w:val="20"/>
        </w:rPr>
        <w:t xml:space="preserve">2021 česká vedoucí měnově-politická sazba dostala v EU na ojedinělou úroveň 0,75 % (výše je už jen Magyar </w:t>
      </w:r>
      <w:proofErr w:type="spellStart"/>
      <w:r w:rsidRPr="00DD4A8E">
        <w:rPr>
          <w:rFonts w:ascii="Calibri" w:hAnsi="Calibri" w:cs="Calibri"/>
          <w:sz w:val="20"/>
        </w:rPr>
        <w:t>Nemzeti</w:t>
      </w:r>
      <w:proofErr w:type="spellEnd"/>
      <w:r w:rsidRPr="00DD4A8E">
        <w:rPr>
          <w:rFonts w:ascii="Calibri" w:hAnsi="Calibri" w:cs="Calibri"/>
          <w:sz w:val="20"/>
        </w:rPr>
        <w:t xml:space="preserve"> Bank s 1,20 %, nicméně s inflací nad 5 %). Prognóza ČNB se odhadem růstu HDP na letošních 3,5 % vrátila v zásadě na úroveň tržní</w:t>
      </w:r>
      <w:r>
        <w:rPr>
          <w:rFonts w:ascii="Calibri" w:hAnsi="Calibri" w:cs="Calibri"/>
          <w:sz w:val="20"/>
        </w:rPr>
        <w:t xml:space="preserve"> shody</w:t>
      </w:r>
      <w:r w:rsidRPr="00DD4A8E">
        <w:rPr>
          <w:rFonts w:ascii="Calibri" w:hAnsi="Calibri" w:cs="Calibri"/>
          <w:sz w:val="20"/>
        </w:rPr>
        <w:t xml:space="preserve"> a korigovala tak překvapivě nízký odhad z května (1,2 %). Ačkoli vyznění prognózy </w:t>
      </w:r>
      <w:r>
        <w:rPr>
          <w:rFonts w:ascii="Calibri" w:hAnsi="Calibri" w:cs="Calibri"/>
          <w:sz w:val="20"/>
        </w:rPr>
        <w:t>signalizovalo</w:t>
      </w:r>
      <w:r w:rsidRPr="00DD4A8E">
        <w:rPr>
          <w:rFonts w:ascii="Calibri" w:hAnsi="Calibri" w:cs="Calibri"/>
          <w:sz w:val="20"/>
        </w:rPr>
        <w:t xml:space="preserve"> zvýšení sazeb o 0,5 %, bankovní rada se nakonec většinově přiklonila ke konzervativnějšímu kroku.</w:t>
      </w:r>
    </w:p>
    <w:p w14:paraId="3815C0C9" w14:textId="77777777" w:rsidR="001317FA" w:rsidRPr="00DD4A8E" w:rsidRDefault="001317FA" w:rsidP="001317FA">
      <w:pPr>
        <w:rPr>
          <w:rFonts w:ascii="Calibri" w:hAnsi="Calibri" w:cs="Calibri"/>
          <w:sz w:val="20"/>
        </w:rPr>
      </w:pPr>
    </w:p>
    <w:p w14:paraId="3591C12D" w14:textId="77777777" w:rsidR="001317FA" w:rsidRPr="00DD4A8E" w:rsidRDefault="001317FA" w:rsidP="001317FA">
      <w:pPr>
        <w:rPr>
          <w:rFonts w:ascii="Calibri" w:hAnsi="Calibri" w:cs="Calibri"/>
          <w:sz w:val="20"/>
        </w:rPr>
      </w:pPr>
      <w:r w:rsidRPr="00DD4A8E">
        <w:rPr>
          <w:rFonts w:ascii="Calibri" w:hAnsi="Calibri" w:cs="Calibri"/>
          <w:sz w:val="20"/>
        </w:rPr>
        <w:t xml:space="preserve">Hlavní ekonomové bank pak pro letošní i pro příští rok očekávají, že </w:t>
      </w:r>
      <w:r>
        <w:rPr>
          <w:rFonts w:ascii="Calibri" w:hAnsi="Calibri" w:cs="Calibri"/>
          <w:sz w:val="20"/>
        </w:rPr>
        <w:t>růst</w:t>
      </w:r>
      <w:r w:rsidRPr="00DD4A8E">
        <w:rPr>
          <w:rFonts w:ascii="Calibri" w:hAnsi="Calibri" w:cs="Calibri"/>
          <w:sz w:val="20"/>
        </w:rPr>
        <w:t xml:space="preserve"> spotřebitelských cen, který v některých letošních epizodách nepřestával překvapovat směrem vzhůru, bude velmi zvolna </w:t>
      </w:r>
      <w:r>
        <w:rPr>
          <w:rFonts w:ascii="Calibri" w:hAnsi="Calibri" w:cs="Calibri"/>
          <w:sz w:val="20"/>
        </w:rPr>
        <w:t>směřovat</w:t>
      </w:r>
      <w:r w:rsidRPr="00DD4A8E">
        <w:rPr>
          <w:rFonts w:ascii="Calibri" w:hAnsi="Calibri" w:cs="Calibri"/>
          <w:sz w:val="20"/>
        </w:rPr>
        <w:t xml:space="preserve"> ke </w:t>
      </w:r>
      <w:proofErr w:type="gramStart"/>
      <w:r w:rsidRPr="00DD4A8E">
        <w:rPr>
          <w:rFonts w:ascii="Calibri" w:hAnsi="Calibri" w:cs="Calibri"/>
          <w:b/>
          <w:bCs/>
          <w:sz w:val="20"/>
        </w:rPr>
        <w:t>2%</w:t>
      </w:r>
      <w:proofErr w:type="gramEnd"/>
      <w:r w:rsidRPr="00DD4A8E">
        <w:rPr>
          <w:rFonts w:ascii="Calibri" w:hAnsi="Calibri" w:cs="Calibri"/>
          <w:b/>
          <w:bCs/>
          <w:sz w:val="20"/>
        </w:rPr>
        <w:t xml:space="preserve"> inflačnímu cíli, a to na průměru kolem </w:t>
      </w:r>
      <w:r>
        <w:rPr>
          <w:rFonts w:ascii="Calibri" w:hAnsi="Calibri" w:cs="Calibri"/>
          <w:b/>
          <w:bCs/>
          <w:sz w:val="20"/>
        </w:rPr>
        <w:t>3</w:t>
      </w:r>
      <w:r w:rsidRPr="00DD4A8E">
        <w:rPr>
          <w:rFonts w:ascii="Calibri" w:hAnsi="Calibri" w:cs="Calibri"/>
          <w:b/>
          <w:bCs/>
          <w:sz w:val="20"/>
        </w:rPr>
        <w:t xml:space="preserve"> % letos a 2,</w:t>
      </w:r>
      <w:r>
        <w:rPr>
          <w:rFonts w:ascii="Calibri" w:hAnsi="Calibri" w:cs="Calibri"/>
          <w:b/>
          <w:bCs/>
          <w:sz w:val="20"/>
        </w:rPr>
        <w:t>6</w:t>
      </w:r>
      <w:r w:rsidRPr="00DD4A8E">
        <w:rPr>
          <w:rFonts w:ascii="Calibri" w:hAnsi="Calibri" w:cs="Calibri"/>
          <w:b/>
          <w:bCs/>
          <w:sz w:val="20"/>
        </w:rPr>
        <w:t xml:space="preserve"> % v roce 2022</w:t>
      </w:r>
      <w:r w:rsidRPr="00DD4A8E">
        <w:rPr>
          <w:rFonts w:ascii="Calibri" w:hAnsi="Calibri" w:cs="Calibri"/>
          <w:sz w:val="20"/>
        </w:rPr>
        <w:t xml:space="preserve">. Pokud jde o měnově politickou sazbu, ve zbytku letošního </w:t>
      </w:r>
      <w:r w:rsidRPr="00D20E42">
        <w:rPr>
          <w:rFonts w:ascii="Calibri" w:hAnsi="Calibri" w:cs="Calibri"/>
          <w:sz w:val="20"/>
        </w:rPr>
        <w:t>roku očekávají další dvě postupná zvýšení</w:t>
      </w:r>
      <w:r>
        <w:rPr>
          <w:rFonts w:ascii="Calibri" w:hAnsi="Calibri" w:cs="Calibri"/>
          <w:sz w:val="20"/>
        </w:rPr>
        <w:t xml:space="preserve"> základní sazby ČNB</w:t>
      </w:r>
      <w:r w:rsidRPr="00D20E42">
        <w:rPr>
          <w:rFonts w:ascii="Calibri" w:hAnsi="Calibri" w:cs="Calibri"/>
          <w:sz w:val="20"/>
        </w:rPr>
        <w:t xml:space="preserve"> na 1,25 %</w:t>
      </w:r>
      <w:r>
        <w:rPr>
          <w:rFonts w:ascii="Calibri" w:hAnsi="Calibri" w:cs="Calibri"/>
          <w:sz w:val="20"/>
        </w:rPr>
        <w:t xml:space="preserve"> koncem letošního roku</w:t>
      </w:r>
      <w:r w:rsidRPr="00D20E42">
        <w:rPr>
          <w:rFonts w:ascii="Calibri" w:hAnsi="Calibri" w:cs="Calibri"/>
          <w:sz w:val="20"/>
        </w:rPr>
        <w:t>. Další tři zvýšení pak očekávají i napřesrok, takže by se měnově politická sazba ČNB měla na konci příštího roku dostat až na rovná 2 %.</w:t>
      </w:r>
      <w:r w:rsidRPr="00DD4A8E">
        <w:rPr>
          <w:rFonts w:ascii="Calibri" w:hAnsi="Calibri" w:cs="Calibri"/>
          <w:sz w:val="20"/>
        </w:rPr>
        <w:t xml:space="preserve"> </w:t>
      </w:r>
    </w:p>
    <w:p w14:paraId="33ACB33D" w14:textId="77777777" w:rsidR="001317FA" w:rsidRPr="00DD4A8E" w:rsidRDefault="001317FA" w:rsidP="001317FA">
      <w:pPr>
        <w:rPr>
          <w:rFonts w:ascii="Calibri" w:hAnsi="Calibri" w:cs="Calibri"/>
          <w:sz w:val="20"/>
        </w:rPr>
      </w:pPr>
    </w:p>
    <w:p w14:paraId="0365077A" w14:textId="77777777" w:rsidR="001317FA" w:rsidRPr="00DD4A8E" w:rsidRDefault="001317FA" w:rsidP="001317FA">
      <w:pPr>
        <w:rPr>
          <w:rFonts w:ascii="Calibri" w:hAnsi="Calibri" w:cs="Calibri"/>
          <w:sz w:val="20"/>
        </w:rPr>
      </w:pPr>
      <w:r w:rsidRPr="00DD4A8E">
        <w:rPr>
          <w:rFonts w:ascii="Calibri" w:hAnsi="Calibri" w:cs="Calibri"/>
          <w:sz w:val="20"/>
        </w:rPr>
        <w:t xml:space="preserve">Měnový kurz po turbulentním vývoji během loňského roku ukončil rok na hladině 26 Kč/EUR, v prvním čtvrtletí kolem této úrovně mírně osciloval a následně začal v očekávání postupného přitvrzování měnové politiky posilovat na hladinu kolem 25,50 </w:t>
      </w:r>
      <w:r w:rsidRPr="00DD4A8E">
        <w:rPr>
          <w:rFonts w:ascii="Calibri" w:hAnsi="Calibri" w:cs="Calibri"/>
          <w:sz w:val="20"/>
        </w:rPr>
        <w:lastRenderedPageBreak/>
        <w:t xml:space="preserve">Kč/EUR. Pro letošní a příští rok očekává prognóza ČBA jeho další </w:t>
      </w:r>
      <w:r>
        <w:rPr>
          <w:rFonts w:ascii="Calibri" w:hAnsi="Calibri" w:cs="Calibri"/>
          <w:sz w:val="20"/>
        </w:rPr>
        <w:t xml:space="preserve">kolísání </w:t>
      </w:r>
      <w:r w:rsidRPr="00DD4A8E">
        <w:rPr>
          <w:rFonts w:ascii="Calibri" w:hAnsi="Calibri" w:cs="Calibri"/>
          <w:sz w:val="20"/>
        </w:rPr>
        <w:t xml:space="preserve">v řádu několika desítek haléřů na průměr kolem 25,60 Kč/EUR letos a zpevnění na 25 Kč/EUR v příštím roce. </w:t>
      </w:r>
    </w:p>
    <w:p w14:paraId="5B23A8BA" w14:textId="77777777" w:rsidR="00A772EE" w:rsidRDefault="00A772EE" w:rsidP="00EB6C50">
      <w:pPr>
        <w:spacing w:after="120"/>
        <w:rPr>
          <w:rFonts w:ascii="Calibri" w:hAnsi="Calibri" w:cs="Calibri"/>
          <w:b/>
          <w:color w:val="13576B"/>
          <w:sz w:val="22"/>
          <w:szCs w:val="22"/>
        </w:rPr>
      </w:pPr>
    </w:p>
    <w:p w14:paraId="6A2F513C" w14:textId="74D99B31" w:rsidR="002D12BD" w:rsidRPr="00DD4A8E" w:rsidRDefault="002D12BD" w:rsidP="00EB6C50">
      <w:pPr>
        <w:spacing w:after="120"/>
        <w:rPr>
          <w:rFonts w:ascii="Calibri" w:hAnsi="Calibri" w:cs="Calibri"/>
          <w:b/>
          <w:color w:val="13576B"/>
          <w:sz w:val="22"/>
          <w:szCs w:val="22"/>
        </w:rPr>
      </w:pPr>
      <w:r w:rsidRPr="00DD4A8E">
        <w:rPr>
          <w:rFonts w:ascii="Calibri" w:hAnsi="Calibri" w:cs="Calibri"/>
          <w:b/>
          <w:color w:val="13576B"/>
          <w:sz w:val="22"/>
          <w:szCs w:val="22"/>
        </w:rPr>
        <w:t>Očekávaný vývoj vkladů a úvěrové emise</w:t>
      </w:r>
    </w:p>
    <w:p w14:paraId="17F5A624" w14:textId="6D5C5115" w:rsidR="00DC556E" w:rsidRPr="00DD4A8E" w:rsidRDefault="00794FB6" w:rsidP="00B4285D">
      <w:pPr>
        <w:rPr>
          <w:rFonts w:ascii="Calibri" w:hAnsi="Calibri" w:cs="Calibri"/>
          <w:sz w:val="20"/>
        </w:rPr>
      </w:pPr>
      <w:r w:rsidRPr="00DD4A8E">
        <w:rPr>
          <w:rFonts w:ascii="Calibri" w:hAnsi="Calibri" w:cs="Calibri"/>
          <w:sz w:val="20"/>
        </w:rPr>
        <w:t>Od</w:t>
      </w:r>
      <w:r w:rsidR="00B32114" w:rsidRPr="00DD4A8E">
        <w:rPr>
          <w:rFonts w:ascii="Calibri" w:hAnsi="Calibri" w:cs="Calibri"/>
          <w:sz w:val="20"/>
        </w:rPr>
        <w:t> </w:t>
      </w:r>
      <w:r w:rsidR="00D67A35" w:rsidRPr="00DD4A8E">
        <w:rPr>
          <w:rFonts w:ascii="Calibri" w:hAnsi="Calibri" w:cs="Calibri"/>
          <w:sz w:val="20"/>
        </w:rPr>
        <w:t>července</w:t>
      </w:r>
      <w:r w:rsidR="00B32114" w:rsidRPr="00DD4A8E">
        <w:rPr>
          <w:rFonts w:ascii="Calibri" w:hAnsi="Calibri" w:cs="Calibri"/>
          <w:sz w:val="20"/>
        </w:rPr>
        <w:t xml:space="preserve"> 2020</w:t>
      </w:r>
      <w:r w:rsidR="005A5299" w:rsidRPr="00DD4A8E">
        <w:rPr>
          <w:rFonts w:ascii="Calibri" w:hAnsi="Calibri" w:cs="Calibri"/>
          <w:sz w:val="20"/>
        </w:rPr>
        <w:t xml:space="preserve"> </w:t>
      </w:r>
      <w:r w:rsidRPr="00DD4A8E">
        <w:rPr>
          <w:rFonts w:ascii="Calibri" w:hAnsi="Calibri" w:cs="Calibri"/>
          <w:sz w:val="20"/>
        </w:rPr>
        <w:t xml:space="preserve">jsou – </w:t>
      </w:r>
      <w:r w:rsidR="00B32114" w:rsidRPr="00DD4A8E">
        <w:rPr>
          <w:rFonts w:ascii="Calibri" w:hAnsi="Calibri" w:cs="Calibri"/>
          <w:sz w:val="20"/>
        </w:rPr>
        <w:t xml:space="preserve">poprvé </w:t>
      </w:r>
      <w:r w:rsidRPr="00DD4A8E">
        <w:rPr>
          <w:rFonts w:ascii="Calibri" w:hAnsi="Calibri" w:cs="Calibri"/>
          <w:sz w:val="20"/>
        </w:rPr>
        <w:t xml:space="preserve">po </w:t>
      </w:r>
      <w:r w:rsidR="00B32114" w:rsidRPr="00DD4A8E">
        <w:rPr>
          <w:rFonts w:ascii="Calibri" w:hAnsi="Calibri" w:cs="Calibri"/>
          <w:sz w:val="20"/>
        </w:rPr>
        <w:t>30 let</w:t>
      </w:r>
      <w:r w:rsidRPr="00DD4A8E">
        <w:rPr>
          <w:rFonts w:ascii="Calibri" w:hAnsi="Calibri" w:cs="Calibri"/>
          <w:sz w:val="20"/>
        </w:rPr>
        <w:t>ech –</w:t>
      </w:r>
      <w:r w:rsidR="00B32114" w:rsidRPr="00DD4A8E">
        <w:rPr>
          <w:rFonts w:ascii="Calibri" w:hAnsi="Calibri" w:cs="Calibri"/>
          <w:sz w:val="20"/>
        </w:rPr>
        <w:t xml:space="preserve"> firemní vklady na účtech</w:t>
      </w:r>
      <w:r w:rsidR="00B10C17" w:rsidRPr="00DD4A8E">
        <w:rPr>
          <w:rFonts w:ascii="Calibri" w:hAnsi="Calibri" w:cs="Calibri"/>
          <w:sz w:val="20"/>
        </w:rPr>
        <w:t xml:space="preserve"> u bank vyšší než jejich úvěry</w:t>
      </w:r>
      <w:r w:rsidR="00725295" w:rsidRPr="00DD4A8E">
        <w:rPr>
          <w:rFonts w:ascii="Calibri" w:hAnsi="Calibri" w:cs="Calibri"/>
          <w:sz w:val="20"/>
        </w:rPr>
        <w:t>.</w:t>
      </w:r>
      <w:r w:rsidR="00DC556E" w:rsidRPr="00DD4A8E">
        <w:rPr>
          <w:rFonts w:ascii="Calibri" w:hAnsi="Calibri" w:cs="Calibri"/>
          <w:sz w:val="20"/>
        </w:rPr>
        <w:t xml:space="preserve"> </w:t>
      </w:r>
      <w:r w:rsidR="0083413A" w:rsidRPr="00DD4A8E">
        <w:rPr>
          <w:rFonts w:ascii="Calibri" w:hAnsi="Calibri" w:cs="Calibri"/>
          <w:sz w:val="20"/>
        </w:rPr>
        <w:t>P</w:t>
      </w:r>
      <w:r w:rsidR="00B10C17" w:rsidRPr="00DD4A8E">
        <w:rPr>
          <w:rFonts w:ascii="Calibri" w:hAnsi="Calibri" w:cs="Calibri"/>
          <w:sz w:val="20"/>
        </w:rPr>
        <w:t xml:space="preserve">řevis se </w:t>
      </w:r>
      <w:r w:rsidR="00DC556E" w:rsidRPr="00DD4A8E">
        <w:rPr>
          <w:rFonts w:ascii="Calibri" w:hAnsi="Calibri" w:cs="Calibri"/>
          <w:sz w:val="20"/>
        </w:rPr>
        <w:t xml:space="preserve">od té doby </w:t>
      </w:r>
      <w:r w:rsidR="00B10C17" w:rsidRPr="00DD4A8E">
        <w:rPr>
          <w:rFonts w:ascii="Calibri" w:hAnsi="Calibri" w:cs="Calibri"/>
          <w:sz w:val="20"/>
        </w:rPr>
        <w:t xml:space="preserve">zvětšoval a </w:t>
      </w:r>
      <w:r w:rsidR="00DC556E" w:rsidRPr="00DD4A8E">
        <w:rPr>
          <w:rFonts w:ascii="Calibri" w:hAnsi="Calibri" w:cs="Calibri"/>
          <w:sz w:val="20"/>
        </w:rPr>
        <w:t>navzdory dílčí</w:t>
      </w:r>
      <w:r w:rsidR="00D67A35" w:rsidRPr="00DD4A8E">
        <w:rPr>
          <w:rFonts w:ascii="Calibri" w:hAnsi="Calibri" w:cs="Calibri"/>
          <w:sz w:val="20"/>
        </w:rPr>
        <w:t>m</w:t>
      </w:r>
      <w:r w:rsidR="00DC556E" w:rsidRPr="00DD4A8E">
        <w:rPr>
          <w:rFonts w:ascii="Calibri" w:hAnsi="Calibri" w:cs="Calibri"/>
          <w:sz w:val="20"/>
        </w:rPr>
        <w:t xml:space="preserve"> korekc</w:t>
      </w:r>
      <w:r w:rsidR="00D67A35" w:rsidRPr="00DD4A8E">
        <w:rPr>
          <w:rFonts w:ascii="Calibri" w:hAnsi="Calibri" w:cs="Calibri"/>
          <w:sz w:val="20"/>
        </w:rPr>
        <w:t>ím</w:t>
      </w:r>
      <w:r w:rsidR="00DC556E" w:rsidRPr="00DD4A8E">
        <w:rPr>
          <w:rFonts w:ascii="Calibri" w:hAnsi="Calibri" w:cs="Calibri"/>
          <w:sz w:val="20"/>
        </w:rPr>
        <w:t xml:space="preserve"> </w:t>
      </w:r>
      <w:r w:rsidR="0083413A" w:rsidRPr="00DD4A8E">
        <w:rPr>
          <w:rFonts w:ascii="Calibri" w:hAnsi="Calibri" w:cs="Calibri"/>
          <w:sz w:val="20"/>
        </w:rPr>
        <w:t xml:space="preserve">činil </w:t>
      </w:r>
      <w:r w:rsidR="00DC556E" w:rsidRPr="00DD4A8E">
        <w:rPr>
          <w:rFonts w:ascii="Calibri" w:hAnsi="Calibri" w:cs="Calibri"/>
          <w:sz w:val="20"/>
        </w:rPr>
        <w:t xml:space="preserve">na konci </w:t>
      </w:r>
      <w:r w:rsidR="00D67A35" w:rsidRPr="00DD4A8E">
        <w:rPr>
          <w:rFonts w:ascii="Calibri" w:hAnsi="Calibri" w:cs="Calibri"/>
          <w:sz w:val="20"/>
        </w:rPr>
        <w:t>června</w:t>
      </w:r>
      <w:r w:rsidR="00DC556E" w:rsidRPr="00DD4A8E">
        <w:rPr>
          <w:rFonts w:ascii="Calibri" w:hAnsi="Calibri" w:cs="Calibri"/>
          <w:sz w:val="20"/>
        </w:rPr>
        <w:t xml:space="preserve"> 2021 téměř 1</w:t>
      </w:r>
      <w:r w:rsidR="00D67A35" w:rsidRPr="00DD4A8E">
        <w:rPr>
          <w:rFonts w:ascii="Calibri" w:hAnsi="Calibri" w:cs="Calibri"/>
          <w:sz w:val="20"/>
        </w:rPr>
        <w:t>18,5</w:t>
      </w:r>
      <w:r w:rsidR="00DC556E" w:rsidRPr="00DD4A8E">
        <w:rPr>
          <w:rFonts w:ascii="Calibri" w:hAnsi="Calibri" w:cs="Calibri"/>
          <w:sz w:val="20"/>
        </w:rPr>
        <w:t xml:space="preserve"> mld. Kč</w:t>
      </w:r>
      <w:r w:rsidR="00CC2DDE">
        <w:rPr>
          <w:rFonts w:ascii="Calibri" w:hAnsi="Calibri" w:cs="Calibri"/>
          <w:sz w:val="20"/>
        </w:rPr>
        <w:t xml:space="preserve">. To </w:t>
      </w:r>
      <w:r w:rsidR="00DC556E" w:rsidRPr="00DD4A8E">
        <w:rPr>
          <w:rFonts w:ascii="Calibri" w:hAnsi="Calibri" w:cs="Calibri"/>
          <w:sz w:val="20"/>
        </w:rPr>
        <w:t>svědčí o dosud vysoké míře nejistoty a nízké ochotě firem investovat</w:t>
      </w:r>
      <w:r w:rsidR="00D67A35" w:rsidRPr="00DD4A8E">
        <w:rPr>
          <w:rFonts w:ascii="Calibri" w:hAnsi="Calibri" w:cs="Calibri"/>
          <w:sz w:val="20"/>
        </w:rPr>
        <w:t xml:space="preserve"> </w:t>
      </w:r>
      <w:r w:rsidR="008C67EB">
        <w:rPr>
          <w:rFonts w:ascii="Calibri" w:hAnsi="Calibri" w:cs="Calibri"/>
          <w:sz w:val="20"/>
        </w:rPr>
        <w:t>i přes</w:t>
      </w:r>
      <w:r w:rsidR="008C67EB" w:rsidRPr="00DD4A8E">
        <w:rPr>
          <w:rFonts w:ascii="Calibri" w:hAnsi="Calibri" w:cs="Calibri"/>
          <w:sz w:val="20"/>
        </w:rPr>
        <w:t xml:space="preserve"> </w:t>
      </w:r>
      <w:r w:rsidR="00D67A35" w:rsidRPr="00DD4A8E">
        <w:rPr>
          <w:rFonts w:ascii="Calibri" w:hAnsi="Calibri" w:cs="Calibri"/>
          <w:sz w:val="20"/>
        </w:rPr>
        <w:t>začínající oživení</w:t>
      </w:r>
      <w:r w:rsidR="00DC556E" w:rsidRPr="00DD4A8E">
        <w:rPr>
          <w:rFonts w:ascii="Calibri" w:hAnsi="Calibri" w:cs="Calibri"/>
          <w:sz w:val="20"/>
        </w:rPr>
        <w:t xml:space="preserve">. </w:t>
      </w:r>
    </w:p>
    <w:p w14:paraId="1EF68A0A" w14:textId="7CC58CC0" w:rsidR="00DC556E" w:rsidRPr="00DD4A8E" w:rsidRDefault="00DC556E" w:rsidP="00B4285D">
      <w:pPr>
        <w:rPr>
          <w:rFonts w:ascii="Calibri" w:hAnsi="Calibri" w:cs="Calibri"/>
          <w:sz w:val="20"/>
        </w:rPr>
      </w:pPr>
    </w:p>
    <w:p w14:paraId="408BF60B" w14:textId="3EFCB024" w:rsidR="003123D0" w:rsidRPr="00DD4A8E" w:rsidRDefault="00DC556E" w:rsidP="00B4285D">
      <w:pPr>
        <w:rPr>
          <w:rFonts w:ascii="Calibri" w:hAnsi="Calibri" w:cs="Calibri"/>
          <w:sz w:val="20"/>
        </w:rPr>
      </w:pPr>
      <w:r w:rsidRPr="00DD4A8E">
        <w:rPr>
          <w:rFonts w:ascii="Calibri" w:hAnsi="Calibri" w:cs="Calibri"/>
          <w:sz w:val="20"/>
        </w:rPr>
        <w:t>V</w:t>
      </w:r>
      <w:r w:rsidR="00B10C17" w:rsidRPr="00DD4A8E">
        <w:rPr>
          <w:rFonts w:ascii="Calibri" w:hAnsi="Calibri" w:cs="Calibri"/>
          <w:sz w:val="20"/>
        </w:rPr>
        <w:t xml:space="preserve">klady domácností </w:t>
      </w:r>
      <w:r w:rsidR="00D67A35" w:rsidRPr="00DD4A8E">
        <w:rPr>
          <w:rFonts w:ascii="Calibri" w:hAnsi="Calibri" w:cs="Calibri"/>
          <w:sz w:val="20"/>
        </w:rPr>
        <w:t>v souladu s dlouhodobým trendem setrvale</w:t>
      </w:r>
      <w:r w:rsidRPr="00DD4A8E">
        <w:rPr>
          <w:rFonts w:ascii="Calibri" w:hAnsi="Calibri" w:cs="Calibri"/>
          <w:sz w:val="20"/>
        </w:rPr>
        <w:t xml:space="preserve"> </w:t>
      </w:r>
      <w:r w:rsidR="00B10C17" w:rsidRPr="00DD4A8E">
        <w:rPr>
          <w:rFonts w:ascii="Calibri" w:hAnsi="Calibri" w:cs="Calibri"/>
          <w:sz w:val="20"/>
        </w:rPr>
        <w:t>rostly</w:t>
      </w:r>
      <w:r w:rsidR="00A51840" w:rsidRPr="00DD4A8E">
        <w:rPr>
          <w:rFonts w:ascii="Calibri" w:hAnsi="Calibri" w:cs="Calibri"/>
          <w:sz w:val="20"/>
        </w:rPr>
        <w:t xml:space="preserve">. </w:t>
      </w:r>
      <w:r w:rsidR="004E3A25" w:rsidRPr="00DD4A8E">
        <w:rPr>
          <w:rFonts w:ascii="Calibri" w:hAnsi="Calibri" w:cs="Calibri"/>
          <w:sz w:val="20"/>
        </w:rPr>
        <w:t>D</w:t>
      </w:r>
      <w:r w:rsidR="00B10C17" w:rsidRPr="00DD4A8E">
        <w:rPr>
          <w:rFonts w:ascii="Calibri" w:hAnsi="Calibri" w:cs="Calibri"/>
          <w:sz w:val="20"/>
        </w:rPr>
        <w:t xml:space="preserve">ynamika </w:t>
      </w:r>
      <w:r w:rsidRPr="00DD4A8E">
        <w:rPr>
          <w:rFonts w:ascii="Calibri" w:hAnsi="Calibri" w:cs="Calibri"/>
          <w:sz w:val="20"/>
        </w:rPr>
        <w:t>jejich</w:t>
      </w:r>
      <w:r w:rsidR="00B10C17" w:rsidRPr="00DD4A8E">
        <w:rPr>
          <w:rFonts w:ascii="Calibri" w:hAnsi="Calibri" w:cs="Calibri"/>
          <w:sz w:val="20"/>
        </w:rPr>
        <w:t xml:space="preserve"> růstu byla zhruba dvojnásobná než dynamika zadlužování</w:t>
      </w:r>
      <w:r w:rsidRPr="00DD4A8E">
        <w:rPr>
          <w:rFonts w:ascii="Calibri" w:hAnsi="Calibri" w:cs="Calibri"/>
          <w:sz w:val="20"/>
        </w:rPr>
        <w:t xml:space="preserve"> s tím, že finanční mezera na konci </w:t>
      </w:r>
      <w:r w:rsidR="00D67A35" w:rsidRPr="00DD4A8E">
        <w:rPr>
          <w:rFonts w:ascii="Calibri" w:hAnsi="Calibri" w:cs="Calibri"/>
          <w:sz w:val="20"/>
        </w:rPr>
        <w:t>června</w:t>
      </w:r>
      <w:r w:rsidRPr="00DD4A8E">
        <w:rPr>
          <w:rFonts w:ascii="Calibri" w:hAnsi="Calibri" w:cs="Calibri"/>
          <w:sz w:val="20"/>
        </w:rPr>
        <w:t xml:space="preserve"> přesáhla 1</w:t>
      </w:r>
      <w:r w:rsidR="00D67A35" w:rsidRPr="00DD4A8E">
        <w:rPr>
          <w:rFonts w:ascii="Calibri" w:hAnsi="Calibri" w:cs="Calibri"/>
          <w:sz w:val="20"/>
        </w:rPr>
        <w:t>,13</w:t>
      </w:r>
      <w:r w:rsidRPr="00DD4A8E">
        <w:rPr>
          <w:rFonts w:ascii="Calibri" w:hAnsi="Calibri" w:cs="Calibri"/>
          <w:sz w:val="20"/>
        </w:rPr>
        <w:t xml:space="preserve"> bil. Kč. </w:t>
      </w:r>
      <w:r w:rsidR="00D67A35" w:rsidRPr="00DD4A8E">
        <w:rPr>
          <w:rFonts w:ascii="Calibri" w:hAnsi="Calibri" w:cs="Calibri"/>
          <w:sz w:val="20"/>
        </w:rPr>
        <w:t>Ačkoli častým tématem diskusí</w:t>
      </w:r>
      <w:r w:rsidR="0083413A" w:rsidRPr="00DD4A8E">
        <w:rPr>
          <w:rFonts w:ascii="Calibri" w:hAnsi="Calibri" w:cs="Calibri"/>
          <w:sz w:val="20"/>
        </w:rPr>
        <w:t xml:space="preserve"> mezi analytiky napříč (nejenom) Evropou bývá, kolik procent z výdajů neuskutečněných v průběhu pandemie a naakumulovaných „extra“ úspor se přelije po uvolnění restrikcí do spotřeby, jak dlouho bude taková spotřební vlna trvat a jak „mocná“ bude, ve statistikách</w:t>
      </w:r>
      <w:r w:rsidR="00C64546">
        <w:rPr>
          <w:rFonts w:ascii="Calibri" w:hAnsi="Calibri" w:cs="Calibri"/>
          <w:sz w:val="20"/>
        </w:rPr>
        <w:t>,</w:t>
      </w:r>
      <w:r w:rsidR="0083413A" w:rsidRPr="00DD4A8E">
        <w:rPr>
          <w:rFonts w:ascii="Calibri" w:hAnsi="Calibri" w:cs="Calibri"/>
          <w:sz w:val="20"/>
        </w:rPr>
        <w:t xml:space="preserve"> se zatím taková očekávání razantněji nepotvrzují (pro českou ekonomiku lze tuto </w:t>
      </w:r>
      <w:r w:rsidR="00A8617F" w:rsidRPr="00DD4A8E">
        <w:rPr>
          <w:rFonts w:ascii="Calibri" w:hAnsi="Calibri" w:cs="Calibri"/>
          <w:sz w:val="20"/>
        </w:rPr>
        <w:t>mimořádn</w:t>
      </w:r>
      <w:r w:rsidR="0083413A" w:rsidRPr="00DD4A8E">
        <w:rPr>
          <w:rFonts w:ascii="Calibri" w:hAnsi="Calibri" w:cs="Calibri"/>
          <w:sz w:val="20"/>
        </w:rPr>
        <w:t xml:space="preserve">ou </w:t>
      </w:r>
      <w:r w:rsidR="00A8617F" w:rsidRPr="00DD4A8E">
        <w:rPr>
          <w:rFonts w:ascii="Calibri" w:hAnsi="Calibri" w:cs="Calibri"/>
          <w:sz w:val="20"/>
        </w:rPr>
        <w:t>akumulac</w:t>
      </w:r>
      <w:r w:rsidR="0083413A" w:rsidRPr="00DD4A8E">
        <w:rPr>
          <w:rFonts w:ascii="Calibri" w:hAnsi="Calibri" w:cs="Calibri"/>
          <w:sz w:val="20"/>
        </w:rPr>
        <w:t xml:space="preserve">i podpořenou zrušením superhrubé mzdy </w:t>
      </w:r>
      <w:r w:rsidR="00A8617F" w:rsidRPr="00DD4A8E">
        <w:rPr>
          <w:rFonts w:ascii="Calibri" w:hAnsi="Calibri" w:cs="Calibri"/>
          <w:sz w:val="20"/>
        </w:rPr>
        <w:t>řádově odhadnout na čtvrt bilionu korun</w:t>
      </w:r>
      <w:r w:rsidR="0083413A" w:rsidRPr="00DD4A8E">
        <w:rPr>
          <w:rFonts w:ascii="Calibri" w:hAnsi="Calibri" w:cs="Calibri"/>
          <w:sz w:val="20"/>
        </w:rPr>
        <w:t xml:space="preserve">). </w:t>
      </w:r>
    </w:p>
    <w:p w14:paraId="10A23954" w14:textId="77777777" w:rsidR="00B3228D" w:rsidRPr="00DD4A8E" w:rsidRDefault="00B3228D" w:rsidP="00B4285D">
      <w:pPr>
        <w:rPr>
          <w:rFonts w:ascii="Calibri" w:hAnsi="Calibri" w:cs="Calibri"/>
          <w:sz w:val="20"/>
        </w:rPr>
      </w:pPr>
    </w:p>
    <w:p w14:paraId="412784CB" w14:textId="477BD650" w:rsidR="001317FA" w:rsidRPr="00DD4A8E" w:rsidRDefault="001317FA" w:rsidP="001317FA">
      <w:pPr>
        <w:rPr>
          <w:rFonts w:ascii="Calibri" w:hAnsi="Calibri" w:cs="Calibri"/>
          <w:szCs w:val="18"/>
        </w:rPr>
      </w:pPr>
      <w:r w:rsidRPr="00DD4A8E">
        <w:rPr>
          <w:rFonts w:ascii="Calibri" w:hAnsi="Calibri" w:cs="Calibri"/>
          <w:sz w:val="20"/>
        </w:rPr>
        <w:t>V loňském roce zaznamenaly klientské úvěry solidní 4,9% růst. Ten byl tvořen 6,5% nárůstem (především hypotečních) úvěrů domácnostem a 3,2% růstem úvěrů firemní klientele, který podpořily v malé míře vládní záruční programy zaměřené především na provozní financování. Očekávání prognostického panelu ČBA se v této oblasti příliš nezměnila co do celkového tempa, zvýšil však jeho odhad u úvěrů domácnostem, a naopak snížil u firem. Očekávané meziroční tempo růstu je tak 5,</w:t>
      </w:r>
      <w:r w:rsidR="00A772EE">
        <w:rPr>
          <w:rFonts w:ascii="Calibri" w:hAnsi="Calibri" w:cs="Calibri"/>
          <w:sz w:val="20"/>
        </w:rPr>
        <w:t>5</w:t>
      </w:r>
      <w:r w:rsidRPr="00DD4A8E">
        <w:rPr>
          <w:rFonts w:ascii="Calibri" w:hAnsi="Calibri" w:cs="Calibri"/>
          <w:sz w:val="20"/>
        </w:rPr>
        <w:t xml:space="preserve"> % u klientských úvěrů celkem. To bude taženo především 7,</w:t>
      </w:r>
      <w:r w:rsidR="00A772EE">
        <w:rPr>
          <w:rFonts w:ascii="Calibri" w:hAnsi="Calibri" w:cs="Calibri"/>
          <w:sz w:val="20"/>
        </w:rPr>
        <w:t>8</w:t>
      </w:r>
      <w:r w:rsidRPr="00DD4A8E">
        <w:rPr>
          <w:rFonts w:ascii="Calibri" w:hAnsi="Calibri" w:cs="Calibri"/>
          <w:sz w:val="20"/>
        </w:rPr>
        <w:t>% růstem úvěrů domácnostem. Bankovní úvěry firemní klientele porostou o pouh</w:t>
      </w:r>
      <w:r>
        <w:rPr>
          <w:rFonts w:ascii="Calibri" w:hAnsi="Calibri" w:cs="Calibri"/>
          <w:sz w:val="20"/>
        </w:rPr>
        <w:t xml:space="preserve">é 1 </w:t>
      </w:r>
      <w:r w:rsidRPr="00DD4A8E">
        <w:rPr>
          <w:rFonts w:ascii="Calibri" w:hAnsi="Calibri" w:cs="Calibri"/>
          <w:sz w:val="20"/>
        </w:rPr>
        <w:t>%</w:t>
      </w:r>
      <w:r>
        <w:rPr>
          <w:rFonts w:ascii="Calibri" w:hAnsi="Calibri" w:cs="Calibri"/>
          <w:sz w:val="20"/>
        </w:rPr>
        <w:t>. T</w:t>
      </w:r>
      <w:r w:rsidRPr="00DD4A8E">
        <w:rPr>
          <w:rFonts w:ascii="Calibri" w:hAnsi="Calibri" w:cs="Calibri"/>
          <w:sz w:val="20"/>
        </w:rPr>
        <w:t xml:space="preserve">oto nízké tempo růstu bude částečně dáno posilováním kurzu koruny, které samo o sobě povede ke snižování v korunách vykazovaného objemu </w:t>
      </w:r>
      <w:proofErr w:type="spellStart"/>
      <w:r w:rsidRPr="00DD4A8E">
        <w:rPr>
          <w:rFonts w:ascii="Calibri" w:hAnsi="Calibri" w:cs="Calibri"/>
          <w:sz w:val="20"/>
        </w:rPr>
        <w:t>cizoměnových</w:t>
      </w:r>
      <w:proofErr w:type="spellEnd"/>
      <w:r w:rsidRPr="00DD4A8E">
        <w:rPr>
          <w:rFonts w:ascii="Calibri" w:hAnsi="Calibri" w:cs="Calibri"/>
          <w:sz w:val="20"/>
        </w:rPr>
        <w:t xml:space="preserve"> úvěrů. Citelnější oživení úvěrové emise </w:t>
      </w:r>
      <w:r>
        <w:rPr>
          <w:rFonts w:ascii="Calibri" w:hAnsi="Calibri" w:cs="Calibri"/>
          <w:sz w:val="20"/>
        </w:rPr>
        <w:t xml:space="preserve">ve firemním sektoru </w:t>
      </w:r>
      <w:r w:rsidRPr="00DD4A8E">
        <w:rPr>
          <w:rFonts w:ascii="Calibri" w:hAnsi="Calibri" w:cs="Calibri"/>
          <w:sz w:val="20"/>
        </w:rPr>
        <w:t>hlavní ekonomové bank očekávají teprve napřesrok. V roce 2022 by měl být zhruba 5,</w:t>
      </w:r>
      <w:r w:rsidR="00A772EE">
        <w:rPr>
          <w:rFonts w:ascii="Calibri" w:hAnsi="Calibri" w:cs="Calibri"/>
          <w:sz w:val="20"/>
        </w:rPr>
        <w:t>2</w:t>
      </w:r>
      <w:r w:rsidRPr="00DD4A8E">
        <w:rPr>
          <w:rFonts w:ascii="Calibri" w:hAnsi="Calibri" w:cs="Calibri"/>
          <w:sz w:val="20"/>
        </w:rPr>
        <w:t xml:space="preserve">% růst klientských úvěrů rozdělen </w:t>
      </w:r>
      <w:r w:rsidRPr="00A772EE">
        <w:rPr>
          <w:rFonts w:ascii="Calibri" w:hAnsi="Calibri" w:cs="Calibri"/>
          <w:sz w:val="20"/>
        </w:rPr>
        <w:t>rovnoměrněji mezi 6% růst úvěrů domácnostem a 5</w:t>
      </w:r>
      <w:r w:rsidR="00A772EE" w:rsidRPr="00A772EE">
        <w:rPr>
          <w:rFonts w:ascii="Calibri" w:hAnsi="Calibri" w:cs="Calibri"/>
          <w:sz w:val="20"/>
        </w:rPr>
        <w:t>,1</w:t>
      </w:r>
      <w:r w:rsidRPr="00A772EE">
        <w:rPr>
          <w:rFonts w:ascii="Calibri" w:hAnsi="Calibri" w:cs="Calibri"/>
          <w:sz w:val="20"/>
        </w:rPr>
        <w:t>% růst úvěrů firmám. Stále vysoká míra nejistoty se odráží i ve vývoji klientských vkladů v bankách. Po loňském nárůstu o 10,8 % (!) lze letos očekávat stále nadprůměrné 8,5% tempo, které zvolní na 6,</w:t>
      </w:r>
      <w:r w:rsidR="00A772EE">
        <w:rPr>
          <w:rFonts w:ascii="Calibri" w:hAnsi="Calibri" w:cs="Calibri"/>
          <w:sz w:val="20"/>
        </w:rPr>
        <w:t>5</w:t>
      </w:r>
      <w:r w:rsidRPr="00A772EE">
        <w:rPr>
          <w:rFonts w:ascii="Calibri" w:hAnsi="Calibri" w:cs="Calibri"/>
          <w:sz w:val="20"/>
        </w:rPr>
        <w:t xml:space="preserve"> % teprve</w:t>
      </w:r>
      <w:r w:rsidRPr="00DD4A8E">
        <w:rPr>
          <w:rFonts w:ascii="Calibri" w:hAnsi="Calibri" w:cs="Calibri"/>
          <w:sz w:val="20"/>
        </w:rPr>
        <w:t xml:space="preserve"> v roce 2022.</w:t>
      </w:r>
      <w:r w:rsidRPr="00DD4A8E">
        <w:rPr>
          <w:rFonts w:ascii="Calibri" w:hAnsi="Calibri" w:cs="Calibri"/>
          <w:szCs w:val="18"/>
        </w:rPr>
        <w:t xml:space="preserve"> </w:t>
      </w:r>
    </w:p>
    <w:p w14:paraId="2C938065" w14:textId="31B16AB3" w:rsidR="00F37DC9" w:rsidRPr="00DD4A8E" w:rsidRDefault="00F37DC9" w:rsidP="00B4285D">
      <w:pPr>
        <w:rPr>
          <w:rFonts w:ascii="Calibri" w:hAnsi="Calibri" w:cs="Calibri"/>
          <w:szCs w:val="18"/>
        </w:rPr>
      </w:pPr>
    </w:p>
    <w:p w14:paraId="7E571DDB" w14:textId="77777777" w:rsidR="00F37DC9" w:rsidRPr="00DD4A8E" w:rsidRDefault="00F37DC9" w:rsidP="00B4285D">
      <w:pPr>
        <w:rPr>
          <w:rFonts w:ascii="Calibri" w:hAnsi="Calibri" w:cs="Calibri"/>
          <w:szCs w:val="18"/>
        </w:rPr>
      </w:pPr>
    </w:p>
    <w:p w14:paraId="5B66FEF5" w14:textId="29AED60F" w:rsidR="00C93158" w:rsidRPr="00DD4A8E" w:rsidRDefault="00C93158" w:rsidP="00B4285D">
      <w:pPr>
        <w:rPr>
          <w:rFonts w:ascii="Calibri" w:hAnsi="Calibri" w:cs="Calibri"/>
          <w:b/>
          <w:color w:val="13576B"/>
          <w:sz w:val="20"/>
        </w:rPr>
      </w:pPr>
      <w:r w:rsidRPr="00DD4A8E">
        <w:rPr>
          <w:rFonts w:ascii="Calibri" w:hAnsi="Calibri" w:cs="Calibri"/>
          <w:b/>
          <w:color w:val="13576B"/>
          <w:sz w:val="20"/>
        </w:rPr>
        <w:t>Prognózy růstu reálného HDP:</w:t>
      </w:r>
    </w:p>
    <w:p w14:paraId="1BAB9007" w14:textId="77777777" w:rsidR="00B83E9D" w:rsidRPr="00DD4A8E" w:rsidRDefault="00B83E9D" w:rsidP="00B4285D">
      <w:pPr>
        <w:rPr>
          <w:rFonts w:ascii="Calibri" w:hAnsi="Calibri" w:cs="Calibri"/>
          <w:b/>
          <w:color w:val="007E79"/>
          <w:sz w:val="20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126"/>
        <w:gridCol w:w="1417"/>
      </w:tblGrid>
      <w:tr w:rsidR="005C41EF" w:rsidRPr="00DD4A8E" w14:paraId="3241496F" w14:textId="75A6D5A4" w:rsidTr="00F37DC9">
        <w:trPr>
          <w:trHeight w:val="257"/>
        </w:trPr>
        <w:tc>
          <w:tcPr>
            <w:tcW w:w="6663" w:type="dxa"/>
            <w:shd w:val="clear" w:color="auto" w:fill="13576B"/>
            <w:vAlign w:val="center"/>
          </w:tcPr>
          <w:p w14:paraId="194FECE0" w14:textId="77777777" w:rsidR="005C41EF" w:rsidRPr="00DD4A8E" w:rsidRDefault="005C41EF" w:rsidP="00B4285D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FFFFFF"/>
                <w:sz w:val="20"/>
                <w:szCs w:val="18"/>
              </w:rPr>
            </w:pPr>
            <w:r w:rsidRPr="00DD4A8E">
              <w:rPr>
                <w:rFonts w:ascii="Calibri" w:hAnsi="Calibri" w:cs="Calibri"/>
                <w:b/>
                <w:bCs/>
                <w:color w:val="FFFFFF" w:themeColor="light1"/>
                <w:kern w:val="24"/>
                <w:sz w:val="20"/>
              </w:rPr>
              <w:t>Instituce (+ nejaktuálnější prognóza)</w:t>
            </w:r>
          </w:p>
        </w:tc>
        <w:tc>
          <w:tcPr>
            <w:tcW w:w="2126" w:type="dxa"/>
            <w:shd w:val="clear" w:color="auto" w:fill="13576B"/>
            <w:vAlign w:val="center"/>
          </w:tcPr>
          <w:p w14:paraId="17EF59AC" w14:textId="4A3801D8" w:rsidR="005C41EF" w:rsidRPr="00DD4A8E" w:rsidRDefault="005C41EF" w:rsidP="00725295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18"/>
              </w:rPr>
            </w:pPr>
            <w:r w:rsidRPr="00DD4A8E">
              <w:rPr>
                <w:rFonts w:ascii="Calibri" w:hAnsi="Calibri" w:cs="Calibri"/>
                <w:b/>
                <w:color w:val="FFFFFF"/>
                <w:sz w:val="20"/>
                <w:szCs w:val="18"/>
              </w:rPr>
              <w:t>2021</w:t>
            </w:r>
          </w:p>
        </w:tc>
        <w:tc>
          <w:tcPr>
            <w:tcW w:w="1417" w:type="dxa"/>
            <w:shd w:val="clear" w:color="auto" w:fill="13576B"/>
          </w:tcPr>
          <w:p w14:paraId="1C5EF096" w14:textId="602898D7" w:rsidR="005C41EF" w:rsidRPr="00DD4A8E" w:rsidRDefault="005C41EF" w:rsidP="00B4285D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18"/>
              </w:rPr>
            </w:pPr>
            <w:r w:rsidRPr="00DD4A8E">
              <w:rPr>
                <w:rFonts w:ascii="Calibri" w:hAnsi="Calibri" w:cs="Calibri"/>
                <w:b/>
                <w:color w:val="FFFFFF"/>
                <w:sz w:val="20"/>
                <w:szCs w:val="18"/>
              </w:rPr>
              <w:t>2022</w:t>
            </w:r>
          </w:p>
        </w:tc>
      </w:tr>
      <w:tr w:rsidR="005C41EF" w:rsidRPr="00DD4A8E" w14:paraId="48CA0C97" w14:textId="014075A6" w:rsidTr="00A60208">
        <w:trPr>
          <w:trHeight w:val="257"/>
        </w:trPr>
        <w:tc>
          <w:tcPr>
            <w:tcW w:w="6663" w:type="dxa"/>
            <w:shd w:val="clear" w:color="auto" w:fill="auto"/>
            <w:vAlign w:val="center"/>
          </w:tcPr>
          <w:p w14:paraId="0DAAF388" w14:textId="7EDC1B0C" w:rsidR="005C41EF" w:rsidRPr="00DD4A8E" w:rsidRDefault="005C41EF" w:rsidP="00635F63">
            <w:pPr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DD4A8E">
              <w:rPr>
                <w:rFonts w:ascii="Calibri" w:hAnsi="Calibri" w:cs="Calibri"/>
                <w:sz w:val="20"/>
                <w:szCs w:val="18"/>
              </w:rPr>
              <w:t xml:space="preserve">ČNB (prognóza </w:t>
            </w:r>
            <w:r w:rsidR="00851A29" w:rsidRPr="00DD4A8E">
              <w:rPr>
                <w:rFonts w:ascii="Calibri" w:hAnsi="Calibri" w:cs="Calibri"/>
                <w:sz w:val="20"/>
                <w:szCs w:val="18"/>
              </w:rPr>
              <w:t>srpen</w:t>
            </w:r>
            <w:r w:rsidRPr="00DD4A8E">
              <w:rPr>
                <w:rFonts w:ascii="Calibri" w:hAnsi="Calibri" w:cs="Calibri"/>
                <w:sz w:val="20"/>
                <w:szCs w:val="18"/>
              </w:rPr>
              <w:t xml:space="preserve"> 2021)           </w:t>
            </w:r>
          </w:p>
        </w:tc>
        <w:tc>
          <w:tcPr>
            <w:tcW w:w="2126" w:type="dxa"/>
            <w:vAlign w:val="center"/>
          </w:tcPr>
          <w:p w14:paraId="175007AF" w14:textId="5F8DE054" w:rsidR="005C41EF" w:rsidRPr="00DD4A8E" w:rsidRDefault="00484A70" w:rsidP="00B4285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4A8E">
              <w:rPr>
                <w:rFonts w:ascii="Calibri" w:hAnsi="Calibri" w:cs="Calibri"/>
                <w:sz w:val="20"/>
                <w:szCs w:val="18"/>
              </w:rPr>
              <w:t xml:space="preserve">3,5 </w:t>
            </w:r>
            <w:r w:rsidR="005C41EF" w:rsidRPr="00DD4A8E">
              <w:rPr>
                <w:rFonts w:ascii="Calibri" w:hAnsi="Calibri" w:cs="Calibri"/>
                <w:sz w:val="20"/>
                <w:szCs w:val="18"/>
              </w:rPr>
              <w:t>%</w:t>
            </w:r>
          </w:p>
        </w:tc>
        <w:tc>
          <w:tcPr>
            <w:tcW w:w="1417" w:type="dxa"/>
          </w:tcPr>
          <w:p w14:paraId="20EE1BE7" w14:textId="216EE5B2" w:rsidR="005C41EF" w:rsidRPr="00DD4A8E" w:rsidRDefault="002050D0" w:rsidP="00B4285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4A8E">
              <w:rPr>
                <w:rFonts w:ascii="Calibri" w:hAnsi="Calibri" w:cs="Calibri"/>
                <w:sz w:val="20"/>
                <w:szCs w:val="18"/>
              </w:rPr>
              <w:t>4,</w:t>
            </w:r>
            <w:r w:rsidR="00484A70" w:rsidRPr="00DD4A8E">
              <w:rPr>
                <w:rFonts w:ascii="Calibri" w:hAnsi="Calibri" w:cs="Calibri"/>
                <w:sz w:val="20"/>
                <w:szCs w:val="18"/>
              </w:rPr>
              <w:t>1</w:t>
            </w:r>
            <w:r w:rsidR="005C41EF" w:rsidRPr="00DD4A8E">
              <w:rPr>
                <w:rFonts w:ascii="Calibri" w:hAnsi="Calibri" w:cs="Calibri"/>
                <w:sz w:val="20"/>
                <w:szCs w:val="18"/>
              </w:rPr>
              <w:t xml:space="preserve"> %</w:t>
            </w:r>
          </w:p>
        </w:tc>
      </w:tr>
      <w:tr w:rsidR="005C41EF" w:rsidRPr="00DD4A8E" w14:paraId="36CF2337" w14:textId="69B1220B" w:rsidTr="00A60208">
        <w:trPr>
          <w:trHeight w:val="257"/>
        </w:trPr>
        <w:tc>
          <w:tcPr>
            <w:tcW w:w="6663" w:type="dxa"/>
            <w:shd w:val="clear" w:color="auto" w:fill="auto"/>
            <w:vAlign w:val="center"/>
          </w:tcPr>
          <w:p w14:paraId="0A51EAB4" w14:textId="5EFA0801" w:rsidR="005C41EF" w:rsidRPr="00DD4A8E" w:rsidRDefault="005C41EF" w:rsidP="00A60208">
            <w:pPr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DD4A8E">
              <w:rPr>
                <w:rFonts w:ascii="Calibri" w:hAnsi="Calibri" w:cs="Calibri"/>
                <w:sz w:val="20"/>
                <w:szCs w:val="18"/>
              </w:rPr>
              <w:t xml:space="preserve">Ministerstvo financí ČR (makroekonomická predikce duben 2021)             </w:t>
            </w:r>
          </w:p>
        </w:tc>
        <w:tc>
          <w:tcPr>
            <w:tcW w:w="2126" w:type="dxa"/>
            <w:vAlign w:val="center"/>
          </w:tcPr>
          <w:p w14:paraId="5ED9946E" w14:textId="7A262992" w:rsidR="005C41EF" w:rsidRPr="00DD4A8E" w:rsidRDefault="005C41EF" w:rsidP="00B4285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4A8E">
              <w:rPr>
                <w:rFonts w:ascii="Calibri" w:hAnsi="Calibri" w:cs="Calibri"/>
                <w:sz w:val="20"/>
                <w:szCs w:val="18"/>
              </w:rPr>
              <w:t>3,1 %</w:t>
            </w:r>
          </w:p>
        </w:tc>
        <w:tc>
          <w:tcPr>
            <w:tcW w:w="1417" w:type="dxa"/>
          </w:tcPr>
          <w:p w14:paraId="4B73DD05" w14:textId="0A9D77B4" w:rsidR="005C41EF" w:rsidRPr="00DD4A8E" w:rsidRDefault="005C41EF" w:rsidP="00B4285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4A8E">
              <w:rPr>
                <w:rFonts w:ascii="Calibri" w:hAnsi="Calibri" w:cs="Calibri"/>
                <w:sz w:val="20"/>
                <w:szCs w:val="18"/>
              </w:rPr>
              <w:t>3,</w:t>
            </w:r>
            <w:r w:rsidR="00A60208" w:rsidRPr="00DD4A8E">
              <w:rPr>
                <w:rFonts w:ascii="Calibri" w:hAnsi="Calibri" w:cs="Calibri"/>
                <w:sz w:val="20"/>
                <w:szCs w:val="18"/>
              </w:rPr>
              <w:t>7</w:t>
            </w:r>
            <w:r w:rsidRPr="00DD4A8E">
              <w:rPr>
                <w:rFonts w:ascii="Calibri" w:hAnsi="Calibri" w:cs="Calibri"/>
                <w:sz w:val="20"/>
                <w:szCs w:val="18"/>
              </w:rPr>
              <w:t xml:space="preserve"> %</w:t>
            </w:r>
          </w:p>
        </w:tc>
      </w:tr>
      <w:tr w:rsidR="005C41EF" w:rsidRPr="00DD4A8E" w14:paraId="33F36580" w14:textId="36F2E2E2" w:rsidTr="00A60208">
        <w:trPr>
          <w:trHeight w:val="257"/>
        </w:trPr>
        <w:tc>
          <w:tcPr>
            <w:tcW w:w="6663" w:type="dxa"/>
            <w:shd w:val="clear" w:color="auto" w:fill="auto"/>
            <w:vAlign w:val="center"/>
          </w:tcPr>
          <w:p w14:paraId="0622E4DC" w14:textId="0C90F208" w:rsidR="005C41EF" w:rsidRPr="00DD4A8E" w:rsidRDefault="005C41EF" w:rsidP="00635F63">
            <w:pPr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DD4A8E">
              <w:rPr>
                <w:rFonts w:ascii="Calibri" w:hAnsi="Calibri" w:cs="Calibri"/>
                <w:sz w:val="20"/>
                <w:szCs w:val="18"/>
              </w:rPr>
              <w:t>Evropská komise (</w:t>
            </w:r>
            <w:proofErr w:type="spellStart"/>
            <w:r w:rsidR="008E1BD7" w:rsidRPr="00DD4A8E">
              <w:rPr>
                <w:rFonts w:ascii="Calibri" w:hAnsi="Calibri" w:cs="Calibri"/>
                <w:sz w:val="20"/>
                <w:szCs w:val="18"/>
              </w:rPr>
              <w:t>S</w:t>
            </w:r>
            <w:r w:rsidR="00537C68" w:rsidRPr="00DD4A8E">
              <w:rPr>
                <w:rFonts w:ascii="Calibri" w:hAnsi="Calibri" w:cs="Calibri"/>
                <w:sz w:val="20"/>
                <w:szCs w:val="18"/>
              </w:rPr>
              <w:t>ummer</w:t>
            </w:r>
            <w:proofErr w:type="spellEnd"/>
            <w:r w:rsidRPr="00DD4A8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DD4A8E">
              <w:rPr>
                <w:rFonts w:ascii="Calibri" w:hAnsi="Calibri" w:cs="Calibri"/>
                <w:sz w:val="20"/>
                <w:szCs w:val="18"/>
              </w:rPr>
              <w:t>Economic</w:t>
            </w:r>
            <w:proofErr w:type="spellEnd"/>
            <w:r w:rsidRPr="00DD4A8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DD4A8E">
              <w:rPr>
                <w:rFonts w:ascii="Calibri" w:hAnsi="Calibri" w:cs="Calibri"/>
                <w:sz w:val="20"/>
                <w:szCs w:val="18"/>
              </w:rPr>
              <w:t>Forecast</w:t>
            </w:r>
            <w:proofErr w:type="spellEnd"/>
            <w:r w:rsidRPr="00DD4A8E">
              <w:rPr>
                <w:rFonts w:ascii="Calibri" w:hAnsi="Calibri" w:cs="Calibri"/>
                <w:sz w:val="20"/>
                <w:szCs w:val="18"/>
              </w:rPr>
              <w:t xml:space="preserve">, </w:t>
            </w:r>
            <w:r w:rsidR="00537C68" w:rsidRPr="00DD4A8E">
              <w:rPr>
                <w:rFonts w:ascii="Calibri" w:hAnsi="Calibri" w:cs="Calibri"/>
                <w:sz w:val="20"/>
                <w:szCs w:val="18"/>
              </w:rPr>
              <w:t>červenec</w:t>
            </w:r>
            <w:r w:rsidRPr="00DD4A8E">
              <w:rPr>
                <w:rFonts w:ascii="Calibri" w:hAnsi="Calibri" w:cs="Calibri"/>
                <w:sz w:val="20"/>
                <w:szCs w:val="18"/>
              </w:rPr>
              <w:t xml:space="preserve"> 202</w:t>
            </w:r>
            <w:r w:rsidR="00A60208" w:rsidRPr="00DD4A8E">
              <w:rPr>
                <w:rFonts w:ascii="Calibri" w:hAnsi="Calibri" w:cs="Calibri"/>
                <w:sz w:val="20"/>
                <w:szCs w:val="18"/>
              </w:rPr>
              <w:t>1</w:t>
            </w:r>
            <w:r w:rsidRPr="00DD4A8E">
              <w:rPr>
                <w:rFonts w:ascii="Calibri" w:hAnsi="Calibri" w:cs="Calibri"/>
                <w:sz w:val="20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6F97F733" w14:textId="6D5F75CC" w:rsidR="005C41EF" w:rsidRPr="00DD4A8E" w:rsidRDefault="005C41EF" w:rsidP="00B4285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4A8E">
              <w:rPr>
                <w:rFonts w:ascii="Calibri" w:hAnsi="Calibri" w:cs="Calibri"/>
                <w:sz w:val="20"/>
                <w:szCs w:val="18"/>
              </w:rPr>
              <w:t>3,</w:t>
            </w:r>
            <w:r w:rsidR="00537C68" w:rsidRPr="00DD4A8E">
              <w:rPr>
                <w:rFonts w:ascii="Calibri" w:hAnsi="Calibri" w:cs="Calibri"/>
                <w:sz w:val="20"/>
                <w:szCs w:val="18"/>
              </w:rPr>
              <w:t>9</w:t>
            </w:r>
            <w:r w:rsidRPr="00DD4A8E">
              <w:rPr>
                <w:rFonts w:ascii="Calibri" w:hAnsi="Calibri" w:cs="Calibri"/>
                <w:sz w:val="20"/>
                <w:szCs w:val="18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14:paraId="1EF6B851" w14:textId="1479E692" w:rsidR="005C41EF" w:rsidRPr="00DD4A8E" w:rsidRDefault="008E1BD7" w:rsidP="005E5B52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4A8E">
              <w:rPr>
                <w:rFonts w:ascii="Calibri" w:hAnsi="Calibri" w:cs="Calibri"/>
                <w:sz w:val="20"/>
                <w:szCs w:val="18"/>
              </w:rPr>
              <w:t>4</w:t>
            </w:r>
            <w:r w:rsidR="00A60208" w:rsidRPr="00DD4A8E">
              <w:rPr>
                <w:rFonts w:ascii="Calibri" w:hAnsi="Calibri" w:cs="Calibri"/>
                <w:sz w:val="20"/>
                <w:szCs w:val="18"/>
              </w:rPr>
              <w:t>,</w:t>
            </w:r>
            <w:r w:rsidR="00537C68" w:rsidRPr="00DD4A8E">
              <w:rPr>
                <w:rFonts w:ascii="Calibri" w:hAnsi="Calibri" w:cs="Calibri"/>
                <w:sz w:val="20"/>
                <w:szCs w:val="18"/>
              </w:rPr>
              <w:t>5</w:t>
            </w:r>
            <w:r w:rsidR="005C41EF" w:rsidRPr="00DD4A8E">
              <w:rPr>
                <w:rFonts w:ascii="Calibri" w:hAnsi="Calibri" w:cs="Calibri"/>
                <w:sz w:val="20"/>
                <w:szCs w:val="18"/>
              </w:rPr>
              <w:t xml:space="preserve"> %</w:t>
            </w:r>
          </w:p>
        </w:tc>
      </w:tr>
      <w:tr w:rsidR="005C41EF" w:rsidRPr="00DD4A8E" w14:paraId="1841127B" w14:textId="7A09C873" w:rsidTr="00A60208">
        <w:trPr>
          <w:trHeight w:val="257"/>
        </w:trPr>
        <w:tc>
          <w:tcPr>
            <w:tcW w:w="6663" w:type="dxa"/>
            <w:shd w:val="clear" w:color="auto" w:fill="auto"/>
            <w:vAlign w:val="center"/>
          </w:tcPr>
          <w:p w14:paraId="4386D38A" w14:textId="03925140" w:rsidR="005C41EF" w:rsidRPr="00DD4A8E" w:rsidRDefault="005C41EF" w:rsidP="00635F63">
            <w:pPr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DD4A8E">
              <w:rPr>
                <w:rFonts w:ascii="Calibri" w:hAnsi="Calibri" w:cs="Calibri"/>
                <w:sz w:val="20"/>
                <w:szCs w:val="18"/>
              </w:rPr>
              <w:t>MMF (</w:t>
            </w:r>
            <w:proofErr w:type="spellStart"/>
            <w:r w:rsidRPr="00DD4A8E">
              <w:rPr>
                <w:rFonts w:ascii="Calibri" w:hAnsi="Calibri" w:cs="Calibri"/>
                <w:sz w:val="20"/>
                <w:szCs w:val="18"/>
              </w:rPr>
              <w:t>World</w:t>
            </w:r>
            <w:proofErr w:type="spellEnd"/>
            <w:r w:rsidRPr="00DD4A8E"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proofErr w:type="spellStart"/>
            <w:r w:rsidRPr="00DD4A8E">
              <w:rPr>
                <w:rFonts w:ascii="Calibri" w:hAnsi="Calibri" w:cs="Calibri"/>
                <w:sz w:val="20"/>
                <w:szCs w:val="18"/>
              </w:rPr>
              <w:t>Economic</w:t>
            </w:r>
            <w:proofErr w:type="spellEnd"/>
            <w:r w:rsidRPr="00DD4A8E">
              <w:rPr>
                <w:rFonts w:ascii="Calibri" w:hAnsi="Calibri" w:cs="Calibri"/>
                <w:sz w:val="20"/>
                <w:szCs w:val="18"/>
              </w:rPr>
              <w:t xml:space="preserve"> Outlook, </w:t>
            </w:r>
            <w:r w:rsidR="00A60208" w:rsidRPr="00DD4A8E">
              <w:rPr>
                <w:rFonts w:ascii="Calibri" w:hAnsi="Calibri" w:cs="Calibri"/>
                <w:sz w:val="20"/>
                <w:szCs w:val="18"/>
              </w:rPr>
              <w:t>duben</w:t>
            </w:r>
            <w:r w:rsidRPr="00DD4A8E">
              <w:rPr>
                <w:rFonts w:ascii="Calibri" w:hAnsi="Calibri" w:cs="Calibri"/>
                <w:sz w:val="20"/>
                <w:szCs w:val="18"/>
              </w:rPr>
              <w:t xml:space="preserve"> 2021)    </w:t>
            </w:r>
          </w:p>
        </w:tc>
        <w:tc>
          <w:tcPr>
            <w:tcW w:w="2126" w:type="dxa"/>
            <w:vAlign w:val="center"/>
          </w:tcPr>
          <w:p w14:paraId="5B1F6A61" w14:textId="1357A362" w:rsidR="005C41EF" w:rsidRPr="00DD4A8E" w:rsidRDefault="00224038" w:rsidP="00B4285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4A8E">
              <w:rPr>
                <w:rFonts w:ascii="Calibri" w:hAnsi="Calibri" w:cs="Calibri"/>
                <w:sz w:val="20"/>
                <w:szCs w:val="18"/>
              </w:rPr>
              <w:t>4,2</w:t>
            </w:r>
            <w:r w:rsidR="005C41EF" w:rsidRPr="00DD4A8E">
              <w:rPr>
                <w:rFonts w:ascii="Calibri" w:hAnsi="Calibri" w:cs="Calibri"/>
                <w:sz w:val="20"/>
                <w:szCs w:val="18"/>
              </w:rPr>
              <w:t xml:space="preserve"> %</w:t>
            </w:r>
          </w:p>
        </w:tc>
        <w:tc>
          <w:tcPr>
            <w:tcW w:w="1417" w:type="dxa"/>
          </w:tcPr>
          <w:p w14:paraId="645BD97D" w14:textId="72BD9259" w:rsidR="005C41EF" w:rsidRPr="00DD4A8E" w:rsidRDefault="005C41EF" w:rsidP="00B4285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4A8E">
              <w:rPr>
                <w:rFonts w:ascii="Calibri" w:hAnsi="Calibri" w:cs="Calibri"/>
                <w:sz w:val="20"/>
                <w:szCs w:val="18"/>
              </w:rPr>
              <w:t>4,3 %</w:t>
            </w:r>
          </w:p>
        </w:tc>
      </w:tr>
      <w:tr w:rsidR="005C41EF" w:rsidRPr="00DD4A8E" w14:paraId="136774CF" w14:textId="32B3780A" w:rsidTr="00A60208">
        <w:trPr>
          <w:trHeight w:val="257"/>
        </w:trPr>
        <w:tc>
          <w:tcPr>
            <w:tcW w:w="6663" w:type="dxa"/>
            <w:shd w:val="clear" w:color="auto" w:fill="auto"/>
            <w:vAlign w:val="center"/>
          </w:tcPr>
          <w:p w14:paraId="65AA4375" w14:textId="7CB90305" w:rsidR="005C41EF" w:rsidRPr="00DD4A8E" w:rsidRDefault="005C41EF" w:rsidP="00635F63">
            <w:pPr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DD4A8E">
              <w:rPr>
                <w:rFonts w:ascii="Calibri" w:hAnsi="Calibri" w:cs="Calibri"/>
                <w:sz w:val="20"/>
                <w:szCs w:val="18"/>
              </w:rPr>
              <w:t>OECD (</w:t>
            </w:r>
            <w:proofErr w:type="spellStart"/>
            <w:r w:rsidRPr="00DD4A8E">
              <w:rPr>
                <w:rFonts w:ascii="Calibri" w:hAnsi="Calibri" w:cs="Calibri"/>
                <w:sz w:val="20"/>
                <w:szCs w:val="18"/>
              </w:rPr>
              <w:t>Economic</w:t>
            </w:r>
            <w:proofErr w:type="spellEnd"/>
            <w:r w:rsidRPr="00DD4A8E">
              <w:rPr>
                <w:rFonts w:ascii="Calibri" w:hAnsi="Calibri" w:cs="Calibri"/>
                <w:sz w:val="20"/>
                <w:szCs w:val="18"/>
              </w:rPr>
              <w:t xml:space="preserve"> Outlook, </w:t>
            </w:r>
            <w:r w:rsidR="00851A29" w:rsidRPr="00DD4A8E">
              <w:rPr>
                <w:rFonts w:ascii="Calibri" w:hAnsi="Calibri" w:cs="Calibri"/>
                <w:sz w:val="20"/>
                <w:szCs w:val="18"/>
              </w:rPr>
              <w:t>květen</w:t>
            </w:r>
            <w:r w:rsidRPr="00DD4A8E">
              <w:rPr>
                <w:rFonts w:ascii="Calibri" w:hAnsi="Calibri" w:cs="Calibri"/>
                <w:sz w:val="20"/>
                <w:szCs w:val="18"/>
              </w:rPr>
              <w:t xml:space="preserve"> 202</w:t>
            </w:r>
            <w:r w:rsidR="00851A29" w:rsidRPr="00DD4A8E">
              <w:rPr>
                <w:rFonts w:ascii="Calibri" w:hAnsi="Calibri" w:cs="Calibri"/>
                <w:sz w:val="20"/>
                <w:szCs w:val="18"/>
              </w:rPr>
              <w:t>1</w:t>
            </w:r>
            <w:r w:rsidRPr="00DD4A8E">
              <w:rPr>
                <w:rFonts w:ascii="Calibri" w:hAnsi="Calibri" w:cs="Calibri"/>
                <w:sz w:val="20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7D507A0E" w14:textId="5BAB0536" w:rsidR="005C41EF" w:rsidRPr="00DD4A8E" w:rsidRDefault="00851A29" w:rsidP="00B4285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4A8E">
              <w:rPr>
                <w:rFonts w:ascii="Calibri" w:hAnsi="Calibri" w:cs="Calibri"/>
                <w:sz w:val="20"/>
                <w:szCs w:val="18"/>
              </w:rPr>
              <w:t>3,3</w:t>
            </w:r>
            <w:r w:rsidR="005C41EF" w:rsidRPr="00DD4A8E">
              <w:rPr>
                <w:rFonts w:ascii="Calibri" w:hAnsi="Calibri" w:cs="Calibri"/>
                <w:sz w:val="20"/>
                <w:szCs w:val="18"/>
              </w:rPr>
              <w:t xml:space="preserve"> %</w:t>
            </w:r>
          </w:p>
        </w:tc>
        <w:tc>
          <w:tcPr>
            <w:tcW w:w="1417" w:type="dxa"/>
          </w:tcPr>
          <w:p w14:paraId="2A10D321" w14:textId="255E8C3B" w:rsidR="005C41EF" w:rsidRPr="00DD4A8E" w:rsidRDefault="00851A29" w:rsidP="00B4285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DD4A8E">
              <w:rPr>
                <w:rFonts w:ascii="Calibri" w:hAnsi="Calibri" w:cs="Calibri"/>
                <w:sz w:val="20"/>
                <w:szCs w:val="18"/>
              </w:rPr>
              <w:t>4,9</w:t>
            </w:r>
            <w:r w:rsidR="005C41EF" w:rsidRPr="00DD4A8E">
              <w:rPr>
                <w:rFonts w:ascii="Calibri" w:hAnsi="Calibri" w:cs="Calibri"/>
                <w:sz w:val="20"/>
                <w:szCs w:val="18"/>
              </w:rPr>
              <w:t xml:space="preserve"> %</w:t>
            </w:r>
          </w:p>
        </w:tc>
      </w:tr>
      <w:tr w:rsidR="005C41EF" w:rsidRPr="00DD4A8E" w14:paraId="04F9D0FF" w14:textId="62805501" w:rsidTr="00A60208">
        <w:trPr>
          <w:trHeight w:val="242"/>
        </w:trPr>
        <w:tc>
          <w:tcPr>
            <w:tcW w:w="6663" w:type="dxa"/>
            <w:shd w:val="clear" w:color="auto" w:fill="auto"/>
            <w:vAlign w:val="center"/>
          </w:tcPr>
          <w:p w14:paraId="136EA678" w14:textId="26B97391" w:rsidR="005C41EF" w:rsidRPr="00DD4A8E" w:rsidRDefault="005C41EF" w:rsidP="00635F63">
            <w:pPr>
              <w:jc w:val="left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 w:rsidRPr="00DD4A8E"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  <w:t xml:space="preserve">ČBA (prognóza </w:t>
            </w:r>
            <w:r w:rsidR="00F24AFC" w:rsidRPr="00DD4A8E"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  <w:t>srp</w:t>
            </w:r>
            <w:r w:rsidR="00224038" w:rsidRPr="00DD4A8E"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  <w:t>en</w:t>
            </w:r>
            <w:r w:rsidRPr="00DD4A8E">
              <w:rPr>
                <w:rFonts w:ascii="Calibri" w:hAnsi="Calibri" w:cs="Calibri"/>
                <w:b/>
                <w:bCs/>
                <w:color w:val="FF0000"/>
                <w:sz w:val="20"/>
                <w:szCs w:val="18"/>
              </w:rPr>
              <w:t xml:space="preserve"> 2021)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8CB755" w14:textId="391E777E" w:rsidR="005C41EF" w:rsidRPr="00DD4A8E" w:rsidRDefault="003A1647" w:rsidP="00B4285D">
            <w:pPr>
              <w:pStyle w:val="Normln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DD4A8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3,</w:t>
            </w:r>
            <w:r w:rsidR="00484A70" w:rsidRPr="00DD4A8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</w:t>
            </w:r>
            <w:r w:rsidRPr="00DD4A8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C41EF" w:rsidRPr="00DD4A8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14:paraId="7049F428" w14:textId="48903519" w:rsidR="005C41EF" w:rsidRPr="00DD4A8E" w:rsidRDefault="005C41EF" w:rsidP="00B4285D">
            <w:pPr>
              <w:pStyle w:val="Normlnweb"/>
              <w:spacing w:before="0" w:beforeAutospacing="0" w:after="0" w:afterAutospacing="0"/>
              <w:jc w:val="center"/>
              <w:textAlignment w:val="bottom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DD4A8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4,</w:t>
            </w:r>
            <w:r w:rsidR="00484A70" w:rsidRPr="00DD4A8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5</w:t>
            </w:r>
            <w:r w:rsidRPr="00DD4A8E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%</w:t>
            </w:r>
          </w:p>
        </w:tc>
      </w:tr>
    </w:tbl>
    <w:p w14:paraId="76A4FED4" w14:textId="734CDE40" w:rsidR="007D666C" w:rsidRPr="00DD4A8E" w:rsidRDefault="007D666C" w:rsidP="00635F63">
      <w:pPr>
        <w:rPr>
          <w:rFonts w:ascii="Calibri" w:hAnsi="Calibri" w:cs="Calibri"/>
          <w:b/>
          <w:color w:val="007E79"/>
          <w:sz w:val="20"/>
        </w:rPr>
      </w:pPr>
    </w:p>
    <w:p w14:paraId="0FC19613" w14:textId="25828413" w:rsidR="00C93158" w:rsidRPr="00F37DC9" w:rsidRDefault="00C93158" w:rsidP="00B4285D">
      <w:pPr>
        <w:rPr>
          <w:rFonts w:ascii="Calibri" w:hAnsi="Calibri" w:cs="Calibri"/>
          <w:b/>
          <w:color w:val="007E79"/>
          <w:sz w:val="20"/>
        </w:rPr>
      </w:pPr>
      <w:r w:rsidRPr="00DD4A8E">
        <w:rPr>
          <w:rFonts w:ascii="Calibri" w:hAnsi="Calibri" w:cs="Calibri"/>
          <w:b/>
          <w:color w:val="13576B"/>
          <w:sz w:val="20"/>
        </w:rPr>
        <w:t>Makroekonomická prognóza ČBA v číslech:</w:t>
      </w:r>
    </w:p>
    <w:p w14:paraId="10A71CAA" w14:textId="5C88FB90" w:rsidR="00C93158" w:rsidRPr="00F37DC9" w:rsidRDefault="00C93158" w:rsidP="00B4285D">
      <w:pPr>
        <w:rPr>
          <w:rFonts w:ascii="Calibri" w:hAnsi="Calibri" w:cs="Calibri"/>
          <w:sz w:val="20"/>
          <w:szCs w:val="18"/>
        </w:rPr>
      </w:pPr>
    </w:p>
    <w:tbl>
      <w:tblPr>
        <w:tblW w:w="1024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1694"/>
        <w:gridCol w:w="1843"/>
        <w:gridCol w:w="1607"/>
      </w:tblGrid>
      <w:tr w:rsidR="00156EF2" w:rsidRPr="00F37DC9" w14:paraId="4B1594D4" w14:textId="5AF73129" w:rsidTr="00F37DC9">
        <w:trPr>
          <w:trHeight w:val="90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568ED" w14:textId="77777777" w:rsidR="00156EF2" w:rsidRPr="00F37DC9" w:rsidRDefault="00156EF2" w:rsidP="00B4285D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Ukazatel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2BA5F" w14:textId="77777777" w:rsidR="00F37DC9" w:rsidRDefault="00156EF2" w:rsidP="00B4285D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20</w:t>
            </w:r>
            <w:r w:rsidR="007204F9"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20</w:t>
            </w: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 xml:space="preserve"> </w:t>
            </w:r>
          </w:p>
          <w:p w14:paraId="28E7FCB5" w14:textId="7D0EA5FC" w:rsidR="00156EF2" w:rsidRPr="00F37DC9" w:rsidRDefault="00156EF2" w:rsidP="00B4285D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(</w:t>
            </w:r>
            <w:r w:rsidRPr="00DD4A8E">
              <w:rPr>
                <w:rFonts w:ascii="Calibri" w:hAnsi="Calibri" w:cs="Calibri"/>
                <w:b/>
                <w:bCs/>
                <w:color w:val="FFFFFF" w:themeColor="background1"/>
                <w:kern w:val="24"/>
                <w:szCs w:val="18"/>
              </w:rPr>
              <w:t>skutečnost</w:t>
            </w: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)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9A869" w14:textId="4593D707" w:rsidR="00B83E9D" w:rsidRPr="00F37DC9" w:rsidRDefault="00156EF2" w:rsidP="00B4285D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202</w:t>
            </w:r>
            <w:r w:rsidR="007204F9"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1</w:t>
            </w: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 xml:space="preserve"> </w:t>
            </w:r>
          </w:p>
          <w:p w14:paraId="66D66CB7" w14:textId="2D8628D8" w:rsidR="00156EF2" w:rsidRPr="00F37DC9" w:rsidRDefault="00156EF2" w:rsidP="00B4285D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(prognóza)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3576B"/>
            <w:vAlign w:val="center"/>
          </w:tcPr>
          <w:p w14:paraId="38B58E05" w14:textId="674BBD8B" w:rsidR="00B83E9D" w:rsidRPr="00F37DC9" w:rsidRDefault="007204F9" w:rsidP="00B4285D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2022</w:t>
            </w:r>
            <w:r w:rsidR="00156EF2"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 xml:space="preserve"> </w:t>
            </w:r>
          </w:p>
          <w:p w14:paraId="5825E283" w14:textId="20C4CB3C" w:rsidR="00156EF2" w:rsidRPr="00F37DC9" w:rsidRDefault="00156EF2" w:rsidP="00B4285D">
            <w:pPr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(prognóza)</w:t>
            </w:r>
          </w:p>
        </w:tc>
      </w:tr>
      <w:tr w:rsidR="006733E8" w:rsidRPr="00F37DC9" w14:paraId="6C6060CF" w14:textId="406F95A7" w:rsidTr="00F37DC9">
        <w:trPr>
          <w:trHeight w:val="89"/>
          <w:jc w:val="center"/>
        </w:trPr>
        <w:tc>
          <w:tcPr>
            <w:tcW w:w="5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B5585" w14:textId="77777777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reálného HDP (%)</w:t>
            </w:r>
          </w:p>
        </w:tc>
        <w:tc>
          <w:tcPr>
            <w:tcW w:w="16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A0394A" w14:textId="34E9BB31" w:rsidR="006733E8" w:rsidRPr="00DD4A8E" w:rsidRDefault="006733E8" w:rsidP="006733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-5,</w:t>
            </w:r>
            <w:r w:rsidR="00C73708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27DCA" w14:textId="4BF3960B" w:rsidR="006733E8" w:rsidRPr="00DD4A8E" w:rsidRDefault="004D1CED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3,</w:t>
            </w:r>
            <w:r w:rsidR="00484A70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4</w:t>
            </w:r>
          </w:p>
        </w:tc>
        <w:tc>
          <w:tcPr>
            <w:tcW w:w="160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13CD0E3F" w14:textId="75FF66CB" w:rsidR="006733E8" w:rsidRPr="00DD4A8E" w:rsidRDefault="004D1CED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4,</w:t>
            </w:r>
            <w:r w:rsidR="00484A70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5</w:t>
            </w:r>
          </w:p>
        </w:tc>
      </w:tr>
      <w:tr w:rsidR="006733E8" w:rsidRPr="00F37DC9" w14:paraId="646474FC" w14:textId="3CA853EA" w:rsidTr="00F37DC9">
        <w:trPr>
          <w:trHeight w:val="93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EC867" w14:textId="77777777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Podíl nezaměstnaných osob (MPSV): průměr (%)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AAA210" w14:textId="4518A5CE" w:rsidR="006733E8" w:rsidRPr="00DD4A8E" w:rsidRDefault="006733E8" w:rsidP="006733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3,6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17F024" w14:textId="5C60007E" w:rsidR="006733E8" w:rsidRPr="00DD4A8E" w:rsidRDefault="004D1CED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4,</w:t>
            </w:r>
            <w:r w:rsidR="00611EF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0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20A8075C" w14:textId="1173374C" w:rsidR="006733E8" w:rsidRPr="00DD4A8E" w:rsidRDefault="00DD4A8E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3,6</w:t>
            </w:r>
          </w:p>
        </w:tc>
      </w:tr>
      <w:tr w:rsidR="006733E8" w:rsidRPr="00F37DC9" w14:paraId="636D37C4" w14:textId="692F159B" w:rsidTr="00F37DC9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8D490" w14:textId="77777777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Průměrná nominální mzda (růst v %)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A15EC4" w14:textId="0404A937" w:rsidR="006733E8" w:rsidRPr="00DD4A8E" w:rsidRDefault="006733E8" w:rsidP="006733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BD4E2E" w14:textId="43B2624C" w:rsidR="006733E8" w:rsidRPr="00DD4A8E" w:rsidRDefault="00611EFE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4,2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4E5CDC8F" w14:textId="5595E1C5" w:rsidR="006733E8" w:rsidRPr="00DD4A8E" w:rsidRDefault="004D1CED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4,</w:t>
            </w:r>
            <w:r w:rsidR="00DD4A8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5</w:t>
            </w:r>
          </w:p>
        </w:tc>
      </w:tr>
      <w:tr w:rsidR="006733E8" w:rsidRPr="00F37DC9" w14:paraId="3BA814CF" w14:textId="5B864073" w:rsidTr="00F37DC9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13A2F" w14:textId="77777777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Míra inflace: CPI (%) průměr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F5738C" w14:textId="3B49EB0F" w:rsidR="006733E8" w:rsidRPr="00DD4A8E" w:rsidRDefault="006733E8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kern w:val="24"/>
                <w:szCs w:val="18"/>
              </w:rPr>
            </w:pPr>
            <w:r w:rsidRPr="00DD4A8E">
              <w:rPr>
                <w:rFonts w:ascii="Calibri" w:eastAsia="PMingLiU" w:hAnsi="Calibri" w:cs="Calibri"/>
                <w:b/>
                <w:bCs/>
                <w:kern w:val="24"/>
                <w:szCs w:val="18"/>
              </w:rPr>
              <w:t>3,2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5E8884" w14:textId="78D46383" w:rsidR="006733E8" w:rsidRPr="00DD4A8E" w:rsidRDefault="00962A49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3,0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48636833" w14:textId="5451D1AF" w:rsidR="006733E8" w:rsidRPr="00DD4A8E" w:rsidRDefault="00962A49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2,6</w:t>
            </w:r>
          </w:p>
        </w:tc>
      </w:tr>
      <w:tr w:rsidR="006733E8" w:rsidRPr="00F37DC9" w14:paraId="521233EC" w14:textId="28A14000" w:rsidTr="00F37DC9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30F8F" w14:textId="77777777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Vládní deficit/přebytek (% HDP)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CBE628" w14:textId="637512B5" w:rsidR="006733E8" w:rsidRPr="00DD4A8E" w:rsidRDefault="006733E8" w:rsidP="006733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  <w:r w:rsidR="005B12FA"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6,2</w:t>
            </w: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494613" w14:textId="0A965018" w:rsidR="006733E8" w:rsidRPr="00DD4A8E" w:rsidRDefault="004D1CED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-7,</w:t>
            </w:r>
            <w:r w:rsidR="00611EF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3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4D2100D0" w14:textId="425EFA5A" w:rsidR="006733E8" w:rsidRPr="00DD4A8E" w:rsidRDefault="004D1CED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-4,</w:t>
            </w:r>
            <w:r w:rsidR="001045A6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6</w:t>
            </w:r>
          </w:p>
        </w:tc>
      </w:tr>
      <w:tr w:rsidR="006733E8" w:rsidRPr="00F37DC9" w14:paraId="14378C53" w14:textId="062909FA" w:rsidTr="00F37DC9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EC9AA" w14:textId="77777777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 xml:space="preserve">Vládní dluh (% HDP) 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4CED1C" w14:textId="5409C2FB" w:rsidR="006733E8" w:rsidRPr="00DD4A8E" w:rsidRDefault="006733E8" w:rsidP="006733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38,1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312A7B" w14:textId="1828C6C6" w:rsidR="006733E8" w:rsidRPr="00DD4A8E" w:rsidRDefault="004D1CED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4</w:t>
            </w:r>
            <w:r w:rsidR="00611EF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3,5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6F706A33" w14:textId="72175AFC" w:rsidR="006733E8" w:rsidRPr="00DD4A8E" w:rsidRDefault="004D1CED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45,</w:t>
            </w:r>
            <w:r w:rsidR="00DD4A8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5</w:t>
            </w:r>
          </w:p>
        </w:tc>
      </w:tr>
      <w:tr w:rsidR="006733E8" w:rsidRPr="00F37DC9" w14:paraId="552BE0D0" w14:textId="46A71113" w:rsidTr="00F37DC9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F0540" w14:textId="77777777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spotřeby domácností (%) reálně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152515" w14:textId="6840C13A" w:rsidR="006733E8" w:rsidRPr="00DD4A8E" w:rsidRDefault="006733E8" w:rsidP="006733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-5,2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3C80F4" w14:textId="0EF1EA49" w:rsidR="006733E8" w:rsidRPr="00DD4A8E" w:rsidRDefault="004D1CED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2,</w:t>
            </w:r>
            <w:r w:rsidR="00611EF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3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1246EB22" w14:textId="4B36EC12" w:rsidR="006733E8" w:rsidRPr="00DD4A8E" w:rsidRDefault="00DD4A8E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4,6</w:t>
            </w:r>
          </w:p>
        </w:tc>
      </w:tr>
      <w:tr w:rsidR="006733E8" w:rsidRPr="00F37DC9" w14:paraId="1648A5F3" w14:textId="45B73A0A" w:rsidTr="00F37DC9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C730B" w14:textId="77777777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lastRenderedPageBreak/>
              <w:t>Růst vládní spotřeby (%) reálně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257DD9" w14:textId="52766665" w:rsidR="006733E8" w:rsidRPr="00DD4A8E" w:rsidRDefault="006733E8" w:rsidP="006733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2,9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59B385" w14:textId="6193EEF6" w:rsidR="006733E8" w:rsidRPr="00DD4A8E" w:rsidRDefault="004D1CED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2,</w:t>
            </w:r>
            <w:r w:rsidR="00611EF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4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213A5E70" w14:textId="6E883007" w:rsidR="006733E8" w:rsidRPr="00DD4A8E" w:rsidRDefault="004D1CED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1,</w:t>
            </w:r>
            <w:r w:rsidR="00DD4A8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1</w:t>
            </w:r>
          </w:p>
        </w:tc>
      </w:tr>
      <w:tr w:rsidR="006733E8" w:rsidRPr="00F37DC9" w14:paraId="4EA7D3E3" w14:textId="5745A921" w:rsidTr="00F37DC9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30A54" w14:textId="77777777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investic (%) reálně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7437F0" w14:textId="5E53D0F0" w:rsidR="006733E8" w:rsidRPr="00DD4A8E" w:rsidRDefault="006733E8" w:rsidP="006733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-8,5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92B148" w14:textId="4574818B" w:rsidR="006733E8" w:rsidRPr="00DD4A8E" w:rsidRDefault="004D1CED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2,</w:t>
            </w:r>
            <w:r w:rsidR="00611EF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5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26764AE7" w14:textId="256A2B2D" w:rsidR="006733E8" w:rsidRPr="00DD4A8E" w:rsidRDefault="00DD4A8E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6</w:t>
            </w:r>
            <w:r w:rsidR="004D1CED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,0</w:t>
            </w:r>
          </w:p>
        </w:tc>
      </w:tr>
      <w:tr w:rsidR="006733E8" w:rsidRPr="00F37DC9" w14:paraId="10E01B12" w14:textId="77777777" w:rsidTr="00F37DC9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26DDE6" w14:textId="5B6E0CA7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vývozů (%) reálně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54F6FA" w14:textId="5E58B6BE" w:rsidR="006733E8" w:rsidRPr="00DD4A8E" w:rsidRDefault="006733E8" w:rsidP="006733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-6,0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93902A" w14:textId="088545CB" w:rsidR="006733E8" w:rsidRPr="00DD4A8E" w:rsidRDefault="00611EFE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10,4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3C0E6FB4" w14:textId="62F944A8" w:rsidR="006733E8" w:rsidRPr="00DD4A8E" w:rsidRDefault="004D1CED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6</w:t>
            </w:r>
            <w:r w:rsidR="00DD4A8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,8</w:t>
            </w:r>
          </w:p>
        </w:tc>
      </w:tr>
      <w:tr w:rsidR="006733E8" w:rsidRPr="00F37DC9" w14:paraId="630C8A48" w14:textId="77777777" w:rsidTr="00F37DC9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925B36" w14:textId="5F366F9C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dovozů (%) reálně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286ABA" w14:textId="7B60F1EA" w:rsidR="006733E8" w:rsidRPr="00DD4A8E" w:rsidRDefault="006733E8" w:rsidP="006733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-6,1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9357BC" w14:textId="4E8FFE73" w:rsidR="006733E8" w:rsidRPr="00DD4A8E" w:rsidRDefault="00611EFE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10,1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2A99A2F0" w14:textId="08BC04E9" w:rsidR="006733E8" w:rsidRPr="00DD4A8E" w:rsidRDefault="00DD4A8E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7,1</w:t>
            </w:r>
          </w:p>
        </w:tc>
      </w:tr>
      <w:tr w:rsidR="006733E8" w:rsidRPr="00F37DC9" w14:paraId="6F4CA3D3" w14:textId="232459AF" w:rsidTr="00F37DC9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87A8E" w14:textId="77777777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reálného HDP v eurozóně (%)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9801DE" w14:textId="5CA5A02D" w:rsidR="006733E8" w:rsidRPr="00DD4A8E" w:rsidRDefault="006733E8" w:rsidP="006733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-6,9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8C9C15" w14:textId="6DF7F4B8" w:rsidR="006733E8" w:rsidRPr="00DD4A8E" w:rsidRDefault="004D1CED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4,</w:t>
            </w:r>
            <w:r w:rsidR="00611EF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5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44915947" w14:textId="5230E1FF" w:rsidR="006733E8" w:rsidRPr="00DD4A8E" w:rsidRDefault="00DD4A8E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4,4</w:t>
            </w:r>
          </w:p>
        </w:tc>
      </w:tr>
      <w:tr w:rsidR="006733E8" w:rsidRPr="00F37DC9" w14:paraId="60142AA4" w14:textId="171AD64E" w:rsidTr="00F37DC9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5B974" w14:textId="77777777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Směnný kurz CZK/EUR: průměr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226044" w14:textId="3FB33230" w:rsidR="006733E8" w:rsidRPr="00DD4A8E" w:rsidRDefault="006733E8" w:rsidP="006733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26,46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D3C408" w14:textId="5C7B71D4" w:rsidR="006733E8" w:rsidRPr="00DD4A8E" w:rsidRDefault="006733E8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25,</w:t>
            </w:r>
            <w:r w:rsidR="00611EF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63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7B9C3C2F" w14:textId="0D8F7E3F" w:rsidR="006733E8" w:rsidRPr="00DD4A8E" w:rsidRDefault="006733E8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25,</w:t>
            </w:r>
            <w:r w:rsidR="00DD4A8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0</w:t>
            </w: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0</w:t>
            </w:r>
          </w:p>
        </w:tc>
      </w:tr>
      <w:tr w:rsidR="006733E8" w:rsidRPr="00F37DC9" w14:paraId="445C4C94" w14:textId="33BDCCB6" w:rsidTr="00F37DC9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4B737" w14:textId="77777777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Ceny ropy (USD za barel): brent průměr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A44B85" w14:textId="062DF288" w:rsidR="006733E8" w:rsidRPr="00DD4A8E" w:rsidRDefault="006733E8" w:rsidP="006733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43,00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F1E147" w14:textId="41752E29" w:rsidR="006733E8" w:rsidRPr="00DD4A8E" w:rsidRDefault="00165D62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6</w:t>
            </w:r>
            <w:r w:rsidR="00611EF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8</w:t>
            </w: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,</w:t>
            </w:r>
            <w:r w:rsidR="00611EF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7</w:t>
            </w: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0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136342DA" w14:textId="55194D57" w:rsidR="006733E8" w:rsidRPr="00DD4A8E" w:rsidRDefault="00165D62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6</w:t>
            </w:r>
            <w:r w:rsidR="00DD4A8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7</w:t>
            </w: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,00</w:t>
            </w:r>
          </w:p>
        </w:tc>
      </w:tr>
      <w:tr w:rsidR="006733E8" w:rsidRPr="00F37DC9" w14:paraId="23861021" w14:textId="62086BC7" w:rsidTr="00F37DC9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29BAA" w14:textId="77777777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 xml:space="preserve">Základní sazba ČNB </w:t>
            </w:r>
            <w:proofErr w:type="gramStart"/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2T</w:t>
            </w:r>
            <w:proofErr w:type="gramEnd"/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 xml:space="preserve"> REPO (%): konec období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9D982A" w14:textId="349FC1FD" w:rsidR="006733E8" w:rsidRPr="00DD4A8E" w:rsidRDefault="006733E8" w:rsidP="006733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0,25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35022" w14:textId="20165AB5" w:rsidR="006733E8" w:rsidRPr="00DD4A8E" w:rsidRDefault="00DD4A8E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1,</w:t>
            </w:r>
            <w:r w:rsidR="00962A49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25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781B8F2D" w14:textId="76203375" w:rsidR="006733E8" w:rsidRPr="00DD4A8E" w:rsidRDefault="00962A49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2,0</w:t>
            </w:r>
          </w:p>
        </w:tc>
      </w:tr>
      <w:tr w:rsidR="006733E8" w:rsidRPr="00F37DC9" w14:paraId="32A294F8" w14:textId="5450A20A" w:rsidTr="00F37DC9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8B6A" w14:textId="77777777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Základní sazba ECB (%): konec období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56D446" w14:textId="44E5B50A" w:rsidR="006733E8" w:rsidRPr="00DD4A8E" w:rsidRDefault="006733E8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kern w:val="24"/>
                <w:szCs w:val="18"/>
              </w:rPr>
            </w:pPr>
            <w:r w:rsidRPr="003B31BC">
              <w:rPr>
                <w:rFonts w:ascii="Calibri" w:eastAsia="PMingLiU" w:hAnsi="Calibri" w:cs="Calibri"/>
                <w:b/>
                <w:bCs/>
                <w:kern w:val="24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1A4A56" w14:textId="4400CDB6" w:rsidR="006733E8" w:rsidRPr="00DD4A8E" w:rsidRDefault="006733E8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0,0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34653AAA" w14:textId="5B4A0745" w:rsidR="006733E8" w:rsidRPr="00DD4A8E" w:rsidRDefault="006733E8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0,0</w:t>
            </w:r>
          </w:p>
        </w:tc>
      </w:tr>
      <w:tr w:rsidR="006733E8" w:rsidRPr="00F37DC9" w14:paraId="72155F13" w14:textId="2A886E37" w:rsidTr="00F37DC9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9ABC3" w14:textId="77777777" w:rsidR="006733E8" w:rsidRPr="00F37DC9" w:rsidRDefault="006733E8" w:rsidP="006733E8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3M-PRIBOR (%): průměr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B373A3" w14:textId="482BC0CA" w:rsidR="006733E8" w:rsidRPr="00DD4A8E" w:rsidRDefault="006733E8" w:rsidP="006733E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0,86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680F07" w14:textId="0C0E6A95" w:rsidR="006733E8" w:rsidRPr="00DD4A8E" w:rsidRDefault="00165D62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0,</w:t>
            </w:r>
            <w:r w:rsidR="00DD4A8E"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7</w:t>
            </w:r>
            <w:r w:rsidR="00962A49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5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center"/>
          </w:tcPr>
          <w:p w14:paraId="4EF90161" w14:textId="59A08651" w:rsidR="006733E8" w:rsidRPr="00DD4A8E" w:rsidRDefault="00165D62" w:rsidP="006733E8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 w:rsidRPr="00DD4A8E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1,</w:t>
            </w:r>
            <w:r w:rsidR="00962A49"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  <w:t>8</w:t>
            </w:r>
          </w:p>
        </w:tc>
      </w:tr>
      <w:tr w:rsidR="00A772EE" w:rsidRPr="00F37DC9" w14:paraId="50544107" w14:textId="41B6D86E" w:rsidTr="00EA317F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D4C72" w14:textId="77777777" w:rsidR="00A772EE" w:rsidRPr="00F37DC9" w:rsidRDefault="00A772EE" w:rsidP="00A772EE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bankovních úvěrů klientských (%)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E019AA" w14:textId="14D87D63" w:rsidR="00A772EE" w:rsidRPr="00DD4A8E" w:rsidRDefault="00A772EE" w:rsidP="00A772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4,9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3C457989" w14:textId="79E3EB05" w:rsidR="00A772EE" w:rsidRPr="00DD4A8E" w:rsidRDefault="00A772EE" w:rsidP="00A772EE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5,5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bottom"/>
          </w:tcPr>
          <w:p w14:paraId="1E99C6E9" w14:textId="6657309C" w:rsidR="00A772EE" w:rsidRPr="00DD4A8E" w:rsidRDefault="00A772EE" w:rsidP="00A772EE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5,2</w:t>
            </w:r>
          </w:p>
        </w:tc>
      </w:tr>
      <w:tr w:rsidR="00A772EE" w:rsidRPr="00F37DC9" w14:paraId="32076E5F" w14:textId="0C708F0C" w:rsidTr="00EA317F">
        <w:trPr>
          <w:trHeight w:val="89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F9597" w14:textId="77777777" w:rsidR="00A772EE" w:rsidRPr="00F37DC9" w:rsidRDefault="00A772EE" w:rsidP="00A772EE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bankovních úvěrů domácnostem (%)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369240" w14:textId="7F3370AB" w:rsidR="00A772EE" w:rsidRPr="00DD4A8E" w:rsidRDefault="00A772EE" w:rsidP="00A772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6,5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70957DC9" w14:textId="449D6FFB" w:rsidR="00A772EE" w:rsidRPr="00DD4A8E" w:rsidRDefault="00A772EE" w:rsidP="00A772EE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7,8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bottom"/>
          </w:tcPr>
          <w:p w14:paraId="552C6DE4" w14:textId="6633B6ED" w:rsidR="00A772EE" w:rsidRPr="00DD4A8E" w:rsidRDefault="00A772EE" w:rsidP="00A772EE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6,0</w:t>
            </w:r>
          </w:p>
        </w:tc>
      </w:tr>
      <w:tr w:rsidR="00A772EE" w:rsidRPr="00F37DC9" w14:paraId="418E71CA" w14:textId="248095F4" w:rsidTr="00EA317F">
        <w:trPr>
          <w:trHeight w:val="86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21125" w14:textId="77777777" w:rsidR="00A772EE" w:rsidRPr="00F37DC9" w:rsidRDefault="00A772EE" w:rsidP="00A772EE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bankovních úvěrů (nefinančním) podnikům (%)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6F2A8B" w14:textId="1C8CD68F" w:rsidR="00A772EE" w:rsidRPr="00DD4A8E" w:rsidRDefault="00A772EE" w:rsidP="00A772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13BFD657" w14:textId="6548BD9A" w:rsidR="00A772EE" w:rsidRPr="00DD4A8E" w:rsidRDefault="00A772EE" w:rsidP="00A772EE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1,0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bottom"/>
          </w:tcPr>
          <w:p w14:paraId="7405681C" w14:textId="60BEE9E4" w:rsidR="00A772EE" w:rsidRPr="00DD4A8E" w:rsidRDefault="00A772EE" w:rsidP="00A772EE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5,1</w:t>
            </w:r>
          </w:p>
        </w:tc>
      </w:tr>
      <w:tr w:rsidR="00A772EE" w:rsidRPr="00F37DC9" w14:paraId="1C64EB0D" w14:textId="0E77FC67" w:rsidTr="00EA317F">
        <w:trPr>
          <w:trHeight w:val="86"/>
          <w:jc w:val="center"/>
        </w:trPr>
        <w:tc>
          <w:tcPr>
            <w:tcW w:w="5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3576B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03657" w14:textId="77777777" w:rsidR="00A772EE" w:rsidRPr="00F37DC9" w:rsidRDefault="00A772EE" w:rsidP="00A772EE">
            <w:pPr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Cs w:val="18"/>
              </w:rPr>
            </w:pPr>
            <w:r w:rsidRPr="00F37DC9">
              <w:rPr>
                <w:rFonts w:ascii="Calibri" w:hAnsi="Calibri" w:cs="Calibri"/>
                <w:b/>
                <w:bCs/>
                <w:color w:val="FFFFFF" w:themeColor="light1"/>
                <w:kern w:val="24"/>
                <w:szCs w:val="18"/>
              </w:rPr>
              <w:t>Růst bankovních vkladů klientských celkem (%)</w:t>
            </w:r>
          </w:p>
        </w:tc>
        <w:tc>
          <w:tcPr>
            <w:tcW w:w="16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7631DE" w14:textId="1634A7B0" w:rsidR="00A772EE" w:rsidRPr="00DD4A8E" w:rsidRDefault="00A772EE" w:rsidP="00A772E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4A8E">
              <w:rPr>
                <w:rFonts w:ascii="Calibri" w:hAnsi="Calibri" w:cs="Calibri"/>
                <w:b/>
                <w:bCs/>
                <w:sz w:val="22"/>
                <w:szCs w:val="22"/>
              </w:rPr>
              <w:t>10,8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</w:tcPr>
          <w:p w14:paraId="2863EC17" w14:textId="09A3C7D7" w:rsidR="00A772EE" w:rsidRPr="00DD4A8E" w:rsidRDefault="00A772EE" w:rsidP="00A772EE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8,5</w:t>
            </w:r>
          </w:p>
        </w:tc>
        <w:tc>
          <w:tcPr>
            <w:tcW w:w="160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vAlign w:val="bottom"/>
          </w:tcPr>
          <w:p w14:paraId="2C1AA335" w14:textId="36F5FD30" w:rsidR="00A772EE" w:rsidRPr="00DD4A8E" w:rsidRDefault="00A772EE" w:rsidP="00A772EE">
            <w:pPr>
              <w:overflowPunct/>
              <w:autoSpaceDE/>
              <w:autoSpaceDN/>
              <w:adjustRightInd/>
              <w:jc w:val="center"/>
              <w:textAlignment w:val="bottom"/>
              <w:rPr>
                <w:rFonts w:ascii="Calibri" w:eastAsia="PMingLiU" w:hAnsi="Calibri" w:cs="Calibri"/>
                <w:b/>
                <w:bCs/>
                <w:color w:val="FF0000"/>
                <w:kern w:val="2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6,5</w:t>
            </w:r>
          </w:p>
        </w:tc>
      </w:tr>
    </w:tbl>
    <w:p w14:paraId="7561C03E" w14:textId="3145CFF3" w:rsidR="00F37DC9" w:rsidRDefault="00165D62" w:rsidP="00B4285D">
      <w:pPr>
        <w:rPr>
          <w:rFonts w:ascii="Calibri" w:eastAsiaTheme="minorEastAsia" w:hAnsi="Calibri" w:cs="Calibri"/>
        </w:rPr>
      </w:pPr>
      <w:r w:rsidRPr="00F37DC9">
        <w:rPr>
          <w:rFonts w:ascii="Calibri" w:eastAsiaTheme="minorEastAsia" w:hAnsi="Calibri" w:cs="Calibri"/>
        </w:rPr>
        <w:tab/>
      </w:r>
    </w:p>
    <w:p w14:paraId="52E6141C" w14:textId="6800D584" w:rsidR="00F37DC9" w:rsidRDefault="00F37DC9" w:rsidP="00B4285D">
      <w:pPr>
        <w:rPr>
          <w:rFonts w:ascii="Calibri" w:eastAsiaTheme="minorEastAsia" w:hAnsi="Calibri" w:cs="Calibri"/>
        </w:rPr>
      </w:pPr>
      <w:r w:rsidRPr="00C9674F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1" locked="0" layoutInCell="1" hidden="0" allowOverlap="1" wp14:anchorId="3801A402" wp14:editId="381A9FD1">
                <wp:simplePos x="0" y="0"/>
                <wp:positionH relativeFrom="column">
                  <wp:posOffset>635</wp:posOffset>
                </wp:positionH>
                <wp:positionV relativeFrom="paragraph">
                  <wp:posOffset>59690</wp:posOffset>
                </wp:positionV>
                <wp:extent cx="6476365" cy="1089660"/>
                <wp:effectExtent l="0" t="0" r="635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365" cy="10896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313D1E" w14:textId="77777777" w:rsidR="00F37DC9" w:rsidRPr="00F37DC9" w:rsidRDefault="00F37DC9" w:rsidP="00F37DC9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  <w:t xml:space="preserve">O prognóze ČBA </w:t>
                            </w:r>
                          </w:p>
                          <w:p w14:paraId="420292AC" w14:textId="5C48B5F9" w:rsidR="00F37DC9" w:rsidRPr="00F37DC9" w:rsidRDefault="00F37DC9" w:rsidP="00F37DC9">
                            <w:pPr>
                              <w:spacing w:line="276" w:lineRule="auto"/>
                              <w:ind w:left="28" w:hanging="28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Tato prognóza vznikla na základě příspěvků analytiků </w:t>
                            </w:r>
                            <w:r w:rsidR="004709C3">
                              <w:rPr>
                                <w:rFonts w:ascii="Calibri" w:hAnsi="Calibri" w:cs="Calibri"/>
                                <w:szCs w:val="18"/>
                              </w:rPr>
                              <w:t>7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členských bank ČBA: Jan Vejmělek (hlavní ekonom KB), Jaromír Šindel (hlavní ekonom Citi Bank CZ), Helena Horská (hlavní ekonomka RB CZ), Michal Skořepa (</w:t>
                            </w:r>
                            <w:r w:rsidR="004F0729">
                              <w:rPr>
                                <w:rFonts w:ascii="Calibri" w:hAnsi="Calibri" w:cs="Calibri"/>
                                <w:szCs w:val="18"/>
                              </w:rPr>
                              <w:t>makro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ekonom</w:t>
                            </w:r>
                            <w:r w:rsidR="004F0729">
                              <w:rPr>
                                <w:rFonts w:ascii="Calibri" w:hAnsi="Calibri" w:cs="Calibri"/>
                                <w:szCs w:val="18"/>
                              </w:rPr>
                              <w:t>ický analytik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ČS), Petr Dufek (ekonom</w:t>
                            </w:r>
                            <w:r w:rsidR="004F0729">
                              <w:rPr>
                                <w:rFonts w:ascii="Calibri" w:hAnsi="Calibri" w:cs="Calibri"/>
                                <w:szCs w:val="18"/>
                              </w:rPr>
                              <w:t>ický analytik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ČSOB), Petr Gapko (hlavní ekonom MMB) a Petr Sklenář (hlavní ekonom J&amp;T Bank). Za ČBA se na tvorbě prognózy podíl</w:t>
                            </w:r>
                            <w:r w:rsidR="00611EFE">
                              <w:rPr>
                                <w:rFonts w:ascii="Calibri" w:hAnsi="Calibri" w:cs="Calibri"/>
                                <w:szCs w:val="18"/>
                              </w:rPr>
                              <w:t>eli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Miroslav Zámečník</w:t>
                            </w:r>
                            <w:r w:rsidR="004709C3">
                              <w:rPr>
                                <w:rFonts w:ascii="Calibri" w:hAnsi="Calibri" w:cs="Calibri"/>
                                <w:szCs w:val="18"/>
                              </w:rPr>
                              <w:t>, Jakub Seidler</w:t>
                            </w:r>
                            <w:r w:rsidR="00611EFE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a Petr Procházka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.</w:t>
                            </w:r>
                          </w:p>
                          <w:p w14:paraId="77C1A42D" w14:textId="77777777" w:rsidR="00F37DC9" w:rsidRPr="00A55BDD" w:rsidRDefault="00F37DC9" w:rsidP="00F37DC9">
                            <w:pPr>
                              <w:spacing w:line="276" w:lineRule="auto"/>
                              <w:ind w:left="28" w:hanging="28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1A402" id="Obdélník 4" o:spid="_x0000_s1029" style="position:absolute;left:0;text-align:left;margin-left:.05pt;margin-top:4.7pt;width:509.95pt;height:85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" fillcolor="#bfbfbf [2412]" stroked="f" strokeweight="1pt">
                <v:textbox inset="3mm,3mm,3mm,3mm">
                  <w:txbxContent>
                    <w:p w14:paraId="7E313D1E" w14:textId="77777777" w:rsidR="00F37DC9" w:rsidRPr="00F37DC9" w:rsidRDefault="00F37DC9" w:rsidP="00F37DC9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  <w:t xml:space="preserve">O prognóze ČBA </w:t>
                      </w:r>
                    </w:p>
                    <w:p w14:paraId="420292AC" w14:textId="5C48B5F9" w:rsidR="00F37DC9" w:rsidRPr="00F37DC9" w:rsidRDefault="00F37DC9" w:rsidP="00F37DC9">
                      <w:pPr>
                        <w:spacing w:line="276" w:lineRule="auto"/>
                        <w:ind w:left="28" w:hanging="28"/>
                        <w:rPr>
                          <w:rFonts w:ascii="Calibri" w:hAnsi="Calibri" w:cs="Calibri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 xml:space="preserve">Tato prognóza vznikla na základě příspěvků analytiků </w:t>
                      </w:r>
                      <w:r w:rsidR="004709C3">
                        <w:rPr>
                          <w:rFonts w:ascii="Calibri" w:hAnsi="Calibri" w:cs="Calibri"/>
                          <w:szCs w:val="18"/>
                        </w:rPr>
                        <w:t>7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 xml:space="preserve"> členských bank ČBA: Jan Vejmělek (hlavní ekonom KB), Jaromír Šindel (hlavní ekonom Citi Bank CZ), Helena Horská (hlavní ekonomka RB CZ), Michal Skořepa (</w:t>
                      </w:r>
                      <w:r w:rsidR="004F0729">
                        <w:rPr>
                          <w:rFonts w:ascii="Calibri" w:hAnsi="Calibri" w:cs="Calibri"/>
                          <w:szCs w:val="18"/>
                        </w:rPr>
                        <w:t>makro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ekonom</w:t>
                      </w:r>
                      <w:r w:rsidR="004F0729">
                        <w:rPr>
                          <w:rFonts w:ascii="Calibri" w:hAnsi="Calibri" w:cs="Calibri"/>
                          <w:szCs w:val="18"/>
                        </w:rPr>
                        <w:t>ický analytik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 xml:space="preserve"> ČS), Petr Dufek (ekonom</w:t>
                      </w:r>
                      <w:r w:rsidR="004F0729">
                        <w:rPr>
                          <w:rFonts w:ascii="Calibri" w:hAnsi="Calibri" w:cs="Calibri"/>
                          <w:szCs w:val="18"/>
                        </w:rPr>
                        <w:t>ický analytik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 xml:space="preserve"> ČSOB), Petr Gapko (hlavní ekonom MMB) a Petr Sklenář (hlavní ekonom J&amp;T Bank). Za ČBA se na tvorbě prognózy podíl</w:t>
                      </w:r>
                      <w:r w:rsidR="00611EFE">
                        <w:rPr>
                          <w:rFonts w:ascii="Calibri" w:hAnsi="Calibri" w:cs="Calibri"/>
                          <w:szCs w:val="18"/>
                        </w:rPr>
                        <w:t>eli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 xml:space="preserve"> Miroslav Zámečník</w:t>
                      </w:r>
                      <w:r w:rsidR="004709C3">
                        <w:rPr>
                          <w:rFonts w:ascii="Calibri" w:hAnsi="Calibri" w:cs="Calibri"/>
                          <w:szCs w:val="18"/>
                        </w:rPr>
                        <w:t>, Jakub Seidler</w:t>
                      </w:r>
                      <w:r w:rsidR="00611EFE">
                        <w:rPr>
                          <w:rFonts w:ascii="Calibri" w:hAnsi="Calibri" w:cs="Calibri"/>
                          <w:szCs w:val="18"/>
                        </w:rPr>
                        <w:t xml:space="preserve"> a Petr Procházka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.</w:t>
                      </w:r>
                    </w:p>
                    <w:p w14:paraId="77C1A42D" w14:textId="77777777" w:rsidR="00F37DC9" w:rsidRPr="00A55BDD" w:rsidRDefault="00F37DC9" w:rsidP="00F37DC9">
                      <w:pPr>
                        <w:spacing w:line="276" w:lineRule="auto"/>
                        <w:ind w:left="28" w:hanging="28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9DD5F85" w14:textId="503894DC" w:rsidR="00F37DC9" w:rsidRDefault="00F37DC9" w:rsidP="00B4285D">
      <w:pPr>
        <w:rPr>
          <w:rFonts w:ascii="Calibri" w:eastAsiaTheme="minorEastAsia" w:hAnsi="Calibri" w:cs="Calibri"/>
        </w:rPr>
      </w:pPr>
    </w:p>
    <w:p w14:paraId="333F07F6" w14:textId="217C26C9" w:rsidR="00F37DC9" w:rsidRDefault="00F37DC9" w:rsidP="00B4285D">
      <w:pPr>
        <w:rPr>
          <w:rFonts w:ascii="Calibri" w:eastAsiaTheme="minorEastAsia" w:hAnsi="Calibri" w:cs="Calibri"/>
        </w:rPr>
      </w:pPr>
    </w:p>
    <w:p w14:paraId="5ACD7EBC" w14:textId="45F52334" w:rsidR="00F37DC9" w:rsidRDefault="00F37DC9" w:rsidP="00B4285D">
      <w:pPr>
        <w:rPr>
          <w:rFonts w:ascii="Calibri" w:eastAsiaTheme="minorEastAsia" w:hAnsi="Calibri" w:cs="Calibri"/>
        </w:rPr>
      </w:pPr>
    </w:p>
    <w:p w14:paraId="5A7B51B7" w14:textId="5EE8DE77" w:rsidR="00F37DC9" w:rsidRDefault="00F37DC9" w:rsidP="00B4285D">
      <w:pPr>
        <w:rPr>
          <w:rFonts w:ascii="Calibri" w:eastAsiaTheme="minorEastAsia" w:hAnsi="Calibri" w:cs="Calibri"/>
        </w:rPr>
      </w:pPr>
    </w:p>
    <w:p w14:paraId="77090A9B" w14:textId="77777777" w:rsidR="00F37DC9" w:rsidRDefault="00F37DC9" w:rsidP="00B4285D">
      <w:pPr>
        <w:rPr>
          <w:rFonts w:ascii="Calibri" w:eastAsiaTheme="minorEastAsia" w:hAnsi="Calibri" w:cs="Calibri"/>
        </w:rPr>
      </w:pPr>
    </w:p>
    <w:p w14:paraId="1AE6FC8E" w14:textId="73FD6684" w:rsidR="005C1943" w:rsidRPr="00F37DC9" w:rsidRDefault="00F37DC9" w:rsidP="00B4285D">
      <w:pPr>
        <w:rPr>
          <w:rFonts w:ascii="Calibri" w:eastAsiaTheme="minorEastAsia" w:hAnsi="Calibri" w:cs="Calibri"/>
        </w:rPr>
      </w:pPr>
      <w:r w:rsidRPr="00F37DC9">
        <w:rPr>
          <w:rFonts w:ascii="Calibri" w:eastAsiaTheme="minorEastAsia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A5361" wp14:editId="5BD7F50B">
                <wp:simplePos x="0" y="0"/>
                <wp:positionH relativeFrom="margin">
                  <wp:posOffset>4288790</wp:posOffset>
                </wp:positionH>
                <wp:positionV relativeFrom="paragraph">
                  <wp:posOffset>364490</wp:posOffset>
                </wp:positionV>
                <wp:extent cx="2181225" cy="1637665"/>
                <wp:effectExtent l="0" t="0" r="9525" b="635"/>
                <wp:wrapSquare wrapText="bothSides"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637665"/>
                        </a:xfrm>
                        <a:prstGeom prst="rect">
                          <a:avLst/>
                        </a:prstGeom>
                        <a:solidFill>
                          <a:srgbClr val="1357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95292" w14:textId="77777777" w:rsidR="00536B9B" w:rsidRPr="00F37DC9" w:rsidRDefault="00536B9B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187194D7" w14:textId="77777777" w:rsidR="00536B9B" w:rsidRPr="00F37DC9" w:rsidRDefault="00536B9B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5867C1DD" w14:textId="77777777" w:rsidR="00536B9B" w:rsidRPr="00F37DC9" w:rsidRDefault="00536B9B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Cs w:val="18"/>
                              </w:rPr>
                            </w:pPr>
                          </w:p>
                          <w:p w14:paraId="1F85193F" w14:textId="20220BB9" w:rsidR="00536B9B" w:rsidRPr="00F37DC9" w:rsidRDefault="00E4527A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szCs w:val="18"/>
                              </w:rPr>
                              <w:t>Andrea Trudičová</w:t>
                            </w:r>
                            <w:r w:rsidR="00536B9B" w:rsidRPr="00F37DC9">
                              <w:rPr>
                                <w:rFonts w:ascii="Calibri" w:hAnsi="Calibri" w:cs="Calibri"/>
                                <w:noProof/>
                                <w:szCs w:val="18"/>
                              </w:rPr>
                              <w:t xml:space="preserve">, </w:t>
                            </w:r>
                          </w:p>
                          <w:p w14:paraId="5026572F" w14:textId="54A29AD9" w:rsidR="00536B9B" w:rsidRPr="00F37DC9" w:rsidRDefault="00536B9B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PR a komunikace ČBA</w:t>
                            </w:r>
                          </w:p>
                          <w:p w14:paraId="69EB82FC" w14:textId="51ADF8BA" w:rsidR="00536B9B" w:rsidRPr="00F37DC9" w:rsidRDefault="00E4527A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andrea</w:t>
                            </w:r>
                            <w:r w:rsidR="00611EFE">
                              <w:rPr>
                                <w:rFonts w:ascii="Calibri" w:hAnsi="Calibri" w:cs="Calibri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trudicova</w:t>
                            </w:r>
                            <w:r w:rsidR="00536B9B"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@cbaonline.cz</w:t>
                            </w:r>
                          </w:p>
                          <w:p w14:paraId="0B0CE061" w14:textId="0E47F5AD" w:rsidR="00536B9B" w:rsidRPr="00F37DC9" w:rsidRDefault="00536B9B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tel: + 420</w:t>
                            </w:r>
                            <w:r w:rsidR="00E4527A">
                              <w:rPr>
                                <w:rFonts w:ascii="Calibri" w:hAnsi="Calibri" w:cs="Calibri"/>
                                <w:szCs w:val="18"/>
                              </w:rPr>
                              <w:t> 734 638 103</w:t>
                            </w:r>
                          </w:p>
                          <w:p w14:paraId="0808B31F" w14:textId="77777777" w:rsidR="00536B9B" w:rsidRDefault="00536B9B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A5361" id="Obdélník 200" o:spid="_x0000_s1030" style="position:absolute;left:0;text-align:left;margin-left:337.7pt;margin-top:28.7pt;width:171.75pt;height:1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" fillcolor="#13576b" stroked="f" strokeweight="1pt">
                <v:textbox inset="3mm,3mm,3mm,3mm">
                  <w:txbxContent>
                    <w:p w14:paraId="7AC95292" w14:textId="77777777" w:rsidR="00536B9B" w:rsidRPr="00F37DC9" w:rsidRDefault="00536B9B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87194D7" w14:textId="77777777" w:rsidR="00536B9B" w:rsidRPr="00F37DC9" w:rsidRDefault="00536B9B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14:paraId="5867C1DD" w14:textId="77777777" w:rsidR="00536B9B" w:rsidRPr="00F37DC9" w:rsidRDefault="00536B9B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Cs w:val="18"/>
                        </w:rPr>
                      </w:pPr>
                    </w:p>
                    <w:p w14:paraId="1F85193F" w14:textId="20220BB9" w:rsidR="00536B9B" w:rsidRPr="00F37DC9" w:rsidRDefault="00E4527A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szCs w:val="18"/>
                        </w:rPr>
                        <w:t>Andrea Trudičová</w:t>
                      </w:r>
                      <w:r w:rsidR="00536B9B" w:rsidRPr="00F37DC9">
                        <w:rPr>
                          <w:rFonts w:ascii="Calibri" w:hAnsi="Calibri" w:cs="Calibri"/>
                          <w:noProof/>
                          <w:szCs w:val="18"/>
                        </w:rPr>
                        <w:t xml:space="preserve">, </w:t>
                      </w:r>
                    </w:p>
                    <w:p w14:paraId="5026572F" w14:textId="54A29AD9" w:rsidR="00536B9B" w:rsidRPr="00F37DC9" w:rsidRDefault="00536B9B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PR a komunikace ČBA</w:t>
                      </w:r>
                    </w:p>
                    <w:p w14:paraId="69EB82FC" w14:textId="51ADF8BA" w:rsidR="00536B9B" w:rsidRPr="00F37DC9" w:rsidRDefault="00E4527A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szCs w:val="18"/>
                        </w:rPr>
                        <w:t>andrea</w:t>
                      </w:r>
                      <w:r w:rsidR="00611EFE">
                        <w:rPr>
                          <w:rFonts w:ascii="Calibri" w:hAnsi="Calibri" w:cs="Calibri"/>
                          <w:szCs w:val="18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trudicova</w:t>
                      </w:r>
                      <w:r w:rsidR="00536B9B" w:rsidRPr="00F37DC9">
                        <w:rPr>
                          <w:rFonts w:ascii="Calibri" w:hAnsi="Calibri" w:cs="Calibri"/>
                          <w:szCs w:val="18"/>
                        </w:rPr>
                        <w:t>@cbaonline.cz</w:t>
                      </w:r>
                    </w:p>
                    <w:p w14:paraId="0B0CE061" w14:textId="0E47F5AD" w:rsidR="00536B9B" w:rsidRPr="00F37DC9" w:rsidRDefault="00536B9B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tel: + 420</w:t>
                      </w:r>
                      <w:r w:rsidR="00E4527A">
                        <w:rPr>
                          <w:rFonts w:ascii="Calibri" w:hAnsi="Calibri" w:cs="Calibri"/>
                          <w:szCs w:val="18"/>
                        </w:rPr>
                        <w:t> 734 638 103</w:t>
                      </w:r>
                    </w:p>
                    <w:p w14:paraId="0808B31F" w14:textId="77777777" w:rsidR="00536B9B" w:rsidRDefault="00536B9B" w:rsidP="00044002">
                      <w:pPr>
                        <w:jc w:val="left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F37DC9">
        <w:rPr>
          <w:rFonts w:ascii="Calibri" w:eastAsiaTheme="minorEastAsia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9396" wp14:editId="036F4AF4">
                <wp:simplePos x="0" y="0"/>
                <wp:positionH relativeFrom="margin">
                  <wp:posOffset>0</wp:posOffset>
                </wp:positionH>
                <wp:positionV relativeFrom="paragraph">
                  <wp:posOffset>364490</wp:posOffset>
                </wp:positionV>
                <wp:extent cx="4229100" cy="1637665"/>
                <wp:effectExtent l="0" t="0" r="0" b="635"/>
                <wp:wrapSquare wrapText="bothSides"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1637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160DE" w14:textId="77777777" w:rsidR="00536B9B" w:rsidRPr="00F37DC9" w:rsidRDefault="00536B9B" w:rsidP="00044002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b/>
                                <w:sz w:val="20"/>
                                <w:szCs w:val="18"/>
                              </w:rPr>
                              <w:t>O České bankovní asociaci</w:t>
                            </w:r>
                          </w:p>
                          <w:p w14:paraId="51BDEFCD" w14:textId="1B0A1AB6" w:rsidR="00536B9B" w:rsidRPr="00F37DC9" w:rsidRDefault="00536B9B" w:rsidP="00044002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5E5B52"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F37DC9"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  <w:t> 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F37DC9">
                              <w:rPr>
                                <w:rFonts w:ascii="Calibri" w:hAnsi="Calibri" w:cs="Calibri"/>
                                <w:i/>
                                <w:sz w:val="20"/>
                              </w:rPr>
                              <w:t> </w:t>
                            </w:r>
                            <w:r w:rsidRPr="00F37DC9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89396" id="Obdélník 199" o:spid="_x0000_s1031" style="position:absolute;left:0;text-align:left;margin-left:0;margin-top:28.7pt;width:333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" fillcolor="#bfbfbf [2412]" stroked="f" strokeweight="1pt">
                <v:textbox inset="3mm,3mm,3mm,3mm">
                  <w:txbxContent>
                    <w:p w14:paraId="4C1160DE" w14:textId="77777777" w:rsidR="00536B9B" w:rsidRPr="00F37DC9" w:rsidRDefault="00536B9B" w:rsidP="00044002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b/>
                          <w:sz w:val="20"/>
                          <w:szCs w:val="18"/>
                        </w:rPr>
                        <w:t>O České bankovní asociaci</w:t>
                      </w:r>
                    </w:p>
                    <w:p w14:paraId="51BDEFCD" w14:textId="1B0A1AB6" w:rsidR="00536B9B" w:rsidRPr="00F37DC9" w:rsidRDefault="00536B9B" w:rsidP="00044002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5E5B52" w:rsidRPr="00F37DC9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F37DC9">
                        <w:rPr>
                          <w:rFonts w:ascii="Calibri" w:hAnsi="Calibri" w:cs="Calibri"/>
                          <w:i/>
                          <w:sz w:val="20"/>
                        </w:rPr>
                        <w:t> 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F37DC9">
                        <w:rPr>
                          <w:rFonts w:ascii="Calibri" w:hAnsi="Calibri" w:cs="Calibri"/>
                          <w:i/>
                          <w:sz w:val="20"/>
                        </w:rPr>
                        <w:t> </w:t>
                      </w:r>
                      <w:r w:rsidRPr="00F37DC9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5C1943" w:rsidRPr="00F37DC9" w:rsidSect="00EB6C50">
      <w:headerReference w:type="default" r:id="rId8"/>
      <w:footerReference w:type="default" r:id="rId9"/>
      <w:pgSz w:w="11906" w:h="16838"/>
      <w:pgMar w:top="2552" w:right="851" w:bottom="1418" w:left="85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F28F" w14:textId="77777777" w:rsidR="002E7CA6" w:rsidRDefault="002E7CA6" w:rsidP="00F573F1">
      <w:r>
        <w:separator/>
      </w:r>
    </w:p>
  </w:endnote>
  <w:endnote w:type="continuationSeparator" w:id="0">
    <w:p w14:paraId="24589D89" w14:textId="77777777" w:rsidR="002E7CA6" w:rsidRDefault="002E7CA6" w:rsidP="00F573F1">
      <w:r>
        <w:continuationSeparator/>
      </w:r>
    </w:p>
  </w:endnote>
  <w:endnote w:type="continuationNotice" w:id="1">
    <w:p w14:paraId="7E444C99" w14:textId="77777777" w:rsidR="002E7CA6" w:rsidRDefault="002E7C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Cs w:val="18"/>
      </w:rPr>
      <w:id w:val="114994418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54F1F5" w14:textId="19327CD8" w:rsidR="00F37DC9" w:rsidRPr="00F37DC9" w:rsidRDefault="00F37DC9">
            <w:pPr>
              <w:pStyle w:val="Zpat"/>
              <w:jc w:val="right"/>
              <w:rPr>
                <w:rFonts w:ascii="Calibri" w:hAnsi="Calibri" w:cs="Calibri"/>
                <w:szCs w:val="18"/>
              </w:rPr>
            </w:pPr>
            <w:r w:rsidRPr="001E31AB">
              <w:rPr>
                <w:rFonts w:ascii="Calibri" w:hAnsi="Calibri"/>
                <w:noProof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40EC3339" wp14:editId="625B1AC4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-137160</wp:posOffset>
                  </wp:positionV>
                  <wp:extent cx="3042285" cy="701040"/>
                  <wp:effectExtent l="0" t="0" r="5715" b="0"/>
                  <wp:wrapNone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37DC9">
              <w:rPr>
                <w:rFonts w:ascii="Calibri" w:hAnsi="Calibri" w:cs="Calibri"/>
                <w:szCs w:val="18"/>
              </w:rPr>
              <w:t xml:space="preserve">Stránka </w: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begin"/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instrText>PAGE</w:instrTex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t>2</w: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  <w:r w:rsidRPr="00F37DC9">
              <w:rPr>
                <w:rFonts w:ascii="Calibri" w:hAnsi="Calibri" w:cs="Calibri"/>
                <w:szCs w:val="18"/>
              </w:rPr>
              <w:t xml:space="preserve"> z </w: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begin"/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instrText>NUMPAGES</w:instrTex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separate"/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t>2</w:t>
            </w:r>
            <w:r w:rsidRPr="00F37DC9">
              <w:rPr>
                <w:rFonts w:ascii="Calibri" w:hAnsi="Calibri" w:cs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6B2FBE8E" w14:textId="77777777" w:rsidR="00536B9B" w:rsidRPr="00FB4A1C" w:rsidRDefault="00536B9B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4676F" w14:textId="77777777" w:rsidR="002E7CA6" w:rsidRDefault="002E7CA6" w:rsidP="00F573F1">
      <w:r>
        <w:separator/>
      </w:r>
    </w:p>
  </w:footnote>
  <w:footnote w:type="continuationSeparator" w:id="0">
    <w:p w14:paraId="7DF5F445" w14:textId="77777777" w:rsidR="002E7CA6" w:rsidRDefault="002E7CA6" w:rsidP="00F573F1">
      <w:r>
        <w:continuationSeparator/>
      </w:r>
    </w:p>
  </w:footnote>
  <w:footnote w:type="continuationNotice" w:id="1">
    <w:p w14:paraId="6EC82E50" w14:textId="77777777" w:rsidR="002E7CA6" w:rsidRDefault="002E7C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6A72" w14:textId="612DBF70" w:rsidR="00F37DC9" w:rsidRDefault="00F37DC9" w:rsidP="00F37DC9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F98975" wp14:editId="0A1B12AB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BA7D056" wp14:editId="7FF03F24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17EE12" w14:textId="63210BB6" w:rsidR="00F37DC9" w:rsidRDefault="00F37DC9">
    <w:pPr>
      <w:pStyle w:val="Zhlav"/>
    </w:pPr>
    <w:r w:rsidRPr="00F615BD"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CB3763" wp14:editId="0D54C2D8">
              <wp:simplePos x="0" y="0"/>
              <wp:positionH relativeFrom="margin">
                <wp:posOffset>5289974</wp:posOffset>
              </wp:positionH>
              <wp:positionV relativeFrom="paragraph">
                <wp:posOffset>6985</wp:posOffset>
              </wp:positionV>
              <wp:extent cx="1239520" cy="1404620"/>
              <wp:effectExtent l="0" t="0" r="0" b="0"/>
              <wp:wrapNone/>
              <wp:docPr id="20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D1CFE" w14:textId="77777777" w:rsidR="00F37DC9" w:rsidRPr="00F37DC9" w:rsidRDefault="00F37DC9" w:rsidP="00F37DC9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2"/>
                              <w:szCs w:val="24"/>
                            </w:rPr>
                          </w:pPr>
                          <w:r w:rsidRPr="00F37DC9">
                            <w:rPr>
                              <w:rFonts w:ascii="Calibri" w:hAnsi="Calibri" w:cs="Calibri"/>
                              <w:b/>
                              <w:color w:val="13576B"/>
                              <w:sz w:val="22"/>
                              <w:szCs w:val="24"/>
                            </w:rPr>
                            <w:t xml:space="preserve">TISKOVÁ ZPRÁVA </w:t>
                          </w:r>
                        </w:p>
                        <w:p w14:paraId="5CDE064D" w14:textId="14B6EA5E" w:rsidR="00F37DC9" w:rsidRPr="00F37DC9" w:rsidRDefault="00F37DC9" w:rsidP="00F37DC9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2"/>
                              <w:szCs w:val="24"/>
                            </w:rPr>
                          </w:pPr>
                          <w:r w:rsidRPr="00F37DC9">
                            <w:rPr>
                              <w:rFonts w:ascii="Calibri" w:hAnsi="Calibri" w:cs="Calibri"/>
                              <w:color w:val="13576B"/>
                              <w:sz w:val="22"/>
                              <w:szCs w:val="24"/>
                            </w:rPr>
                            <w:t>1</w:t>
                          </w:r>
                          <w:r w:rsidR="000C1D98">
                            <w:rPr>
                              <w:rFonts w:ascii="Calibri" w:hAnsi="Calibri" w:cs="Calibri"/>
                              <w:color w:val="13576B"/>
                              <w:sz w:val="22"/>
                              <w:szCs w:val="24"/>
                            </w:rPr>
                            <w:t>2</w:t>
                          </w:r>
                          <w:r w:rsidRPr="00F37DC9">
                            <w:rPr>
                              <w:rFonts w:ascii="Calibri" w:hAnsi="Calibri" w:cs="Calibri"/>
                              <w:color w:val="13576B"/>
                              <w:sz w:val="22"/>
                              <w:szCs w:val="24"/>
                            </w:rPr>
                            <w:t xml:space="preserve">. </w:t>
                          </w:r>
                          <w:r w:rsidR="000C1D98">
                            <w:rPr>
                              <w:rFonts w:ascii="Calibri" w:hAnsi="Calibri" w:cs="Calibri"/>
                              <w:color w:val="13576B"/>
                              <w:sz w:val="22"/>
                              <w:szCs w:val="24"/>
                            </w:rPr>
                            <w:t>8</w:t>
                          </w:r>
                          <w:r w:rsidRPr="00F37DC9">
                            <w:rPr>
                              <w:rFonts w:ascii="Calibri" w:hAnsi="Calibri" w:cs="Calibri"/>
                              <w:color w:val="13576B"/>
                              <w:sz w:val="22"/>
                              <w:szCs w:val="24"/>
                            </w:rPr>
                            <w:t>.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5CB3763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16.55pt;margin-top:.55pt;width:97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" filled="f" stroked="f">
              <v:textbox style="mso-fit-shape-to-text:t">
                <w:txbxContent>
                  <w:p w14:paraId="49CD1CFE" w14:textId="77777777" w:rsidR="00F37DC9" w:rsidRPr="00F37DC9" w:rsidRDefault="00F37DC9" w:rsidP="00F37DC9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2"/>
                        <w:szCs w:val="24"/>
                      </w:rPr>
                    </w:pPr>
                    <w:r w:rsidRPr="00F37DC9">
                      <w:rPr>
                        <w:rFonts w:ascii="Calibri" w:hAnsi="Calibri" w:cs="Calibri"/>
                        <w:b/>
                        <w:color w:val="13576B"/>
                        <w:sz w:val="22"/>
                        <w:szCs w:val="24"/>
                      </w:rPr>
                      <w:t xml:space="preserve">TISKOVÁ ZPRÁVA </w:t>
                    </w:r>
                  </w:p>
                  <w:p w14:paraId="5CDE064D" w14:textId="14B6EA5E" w:rsidR="00F37DC9" w:rsidRPr="00F37DC9" w:rsidRDefault="00F37DC9" w:rsidP="00F37DC9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2"/>
                        <w:szCs w:val="24"/>
                      </w:rPr>
                    </w:pPr>
                    <w:r w:rsidRPr="00F37DC9">
                      <w:rPr>
                        <w:rFonts w:ascii="Calibri" w:hAnsi="Calibri" w:cs="Calibri"/>
                        <w:color w:val="13576B"/>
                        <w:sz w:val="22"/>
                        <w:szCs w:val="24"/>
                      </w:rPr>
                      <w:t>1</w:t>
                    </w:r>
                    <w:r w:rsidR="000C1D98">
                      <w:rPr>
                        <w:rFonts w:ascii="Calibri" w:hAnsi="Calibri" w:cs="Calibri"/>
                        <w:color w:val="13576B"/>
                        <w:sz w:val="22"/>
                        <w:szCs w:val="24"/>
                      </w:rPr>
                      <w:t>2</w:t>
                    </w:r>
                    <w:r w:rsidRPr="00F37DC9">
                      <w:rPr>
                        <w:rFonts w:ascii="Calibri" w:hAnsi="Calibri" w:cs="Calibri"/>
                        <w:color w:val="13576B"/>
                        <w:sz w:val="22"/>
                        <w:szCs w:val="24"/>
                      </w:rPr>
                      <w:t xml:space="preserve">. </w:t>
                    </w:r>
                    <w:r w:rsidR="000C1D98">
                      <w:rPr>
                        <w:rFonts w:ascii="Calibri" w:hAnsi="Calibri" w:cs="Calibri"/>
                        <w:color w:val="13576B"/>
                        <w:sz w:val="22"/>
                        <w:szCs w:val="24"/>
                      </w:rPr>
                      <w:t>8</w:t>
                    </w:r>
                    <w:r w:rsidRPr="00F37DC9">
                      <w:rPr>
                        <w:rFonts w:ascii="Calibri" w:hAnsi="Calibri" w:cs="Calibri"/>
                        <w:color w:val="13576B"/>
                        <w:sz w:val="22"/>
                        <w:szCs w:val="24"/>
                      </w:rPr>
                      <w:t>. 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8A7"/>
    <w:multiLevelType w:val="hybridMultilevel"/>
    <w:tmpl w:val="ADD42E08"/>
    <w:lvl w:ilvl="0" w:tplc="9B0CBF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2C4DCE"/>
    <w:multiLevelType w:val="hybridMultilevel"/>
    <w:tmpl w:val="D4D47A08"/>
    <w:lvl w:ilvl="0" w:tplc="F062A1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86F60"/>
    <w:multiLevelType w:val="hybridMultilevel"/>
    <w:tmpl w:val="3232EEBE"/>
    <w:lvl w:ilvl="0" w:tplc="491E84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B2CEC"/>
    <w:multiLevelType w:val="hybridMultilevel"/>
    <w:tmpl w:val="FDB00238"/>
    <w:lvl w:ilvl="0" w:tplc="BD9EF86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BCF"/>
    <w:multiLevelType w:val="hybridMultilevel"/>
    <w:tmpl w:val="3554269C"/>
    <w:lvl w:ilvl="0" w:tplc="F52C1D16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F41FF"/>
    <w:multiLevelType w:val="hybridMultilevel"/>
    <w:tmpl w:val="06ECF1A8"/>
    <w:lvl w:ilvl="0" w:tplc="72161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69B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4DA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2E1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3445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FEB5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2F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686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3A89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F3628E"/>
    <w:multiLevelType w:val="hybridMultilevel"/>
    <w:tmpl w:val="771602E6"/>
    <w:lvl w:ilvl="0" w:tplc="30548F9A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763A7"/>
    <w:multiLevelType w:val="hybridMultilevel"/>
    <w:tmpl w:val="F904BEEC"/>
    <w:lvl w:ilvl="0" w:tplc="E0A2536E">
      <w:start w:val="20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A73130"/>
    <w:multiLevelType w:val="hybridMultilevel"/>
    <w:tmpl w:val="65281904"/>
    <w:lvl w:ilvl="0" w:tplc="DF56ABD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6451B"/>
    <w:multiLevelType w:val="hybridMultilevel"/>
    <w:tmpl w:val="C1DEF65C"/>
    <w:lvl w:ilvl="0" w:tplc="0E7285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0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0169"/>
    <w:rsid w:val="00001E30"/>
    <w:rsid w:val="00004B58"/>
    <w:rsid w:val="00006087"/>
    <w:rsid w:val="00014977"/>
    <w:rsid w:val="0001513F"/>
    <w:rsid w:val="000162B2"/>
    <w:rsid w:val="00017461"/>
    <w:rsid w:val="00023000"/>
    <w:rsid w:val="00026596"/>
    <w:rsid w:val="000349D8"/>
    <w:rsid w:val="00036DD3"/>
    <w:rsid w:val="000419CA"/>
    <w:rsid w:val="00044002"/>
    <w:rsid w:val="00055376"/>
    <w:rsid w:val="00062A8A"/>
    <w:rsid w:val="00066333"/>
    <w:rsid w:val="0007096D"/>
    <w:rsid w:val="00071B9F"/>
    <w:rsid w:val="000766D5"/>
    <w:rsid w:val="00076CE4"/>
    <w:rsid w:val="0008238B"/>
    <w:rsid w:val="00082E1D"/>
    <w:rsid w:val="00087849"/>
    <w:rsid w:val="00087A3D"/>
    <w:rsid w:val="00092ACE"/>
    <w:rsid w:val="00097B97"/>
    <w:rsid w:val="000A086B"/>
    <w:rsid w:val="000A1E1A"/>
    <w:rsid w:val="000A1EA1"/>
    <w:rsid w:val="000A2EC0"/>
    <w:rsid w:val="000A337A"/>
    <w:rsid w:val="000A6730"/>
    <w:rsid w:val="000B1B0C"/>
    <w:rsid w:val="000B4814"/>
    <w:rsid w:val="000B6BEC"/>
    <w:rsid w:val="000C1155"/>
    <w:rsid w:val="000C1D98"/>
    <w:rsid w:val="000C552C"/>
    <w:rsid w:val="000D1977"/>
    <w:rsid w:val="000D2B81"/>
    <w:rsid w:val="000D5D2B"/>
    <w:rsid w:val="000D7C38"/>
    <w:rsid w:val="000E1DF8"/>
    <w:rsid w:val="000E3A69"/>
    <w:rsid w:val="000E5E2A"/>
    <w:rsid w:val="000F34A7"/>
    <w:rsid w:val="000F790F"/>
    <w:rsid w:val="00100B73"/>
    <w:rsid w:val="001045A6"/>
    <w:rsid w:val="00105C84"/>
    <w:rsid w:val="0011443F"/>
    <w:rsid w:val="00114D42"/>
    <w:rsid w:val="00115379"/>
    <w:rsid w:val="00115462"/>
    <w:rsid w:val="00125474"/>
    <w:rsid w:val="001262D3"/>
    <w:rsid w:val="001317FA"/>
    <w:rsid w:val="0013597E"/>
    <w:rsid w:val="00142834"/>
    <w:rsid w:val="00142FD3"/>
    <w:rsid w:val="00147E43"/>
    <w:rsid w:val="00153D1F"/>
    <w:rsid w:val="00154824"/>
    <w:rsid w:val="00156EF2"/>
    <w:rsid w:val="001607D6"/>
    <w:rsid w:val="00164D55"/>
    <w:rsid w:val="00165D62"/>
    <w:rsid w:val="00166404"/>
    <w:rsid w:val="001802DE"/>
    <w:rsid w:val="001828E8"/>
    <w:rsid w:val="00186E9F"/>
    <w:rsid w:val="00190861"/>
    <w:rsid w:val="001914C2"/>
    <w:rsid w:val="00191CB2"/>
    <w:rsid w:val="00195C6D"/>
    <w:rsid w:val="001960B2"/>
    <w:rsid w:val="0019764B"/>
    <w:rsid w:val="001A7E43"/>
    <w:rsid w:val="001B44EF"/>
    <w:rsid w:val="001B4FA1"/>
    <w:rsid w:val="001B5FE5"/>
    <w:rsid w:val="001B69C3"/>
    <w:rsid w:val="001C0DF4"/>
    <w:rsid w:val="001C297A"/>
    <w:rsid w:val="001C576C"/>
    <w:rsid w:val="001C7F27"/>
    <w:rsid w:val="001D5BB9"/>
    <w:rsid w:val="001E4A94"/>
    <w:rsid w:val="001E4E51"/>
    <w:rsid w:val="001E6405"/>
    <w:rsid w:val="001E6A1E"/>
    <w:rsid w:val="002050D0"/>
    <w:rsid w:val="002207A6"/>
    <w:rsid w:val="00221E42"/>
    <w:rsid w:val="00224038"/>
    <w:rsid w:val="00224284"/>
    <w:rsid w:val="00224F0E"/>
    <w:rsid w:val="002401B0"/>
    <w:rsid w:val="00242192"/>
    <w:rsid w:val="00244B0F"/>
    <w:rsid w:val="00245099"/>
    <w:rsid w:val="0024553D"/>
    <w:rsid w:val="00247943"/>
    <w:rsid w:val="002511A0"/>
    <w:rsid w:val="00251963"/>
    <w:rsid w:val="00261512"/>
    <w:rsid w:val="002624E9"/>
    <w:rsid w:val="002636B5"/>
    <w:rsid w:val="00263F96"/>
    <w:rsid w:val="00267813"/>
    <w:rsid w:val="00267ACA"/>
    <w:rsid w:val="0027402B"/>
    <w:rsid w:val="002878FD"/>
    <w:rsid w:val="002A2B40"/>
    <w:rsid w:val="002A7837"/>
    <w:rsid w:val="002B273C"/>
    <w:rsid w:val="002B3725"/>
    <w:rsid w:val="002B5D56"/>
    <w:rsid w:val="002C4547"/>
    <w:rsid w:val="002C4F14"/>
    <w:rsid w:val="002D12BD"/>
    <w:rsid w:val="002D1376"/>
    <w:rsid w:val="002D6B03"/>
    <w:rsid w:val="002E1078"/>
    <w:rsid w:val="002E18D7"/>
    <w:rsid w:val="002E39FF"/>
    <w:rsid w:val="002E3DF7"/>
    <w:rsid w:val="002E5008"/>
    <w:rsid w:val="002E732D"/>
    <w:rsid w:val="002E7CA6"/>
    <w:rsid w:val="002F3D6C"/>
    <w:rsid w:val="002F477C"/>
    <w:rsid w:val="002F6016"/>
    <w:rsid w:val="00302451"/>
    <w:rsid w:val="00302716"/>
    <w:rsid w:val="00303D8D"/>
    <w:rsid w:val="00304E17"/>
    <w:rsid w:val="00310201"/>
    <w:rsid w:val="00310D0B"/>
    <w:rsid w:val="003123D0"/>
    <w:rsid w:val="00315BAC"/>
    <w:rsid w:val="00316A23"/>
    <w:rsid w:val="00320075"/>
    <w:rsid w:val="00320A31"/>
    <w:rsid w:val="003215CA"/>
    <w:rsid w:val="00325C91"/>
    <w:rsid w:val="00327407"/>
    <w:rsid w:val="00327E59"/>
    <w:rsid w:val="003305B2"/>
    <w:rsid w:val="003366D7"/>
    <w:rsid w:val="00337931"/>
    <w:rsid w:val="003401BC"/>
    <w:rsid w:val="00343CB8"/>
    <w:rsid w:val="00346FF6"/>
    <w:rsid w:val="00355435"/>
    <w:rsid w:val="0035571B"/>
    <w:rsid w:val="00356262"/>
    <w:rsid w:val="00360F61"/>
    <w:rsid w:val="00362759"/>
    <w:rsid w:val="00364371"/>
    <w:rsid w:val="0036442C"/>
    <w:rsid w:val="003654CD"/>
    <w:rsid w:val="00365B2D"/>
    <w:rsid w:val="003668D4"/>
    <w:rsid w:val="00367D3B"/>
    <w:rsid w:val="00367F9E"/>
    <w:rsid w:val="0037051A"/>
    <w:rsid w:val="00370F35"/>
    <w:rsid w:val="003713E7"/>
    <w:rsid w:val="003724E9"/>
    <w:rsid w:val="003727EB"/>
    <w:rsid w:val="0037353B"/>
    <w:rsid w:val="00373D9D"/>
    <w:rsid w:val="00380C99"/>
    <w:rsid w:val="00383E25"/>
    <w:rsid w:val="00391FA6"/>
    <w:rsid w:val="003947A8"/>
    <w:rsid w:val="003952ED"/>
    <w:rsid w:val="00395434"/>
    <w:rsid w:val="00397F9F"/>
    <w:rsid w:val="003A1647"/>
    <w:rsid w:val="003A30BE"/>
    <w:rsid w:val="003A5DED"/>
    <w:rsid w:val="003B31BC"/>
    <w:rsid w:val="003B61CD"/>
    <w:rsid w:val="003C3D7F"/>
    <w:rsid w:val="003C7394"/>
    <w:rsid w:val="003D104A"/>
    <w:rsid w:val="003D14D7"/>
    <w:rsid w:val="003D5446"/>
    <w:rsid w:val="003E0E58"/>
    <w:rsid w:val="003E31EA"/>
    <w:rsid w:val="003E3DCB"/>
    <w:rsid w:val="003F1CB9"/>
    <w:rsid w:val="003F2B91"/>
    <w:rsid w:val="003F7F31"/>
    <w:rsid w:val="0040072F"/>
    <w:rsid w:val="00401262"/>
    <w:rsid w:val="00401322"/>
    <w:rsid w:val="00402738"/>
    <w:rsid w:val="00405C26"/>
    <w:rsid w:val="00416028"/>
    <w:rsid w:val="00416A62"/>
    <w:rsid w:val="00420888"/>
    <w:rsid w:val="00421049"/>
    <w:rsid w:val="0042113A"/>
    <w:rsid w:val="00422611"/>
    <w:rsid w:val="00425C7D"/>
    <w:rsid w:val="004300C6"/>
    <w:rsid w:val="00435C21"/>
    <w:rsid w:val="00437589"/>
    <w:rsid w:val="004475DD"/>
    <w:rsid w:val="00453E1C"/>
    <w:rsid w:val="004551CA"/>
    <w:rsid w:val="0045664E"/>
    <w:rsid w:val="00463781"/>
    <w:rsid w:val="004709C3"/>
    <w:rsid w:val="00471FFB"/>
    <w:rsid w:val="00474A86"/>
    <w:rsid w:val="00476BD0"/>
    <w:rsid w:val="00484A70"/>
    <w:rsid w:val="0049113D"/>
    <w:rsid w:val="0049132F"/>
    <w:rsid w:val="0049605B"/>
    <w:rsid w:val="004A1724"/>
    <w:rsid w:val="004A2FAE"/>
    <w:rsid w:val="004A7ABD"/>
    <w:rsid w:val="004A7D28"/>
    <w:rsid w:val="004B4E22"/>
    <w:rsid w:val="004C1B31"/>
    <w:rsid w:val="004C389E"/>
    <w:rsid w:val="004C5DF3"/>
    <w:rsid w:val="004D1CED"/>
    <w:rsid w:val="004D5EDF"/>
    <w:rsid w:val="004D63E3"/>
    <w:rsid w:val="004D7651"/>
    <w:rsid w:val="004E1AC6"/>
    <w:rsid w:val="004E3A25"/>
    <w:rsid w:val="004E6615"/>
    <w:rsid w:val="004F0729"/>
    <w:rsid w:val="004F1275"/>
    <w:rsid w:val="004F4A74"/>
    <w:rsid w:val="00503095"/>
    <w:rsid w:val="005044E1"/>
    <w:rsid w:val="00505850"/>
    <w:rsid w:val="00505C9C"/>
    <w:rsid w:val="00506DF1"/>
    <w:rsid w:val="00517111"/>
    <w:rsid w:val="00520AEA"/>
    <w:rsid w:val="00520C82"/>
    <w:rsid w:val="00521B07"/>
    <w:rsid w:val="00527304"/>
    <w:rsid w:val="00527C61"/>
    <w:rsid w:val="005354AE"/>
    <w:rsid w:val="00536B9B"/>
    <w:rsid w:val="00537515"/>
    <w:rsid w:val="00537656"/>
    <w:rsid w:val="00537C68"/>
    <w:rsid w:val="00545533"/>
    <w:rsid w:val="0054661B"/>
    <w:rsid w:val="00550C81"/>
    <w:rsid w:val="005531EC"/>
    <w:rsid w:val="00553FBC"/>
    <w:rsid w:val="00555B91"/>
    <w:rsid w:val="00562D02"/>
    <w:rsid w:val="0056315C"/>
    <w:rsid w:val="005642DD"/>
    <w:rsid w:val="00571647"/>
    <w:rsid w:val="00576028"/>
    <w:rsid w:val="00577677"/>
    <w:rsid w:val="005864AD"/>
    <w:rsid w:val="00587F82"/>
    <w:rsid w:val="00593090"/>
    <w:rsid w:val="005954B4"/>
    <w:rsid w:val="00595CAD"/>
    <w:rsid w:val="00596CED"/>
    <w:rsid w:val="005A2501"/>
    <w:rsid w:val="005A2AF1"/>
    <w:rsid w:val="005A44FF"/>
    <w:rsid w:val="005A5299"/>
    <w:rsid w:val="005A7A4D"/>
    <w:rsid w:val="005B12FA"/>
    <w:rsid w:val="005B4768"/>
    <w:rsid w:val="005C1943"/>
    <w:rsid w:val="005C3C3C"/>
    <w:rsid w:val="005C41EF"/>
    <w:rsid w:val="005C60BB"/>
    <w:rsid w:val="005C6A0D"/>
    <w:rsid w:val="005C6D52"/>
    <w:rsid w:val="005C6DB6"/>
    <w:rsid w:val="005C7415"/>
    <w:rsid w:val="005D053D"/>
    <w:rsid w:val="005D0910"/>
    <w:rsid w:val="005D42A6"/>
    <w:rsid w:val="005E58E1"/>
    <w:rsid w:val="005E5B24"/>
    <w:rsid w:val="005E5B52"/>
    <w:rsid w:val="005F0A8A"/>
    <w:rsid w:val="005F3FF0"/>
    <w:rsid w:val="005F4524"/>
    <w:rsid w:val="005F772B"/>
    <w:rsid w:val="006028B1"/>
    <w:rsid w:val="00603141"/>
    <w:rsid w:val="00604274"/>
    <w:rsid w:val="0060552B"/>
    <w:rsid w:val="00611C5C"/>
    <w:rsid w:val="00611EFE"/>
    <w:rsid w:val="00612725"/>
    <w:rsid w:val="006146A8"/>
    <w:rsid w:val="00614E76"/>
    <w:rsid w:val="006155CF"/>
    <w:rsid w:val="00626065"/>
    <w:rsid w:val="00626382"/>
    <w:rsid w:val="00634862"/>
    <w:rsid w:val="00635F63"/>
    <w:rsid w:val="00640878"/>
    <w:rsid w:val="0064499D"/>
    <w:rsid w:val="006454CC"/>
    <w:rsid w:val="0064668C"/>
    <w:rsid w:val="006478ED"/>
    <w:rsid w:val="00650A73"/>
    <w:rsid w:val="006529D6"/>
    <w:rsid w:val="00653FBB"/>
    <w:rsid w:val="0065675B"/>
    <w:rsid w:val="00660A8C"/>
    <w:rsid w:val="00663D34"/>
    <w:rsid w:val="006642E5"/>
    <w:rsid w:val="0066436B"/>
    <w:rsid w:val="00664659"/>
    <w:rsid w:val="006648C4"/>
    <w:rsid w:val="006669D1"/>
    <w:rsid w:val="00667BA1"/>
    <w:rsid w:val="0067027E"/>
    <w:rsid w:val="00670BEE"/>
    <w:rsid w:val="0067201E"/>
    <w:rsid w:val="006733E8"/>
    <w:rsid w:val="006756FC"/>
    <w:rsid w:val="00675D0C"/>
    <w:rsid w:val="00680B54"/>
    <w:rsid w:val="0068337D"/>
    <w:rsid w:val="00683E88"/>
    <w:rsid w:val="006952F0"/>
    <w:rsid w:val="006963D2"/>
    <w:rsid w:val="006A54C3"/>
    <w:rsid w:val="006A5DB5"/>
    <w:rsid w:val="006B03F0"/>
    <w:rsid w:val="006B19D1"/>
    <w:rsid w:val="006B2ADD"/>
    <w:rsid w:val="006B2F86"/>
    <w:rsid w:val="006B60A6"/>
    <w:rsid w:val="006B7DE5"/>
    <w:rsid w:val="006C035F"/>
    <w:rsid w:val="006C3AF8"/>
    <w:rsid w:val="006C4385"/>
    <w:rsid w:val="006C6CFF"/>
    <w:rsid w:val="006C6D8D"/>
    <w:rsid w:val="006C6DCB"/>
    <w:rsid w:val="006D0B7D"/>
    <w:rsid w:val="006D23EF"/>
    <w:rsid w:val="006D3D9F"/>
    <w:rsid w:val="006D7467"/>
    <w:rsid w:val="006D74B0"/>
    <w:rsid w:val="006E0634"/>
    <w:rsid w:val="006E0DB3"/>
    <w:rsid w:val="006E18EC"/>
    <w:rsid w:val="006E1DBB"/>
    <w:rsid w:val="006E335A"/>
    <w:rsid w:val="006E6C76"/>
    <w:rsid w:val="006F0636"/>
    <w:rsid w:val="007000AB"/>
    <w:rsid w:val="00700BFA"/>
    <w:rsid w:val="007075B3"/>
    <w:rsid w:val="00710350"/>
    <w:rsid w:val="007204F9"/>
    <w:rsid w:val="00725295"/>
    <w:rsid w:val="00730B38"/>
    <w:rsid w:val="00734471"/>
    <w:rsid w:val="00742303"/>
    <w:rsid w:val="00742971"/>
    <w:rsid w:val="00744504"/>
    <w:rsid w:val="00746582"/>
    <w:rsid w:val="00747C2E"/>
    <w:rsid w:val="00752180"/>
    <w:rsid w:val="00754744"/>
    <w:rsid w:val="00755B46"/>
    <w:rsid w:val="00757E86"/>
    <w:rsid w:val="00761A85"/>
    <w:rsid w:val="00761C3F"/>
    <w:rsid w:val="0076384E"/>
    <w:rsid w:val="007642B3"/>
    <w:rsid w:val="007656CF"/>
    <w:rsid w:val="007673D0"/>
    <w:rsid w:val="007725F7"/>
    <w:rsid w:val="00772E8C"/>
    <w:rsid w:val="007836B5"/>
    <w:rsid w:val="007948B6"/>
    <w:rsid w:val="00794DCF"/>
    <w:rsid w:val="00794FB6"/>
    <w:rsid w:val="007963E0"/>
    <w:rsid w:val="007A7909"/>
    <w:rsid w:val="007A7D73"/>
    <w:rsid w:val="007B02A8"/>
    <w:rsid w:val="007C1FCA"/>
    <w:rsid w:val="007C2872"/>
    <w:rsid w:val="007C2F0D"/>
    <w:rsid w:val="007C4C83"/>
    <w:rsid w:val="007C5704"/>
    <w:rsid w:val="007C58D4"/>
    <w:rsid w:val="007C64E9"/>
    <w:rsid w:val="007D02A1"/>
    <w:rsid w:val="007D4025"/>
    <w:rsid w:val="007D52B7"/>
    <w:rsid w:val="007D666C"/>
    <w:rsid w:val="007D6C66"/>
    <w:rsid w:val="007E0BF1"/>
    <w:rsid w:val="007E33A6"/>
    <w:rsid w:val="007E4E82"/>
    <w:rsid w:val="007F16CA"/>
    <w:rsid w:val="007F1F07"/>
    <w:rsid w:val="007F40D6"/>
    <w:rsid w:val="007F61C7"/>
    <w:rsid w:val="007F6300"/>
    <w:rsid w:val="00801132"/>
    <w:rsid w:val="008030F5"/>
    <w:rsid w:val="00803E55"/>
    <w:rsid w:val="0080505A"/>
    <w:rsid w:val="00806F9C"/>
    <w:rsid w:val="00807F85"/>
    <w:rsid w:val="00811FE2"/>
    <w:rsid w:val="008270D7"/>
    <w:rsid w:val="008315F2"/>
    <w:rsid w:val="00833844"/>
    <w:rsid w:val="0083413A"/>
    <w:rsid w:val="00835E99"/>
    <w:rsid w:val="008404DA"/>
    <w:rsid w:val="00847E22"/>
    <w:rsid w:val="00851A29"/>
    <w:rsid w:val="00854190"/>
    <w:rsid w:val="00856019"/>
    <w:rsid w:val="00862465"/>
    <w:rsid w:val="00864495"/>
    <w:rsid w:val="00864AC0"/>
    <w:rsid w:val="008667B0"/>
    <w:rsid w:val="00870102"/>
    <w:rsid w:val="00870D1C"/>
    <w:rsid w:val="008722D9"/>
    <w:rsid w:val="00872847"/>
    <w:rsid w:val="0087441A"/>
    <w:rsid w:val="00882583"/>
    <w:rsid w:val="008825F4"/>
    <w:rsid w:val="0088279B"/>
    <w:rsid w:val="00884E72"/>
    <w:rsid w:val="008857AA"/>
    <w:rsid w:val="00890D45"/>
    <w:rsid w:val="008910AF"/>
    <w:rsid w:val="00893FAA"/>
    <w:rsid w:val="00895EF3"/>
    <w:rsid w:val="00897332"/>
    <w:rsid w:val="008B1328"/>
    <w:rsid w:val="008B3232"/>
    <w:rsid w:val="008B6D55"/>
    <w:rsid w:val="008C3B72"/>
    <w:rsid w:val="008C3E6D"/>
    <w:rsid w:val="008C5FB5"/>
    <w:rsid w:val="008C67EB"/>
    <w:rsid w:val="008C7E08"/>
    <w:rsid w:val="008D0F71"/>
    <w:rsid w:val="008D1230"/>
    <w:rsid w:val="008D5313"/>
    <w:rsid w:val="008D576F"/>
    <w:rsid w:val="008E1BD7"/>
    <w:rsid w:val="008E265E"/>
    <w:rsid w:val="008F06AA"/>
    <w:rsid w:val="008F11D5"/>
    <w:rsid w:val="008F6F41"/>
    <w:rsid w:val="009047C8"/>
    <w:rsid w:val="009065D8"/>
    <w:rsid w:val="00907818"/>
    <w:rsid w:val="00910CBA"/>
    <w:rsid w:val="00912FEF"/>
    <w:rsid w:val="009139AF"/>
    <w:rsid w:val="00915CEC"/>
    <w:rsid w:val="0091603D"/>
    <w:rsid w:val="009224FC"/>
    <w:rsid w:val="009263C2"/>
    <w:rsid w:val="00934899"/>
    <w:rsid w:val="009430BD"/>
    <w:rsid w:val="00943C78"/>
    <w:rsid w:val="00944D10"/>
    <w:rsid w:val="00947AC8"/>
    <w:rsid w:val="00950AD8"/>
    <w:rsid w:val="0095568B"/>
    <w:rsid w:val="00957974"/>
    <w:rsid w:val="00957FF9"/>
    <w:rsid w:val="00962A49"/>
    <w:rsid w:val="009638B3"/>
    <w:rsid w:val="00970853"/>
    <w:rsid w:val="00977317"/>
    <w:rsid w:val="00977832"/>
    <w:rsid w:val="0098288C"/>
    <w:rsid w:val="00983579"/>
    <w:rsid w:val="0098366D"/>
    <w:rsid w:val="009A1DCA"/>
    <w:rsid w:val="009A24CC"/>
    <w:rsid w:val="009A3086"/>
    <w:rsid w:val="009A4429"/>
    <w:rsid w:val="009A4D08"/>
    <w:rsid w:val="009A5048"/>
    <w:rsid w:val="009A6092"/>
    <w:rsid w:val="009B4FEE"/>
    <w:rsid w:val="009B7D7F"/>
    <w:rsid w:val="009C181E"/>
    <w:rsid w:val="009C4DDF"/>
    <w:rsid w:val="009C63C2"/>
    <w:rsid w:val="009D150F"/>
    <w:rsid w:val="009D5E6C"/>
    <w:rsid w:val="009D73C5"/>
    <w:rsid w:val="009F012D"/>
    <w:rsid w:val="009F1744"/>
    <w:rsid w:val="009F569C"/>
    <w:rsid w:val="009F5C2E"/>
    <w:rsid w:val="00A00BF5"/>
    <w:rsid w:val="00A01EB4"/>
    <w:rsid w:val="00A020B8"/>
    <w:rsid w:val="00A02527"/>
    <w:rsid w:val="00A07E80"/>
    <w:rsid w:val="00A10A9C"/>
    <w:rsid w:val="00A144A3"/>
    <w:rsid w:val="00A2430B"/>
    <w:rsid w:val="00A257D9"/>
    <w:rsid w:val="00A2750F"/>
    <w:rsid w:val="00A41BA7"/>
    <w:rsid w:val="00A42EAA"/>
    <w:rsid w:val="00A43387"/>
    <w:rsid w:val="00A4779D"/>
    <w:rsid w:val="00A51840"/>
    <w:rsid w:val="00A60208"/>
    <w:rsid w:val="00A6286E"/>
    <w:rsid w:val="00A6400E"/>
    <w:rsid w:val="00A64535"/>
    <w:rsid w:val="00A7019E"/>
    <w:rsid w:val="00A7149F"/>
    <w:rsid w:val="00A71A8B"/>
    <w:rsid w:val="00A71F9A"/>
    <w:rsid w:val="00A73218"/>
    <w:rsid w:val="00A732A1"/>
    <w:rsid w:val="00A772EE"/>
    <w:rsid w:val="00A84275"/>
    <w:rsid w:val="00A8617F"/>
    <w:rsid w:val="00A8750A"/>
    <w:rsid w:val="00A90878"/>
    <w:rsid w:val="00AA1435"/>
    <w:rsid w:val="00AA24D9"/>
    <w:rsid w:val="00AA2604"/>
    <w:rsid w:val="00AA2D4E"/>
    <w:rsid w:val="00AA6103"/>
    <w:rsid w:val="00AA6453"/>
    <w:rsid w:val="00AA66C1"/>
    <w:rsid w:val="00AB12AC"/>
    <w:rsid w:val="00AB24BA"/>
    <w:rsid w:val="00AB4419"/>
    <w:rsid w:val="00AC08E3"/>
    <w:rsid w:val="00AC1037"/>
    <w:rsid w:val="00AC3C60"/>
    <w:rsid w:val="00AC57E5"/>
    <w:rsid w:val="00AC75B5"/>
    <w:rsid w:val="00AD2C6F"/>
    <w:rsid w:val="00AE125F"/>
    <w:rsid w:val="00AE3164"/>
    <w:rsid w:val="00AE69C7"/>
    <w:rsid w:val="00AF11ED"/>
    <w:rsid w:val="00AF218D"/>
    <w:rsid w:val="00AF4DF3"/>
    <w:rsid w:val="00B03E8F"/>
    <w:rsid w:val="00B04775"/>
    <w:rsid w:val="00B067AB"/>
    <w:rsid w:val="00B06E15"/>
    <w:rsid w:val="00B10C17"/>
    <w:rsid w:val="00B16F18"/>
    <w:rsid w:val="00B235CA"/>
    <w:rsid w:val="00B25E96"/>
    <w:rsid w:val="00B2720B"/>
    <w:rsid w:val="00B27646"/>
    <w:rsid w:val="00B3003D"/>
    <w:rsid w:val="00B32114"/>
    <w:rsid w:val="00B3228D"/>
    <w:rsid w:val="00B36071"/>
    <w:rsid w:val="00B403E8"/>
    <w:rsid w:val="00B4285D"/>
    <w:rsid w:val="00B445A6"/>
    <w:rsid w:val="00B447B3"/>
    <w:rsid w:val="00B4671E"/>
    <w:rsid w:val="00B4716E"/>
    <w:rsid w:val="00B506AC"/>
    <w:rsid w:val="00B518BF"/>
    <w:rsid w:val="00B52170"/>
    <w:rsid w:val="00B57E29"/>
    <w:rsid w:val="00B639BE"/>
    <w:rsid w:val="00B64423"/>
    <w:rsid w:val="00B64486"/>
    <w:rsid w:val="00B76371"/>
    <w:rsid w:val="00B82C4A"/>
    <w:rsid w:val="00B83E9D"/>
    <w:rsid w:val="00B85767"/>
    <w:rsid w:val="00B87B58"/>
    <w:rsid w:val="00B95673"/>
    <w:rsid w:val="00B9723F"/>
    <w:rsid w:val="00B97579"/>
    <w:rsid w:val="00B97D6A"/>
    <w:rsid w:val="00BC0374"/>
    <w:rsid w:val="00BC15D2"/>
    <w:rsid w:val="00BC61FC"/>
    <w:rsid w:val="00BD51B7"/>
    <w:rsid w:val="00BD64FB"/>
    <w:rsid w:val="00BD7B5A"/>
    <w:rsid w:val="00BF0D5A"/>
    <w:rsid w:val="00BF1E98"/>
    <w:rsid w:val="00BF48A4"/>
    <w:rsid w:val="00BF58BD"/>
    <w:rsid w:val="00BF5C5A"/>
    <w:rsid w:val="00BF73F4"/>
    <w:rsid w:val="00C019C0"/>
    <w:rsid w:val="00C01CB1"/>
    <w:rsid w:val="00C04531"/>
    <w:rsid w:val="00C0609E"/>
    <w:rsid w:val="00C10771"/>
    <w:rsid w:val="00C1402D"/>
    <w:rsid w:val="00C15C17"/>
    <w:rsid w:val="00C17244"/>
    <w:rsid w:val="00C23A88"/>
    <w:rsid w:val="00C253FE"/>
    <w:rsid w:val="00C25EA6"/>
    <w:rsid w:val="00C31BC2"/>
    <w:rsid w:val="00C31CD3"/>
    <w:rsid w:val="00C33B31"/>
    <w:rsid w:val="00C50104"/>
    <w:rsid w:val="00C552C2"/>
    <w:rsid w:val="00C617BE"/>
    <w:rsid w:val="00C62B5E"/>
    <w:rsid w:val="00C64001"/>
    <w:rsid w:val="00C64546"/>
    <w:rsid w:val="00C66678"/>
    <w:rsid w:val="00C66EF2"/>
    <w:rsid w:val="00C73708"/>
    <w:rsid w:val="00C7383D"/>
    <w:rsid w:val="00C73C1A"/>
    <w:rsid w:val="00C74048"/>
    <w:rsid w:val="00C83793"/>
    <w:rsid w:val="00C84C93"/>
    <w:rsid w:val="00C93158"/>
    <w:rsid w:val="00C94C33"/>
    <w:rsid w:val="00C94DCE"/>
    <w:rsid w:val="00C94E04"/>
    <w:rsid w:val="00C975C9"/>
    <w:rsid w:val="00C97815"/>
    <w:rsid w:val="00CA0CF8"/>
    <w:rsid w:val="00CA6B72"/>
    <w:rsid w:val="00CA7866"/>
    <w:rsid w:val="00CB2CC6"/>
    <w:rsid w:val="00CB3A76"/>
    <w:rsid w:val="00CB5392"/>
    <w:rsid w:val="00CB5C47"/>
    <w:rsid w:val="00CB6D21"/>
    <w:rsid w:val="00CB6EC2"/>
    <w:rsid w:val="00CB79A1"/>
    <w:rsid w:val="00CC2DDE"/>
    <w:rsid w:val="00CC7510"/>
    <w:rsid w:val="00CD149B"/>
    <w:rsid w:val="00CD214E"/>
    <w:rsid w:val="00CD5288"/>
    <w:rsid w:val="00CD7450"/>
    <w:rsid w:val="00CE0212"/>
    <w:rsid w:val="00CE1014"/>
    <w:rsid w:val="00CE5DCA"/>
    <w:rsid w:val="00CE6DF9"/>
    <w:rsid w:val="00CF04CA"/>
    <w:rsid w:val="00CF6D15"/>
    <w:rsid w:val="00D03EA1"/>
    <w:rsid w:val="00D04098"/>
    <w:rsid w:val="00D04BC7"/>
    <w:rsid w:val="00D10717"/>
    <w:rsid w:val="00D10FC9"/>
    <w:rsid w:val="00D13645"/>
    <w:rsid w:val="00D15085"/>
    <w:rsid w:val="00D157A4"/>
    <w:rsid w:val="00D17D09"/>
    <w:rsid w:val="00D20916"/>
    <w:rsid w:val="00D20E42"/>
    <w:rsid w:val="00D2261D"/>
    <w:rsid w:val="00D236FC"/>
    <w:rsid w:val="00D242FD"/>
    <w:rsid w:val="00D24ACA"/>
    <w:rsid w:val="00D347D2"/>
    <w:rsid w:val="00D36FE1"/>
    <w:rsid w:val="00D45BA3"/>
    <w:rsid w:val="00D47140"/>
    <w:rsid w:val="00D520B2"/>
    <w:rsid w:val="00D57204"/>
    <w:rsid w:val="00D61603"/>
    <w:rsid w:val="00D67A35"/>
    <w:rsid w:val="00D7105D"/>
    <w:rsid w:val="00D72373"/>
    <w:rsid w:val="00D73A84"/>
    <w:rsid w:val="00D73B30"/>
    <w:rsid w:val="00D7566D"/>
    <w:rsid w:val="00D7765B"/>
    <w:rsid w:val="00D77C73"/>
    <w:rsid w:val="00D87B97"/>
    <w:rsid w:val="00D91982"/>
    <w:rsid w:val="00D9338E"/>
    <w:rsid w:val="00D97A26"/>
    <w:rsid w:val="00D97E49"/>
    <w:rsid w:val="00DA4328"/>
    <w:rsid w:val="00DB46CC"/>
    <w:rsid w:val="00DB4EAB"/>
    <w:rsid w:val="00DB5DA9"/>
    <w:rsid w:val="00DB7417"/>
    <w:rsid w:val="00DC328A"/>
    <w:rsid w:val="00DC4924"/>
    <w:rsid w:val="00DC556E"/>
    <w:rsid w:val="00DC7164"/>
    <w:rsid w:val="00DD4A8E"/>
    <w:rsid w:val="00DD5178"/>
    <w:rsid w:val="00DE3055"/>
    <w:rsid w:val="00DE3268"/>
    <w:rsid w:val="00DE70AE"/>
    <w:rsid w:val="00DF0C5E"/>
    <w:rsid w:val="00DF7A07"/>
    <w:rsid w:val="00E00755"/>
    <w:rsid w:val="00E00EC4"/>
    <w:rsid w:val="00E03E1A"/>
    <w:rsid w:val="00E0427D"/>
    <w:rsid w:val="00E04FC0"/>
    <w:rsid w:val="00E07861"/>
    <w:rsid w:val="00E10053"/>
    <w:rsid w:val="00E10472"/>
    <w:rsid w:val="00E11110"/>
    <w:rsid w:val="00E22F3F"/>
    <w:rsid w:val="00E23E0B"/>
    <w:rsid w:val="00E23F00"/>
    <w:rsid w:val="00E3317B"/>
    <w:rsid w:val="00E3386F"/>
    <w:rsid w:val="00E3424D"/>
    <w:rsid w:val="00E4527A"/>
    <w:rsid w:val="00E52EE1"/>
    <w:rsid w:val="00E732C9"/>
    <w:rsid w:val="00E74C2F"/>
    <w:rsid w:val="00E76C3A"/>
    <w:rsid w:val="00E77101"/>
    <w:rsid w:val="00E77EE7"/>
    <w:rsid w:val="00E8230A"/>
    <w:rsid w:val="00E82C0C"/>
    <w:rsid w:val="00E858A7"/>
    <w:rsid w:val="00E8716B"/>
    <w:rsid w:val="00E8787F"/>
    <w:rsid w:val="00E900AF"/>
    <w:rsid w:val="00E92D8C"/>
    <w:rsid w:val="00E966FD"/>
    <w:rsid w:val="00EA05BA"/>
    <w:rsid w:val="00EA2DCF"/>
    <w:rsid w:val="00EA3EEC"/>
    <w:rsid w:val="00EA5E6A"/>
    <w:rsid w:val="00EA6FE9"/>
    <w:rsid w:val="00EB2C64"/>
    <w:rsid w:val="00EB2F2C"/>
    <w:rsid w:val="00EB36AD"/>
    <w:rsid w:val="00EB3C69"/>
    <w:rsid w:val="00EB531D"/>
    <w:rsid w:val="00EB62D7"/>
    <w:rsid w:val="00EB6C50"/>
    <w:rsid w:val="00EB6F2B"/>
    <w:rsid w:val="00EC126D"/>
    <w:rsid w:val="00EC720E"/>
    <w:rsid w:val="00ED1237"/>
    <w:rsid w:val="00ED2F8C"/>
    <w:rsid w:val="00ED452D"/>
    <w:rsid w:val="00ED4B86"/>
    <w:rsid w:val="00EE7D8D"/>
    <w:rsid w:val="00EF0D43"/>
    <w:rsid w:val="00EF1FB7"/>
    <w:rsid w:val="00F01005"/>
    <w:rsid w:val="00F0109D"/>
    <w:rsid w:val="00F01F41"/>
    <w:rsid w:val="00F14133"/>
    <w:rsid w:val="00F20F0C"/>
    <w:rsid w:val="00F24AFC"/>
    <w:rsid w:val="00F32F3A"/>
    <w:rsid w:val="00F35ABF"/>
    <w:rsid w:val="00F37DC9"/>
    <w:rsid w:val="00F40053"/>
    <w:rsid w:val="00F438E3"/>
    <w:rsid w:val="00F43D1E"/>
    <w:rsid w:val="00F464BF"/>
    <w:rsid w:val="00F46BA9"/>
    <w:rsid w:val="00F52243"/>
    <w:rsid w:val="00F52FD1"/>
    <w:rsid w:val="00F54329"/>
    <w:rsid w:val="00F545AC"/>
    <w:rsid w:val="00F55301"/>
    <w:rsid w:val="00F56999"/>
    <w:rsid w:val="00F573F1"/>
    <w:rsid w:val="00F60644"/>
    <w:rsid w:val="00F615BD"/>
    <w:rsid w:val="00F6767A"/>
    <w:rsid w:val="00F67E6A"/>
    <w:rsid w:val="00F80A00"/>
    <w:rsid w:val="00F854D8"/>
    <w:rsid w:val="00F860E1"/>
    <w:rsid w:val="00F860F7"/>
    <w:rsid w:val="00F93181"/>
    <w:rsid w:val="00F97C75"/>
    <w:rsid w:val="00FA2D2A"/>
    <w:rsid w:val="00FA3413"/>
    <w:rsid w:val="00FA7186"/>
    <w:rsid w:val="00FB115F"/>
    <w:rsid w:val="00FB4A1C"/>
    <w:rsid w:val="00FB504D"/>
    <w:rsid w:val="00FB51DC"/>
    <w:rsid w:val="00FB5CD9"/>
    <w:rsid w:val="00FB6924"/>
    <w:rsid w:val="00FB795F"/>
    <w:rsid w:val="00FC7377"/>
    <w:rsid w:val="00FD12DB"/>
    <w:rsid w:val="00FD3C84"/>
    <w:rsid w:val="00FD57E2"/>
    <w:rsid w:val="00FD64E5"/>
    <w:rsid w:val="00FE03F5"/>
    <w:rsid w:val="00FE493E"/>
    <w:rsid w:val="00FE5DF6"/>
    <w:rsid w:val="00FF69E1"/>
    <w:rsid w:val="00FF6B3D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0D3594D"/>
  <w15:docId w15:val="{AE278A13-9C2A-4D53-8A14-E27E9B8F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445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4450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4450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45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4504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6E1D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747C2E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6453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645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6453"/>
    <w:rPr>
      <w:vertAlign w:val="superscript"/>
    </w:rPr>
  </w:style>
  <w:style w:type="character" w:customStyle="1" w:styleId="cf01">
    <w:name w:val="cf01"/>
    <w:basedOn w:val="Standardnpsmoodstavce"/>
    <w:rsid w:val="0098357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8650-8B43-417C-931A-06049C16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2292</Words>
  <Characters>13527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vlachova</dc:creator>
  <cp:lastModifiedBy>Andrea Trudičová</cp:lastModifiedBy>
  <cp:revision>8</cp:revision>
  <cp:lastPrinted>2021-02-09T12:15:00Z</cp:lastPrinted>
  <dcterms:created xsi:type="dcterms:W3CDTF">2021-08-11T09:04:00Z</dcterms:created>
  <dcterms:modified xsi:type="dcterms:W3CDTF">2021-08-11T13:21:00Z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Enabled">
    <vt:lpwstr>True</vt:lpwstr>
  </property>
  <property fmtid="{D5CDD505-2E9C-101B-9397-08002B2CF9AE}" pid="3" name="MSIP_Label_390254f4-34d0-49c5-b888-af4abf762ef7_SiteId">
    <vt:lpwstr>2cc49ce9-66a1-41ac-a96b-bdc54247696a</vt:lpwstr>
  </property>
  <property fmtid="{D5CDD505-2E9C-101B-9397-08002B2CF9AE}" pid="4" name="MSIP_Label_390254f4-34d0-49c5-b888-af4abf762ef7_Owner">
    <vt:lpwstr>Pavel.Sobisek@unicreditgroup.cz</vt:lpwstr>
  </property>
  <property fmtid="{D5CDD505-2E9C-101B-9397-08002B2CF9AE}" pid="5" name="MSIP_Label_390254f4-34d0-49c5-b888-af4abf762ef7_SetDate">
    <vt:lpwstr>2020-01-15T16:11:29.8787231Z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Application">
    <vt:lpwstr>Microsoft Azure Information Protection</vt:lpwstr>
  </property>
  <property fmtid="{D5CDD505-2E9C-101B-9397-08002B2CF9AE}" pid="8" name="MSIP_Label_390254f4-34d0-49c5-b888-af4abf762ef7_ActionId">
    <vt:lpwstr>43f3763f-d3c6-435c-ae50-a4a40081b5fb</vt:lpwstr>
  </property>
  <property fmtid="{D5CDD505-2E9C-101B-9397-08002B2CF9AE}" pid="9" name="MSIP_Label_390254f4-34d0-49c5-b888-af4abf762ef7_Extended_MSFT_Method">
    <vt:lpwstr>Automatic</vt:lpwstr>
  </property>
  <property fmtid="{D5CDD505-2E9C-101B-9397-08002B2CF9AE}" pid="10" name="MSIP_Label_faa92781-1fcb-4da3-a1a2-e534c28a25f3_Enabled">
    <vt:lpwstr>True</vt:lpwstr>
  </property>
  <property fmtid="{D5CDD505-2E9C-101B-9397-08002B2CF9AE}" pid="11" name="MSIP_Label_faa92781-1fcb-4da3-a1a2-e534c28a25f3_SiteId">
    <vt:lpwstr>2cc49ce9-66a1-41ac-a96b-bdc54247696a</vt:lpwstr>
  </property>
  <property fmtid="{D5CDD505-2E9C-101B-9397-08002B2CF9AE}" pid="12" name="MSIP_Label_faa92781-1fcb-4da3-a1a2-e534c28a25f3_Owner">
    <vt:lpwstr>Pavel.Sobisek@unicreditgroup.cz</vt:lpwstr>
  </property>
  <property fmtid="{D5CDD505-2E9C-101B-9397-08002B2CF9AE}" pid="13" name="MSIP_Label_faa92781-1fcb-4da3-a1a2-e534c28a25f3_SetDate">
    <vt:lpwstr>2020-01-15T16:11:29.8787231Z</vt:lpwstr>
  </property>
  <property fmtid="{D5CDD505-2E9C-101B-9397-08002B2CF9AE}" pid="14" name="MSIP_Label_faa92781-1fcb-4da3-a1a2-e534c28a25f3_Name">
    <vt:lpwstr>in UniCredit Group - no visual markings</vt:lpwstr>
  </property>
  <property fmtid="{D5CDD505-2E9C-101B-9397-08002B2CF9AE}" pid="15" name="MSIP_Label_faa92781-1fcb-4da3-a1a2-e534c28a25f3_Application">
    <vt:lpwstr>Microsoft Azure Information Protection</vt:lpwstr>
  </property>
  <property fmtid="{D5CDD505-2E9C-101B-9397-08002B2CF9AE}" pid="16" name="MSIP_Label_faa92781-1fcb-4da3-a1a2-e534c28a25f3_ActionId">
    <vt:lpwstr>43f3763f-d3c6-435c-ae50-a4a40081b5fb</vt:lpwstr>
  </property>
  <property fmtid="{D5CDD505-2E9C-101B-9397-08002B2CF9AE}" pid="17" name="MSIP_Label_faa92781-1fcb-4da3-a1a2-e534c28a25f3_Parent">
    <vt:lpwstr>390254f4-34d0-49c5-b888-af4abf762ef7</vt:lpwstr>
  </property>
  <property fmtid="{D5CDD505-2E9C-101B-9397-08002B2CF9AE}" pid="18" name="MSIP_Label_faa92781-1fcb-4da3-a1a2-e534c28a25f3_Extended_MSFT_Method">
    <vt:lpwstr>Automatic</vt:lpwstr>
  </property>
  <property fmtid="{D5CDD505-2E9C-101B-9397-08002B2CF9AE}" pid="19" name="Sensitivity">
    <vt:lpwstr>Internal Use Only in UniCredit Group - no visual markings</vt:lpwstr>
  </property>
  <property fmtid="{D5CDD505-2E9C-101B-9397-08002B2CF9AE}" pid="20" name="MSIP_Label_2b3a104e-2916-42dc-a2f6-6210338509ed_Enabled">
    <vt:lpwstr>True</vt:lpwstr>
  </property>
  <property fmtid="{D5CDD505-2E9C-101B-9397-08002B2CF9AE}" pid="21" name="MSIP_Label_2b3a104e-2916-42dc-a2f6-6210338509ed_SiteId">
    <vt:lpwstr>e70aafb3-2e89-46a5-ba50-66803e8a4411</vt:lpwstr>
  </property>
  <property fmtid="{D5CDD505-2E9C-101B-9397-08002B2CF9AE}" pid="22" name="MSIP_Label_2b3a104e-2916-42dc-a2f6-6210338509ed_Owner">
    <vt:lpwstr>cen87316@csin.cz</vt:lpwstr>
  </property>
  <property fmtid="{D5CDD505-2E9C-101B-9397-08002B2CF9AE}" pid="23" name="MSIP_Label_2b3a104e-2916-42dc-a2f6-6210338509ed_SetDate">
    <vt:lpwstr>2020-01-17T08:10:02.3455520Z</vt:lpwstr>
  </property>
  <property fmtid="{D5CDD505-2E9C-101B-9397-08002B2CF9AE}" pid="24" name="MSIP_Label_2b3a104e-2916-42dc-a2f6-6210338509ed_Name">
    <vt:lpwstr>CS Internal</vt:lpwstr>
  </property>
  <property fmtid="{D5CDD505-2E9C-101B-9397-08002B2CF9AE}" pid="25" name="MSIP_Label_2b3a104e-2916-42dc-a2f6-6210338509ed_Application">
    <vt:lpwstr>Microsoft Azure Information Protection</vt:lpwstr>
  </property>
  <property fmtid="{D5CDD505-2E9C-101B-9397-08002B2CF9AE}" pid="26" name="MSIP_Label_2b3a104e-2916-42dc-a2f6-6210338509ed_ActionId">
    <vt:lpwstr>60b9ebe4-46ae-459c-bf59-6a05f328379e</vt:lpwstr>
  </property>
  <property fmtid="{D5CDD505-2E9C-101B-9397-08002B2CF9AE}" pid="27" name="MSIP_Label_2b3a104e-2916-42dc-a2f6-6210338509ed_Extended_MSFT_Method">
    <vt:lpwstr>Automatic</vt:lpwstr>
  </property>
  <property fmtid="{D5CDD505-2E9C-101B-9397-08002B2CF9AE}" pid="28" name="MSIP_Label_076d9757-80ae-4c87-b4d7-9ffa7a0710d0_Enabled">
    <vt:lpwstr>true</vt:lpwstr>
  </property>
  <property fmtid="{D5CDD505-2E9C-101B-9397-08002B2CF9AE}" pid="29" name="MSIP_Label_076d9757-80ae-4c87-b4d7-9ffa7a0710d0_SetDate">
    <vt:lpwstr>2021-05-09T16:09:36Z</vt:lpwstr>
  </property>
  <property fmtid="{D5CDD505-2E9C-101B-9397-08002B2CF9AE}" pid="30" name="MSIP_Label_076d9757-80ae-4c87-b4d7-9ffa7a0710d0_Method">
    <vt:lpwstr>Standard</vt:lpwstr>
  </property>
  <property fmtid="{D5CDD505-2E9C-101B-9397-08002B2CF9AE}" pid="31" name="MSIP_Label_076d9757-80ae-4c87-b4d7-9ffa7a0710d0_Name">
    <vt:lpwstr>C1 - Internal</vt:lpwstr>
  </property>
  <property fmtid="{D5CDD505-2E9C-101B-9397-08002B2CF9AE}" pid="32" name="MSIP_Label_076d9757-80ae-4c87-b4d7-9ffa7a0710d0_SiteId">
    <vt:lpwstr>c79e7c80-cff5-4503-b468-3702cea89272</vt:lpwstr>
  </property>
  <property fmtid="{D5CDD505-2E9C-101B-9397-08002B2CF9AE}" pid="33" name="MSIP_Label_076d9757-80ae-4c87-b4d7-9ffa7a0710d0_ActionId">
    <vt:lpwstr>e6da5af1-39f2-4f2b-b59b-984e27099740</vt:lpwstr>
  </property>
  <property fmtid="{D5CDD505-2E9C-101B-9397-08002B2CF9AE}" pid="34" name="MSIP_Label_076d9757-80ae-4c87-b4d7-9ffa7a0710d0_ContentBits">
    <vt:lpwstr>0</vt:lpwstr>
  </property>
  <property fmtid="{D5CDD505-2E9C-101B-9397-08002B2CF9AE}" pid="35" name="Kod_Duvernosti">
    <vt:lpwstr>KB_C1_INTERNAL_992521</vt:lpwstr>
  </property>
  <property fmtid="{D5CDD505-2E9C-101B-9397-08002B2CF9AE}" pid="36" name="MSIP_Label_2a6524ed-fb1a-49fd-bafe-15c5e5ffd047_Enabled">
    <vt:lpwstr>true</vt:lpwstr>
  </property>
  <property fmtid="{D5CDD505-2E9C-101B-9397-08002B2CF9AE}" pid="37" name="MSIP_Label_2a6524ed-fb1a-49fd-bafe-15c5e5ffd047_SetDate">
    <vt:lpwstr>2021-05-10T05:54:55Z</vt:lpwstr>
  </property>
  <property fmtid="{D5CDD505-2E9C-101B-9397-08002B2CF9AE}" pid="38" name="MSIP_Label_2a6524ed-fb1a-49fd-bafe-15c5e5ffd047_Method">
    <vt:lpwstr>Standard</vt:lpwstr>
  </property>
  <property fmtid="{D5CDD505-2E9C-101B-9397-08002B2CF9AE}" pid="39" name="MSIP_Label_2a6524ed-fb1a-49fd-bafe-15c5e5ffd047_Name">
    <vt:lpwstr>Internal</vt:lpwstr>
  </property>
  <property fmtid="{D5CDD505-2E9C-101B-9397-08002B2CF9AE}" pid="40" name="MSIP_Label_2a6524ed-fb1a-49fd-bafe-15c5e5ffd047_SiteId">
    <vt:lpwstr>9b511fda-f0b1-43a5-b06e-1e720f64520a</vt:lpwstr>
  </property>
  <property fmtid="{D5CDD505-2E9C-101B-9397-08002B2CF9AE}" pid="41" name="MSIP_Label_2a6524ed-fb1a-49fd-bafe-15c5e5ffd047_ActionId">
    <vt:lpwstr>6e16e441-bca8-45fa-8e42-4b14b422a2ce</vt:lpwstr>
  </property>
  <property fmtid="{D5CDD505-2E9C-101B-9397-08002B2CF9AE}" pid="42" name="MSIP_Label_2a6524ed-fb1a-49fd-bafe-15c5e5ffd047_ContentBits">
    <vt:lpwstr>0</vt:lpwstr>
  </property>
</Properties>
</file>