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053" w:rsidRPr="00E10053" w:rsidRDefault="0011443F" w:rsidP="00E10053">
      <w:pPr>
        <w:overflowPunct/>
        <w:spacing w:after="160" w:line="276" w:lineRule="auto"/>
        <w:textAlignment w:val="auto"/>
        <w:rPr>
          <w:rFonts w:cs="Arial"/>
        </w:rPr>
      </w:pPr>
      <w:r w:rsidRPr="00854190">
        <w:rPr>
          <w:rFonts w:cs="Arial"/>
          <w:noProof/>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635432</wp:posOffset>
                </wp:positionV>
                <wp:extent cx="6583045" cy="78232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782726"/>
                        </a:xfrm>
                        <a:prstGeom prst="rect">
                          <a:avLst/>
                        </a:prstGeom>
                        <a:noFill/>
                        <a:ln w="9525">
                          <a:noFill/>
                          <a:miter lim="800000"/>
                          <a:headEnd/>
                          <a:tailEnd/>
                        </a:ln>
                      </wps:spPr>
                      <wps:txbx>
                        <w:txbxContent>
                          <w:p w:rsidR="00E10053" w:rsidRPr="00C74048" w:rsidRDefault="00E10053" w:rsidP="00854190">
                            <w:pPr>
                              <w:spacing w:before="100" w:beforeAutospacing="1" w:after="100" w:afterAutospacing="1" w:line="276" w:lineRule="auto"/>
                              <w:rPr>
                                <w:rFonts w:cs="Arial"/>
                                <w:b/>
                                <w:color w:val="007E79"/>
                                <w:szCs w:val="22"/>
                              </w:rPr>
                            </w:pPr>
                            <w:r w:rsidRPr="00C74048">
                              <w:rPr>
                                <w:rFonts w:cs="Arial"/>
                                <w:b/>
                                <w:color w:val="007E79"/>
                                <w:szCs w:val="22"/>
                              </w:rPr>
                              <w:t>Praha, 30. října 2018</w:t>
                            </w:r>
                            <w:r w:rsidR="00C74048">
                              <w:rPr>
                                <w:rFonts w:cs="Arial"/>
                                <w:b/>
                                <w:color w:val="007E79"/>
                                <w:szCs w:val="22"/>
                              </w:rPr>
                              <w:t xml:space="preserve"> -</w:t>
                            </w:r>
                            <w:r w:rsidRPr="00C74048">
                              <w:rPr>
                                <w:rFonts w:cs="Arial"/>
                                <w:b/>
                                <w:color w:val="007E79"/>
                                <w:szCs w:val="22"/>
                              </w:rPr>
                              <w:t xml:space="preserve"> Nová, říjnová prognóza České bankovní asociace potvrzuje scénář, který byl v základu už prognózy předchozí, to znamená, že jak v letošním, tak i v příštím roce vykáže ekonomika pomalejší tempa růstu než v letech předchozích, konkrétně na hodnotách 3,0 % v roce 2018 a 2,9 % v roce 2019. Nadále tedy předpokládáme scénář hladkého přistání po letech „přepáleného“ růstu, vyvolávajících syndromy přehřáté ekonomiky.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467.15pt;margin-top:50.05pt;width:518.35pt;height:61.6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" filled="f" stroked="f">
                <v:textbox>
                  <w:txbxContent>
                    <w:p w:rsidR="00E10053" w:rsidRPr="00C74048" w:rsidRDefault="00E10053" w:rsidP="00854190">
                      <w:pPr>
                        <w:spacing w:before="100" w:beforeAutospacing="1" w:after="100" w:afterAutospacing="1" w:line="276" w:lineRule="auto"/>
                        <w:rPr>
                          <w:rFonts w:cs="Arial"/>
                          <w:b/>
                          <w:color w:val="007E79"/>
                          <w:szCs w:val="22"/>
                        </w:rPr>
                      </w:pPr>
                      <w:r w:rsidRPr="00C74048">
                        <w:rPr>
                          <w:rFonts w:cs="Arial"/>
                          <w:b/>
                          <w:color w:val="007E79"/>
                          <w:szCs w:val="22"/>
                        </w:rPr>
                        <w:t>Praha, 30. října 2018</w:t>
                      </w:r>
                      <w:r w:rsidR="00C74048">
                        <w:rPr>
                          <w:rFonts w:cs="Arial"/>
                          <w:b/>
                          <w:color w:val="007E79"/>
                          <w:szCs w:val="22"/>
                        </w:rPr>
                        <w:t xml:space="preserve"> -</w:t>
                      </w:r>
                      <w:r w:rsidRPr="00C74048">
                        <w:rPr>
                          <w:rFonts w:cs="Arial"/>
                          <w:b/>
                          <w:color w:val="007E79"/>
                          <w:szCs w:val="22"/>
                        </w:rPr>
                        <w:t xml:space="preserve"> Nová, říjnová prognóza České bankovní asociace potvrzuje scénář, který byl v základu už prognózy předchozí, to znamená, že jak v letošním, tak i v příštím roce vykáže ekonomika pomalejší tempa růstu než v letech předchozích, konkrétně na hodnotách 3,0 % v roce 2018 a 2,9 % v roce 2019. Nadále tedy předpokládáme scénář hladkého přistání po letech „přepáleného“ růstu, vyvolávajících syndromy přehřáté ekonomiky.</w:t>
                      </w:r>
                    </w:p>
                  </w:txbxContent>
                </v:textbox>
                <w10:wrap type="square" anchorx="margin"/>
              </v:shape>
            </w:pict>
          </mc:Fallback>
        </mc:AlternateContent>
      </w:r>
      <w:r w:rsidRPr="005A44FF">
        <w:rPr>
          <w:rFonts w:cs="Arial"/>
          <w:noProof/>
        </w:rPr>
        <mc:AlternateContent>
          <mc:Choice Requires="wps">
            <w:drawing>
              <wp:anchor distT="45720" distB="45720" distL="114300" distR="114300" simplePos="0" relativeHeight="251659264" behindDoc="0" locked="0" layoutInCell="1" allowOverlap="1">
                <wp:simplePos x="0" y="0"/>
                <wp:positionH relativeFrom="margin">
                  <wp:posOffset>-103299</wp:posOffset>
                </wp:positionH>
                <wp:positionV relativeFrom="paragraph">
                  <wp:posOffset>635</wp:posOffset>
                </wp:positionV>
                <wp:extent cx="6687820" cy="67564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675640"/>
                        </a:xfrm>
                        <a:prstGeom prst="rect">
                          <a:avLst/>
                        </a:prstGeom>
                        <a:noFill/>
                        <a:ln w="9525">
                          <a:noFill/>
                          <a:miter lim="800000"/>
                          <a:headEnd/>
                          <a:tailEnd/>
                        </a:ln>
                      </wps:spPr>
                      <wps:txbx>
                        <w:txbxContent>
                          <w:p w:rsidR="00E10053" w:rsidRPr="00C74048" w:rsidRDefault="00E10053" w:rsidP="00E10053">
                            <w:pPr>
                              <w:rPr>
                                <w:rFonts w:cs="Arial"/>
                                <w:b/>
                                <w:color w:val="007E79"/>
                                <w:sz w:val="32"/>
                                <w:szCs w:val="28"/>
                              </w:rPr>
                            </w:pPr>
                            <w:r w:rsidRPr="00C74048">
                              <w:rPr>
                                <w:rFonts w:cs="Arial"/>
                                <w:b/>
                                <w:color w:val="007E79"/>
                                <w:sz w:val="32"/>
                                <w:szCs w:val="28"/>
                              </w:rPr>
                              <w:t>MAKROEKONOMICKÁ PROGNÓZA ČESKÉ BANKOVNÍ ASOCIACE</w:t>
                            </w:r>
                          </w:p>
                          <w:p w:rsidR="00E10053" w:rsidRPr="00C74048" w:rsidRDefault="00E10053" w:rsidP="00E10053">
                            <w:pPr>
                              <w:rPr>
                                <w:rFonts w:cs="Arial"/>
                                <w:b/>
                                <w:color w:val="007E79"/>
                                <w:sz w:val="24"/>
                                <w:szCs w:val="28"/>
                              </w:rPr>
                            </w:pPr>
                            <w:r w:rsidRPr="00C74048">
                              <w:rPr>
                                <w:rFonts w:cs="Arial"/>
                                <w:b/>
                                <w:color w:val="007E79"/>
                                <w:sz w:val="24"/>
                                <w:szCs w:val="28"/>
                              </w:rPr>
                              <w:t>Struktura růstu se přesouvá od průmyslu ke službám, zdrojem rizik zůstává zahraničí</w:t>
                            </w:r>
                          </w:p>
                          <w:p w:rsidR="00F573F1" w:rsidRPr="00854190" w:rsidRDefault="00F573F1" w:rsidP="00854190">
                            <w:pPr>
                              <w:pStyle w:val="Standard"/>
                              <w:spacing w:line="276" w:lineRule="auto"/>
                              <w:jc w:val="left"/>
                              <w:rPr>
                                <w:rFonts w:cs="Arial"/>
                                <w:b/>
                                <w:bCs/>
                                <w:color w:val="007E79"/>
                                <w:sz w:val="36"/>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15pt;margin-top:.05pt;width:526.6pt;height:5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" filled="f" stroked="f">
                <v:textbox>
                  <w:txbxContent>
                    <w:p w:rsidR="00E10053" w:rsidRPr="00C74048" w:rsidRDefault="00E10053" w:rsidP="00E10053">
                      <w:pPr>
                        <w:rPr>
                          <w:rFonts w:cs="Arial"/>
                          <w:b/>
                          <w:color w:val="007E79"/>
                          <w:sz w:val="32"/>
                          <w:szCs w:val="28"/>
                        </w:rPr>
                      </w:pPr>
                      <w:r w:rsidRPr="00C74048">
                        <w:rPr>
                          <w:rFonts w:cs="Arial"/>
                          <w:b/>
                          <w:color w:val="007E79"/>
                          <w:sz w:val="32"/>
                          <w:szCs w:val="28"/>
                        </w:rPr>
                        <w:t>MAKROEKONOMICKÁ PROGNÓZA ČESKÉ BANKOVNÍ ASOCIACE</w:t>
                      </w:r>
                    </w:p>
                    <w:p w:rsidR="00E10053" w:rsidRPr="00C74048" w:rsidRDefault="00E10053" w:rsidP="00E10053">
                      <w:pPr>
                        <w:rPr>
                          <w:rFonts w:cs="Arial"/>
                          <w:b/>
                          <w:color w:val="007E79"/>
                          <w:sz w:val="24"/>
                          <w:szCs w:val="28"/>
                        </w:rPr>
                      </w:pPr>
                      <w:r w:rsidRPr="00C74048">
                        <w:rPr>
                          <w:rFonts w:cs="Arial"/>
                          <w:b/>
                          <w:color w:val="007E79"/>
                          <w:sz w:val="24"/>
                          <w:szCs w:val="28"/>
                        </w:rPr>
                        <w:t>Struktura růstu se přesouvá od průmyslu ke službám, zdrojem rizik zůstává zahraničí</w:t>
                      </w:r>
                    </w:p>
                    <w:p w:rsidR="00F573F1" w:rsidRPr="00854190" w:rsidRDefault="00F573F1" w:rsidP="00854190">
                      <w:pPr>
                        <w:pStyle w:val="Standard"/>
                        <w:spacing w:line="276" w:lineRule="auto"/>
                        <w:jc w:val="left"/>
                        <w:rPr>
                          <w:rFonts w:cs="Arial"/>
                          <w:b/>
                          <w:bCs/>
                          <w:color w:val="007E79"/>
                          <w:sz w:val="36"/>
                          <w:szCs w:val="24"/>
                        </w:rPr>
                      </w:pPr>
                    </w:p>
                  </w:txbxContent>
                </v:textbox>
                <w10:wrap type="square" anchorx="margin"/>
              </v:shape>
            </w:pict>
          </mc:Fallback>
        </mc:AlternateContent>
      </w:r>
      <w:r w:rsidR="00517111" w:rsidRPr="00517111">
        <w:rPr>
          <w:rFonts w:cs="Arial"/>
          <w:noProof/>
        </w:rPr>
        <mc:AlternateContent>
          <mc:Choice Requires="wps">
            <w:drawing>
              <wp:anchor distT="45720" distB="45720" distL="114300" distR="114300" simplePos="0" relativeHeight="251669504" behindDoc="0" locked="0" layoutInCell="1" allowOverlap="1">
                <wp:simplePos x="0" y="0"/>
                <wp:positionH relativeFrom="margin">
                  <wp:posOffset>5295900</wp:posOffset>
                </wp:positionH>
                <wp:positionV relativeFrom="paragraph">
                  <wp:posOffset>-1050925</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rsidR="00517111" w:rsidRDefault="00517111" w:rsidP="00517111">
                            <w:pPr>
                              <w:spacing w:line="276" w:lineRule="auto"/>
                              <w:jc w:val="right"/>
                              <w:rPr>
                                <w:b/>
                                <w:color w:val="13576B"/>
                              </w:rPr>
                            </w:pPr>
                            <w:r w:rsidRPr="00517111">
                              <w:rPr>
                                <w:b/>
                                <w:color w:val="13576B"/>
                              </w:rPr>
                              <w:t>TISKOVÁ ZPRÁVA</w:t>
                            </w:r>
                            <w:r>
                              <w:rPr>
                                <w:b/>
                                <w:color w:val="13576B"/>
                              </w:rPr>
                              <w:t xml:space="preserve"> </w:t>
                            </w:r>
                          </w:p>
                          <w:p w:rsidR="00517111" w:rsidRPr="00517111" w:rsidRDefault="008857AA" w:rsidP="00517111">
                            <w:pPr>
                              <w:spacing w:line="276" w:lineRule="auto"/>
                              <w:jc w:val="right"/>
                              <w:rPr>
                                <w:b/>
                                <w:color w:val="13576B"/>
                              </w:rPr>
                            </w:pPr>
                            <w:r>
                              <w:rPr>
                                <w:color w:val="BFBFBF" w:themeColor="background1" w:themeShade="BF"/>
                              </w:rPr>
                              <w:t>30</w:t>
                            </w:r>
                            <w:r w:rsidR="00517111" w:rsidRPr="00517111">
                              <w:rPr>
                                <w:color w:val="BFBFBF" w:themeColor="background1" w:themeShade="BF"/>
                              </w:rPr>
                              <w:t>. 10.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17pt;margin-top:-82.75pt;width:97.6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" filled="f" stroked="f">
                <v:textbox style="mso-fit-shape-to-text:t">
                  <w:txbxContent>
                    <w:p w:rsidR="00517111" w:rsidRDefault="00517111" w:rsidP="00517111">
                      <w:pPr>
                        <w:spacing w:line="276" w:lineRule="auto"/>
                        <w:jc w:val="right"/>
                        <w:rPr>
                          <w:b/>
                          <w:color w:val="13576B"/>
                        </w:rPr>
                      </w:pPr>
                      <w:r w:rsidRPr="00517111">
                        <w:rPr>
                          <w:b/>
                          <w:color w:val="13576B"/>
                        </w:rPr>
                        <w:t>TISKOVÁ ZPRÁVA</w:t>
                      </w:r>
                      <w:r>
                        <w:rPr>
                          <w:b/>
                          <w:color w:val="13576B"/>
                        </w:rPr>
                        <w:t xml:space="preserve"> </w:t>
                      </w:r>
                    </w:p>
                    <w:p w:rsidR="00517111" w:rsidRPr="00517111" w:rsidRDefault="008857AA" w:rsidP="00517111">
                      <w:pPr>
                        <w:spacing w:line="276" w:lineRule="auto"/>
                        <w:jc w:val="right"/>
                        <w:rPr>
                          <w:b/>
                          <w:color w:val="13576B"/>
                        </w:rPr>
                      </w:pPr>
                      <w:r>
                        <w:rPr>
                          <w:color w:val="BFBFBF" w:themeColor="background1" w:themeShade="BF"/>
                        </w:rPr>
                        <w:t>30</w:t>
                      </w:r>
                      <w:r w:rsidR="00517111" w:rsidRPr="00517111">
                        <w:rPr>
                          <w:color w:val="BFBFBF" w:themeColor="background1" w:themeShade="BF"/>
                        </w:rPr>
                        <w:t>. 10. 2018</w:t>
                      </w:r>
                    </w:p>
                  </w:txbxContent>
                </v:textbox>
                <w10:wrap anchorx="margin"/>
              </v:shape>
            </w:pict>
          </mc:Fallback>
        </mc:AlternateContent>
      </w:r>
      <w:bookmarkStart w:id="0" w:name="_Hlk525539739"/>
      <w:bookmarkEnd w:id="0"/>
      <w:r w:rsidR="005A2501" w:rsidRPr="005A44FF">
        <w:rPr>
          <w:rFonts w:cs="Arial"/>
          <w:i/>
          <w:noProof/>
        </w:rPr>
        <mc:AlternateContent>
          <mc:Choice Requires="wps">
            <w:drawing>
              <wp:anchor distT="0" distB="0" distL="114300" distR="114300" simplePos="0" relativeHeight="251661312" behindDoc="0" locked="0" layoutInCell="1" allowOverlap="1" wp14:anchorId="3D364DFC" wp14:editId="675A7EB5">
                <wp:simplePos x="0" y="0"/>
                <wp:positionH relativeFrom="column">
                  <wp:posOffset>11346180</wp:posOffset>
                </wp:positionH>
                <wp:positionV relativeFrom="paragraph">
                  <wp:posOffset>3736975</wp:posOffset>
                </wp:positionV>
                <wp:extent cx="1642914" cy="276999"/>
                <wp:effectExtent l="0" t="0" r="0" b="0"/>
                <wp:wrapNone/>
                <wp:docPr id="16" name="Rectangle 7"/>
                <wp:cNvGraphicFramePr/>
                <a:graphic xmlns:a="http://schemas.openxmlformats.org/drawingml/2006/main">
                  <a:graphicData uri="http://schemas.microsoft.com/office/word/2010/wordprocessingShape">
                    <wps:wsp>
                      <wps:cNvSpPr/>
                      <wps:spPr>
                        <a:xfrm>
                          <a:off x="0" y="0"/>
                          <a:ext cx="1642914" cy="276999"/>
                        </a:xfrm>
                        <a:prstGeom prst="rect">
                          <a:avLst/>
                        </a:prstGeom>
                      </wps:spPr>
                      <wps:txbx>
                        <w:txbxContent>
                          <w:p w:rsidR="005A2501" w:rsidRDefault="005A2501" w:rsidP="005A2501">
                            <w:pPr>
                              <w:pStyle w:val="Normlnweb"/>
                              <w:spacing w:before="0" w:beforeAutospacing="0" w:after="0" w:afterAutospacing="0"/>
                              <w:textAlignment w:val="baseline"/>
                            </w:pPr>
                            <w:r>
                              <w:rPr>
                                <w:rFonts w:ascii="Arial" w:hAnsi="Arial" w:cs="Arial"/>
                                <w:color w:val="898989"/>
                                <w:kern w:val="24"/>
                              </w:rPr>
                              <w:t>Zdroj: ČNB-ARAD</w:t>
                            </w:r>
                          </w:p>
                        </w:txbxContent>
                      </wps:txbx>
                      <wps:bodyPr wrap="square">
                        <a:spAutoFit/>
                      </wps:bodyPr>
                    </wps:wsp>
                  </a:graphicData>
                </a:graphic>
              </wp:anchor>
            </w:drawing>
          </mc:Choice>
          <mc:Fallback>
            <w:pict>
              <v:rect w14:anchorId="3D364DFC" id="Rectangle 7" o:spid="_x0000_s1029" style="position:absolute;left:0;text-align:left;margin-left:893.4pt;margin-top:294.25pt;width:129.35pt;height:2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" filled="f" stroked="f">
                <v:textbox style="mso-fit-shape-to-text:t">
                  <w:txbxContent>
                    <w:p w:rsidR="005A2501" w:rsidRDefault="005A2501" w:rsidP="005A2501">
                      <w:pPr>
                        <w:pStyle w:val="Normlnweb"/>
                        <w:spacing w:before="0" w:beforeAutospacing="0" w:after="0" w:afterAutospacing="0"/>
                        <w:textAlignment w:val="baseline"/>
                      </w:pPr>
                      <w:r>
                        <w:rPr>
                          <w:rFonts w:ascii="Arial" w:hAnsi="Arial" w:cs="Arial"/>
                          <w:color w:val="898989"/>
                          <w:kern w:val="24"/>
                        </w:rPr>
                        <w:t>Zdroj: ČNB-ARAD</w:t>
                      </w:r>
                    </w:p>
                  </w:txbxContent>
                </v:textbox>
              </v:rect>
            </w:pict>
          </mc:Fallback>
        </mc:AlternateContent>
      </w:r>
      <w:r w:rsidR="005A2501" w:rsidRPr="005A44FF">
        <w:rPr>
          <w:rFonts w:cs="Arial"/>
          <w:i/>
          <w:noProof/>
        </w:rPr>
        <mc:AlternateContent>
          <mc:Choice Requires="wps">
            <w:drawing>
              <wp:anchor distT="0" distB="0" distL="114300" distR="114300" simplePos="0" relativeHeight="251662336" behindDoc="0" locked="0" layoutInCell="1" allowOverlap="1" wp14:anchorId="15BBCE82" wp14:editId="60EE0227">
                <wp:simplePos x="0" y="0"/>
                <wp:positionH relativeFrom="column">
                  <wp:posOffset>10690860</wp:posOffset>
                </wp:positionH>
                <wp:positionV relativeFrom="paragraph">
                  <wp:posOffset>-2884805</wp:posOffset>
                </wp:positionV>
                <wp:extent cx="403102" cy="864096"/>
                <wp:effectExtent l="19050" t="19050" r="35560" b="31750"/>
                <wp:wrapNone/>
                <wp:docPr id="3" name="Obousměrná svislá šipka 2"/>
                <wp:cNvGraphicFramePr/>
                <a:graphic xmlns:a="http://schemas.openxmlformats.org/drawingml/2006/main">
                  <a:graphicData uri="http://schemas.microsoft.com/office/word/2010/wordprocessingShape">
                    <wps:wsp>
                      <wps:cNvSpPr/>
                      <wps:spPr bwMode="auto">
                        <a:xfrm>
                          <a:off x="0" y="0"/>
                          <a:ext cx="403102" cy="864096"/>
                        </a:xfrm>
                        <a:prstGeom prst="upDownArrow">
                          <a:avLst/>
                        </a:prstGeom>
                        <a:solidFill>
                          <a:srgbClr val="F91323"/>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 w14:anchorId="57FB5356" id="Obousměrná svislá šipka 2" o:spid="_x0000_s1026" type="#_x0000_t70" style="position:absolute;margin-left:841.8pt;margin-top:-227.15pt;width:31.75pt;height:68.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" adj=",5038" fillcolor="#f91323" strokecolor="black [3213]">
                <v:stroke joinstyle="round"/>
              </v:shape>
            </w:pict>
          </mc:Fallback>
        </mc:AlternateContent>
      </w:r>
      <w:r w:rsidR="005A2501" w:rsidRPr="005A44FF">
        <w:rPr>
          <w:rFonts w:cs="Arial"/>
          <w:i/>
          <w:noProof/>
        </w:rPr>
        <mc:AlternateContent>
          <mc:Choice Requires="wps">
            <w:drawing>
              <wp:anchor distT="0" distB="0" distL="114300" distR="114300" simplePos="0" relativeHeight="251663360" behindDoc="0" locked="0" layoutInCell="1" allowOverlap="1" wp14:anchorId="25D58376" wp14:editId="0B2111EC">
                <wp:simplePos x="0" y="0"/>
                <wp:positionH relativeFrom="column">
                  <wp:posOffset>11770360</wp:posOffset>
                </wp:positionH>
                <wp:positionV relativeFrom="paragraph">
                  <wp:posOffset>-2640965</wp:posOffset>
                </wp:positionV>
                <wp:extent cx="1008112" cy="620012"/>
                <wp:effectExtent l="0" t="0" r="20955" b="27940"/>
                <wp:wrapNone/>
                <wp:docPr id="11" name="Obdélník 10"/>
                <wp:cNvGraphicFramePr/>
                <a:graphic xmlns:a="http://schemas.openxmlformats.org/drawingml/2006/main">
                  <a:graphicData uri="http://schemas.microsoft.com/office/word/2010/wordprocessingShape">
                    <wps:wsp>
                      <wps:cNvSpPr/>
                      <wps:spPr bwMode="auto">
                        <a:xfrm>
                          <a:off x="0" y="0"/>
                          <a:ext cx="1008112" cy="620012"/>
                        </a:xfrm>
                        <a:prstGeom prst="rect">
                          <a:avLst/>
                        </a:prstGeom>
                        <a:noFill/>
                        <a:ln w="9525" cap="flat" cmpd="sng" algn="ctr">
                          <a:solidFill>
                            <a:srgbClr val="FF0000"/>
                          </a:solidFill>
                          <a:prstDash val="solid"/>
                          <a:round/>
                          <a:headEnd type="none" w="med" len="med"/>
                          <a:tailEnd type="none" w="med" len="med"/>
                        </a:ln>
                        <a:effectLst/>
                      </wps:spPr>
                      <wps:txbx>
                        <w:txbxContent>
                          <w:p w:rsidR="005A2501" w:rsidRDefault="005A2501" w:rsidP="005A2501">
                            <w:pPr>
                              <w:pStyle w:val="Normlnweb"/>
                              <w:kinsoku w:val="0"/>
                              <w:overflowPunct w:val="0"/>
                              <w:spacing w:before="0" w:beforeAutospacing="0" w:after="0" w:afterAutospacing="0"/>
                              <w:jc w:val="center"/>
                              <w:textAlignment w:val="baseline"/>
                            </w:pPr>
                            <w:r>
                              <w:rPr>
                                <w:rFonts w:ascii="Arial" w:hAnsi="Arial" w:cstheme="minorBidi"/>
                                <w:color w:val="FF0000"/>
                                <w:kern w:val="24"/>
                                <w:sz w:val="36"/>
                                <w:szCs w:val="36"/>
                              </w:rPr>
                              <w:t xml:space="preserve"> 772 mld. Kč</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25D58376" id="Obdélník 10" o:spid="_x0000_s1030" style="position:absolute;left:0;text-align:left;margin-left:926.8pt;margin-top:-207.95pt;width:79.4pt;height:48.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" filled="f" strokecolor="red">
                <v:stroke joinstyle="round"/>
                <v:textbox>
                  <w:txbxContent>
                    <w:p w:rsidR="005A2501" w:rsidRDefault="005A2501" w:rsidP="005A2501">
                      <w:pPr>
                        <w:pStyle w:val="Normlnweb"/>
                        <w:kinsoku w:val="0"/>
                        <w:overflowPunct w:val="0"/>
                        <w:spacing w:before="0" w:beforeAutospacing="0" w:after="0" w:afterAutospacing="0"/>
                        <w:jc w:val="center"/>
                        <w:textAlignment w:val="baseline"/>
                      </w:pPr>
                      <w:r>
                        <w:rPr>
                          <w:rFonts w:ascii="Arial" w:hAnsi="Arial" w:cstheme="minorBidi"/>
                          <w:color w:val="FF0000"/>
                          <w:kern w:val="24"/>
                          <w:sz w:val="36"/>
                          <w:szCs w:val="36"/>
                        </w:rPr>
                        <w:t xml:space="preserve"> 772 mld. Kč</w:t>
                      </w:r>
                    </w:p>
                  </w:txbxContent>
                </v:textbox>
              </v:rect>
            </w:pict>
          </mc:Fallback>
        </mc:AlternateContent>
      </w:r>
      <w:r w:rsidR="00E10053">
        <w:t>Zpomalení ekonomického růstu je vyvoláno kombinací vnitřních a vnějších činitelů, které budou nadále působit v horizontu celé prognózy a nejspíše i později. Zatímco v minulých letech byl hlavním přispěvatelem růstu zpracovatelský sektor, v letošním roce se motor růstu přesouvá ke službám. Je pravděpodobné, že tato situace setrvá i v příštím roce, jelikož dosavadní tahoun průmyslového výkonu – automobilový sektor – letos vyčerpal prostor dalšího dvouciferného růstu, kterého jsme byli svědky v posledních čtyřech letech.</w:t>
      </w:r>
    </w:p>
    <w:p w:rsidR="00E10053" w:rsidRPr="007C4C83" w:rsidRDefault="00E10053" w:rsidP="00E10053">
      <w:pPr>
        <w:rPr>
          <w:rFonts w:cs="Arial"/>
          <w:b/>
          <w:color w:val="007E79"/>
          <w:sz w:val="20"/>
        </w:rPr>
      </w:pPr>
      <w:r w:rsidRPr="007C4C83">
        <w:rPr>
          <w:rFonts w:cs="Arial"/>
          <w:b/>
          <w:color w:val="007E79"/>
          <w:sz w:val="20"/>
        </w:rPr>
        <w:t>Domácí faktory</w:t>
      </w:r>
    </w:p>
    <w:p w:rsidR="00E10053" w:rsidRDefault="00E10053" w:rsidP="00E3317B">
      <w:pPr>
        <w:spacing w:line="276" w:lineRule="auto"/>
      </w:pPr>
      <w:r>
        <w:t>Na domácí půdě je nepřehlédnutelným faktorem přetrvávající velké napětí na trhu práce, kdy nedostatek pracovní síly a na něj navázaný dynamický růst mzdových nákladů ve firmách stále více působí proti jejich konkurenceschopnosti. Navíc nadále platí, že substituce pracovní síly investicemi do nových technologií naráží na nedostatek disponibilní nabídky těchto technologií, ať už z tuzemské nebo zahraniční provenience. I to může být činitelem</w:t>
      </w:r>
      <w:r w:rsidR="00F6767A">
        <w:t xml:space="preserve"> </w:t>
      </w:r>
      <w:r>
        <w:t>stojícím za předpokladem zpomalení růstu dovozu v příštím roce ve srovnání s rokem letošním.</w:t>
      </w:r>
    </w:p>
    <w:p w:rsidR="00E10053" w:rsidRDefault="00E10053" w:rsidP="00E3317B">
      <w:pPr>
        <w:spacing w:line="276" w:lineRule="auto"/>
      </w:pPr>
    </w:p>
    <w:p w:rsidR="00E10053" w:rsidRDefault="00E10053" w:rsidP="00E3317B">
      <w:pPr>
        <w:spacing w:line="276" w:lineRule="auto"/>
      </w:pPr>
      <w:r>
        <w:t>Sentiment domácností zůstává optimistický, což spolu s dynamickým růstem mezd podporuje jejich sklon ke spotřebě. Stále sice předpokládáme určité zpomalení růstu nominálních mezd v roce příštím v porovnání s letoškem, ale toto zpomalení bude méně výrazné, než jsme předpokládali v prognóze předchozí. Pokud by trend výrazného růstu mezd měl přetrvávat po delší období, dostával by se stále viditelněji do rozporu s možnostmi ekonomiky takový vývoj ufinancovat.</w:t>
      </w:r>
    </w:p>
    <w:p w:rsidR="00E10053" w:rsidRDefault="00E10053" w:rsidP="00E10053"/>
    <w:p w:rsidR="00E10053" w:rsidRPr="00533C47" w:rsidRDefault="00E10053" w:rsidP="00E10053">
      <w:pPr>
        <w:rPr>
          <w:b/>
        </w:rPr>
      </w:pPr>
      <w:r w:rsidRPr="007C4C83">
        <w:rPr>
          <w:rFonts w:cs="Arial"/>
          <w:b/>
          <w:color w:val="007E79"/>
          <w:sz w:val="20"/>
        </w:rPr>
        <w:t>Vnější faktory</w:t>
      </w:r>
    </w:p>
    <w:p w:rsidR="00E10053" w:rsidRDefault="00E10053" w:rsidP="00E3317B">
      <w:pPr>
        <w:spacing w:line="276" w:lineRule="auto"/>
      </w:pPr>
      <w:r>
        <w:t>Ve vnějším prostředí nečeká prognóza oproti prognóze předchozí podstatnější změny a počítá stále s tím, že se zpomalí hospodářský růst v eurozóně, která je hlavním trhem pro české vývozce. To samozřejmě ovlivní i výkon ekonomiky české a bude to činitelem přispívajícím k jejímu zpomalení. Tezi o zpomalování hospodářského růstu v zahraniční podporují i některé signály</w:t>
      </w:r>
      <w:r w:rsidR="00F6767A">
        <w:t xml:space="preserve"> o</w:t>
      </w:r>
      <w:r w:rsidR="00C74048">
        <w:t> </w:t>
      </w:r>
      <w:r w:rsidR="00F6767A">
        <w:t>tom</w:t>
      </w:r>
      <w:r>
        <w:t>, že zakázková kniha tuzemských firem orientovaných na vývoz již není tak naplněná, jako tomu bylo donedávna.</w:t>
      </w:r>
    </w:p>
    <w:p w:rsidR="00E10053" w:rsidRDefault="00E10053" w:rsidP="00E10053">
      <w:pPr>
        <w:rPr>
          <w:b/>
        </w:rPr>
      </w:pPr>
    </w:p>
    <w:p w:rsidR="00E10053" w:rsidRPr="007C4C83" w:rsidRDefault="00E10053" w:rsidP="00E10053">
      <w:pPr>
        <w:rPr>
          <w:rFonts w:cs="Arial"/>
          <w:b/>
          <w:color w:val="007E79"/>
          <w:sz w:val="20"/>
        </w:rPr>
      </w:pPr>
      <w:r w:rsidRPr="007C4C83">
        <w:rPr>
          <w:rFonts w:cs="Arial"/>
          <w:b/>
          <w:color w:val="007E79"/>
          <w:sz w:val="20"/>
        </w:rPr>
        <w:t>Inflace, devizový kurz a měnová politika</w:t>
      </w:r>
    </w:p>
    <w:p w:rsidR="005A2501" w:rsidRPr="005A44FF" w:rsidRDefault="00E10053" w:rsidP="00E10053">
      <w:pPr>
        <w:overflowPunct/>
        <w:spacing w:after="160" w:line="276" w:lineRule="auto"/>
        <w:textAlignment w:val="auto"/>
        <w:rPr>
          <w:rFonts w:cs="Arial"/>
        </w:rPr>
      </w:pPr>
      <w:r>
        <w:t>Ve vývoji inflace nepočítáme se zásadními změnami, nicméně v příštím roce dojde k jejímu mírnému zrychlení kvůli nabídkovým faktorům, konkrétně kvůli růstu cen energií pro domácnosti a dále v souvislosti s růstem cen potravin vyvolaným letošním suchem</w:t>
      </w:r>
      <w:r w:rsidRPr="0021216D">
        <w:t>.</w:t>
      </w:r>
    </w:p>
    <w:tbl>
      <w:tblPr>
        <w:tblW w:w="10305" w:type="dxa"/>
        <w:tblInd w:w="-1" w:type="dxa"/>
        <w:tblBorders>
          <w:top w:val="single" w:sz="4" w:space="0" w:color="007E79"/>
          <w:left w:val="single" w:sz="4" w:space="0" w:color="007E79"/>
          <w:bottom w:val="single" w:sz="4" w:space="0" w:color="007E79"/>
          <w:right w:val="single" w:sz="4" w:space="0" w:color="007E79"/>
          <w:insideH w:val="single" w:sz="4" w:space="0" w:color="007E79"/>
          <w:insideV w:val="single" w:sz="4" w:space="0" w:color="007E79"/>
        </w:tblBorders>
        <w:tblCellMar>
          <w:left w:w="70" w:type="dxa"/>
          <w:right w:w="70" w:type="dxa"/>
        </w:tblCellMar>
        <w:tblLook w:val="0000" w:firstRow="0" w:lastRow="0" w:firstColumn="0" w:lastColumn="0" w:noHBand="0" w:noVBand="0"/>
      </w:tblPr>
      <w:tblGrid>
        <w:gridCol w:w="10305"/>
      </w:tblGrid>
      <w:tr w:rsidR="007C4C83" w:rsidTr="007B02A8">
        <w:trPr>
          <w:trHeight w:val="1038"/>
        </w:trPr>
        <w:tc>
          <w:tcPr>
            <w:tcW w:w="10305" w:type="dxa"/>
          </w:tcPr>
          <w:p w:rsidR="007C4C83" w:rsidRPr="00D60567" w:rsidRDefault="007C4C83" w:rsidP="007C4C83">
            <w:pPr>
              <w:ind w:left="-4"/>
              <w:rPr>
                <w:rFonts w:cs="Arial"/>
                <w:sz w:val="20"/>
                <w:szCs w:val="22"/>
              </w:rPr>
            </w:pPr>
            <w:r w:rsidRPr="00D60567">
              <w:rPr>
                <w:rFonts w:cs="Arial"/>
                <w:sz w:val="20"/>
                <w:szCs w:val="22"/>
              </w:rPr>
              <w:t>KOMENTÁŘ:</w:t>
            </w:r>
          </w:p>
          <w:p w:rsidR="00E3317B" w:rsidRDefault="007C4C83" w:rsidP="007C4C83">
            <w:pPr>
              <w:ind w:left="-4"/>
              <w:rPr>
                <w:sz w:val="20"/>
              </w:rPr>
            </w:pPr>
            <w:r w:rsidRPr="007C4C83">
              <w:rPr>
                <w:b/>
                <w:sz w:val="20"/>
              </w:rPr>
              <w:t>Petr Sklenář, hlavní ekonom J&amp;T Banky:</w:t>
            </w:r>
            <w:r w:rsidRPr="007C4C83">
              <w:rPr>
                <w:sz w:val="20"/>
              </w:rPr>
              <w:t xml:space="preserve"> </w:t>
            </w:r>
          </w:p>
          <w:p w:rsidR="007C4C83" w:rsidRPr="007C4C83" w:rsidRDefault="007C4C83" w:rsidP="007C4C83">
            <w:pPr>
              <w:ind w:left="-4"/>
              <w:rPr>
                <w:rFonts w:cs="Arial"/>
                <w:sz w:val="20"/>
              </w:rPr>
            </w:pPr>
            <w:r w:rsidRPr="007C4C83">
              <w:rPr>
                <w:i/>
                <w:sz w:val="20"/>
              </w:rPr>
              <w:t>„V první polovině příštího roku očekáváme zrychlení inflace až na dosah úrovně 3 %. Naopak ve druhé polovině roku by inflace měla zvolnit a průměr za celý rok 2019 by měl dosáhnout 2,4 %.“</w:t>
            </w:r>
          </w:p>
        </w:tc>
      </w:tr>
    </w:tbl>
    <w:p w:rsidR="007C4C83" w:rsidRDefault="007C4C83" w:rsidP="007C4C83"/>
    <w:p w:rsidR="007C4C83" w:rsidRPr="005A44FF" w:rsidRDefault="007C4C83" w:rsidP="00E3317B">
      <w:pPr>
        <w:spacing w:line="276" w:lineRule="auto"/>
        <w:rPr>
          <w:rFonts w:cs="Arial"/>
        </w:rPr>
      </w:pPr>
      <w:r w:rsidRPr="0041026C">
        <w:t xml:space="preserve">Inflace by se </w:t>
      </w:r>
      <w:r>
        <w:t xml:space="preserve">tak </w:t>
      </w:r>
      <w:r w:rsidRPr="0041026C">
        <w:t xml:space="preserve">nejen letos, ale i příští rok měla držet nad </w:t>
      </w:r>
      <w:r>
        <w:t>dvou</w:t>
      </w:r>
      <w:r w:rsidRPr="0041026C">
        <w:t>proce</w:t>
      </w:r>
      <w:r>
        <w:t>n</w:t>
      </w:r>
      <w:r w:rsidRPr="0041026C">
        <w:t xml:space="preserve">tním cílem </w:t>
      </w:r>
      <w:r>
        <w:t>centrální banky</w:t>
      </w:r>
      <w:r w:rsidRPr="0041026C">
        <w:t>.</w:t>
      </w:r>
      <w:r>
        <w:t xml:space="preserve"> Nepřehlédnutelně se na tom bude podílet i stabilita devizového kurzu, kterou čekáme v celém horizontu prognózy.</w:t>
      </w:r>
    </w:p>
    <w:p w:rsidR="007C4C83" w:rsidRDefault="007C4C83" w:rsidP="007C4C83">
      <w:pPr>
        <w:ind w:left="-4"/>
        <w:rPr>
          <w:rFonts w:cs="Arial"/>
          <w:sz w:val="20"/>
          <w:szCs w:val="22"/>
        </w:rPr>
      </w:pPr>
    </w:p>
    <w:tbl>
      <w:tblPr>
        <w:tblW w:w="10350" w:type="dxa"/>
        <w:tblInd w:w="-1" w:type="dxa"/>
        <w:tblBorders>
          <w:top w:val="single" w:sz="4" w:space="0" w:color="007E79"/>
          <w:left w:val="single" w:sz="4" w:space="0" w:color="007E79"/>
          <w:bottom w:val="single" w:sz="4" w:space="0" w:color="007E79"/>
          <w:right w:val="single" w:sz="4" w:space="0" w:color="007E79"/>
          <w:insideH w:val="single" w:sz="4" w:space="0" w:color="007E79"/>
          <w:insideV w:val="single" w:sz="4" w:space="0" w:color="007E79"/>
        </w:tblBorders>
        <w:tblCellMar>
          <w:left w:w="70" w:type="dxa"/>
          <w:right w:w="70" w:type="dxa"/>
        </w:tblCellMar>
        <w:tblLook w:val="0000" w:firstRow="0" w:lastRow="0" w:firstColumn="0" w:lastColumn="0" w:noHBand="0" w:noVBand="0"/>
      </w:tblPr>
      <w:tblGrid>
        <w:gridCol w:w="10350"/>
      </w:tblGrid>
      <w:tr w:rsidR="00E3317B" w:rsidTr="007B02A8">
        <w:trPr>
          <w:trHeight w:val="1266"/>
        </w:trPr>
        <w:tc>
          <w:tcPr>
            <w:tcW w:w="10350" w:type="dxa"/>
          </w:tcPr>
          <w:p w:rsidR="00E3317B" w:rsidRPr="00D60567" w:rsidRDefault="00E3317B" w:rsidP="00E3317B">
            <w:pPr>
              <w:ind w:left="-8"/>
              <w:rPr>
                <w:rFonts w:cs="Arial"/>
                <w:sz w:val="20"/>
                <w:szCs w:val="22"/>
              </w:rPr>
            </w:pPr>
            <w:r w:rsidRPr="00D60567">
              <w:rPr>
                <w:rFonts w:cs="Arial"/>
                <w:sz w:val="20"/>
                <w:szCs w:val="22"/>
              </w:rPr>
              <w:t>KOMENTÁŘ:</w:t>
            </w:r>
          </w:p>
          <w:p w:rsidR="00E3317B" w:rsidRDefault="00E3317B" w:rsidP="00E3317B">
            <w:pPr>
              <w:ind w:left="-8"/>
              <w:rPr>
                <w:b/>
                <w:sz w:val="20"/>
              </w:rPr>
            </w:pPr>
            <w:r w:rsidRPr="007C4C83">
              <w:rPr>
                <w:b/>
                <w:sz w:val="20"/>
              </w:rPr>
              <w:t>Jakub Seidler, hlavní ekonom ING Bank</w:t>
            </w:r>
            <w:r>
              <w:rPr>
                <w:b/>
                <w:sz w:val="20"/>
              </w:rPr>
              <w:t xml:space="preserve">: </w:t>
            </w:r>
          </w:p>
          <w:p w:rsidR="00E3317B" w:rsidRDefault="00E3317B" w:rsidP="00E3317B">
            <w:pPr>
              <w:ind w:left="-8"/>
              <w:rPr>
                <w:rFonts w:cs="Arial"/>
                <w:sz w:val="20"/>
                <w:szCs w:val="22"/>
              </w:rPr>
            </w:pPr>
            <w:r w:rsidRPr="007C4C83">
              <w:rPr>
                <w:i/>
                <w:sz w:val="20"/>
              </w:rPr>
              <w:t>„Posilování koruny bude v příštím roce probíhat pomaleji, než předpokládala prognóza minulá, a v průměru kurz koruny zůstane nad úrovní 25 Kč za euro. Nedostatečné utahování měnových podmínek prostřednictvím posilující koruny umožní ČNB dále zvyšovat úrokové sazby</w:t>
            </w:r>
            <w:r>
              <w:rPr>
                <w:i/>
                <w:sz w:val="20"/>
              </w:rPr>
              <w:t>.</w:t>
            </w:r>
            <w:r w:rsidRPr="007C4C83">
              <w:rPr>
                <w:i/>
                <w:sz w:val="20"/>
              </w:rPr>
              <w:t>“</w:t>
            </w:r>
          </w:p>
        </w:tc>
      </w:tr>
    </w:tbl>
    <w:p w:rsidR="007B02A8" w:rsidRDefault="007B02A8" w:rsidP="00E3317B">
      <w:pPr>
        <w:spacing w:line="276" w:lineRule="auto"/>
      </w:pPr>
    </w:p>
    <w:p w:rsidR="00E3317B" w:rsidRDefault="00E3317B" w:rsidP="00E3317B">
      <w:pPr>
        <w:spacing w:line="276" w:lineRule="auto"/>
      </w:pPr>
      <w:r>
        <w:t>Prognóza počítá s avizovaným záměrem centrální banky pokračovat v trajektorii postupného zvyšování sazeb měnové politiky, letos</w:t>
      </w:r>
      <w:r w:rsidR="005E58E1">
        <w:t xml:space="preserve"> podle očekávání</w:t>
      </w:r>
      <w:r>
        <w:t xml:space="preserve"> ještě </w:t>
      </w:r>
      <w:r w:rsidR="005E58E1">
        <w:t>jednou</w:t>
      </w:r>
      <w:bookmarkStart w:id="1" w:name="_GoBack"/>
      <w:bookmarkEnd w:id="1"/>
      <w:r>
        <w:t xml:space="preserve"> o 25 bazických bodů, do konce roku 2019 pak dvakrát až třikrát rovněž o čtvrt procentního bodu. Tím vyvolaný nevyhnutelný růst tržních úrokových sazeb se však nepromítne do nižší dynamiky růstu úvěrů podnikům, která bude v roce 2019 oproti letošku vyšší. V případě úvěrů domácnostem však dojde ke zpomalení dynamiky růstu, na čemž </w:t>
      </w:r>
      <w:r>
        <w:lastRenderedPageBreak/>
        <w:t>se bude vedle růstu úrokových sazeb podílet i nastavení restriktivnějších kritérií pro poskytování hypotéčních úvěrů a v neposlední řadě i skutečnost, že ceny nemovitostí ve větších městech už pravděpodobně narážejí na strop koupěschopné poptávky.</w:t>
      </w:r>
    </w:p>
    <w:p w:rsidR="00E3317B" w:rsidRDefault="00E3317B" w:rsidP="00E3317B">
      <w:pPr>
        <w:spacing w:line="276" w:lineRule="auto"/>
      </w:pPr>
    </w:p>
    <w:p w:rsidR="00E3317B" w:rsidRDefault="00E3317B" w:rsidP="00E3317B">
      <w:pPr>
        <w:spacing w:line="276" w:lineRule="auto"/>
      </w:pPr>
      <w:r>
        <w:t>Perspektivu vývoje veřejných rozpočtů hodnotí číselné údaje prognózy vcelku pozitivně, hospodaření státu jako celku by mělo v letošním roce vykázat přebytek, v roce 2019 pak být vyrovnané, a to především díky přebytkovému hospodaření krajů a měst.  Vládní investice letos zůstanou poměrně silné, ve druhém pololetí 2019 lze očekávat jejich určité ochabnutí. S tím však do jisté míry koliduje a vysílá nejasné signály schvalování</w:t>
      </w:r>
      <w:r w:rsidRPr="00327B9B">
        <w:t xml:space="preserve"> </w:t>
      </w:r>
      <w:r>
        <w:t>návrhů schodkových rozpočtů centrální vlády.</w:t>
      </w:r>
    </w:p>
    <w:p w:rsidR="00E3317B" w:rsidRDefault="00E3317B" w:rsidP="00E3317B">
      <w:pPr>
        <w:spacing w:line="276" w:lineRule="auto"/>
      </w:pPr>
    </w:p>
    <w:p w:rsidR="005A44FF" w:rsidRPr="005A44FF" w:rsidRDefault="00E3317B" w:rsidP="00E3317B">
      <w:pPr>
        <w:overflowPunct/>
        <w:spacing w:after="160" w:line="276" w:lineRule="auto"/>
        <w:textAlignment w:val="auto"/>
        <w:rPr>
          <w:rFonts w:cs="Arial"/>
        </w:rPr>
      </w:pPr>
      <w:r>
        <w:t xml:space="preserve">Rizika prognózy se oproti předchozí prognóze rovněž nemění. Hlavní nejistotou zůstává vývoj světové ekonomiky, dopad tzv. celních válek a narůstající pravděpodobnost, že nedojde k dohodě o modalitách </w:t>
      </w:r>
      <w:proofErr w:type="spellStart"/>
      <w:r w:rsidRPr="00533C47">
        <w:t>Brexitu</w:t>
      </w:r>
      <w:proofErr w:type="spellEnd"/>
      <w:r w:rsidRPr="00533C47">
        <w:t xml:space="preserve"> a parametrech přechodného období na něj navazujícího.</w:t>
      </w:r>
    </w:p>
    <w:tbl>
      <w:tblPr>
        <w:tblW w:w="10380" w:type="dxa"/>
        <w:tblInd w:w="-31"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CellMar>
          <w:left w:w="70" w:type="dxa"/>
          <w:right w:w="70" w:type="dxa"/>
        </w:tblCellMar>
        <w:tblLook w:val="0000" w:firstRow="0" w:lastRow="0" w:firstColumn="0" w:lastColumn="0" w:noHBand="0" w:noVBand="0"/>
      </w:tblPr>
      <w:tblGrid>
        <w:gridCol w:w="10380"/>
      </w:tblGrid>
      <w:tr w:rsidR="003F7F31" w:rsidTr="007B02A8">
        <w:trPr>
          <w:trHeight w:val="942"/>
        </w:trPr>
        <w:tc>
          <w:tcPr>
            <w:tcW w:w="10380" w:type="dxa"/>
          </w:tcPr>
          <w:p w:rsidR="003F7F31" w:rsidRDefault="003F7F31" w:rsidP="003F7F31">
            <w:pPr>
              <w:ind w:left="18"/>
              <w:rPr>
                <w:rFonts w:cs="Arial"/>
                <w:sz w:val="20"/>
                <w:szCs w:val="22"/>
              </w:rPr>
            </w:pPr>
            <w:r w:rsidRPr="00D60567">
              <w:rPr>
                <w:rFonts w:cs="Arial"/>
                <w:sz w:val="20"/>
                <w:szCs w:val="22"/>
              </w:rPr>
              <w:t>KOMENTÁŘ:</w:t>
            </w:r>
          </w:p>
          <w:p w:rsidR="003F7F31" w:rsidRPr="00437589" w:rsidRDefault="003F7F31" w:rsidP="003F7F31">
            <w:pPr>
              <w:ind w:left="18"/>
              <w:rPr>
                <w:b/>
                <w:sz w:val="20"/>
              </w:rPr>
            </w:pPr>
            <w:r w:rsidRPr="00437589">
              <w:rPr>
                <w:b/>
                <w:sz w:val="20"/>
              </w:rPr>
              <w:t>Miroslav Zámečník, analytik České bankovní asociace:</w:t>
            </w:r>
          </w:p>
          <w:p w:rsidR="003F7F31" w:rsidRDefault="003F7F31" w:rsidP="003F7F31">
            <w:pPr>
              <w:ind w:left="18"/>
              <w:rPr>
                <w:rFonts w:cs="Arial"/>
                <w:sz w:val="20"/>
                <w:szCs w:val="22"/>
              </w:rPr>
            </w:pPr>
            <w:r w:rsidRPr="00E3317B">
              <w:rPr>
                <w:i/>
                <w:sz w:val="20"/>
              </w:rPr>
              <w:t>„Je nutné zdůraznit, že prognóza nepracuje s</w:t>
            </w:r>
            <w:r>
              <w:rPr>
                <w:i/>
                <w:sz w:val="20"/>
              </w:rPr>
              <w:t> krizovým scénářem</w:t>
            </w:r>
            <w:r w:rsidRPr="00E3317B">
              <w:rPr>
                <w:i/>
                <w:sz w:val="20"/>
              </w:rPr>
              <w:t xml:space="preserve">, ale naopak s předpokladem, že v případě </w:t>
            </w:r>
            <w:proofErr w:type="spellStart"/>
            <w:r w:rsidRPr="00E3317B">
              <w:rPr>
                <w:i/>
                <w:sz w:val="20"/>
              </w:rPr>
              <w:t>Brexitu</w:t>
            </w:r>
            <w:proofErr w:type="spellEnd"/>
            <w:r w:rsidRPr="00E3317B">
              <w:rPr>
                <w:i/>
                <w:sz w:val="20"/>
              </w:rPr>
              <w:t xml:space="preserve"> bude nakonec nějaká forma politické dohody nalezena</w:t>
            </w:r>
            <w:r w:rsidRPr="003F7F31">
              <w:rPr>
                <w:i/>
                <w:sz w:val="20"/>
              </w:rPr>
              <w:t xml:space="preserve">.“ </w:t>
            </w:r>
          </w:p>
        </w:tc>
      </w:tr>
    </w:tbl>
    <w:p w:rsidR="003F7F31" w:rsidRDefault="003F7F31" w:rsidP="003F7F31">
      <w:pPr>
        <w:spacing w:line="276" w:lineRule="auto"/>
        <w:ind w:left="-8"/>
        <w:rPr>
          <w:sz w:val="20"/>
        </w:rPr>
      </w:pPr>
    </w:p>
    <w:p w:rsidR="003F7F31" w:rsidRPr="003F7F31" w:rsidRDefault="00370F35" w:rsidP="003F7F31">
      <w:pPr>
        <w:spacing w:line="276" w:lineRule="auto"/>
        <w:ind w:left="-8"/>
        <w:rPr>
          <w:i/>
          <w:szCs w:val="18"/>
        </w:rPr>
      </w:pPr>
      <w:r>
        <w:rPr>
          <w:szCs w:val="18"/>
        </w:rPr>
        <w:t>Současně je nutné upozornit</w:t>
      </w:r>
      <w:r w:rsidR="00E3317B" w:rsidRPr="003F7F31">
        <w:rPr>
          <w:szCs w:val="18"/>
        </w:rPr>
        <w:t xml:space="preserve"> na rostoucí nejistotu ohledně vývoje zahraniční poptávky po automobilech a komponentech pro automobilový průmysl, kterou ovlivňuje zpřísňování emisních předpisů</w:t>
      </w:r>
      <w:r w:rsidR="00E3317B" w:rsidRPr="003F7F31">
        <w:rPr>
          <w:i/>
          <w:szCs w:val="18"/>
        </w:rPr>
        <w:t>.</w:t>
      </w:r>
    </w:p>
    <w:p w:rsidR="003F7F31" w:rsidRPr="003F7F31" w:rsidRDefault="003F7F31" w:rsidP="003F7F31">
      <w:pPr>
        <w:spacing w:line="276" w:lineRule="auto"/>
        <w:ind w:left="-8"/>
        <w:rPr>
          <w:i/>
          <w:szCs w:val="18"/>
        </w:rPr>
      </w:pPr>
    </w:p>
    <w:tbl>
      <w:tblPr>
        <w:tblW w:w="10439" w:type="dxa"/>
        <w:tblInd w:w="-46" w:type="dxa"/>
        <w:tblBorders>
          <w:top w:val="single" w:sz="4" w:space="0" w:color="007E79"/>
          <w:left w:val="single" w:sz="4" w:space="0" w:color="007E79"/>
          <w:bottom w:val="single" w:sz="4" w:space="0" w:color="007E79"/>
          <w:right w:val="single" w:sz="4" w:space="0" w:color="007E79"/>
          <w:insideH w:val="single" w:sz="4" w:space="0" w:color="007E79"/>
          <w:insideV w:val="single" w:sz="4" w:space="0" w:color="007E79"/>
        </w:tblBorders>
        <w:tblCellMar>
          <w:left w:w="70" w:type="dxa"/>
          <w:right w:w="70" w:type="dxa"/>
        </w:tblCellMar>
        <w:tblLook w:val="0000" w:firstRow="0" w:lastRow="0" w:firstColumn="0" w:lastColumn="0" w:noHBand="0" w:noVBand="0"/>
      </w:tblPr>
      <w:tblGrid>
        <w:gridCol w:w="10439"/>
      </w:tblGrid>
      <w:tr w:rsidR="003F7F31" w:rsidTr="00370F35">
        <w:trPr>
          <w:trHeight w:val="555"/>
        </w:trPr>
        <w:tc>
          <w:tcPr>
            <w:tcW w:w="10439" w:type="dxa"/>
          </w:tcPr>
          <w:p w:rsidR="00370F35" w:rsidRDefault="00370F35" w:rsidP="00370F35">
            <w:pPr>
              <w:ind w:left="18"/>
              <w:rPr>
                <w:rFonts w:cs="Arial"/>
                <w:sz w:val="20"/>
                <w:szCs w:val="22"/>
              </w:rPr>
            </w:pPr>
            <w:r w:rsidRPr="00D60567">
              <w:rPr>
                <w:rFonts w:cs="Arial"/>
                <w:sz w:val="20"/>
                <w:szCs w:val="22"/>
              </w:rPr>
              <w:t>KOMENTÁŘ:</w:t>
            </w:r>
          </w:p>
          <w:p w:rsidR="00370F35" w:rsidRPr="00437589" w:rsidRDefault="00370F35" w:rsidP="00370F35">
            <w:pPr>
              <w:ind w:left="18"/>
              <w:rPr>
                <w:b/>
                <w:sz w:val="20"/>
              </w:rPr>
            </w:pPr>
            <w:r w:rsidRPr="00437589">
              <w:rPr>
                <w:b/>
                <w:sz w:val="20"/>
              </w:rPr>
              <w:t>Miroslav Zámečník, analytik České bankovní asociace:</w:t>
            </w:r>
          </w:p>
          <w:p w:rsidR="003F7F31" w:rsidRDefault="003F7F31" w:rsidP="003F7F31">
            <w:pPr>
              <w:spacing w:line="276" w:lineRule="auto"/>
              <w:ind w:left="33"/>
              <w:rPr>
                <w:i/>
              </w:rPr>
            </w:pPr>
            <w:r>
              <w:rPr>
                <w:i/>
                <w:sz w:val="20"/>
              </w:rPr>
              <w:t>„</w:t>
            </w:r>
            <w:r w:rsidRPr="00E3317B">
              <w:rPr>
                <w:i/>
                <w:sz w:val="20"/>
              </w:rPr>
              <w:t>Odbyt v tomto klíčovém odvětví českého zpracovatelského průmyslu tak z řady důvodů včetně saturace na mnoha evropských trzích ani zdaleka nemusí vykazovat stejnou dynamikou jako v</w:t>
            </w:r>
            <w:r>
              <w:rPr>
                <w:i/>
                <w:sz w:val="20"/>
              </w:rPr>
              <w:t> </w:t>
            </w:r>
            <w:r w:rsidRPr="00E3317B">
              <w:rPr>
                <w:i/>
                <w:sz w:val="20"/>
              </w:rPr>
              <w:t>minulosti</w:t>
            </w:r>
            <w:r>
              <w:rPr>
                <w:i/>
                <w:sz w:val="20"/>
              </w:rPr>
              <w:t>.</w:t>
            </w:r>
            <w:r w:rsidRPr="00E3317B">
              <w:rPr>
                <w:i/>
                <w:sz w:val="20"/>
              </w:rPr>
              <w:t>“</w:t>
            </w:r>
          </w:p>
        </w:tc>
      </w:tr>
    </w:tbl>
    <w:p w:rsidR="00A8750A" w:rsidRDefault="00A8750A" w:rsidP="003F7F31">
      <w:pPr>
        <w:spacing w:after="160" w:line="276" w:lineRule="auto"/>
        <w:rPr>
          <w:rFonts w:cs="Arial"/>
          <w:color w:val="BFBFBF" w:themeColor="background1" w:themeShade="BF"/>
        </w:rPr>
      </w:pPr>
    </w:p>
    <w:p w:rsidR="003F7F31" w:rsidRPr="003F7F31" w:rsidRDefault="003F7F31" w:rsidP="003F7F31">
      <w:pPr>
        <w:spacing w:line="276" w:lineRule="auto"/>
      </w:pPr>
      <w:r>
        <w:t>Pokud by se tato rizika materializovala, jejich dopad na tuzemskou ekonomiku by mohl být poměrně významný a mohl by vyvolat řetězení důsledků. Například tím, že propad vývozu by se promítl do poklesu ekonomického výkonu českého hospodářství, následně by vyvolal snížení příjmů státního rozpočtu a tlak na nárůst rozpočtového deficitu, a to v podmínkách růstu nákladů na financování rozpočtového deficitu a státního dluhu v důsledku růstu úrokových sazeb.</w:t>
      </w:r>
    </w:p>
    <w:p w:rsidR="00A8750A" w:rsidRDefault="00A8750A" w:rsidP="003F7F31">
      <w:pPr>
        <w:spacing w:after="160" w:line="276" w:lineRule="auto"/>
        <w:rPr>
          <w:rFonts w:cs="Arial"/>
          <w:color w:val="BFBFBF" w:themeColor="background1" w:themeShade="BF"/>
        </w:rPr>
      </w:pPr>
    </w:p>
    <w:p w:rsidR="003F7F31" w:rsidRDefault="003F7F31" w:rsidP="003F7F31">
      <w:pPr>
        <w:spacing w:after="160" w:line="276" w:lineRule="auto"/>
        <w:rPr>
          <w:rFonts w:cs="Arial"/>
          <w:color w:val="BFBFBF" w:themeColor="background1" w:themeShade="BF"/>
        </w:rPr>
      </w:pPr>
    </w:p>
    <w:p w:rsidR="007B02A8" w:rsidRDefault="007B02A8" w:rsidP="003F7F31">
      <w:pPr>
        <w:spacing w:after="160" w:line="276" w:lineRule="auto"/>
        <w:rPr>
          <w:rFonts w:cs="Arial"/>
          <w:color w:val="BFBFBF" w:themeColor="background1" w:themeShade="BF"/>
        </w:rPr>
      </w:pPr>
      <w:r w:rsidRPr="005A44FF">
        <w:rPr>
          <w:rFonts w:eastAsiaTheme="minorEastAsia" w:cs="Arial"/>
          <w:noProof/>
        </w:rPr>
        <mc:AlternateContent>
          <mc:Choice Requires="wps">
            <w:drawing>
              <wp:anchor distT="0" distB="0" distL="114300" distR="114300" simplePos="0" relativeHeight="251677696" behindDoc="0" locked="0" layoutInCell="1" allowOverlap="1" wp14:anchorId="38D45BCA" wp14:editId="45D23869">
                <wp:simplePos x="0" y="0"/>
                <wp:positionH relativeFrom="margin">
                  <wp:posOffset>0</wp:posOffset>
                </wp:positionH>
                <wp:positionV relativeFrom="paragraph">
                  <wp:posOffset>635</wp:posOffset>
                </wp:positionV>
                <wp:extent cx="4216400" cy="1803400"/>
                <wp:effectExtent l="0" t="0" r="0" b="6350"/>
                <wp:wrapNone/>
                <wp:docPr id="199" name="Obdélník 199"/>
                <wp:cNvGraphicFramePr/>
                <a:graphic xmlns:a="http://schemas.openxmlformats.org/drawingml/2006/main">
                  <a:graphicData uri="http://schemas.microsoft.com/office/word/2010/wordprocessingShape">
                    <wps:wsp>
                      <wps:cNvSpPr/>
                      <wps:spPr>
                        <a:xfrm>
                          <a:off x="0" y="0"/>
                          <a:ext cx="4216400" cy="1803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02A8" w:rsidRPr="005A44FF" w:rsidRDefault="007B02A8" w:rsidP="007B02A8">
                            <w:pPr>
                              <w:pStyle w:val="Standard"/>
                              <w:spacing w:line="276" w:lineRule="auto"/>
                              <w:jc w:val="left"/>
                              <w:rPr>
                                <w:rFonts w:cs="Arial"/>
                                <w:b/>
                                <w:sz w:val="20"/>
                                <w:szCs w:val="18"/>
                              </w:rPr>
                            </w:pPr>
                            <w:r w:rsidRPr="005A44FF">
                              <w:rPr>
                                <w:rFonts w:cs="Arial"/>
                                <w:b/>
                                <w:sz w:val="20"/>
                                <w:szCs w:val="18"/>
                              </w:rPr>
                              <w:t>O České bankovní asociaci</w:t>
                            </w:r>
                          </w:p>
                          <w:p w:rsidR="007B02A8" w:rsidRPr="003D3951" w:rsidRDefault="007B02A8" w:rsidP="007B02A8">
                            <w:pPr>
                              <w:pStyle w:val="Standard"/>
                              <w:spacing w:line="276" w:lineRule="auto"/>
                              <w:ind w:left="28" w:hanging="28"/>
                              <w:jc w:val="left"/>
                              <w:rPr>
                                <w:rFonts w:cs="Arial"/>
                                <w:szCs w:val="18"/>
                              </w:rPr>
                            </w:pPr>
                            <w:r w:rsidRPr="003D3951">
                              <w:rPr>
                                <w:rFonts w:cs="Arial"/>
                                <w:szCs w:val="18"/>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3D3951">
                              <w:rPr>
                                <w:rFonts w:cs="Arial"/>
                                <w:i/>
                                <w:sz w:val="20"/>
                              </w:rPr>
                              <w:t> </w:t>
                            </w:r>
                            <w:r w:rsidRPr="003D3951">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3D3951">
                              <w:rPr>
                                <w:rFonts w:cs="Arial"/>
                                <w:i/>
                                <w:sz w:val="20"/>
                              </w:rPr>
                              <w:t> </w:t>
                            </w:r>
                            <w:r w:rsidRPr="003D3951">
                              <w:rPr>
                                <w:rFonts w:cs="Arial"/>
                                <w:szCs w:val="18"/>
                              </w:rPr>
                              <w:t>EMMI.</w:t>
                            </w:r>
                          </w:p>
                          <w:p w:rsidR="007B02A8" w:rsidRDefault="007B02A8" w:rsidP="007B02A8">
                            <w:pPr>
                              <w:jc w:val="left"/>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45BCA" id="Obdélník 199" o:spid="_x0000_s1031" style="position:absolute;left:0;text-align:left;margin-left:0;margin-top:.05pt;width:332pt;height:14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" fillcolor="#bfbfbf [2412]" stroked="f" strokeweight="1pt">
                <v:textbox inset="3mm,3mm,3mm,3mm">
                  <w:txbxContent>
                    <w:p w:rsidR="007B02A8" w:rsidRPr="005A44FF" w:rsidRDefault="007B02A8" w:rsidP="007B02A8">
                      <w:pPr>
                        <w:pStyle w:val="Standard"/>
                        <w:spacing w:line="276" w:lineRule="auto"/>
                        <w:jc w:val="left"/>
                        <w:rPr>
                          <w:rFonts w:cs="Arial"/>
                          <w:b/>
                          <w:sz w:val="20"/>
                          <w:szCs w:val="18"/>
                        </w:rPr>
                      </w:pPr>
                      <w:r w:rsidRPr="005A44FF">
                        <w:rPr>
                          <w:rFonts w:cs="Arial"/>
                          <w:b/>
                          <w:sz w:val="20"/>
                          <w:szCs w:val="18"/>
                        </w:rPr>
                        <w:t>O České bankovní asociaci</w:t>
                      </w:r>
                    </w:p>
                    <w:p w:rsidR="007B02A8" w:rsidRPr="003D3951" w:rsidRDefault="007B02A8" w:rsidP="007B02A8">
                      <w:pPr>
                        <w:pStyle w:val="Standard"/>
                        <w:spacing w:line="276" w:lineRule="auto"/>
                        <w:ind w:left="28" w:hanging="28"/>
                        <w:jc w:val="left"/>
                        <w:rPr>
                          <w:rFonts w:cs="Arial"/>
                          <w:szCs w:val="18"/>
                        </w:rPr>
                      </w:pPr>
                      <w:r w:rsidRPr="003D3951">
                        <w:rPr>
                          <w:rFonts w:cs="Arial"/>
                          <w:szCs w:val="18"/>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3D3951">
                        <w:rPr>
                          <w:rFonts w:cs="Arial"/>
                          <w:i/>
                          <w:sz w:val="20"/>
                        </w:rPr>
                        <w:t> </w:t>
                      </w:r>
                      <w:r w:rsidRPr="003D3951">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3D3951">
                        <w:rPr>
                          <w:rFonts w:cs="Arial"/>
                          <w:i/>
                          <w:sz w:val="20"/>
                        </w:rPr>
                        <w:t> </w:t>
                      </w:r>
                      <w:r w:rsidRPr="003D3951">
                        <w:rPr>
                          <w:rFonts w:cs="Arial"/>
                          <w:szCs w:val="18"/>
                        </w:rPr>
                        <w:t>EMMI.</w:t>
                      </w:r>
                    </w:p>
                    <w:p w:rsidR="007B02A8" w:rsidRDefault="007B02A8" w:rsidP="007B02A8">
                      <w:pPr>
                        <w:jc w:val="left"/>
                      </w:pPr>
                    </w:p>
                  </w:txbxContent>
                </v:textbox>
                <w10:wrap anchorx="margin"/>
              </v:rect>
            </w:pict>
          </mc:Fallback>
        </mc:AlternateContent>
      </w:r>
      <w:r w:rsidRPr="005A44FF">
        <w:rPr>
          <w:rFonts w:eastAsiaTheme="minorEastAsia" w:cs="Arial"/>
          <w:noProof/>
        </w:rPr>
        <mc:AlternateContent>
          <mc:Choice Requires="wps">
            <w:drawing>
              <wp:anchor distT="0" distB="0" distL="114300" distR="114300" simplePos="0" relativeHeight="251678720" behindDoc="0" locked="0" layoutInCell="1" allowOverlap="1" wp14:anchorId="02EA2DC3" wp14:editId="6CEA464A">
                <wp:simplePos x="0" y="0"/>
                <wp:positionH relativeFrom="margin">
                  <wp:posOffset>4321175</wp:posOffset>
                </wp:positionH>
                <wp:positionV relativeFrom="paragraph">
                  <wp:posOffset>0</wp:posOffset>
                </wp:positionV>
                <wp:extent cx="2159000" cy="1802823"/>
                <wp:effectExtent l="0" t="0" r="0" b="6985"/>
                <wp:wrapNone/>
                <wp:docPr id="200" name="Obdélník 200"/>
                <wp:cNvGraphicFramePr/>
                <a:graphic xmlns:a="http://schemas.openxmlformats.org/drawingml/2006/main">
                  <a:graphicData uri="http://schemas.microsoft.com/office/word/2010/wordprocessingShape">
                    <wps:wsp>
                      <wps:cNvSpPr/>
                      <wps:spPr>
                        <a:xfrm>
                          <a:off x="0" y="0"/>
                          <a:ext cx="2159000" cy="1802823"/>
                        </a:xfrm>
                        <a:prstGeom prst="rect">
                          <a:avLst/>
                        </a:prstGeom>
                        <a:solidFill>
                          <a:srgbClr val="007E79">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02A8" w:rsidRPr="005A44FF" w:rsidRDefault="007B02A8" w:rsidP="007B02A8">
                            <w:pPr>
                              <w:spacing w:line="276" w:lineRule="auto"/>
                              <w:ind w:left="28" w:hanging="28"/>
                              <w:jc w:val="left"/>
                              <w:outlineLvl w:val="0"/>
                              <w:rPr>
                                <w:rFonts w:cs="Arial"/>
                                <w:b/>
                                <w:sz w:val="20"/>
                                <w:szCs w:val="18"/>
                              </w:rPr>
                            </w:pPr>
                            <w:r w:rsidRPr="005A44FF">
                              <w:rPr>
                                <w:rFonts w:cs="Arial"/>
                                <w:b/>
                                <w:sz w:val="20"/>
                                <w:szCs w:val="18"/>
                              </w:rPr>
                              <w:t xml:space="preserve">Další informace </w:t>
                            </w:r>
                          </w:p>
                          <w:p w:rsidR="007B02A8" w:rsidRPr="005A44FF" w:rsidRDefault="007B02A8" w:rsidP="007B02A8">
                            <w:pPr>
                              <w:spacing w:line="276" w:lineRule="auto"/>
                              <w:ind w:left="28" w:hanging="28"/>
                              <w:jc w:val="left"/>
                              <w:outlineLvl w:val="0"/>
                              <w:rPr>
                                <w:rFonts w:cs="Arial"/>
                                <w:b/>
                                <w:sz w:val="20"/>
                                <w:szCs w:val="18"/>
                              </w:rPr>
                            </w:pPr>
                            <w:r w:rsidRPr="005A44FF">
                              <w:rPr>
                                <w:rFonts w:cs="Arial"/>
                                <w:b/>
                                <w:sz w:val="20"/>
                                <w:szCs w:val="18"/>
                              </w:rPr>
                              <w:t>obdržíte na adrese:</w:t>
                            </w:r>
                          </w:p>
                          <w:p w:rsidR="007B02A8" w:rsidRPr="003D3951" w:rsidRDefault="007B02A8" w:rsidP="007B02A8">
                            <w:pPr>
                              <w:spacing w:line="276" w:lineRule="auto"/>
                              <w:jc w:val="left"/>
                              <w:rPr>
                                <w:rFonts w:cs="Arial"/>
                                <w:b/>
                                <w:szCs w:val="18"/>
                              </w:rPr>
                            </w:pPr>
                          </w:p>
                          <w:p w:rsidR="007B02A8" w:rsidRPr="005A44FF" w:rsidRDefault="007B02A8" w:rsidP="007B02A8">
                            <w:pPr>
                              <w:spacing w:line="276" w:lineRule="auto"/>
                              <w:jc w:val="left"/>
                              <w:rPr>
                                <w:rFonts w:cs="Arial"/>
                                <w:noProof/>
                                <w:szCs w:val="18"/>
                              </w:rPr>
                            </w:pPr>
                            <w:r w:rsidRPr="005A44FF">
                              <w:rPr>
                                <w:rFonts w:cs="Arial"/>
                                <w:noProof/>
                                <w:szCs w:val="18"/>
                              </w:rPr>
                              <w:t xml:space="preserve">Monika Petrásková, </w:t>
                            </w:r>
                          </w:p>
                          <w:p w:rsidR="007B02A8" w:rsidRPr="005A44FF" w:rsidRDefault="007B02A8" w:rsidP="007B02A8">
                            <w:pPr>
                              <w:spacing w:line="276" w:lineRule="auto"/>
                              <w:jc w:val="left"/>
                              <w:rPr>
                                <w:rFonts w:cs="Arial"/>
                                <w:szCs w:val="18"/>
                              </w:rPr>
                            </w:pPr>
                            <w:r w:rsidRPr="005A44FF">
                              <w:rPr>
                                <w:rFonts w:cs="Arial"/>
                                <w:noProof/>
                                <w:szCs w:val="18"/>
                              </w:rPr>
                              <w:t>m</w:t>
                            </w:r>
                            <w:proofErr w:type="spellStart"/>
                            <w:r w:rsidRPr="005A44FF">
                              <w:rPr>
                                <w:rFonts w:cs="Arial"/>
                                <w:szCs w:val="18"/>
                              </w:rPr>
                              <w:t>anažerka</w:t>
                            </w:r>
                            <w:proofErr w:type="spellEnd"/>
                            <w:r w:rsidRPr="005A44FF">
                              <w:rPr>
                                <w:rFonts w:cs="Arial"/>
                                <w:szCs w:val="18"/>
                              </w:rPr>
                              <w:t xml:space="preserve"> PR a komunikace ČBA</w:t>
                            </w:r>
                          </w:p>
                          <w:p w:rsidR="007B02A8" w:rsidRPr="005A44FF" w:rsidRDefault="007B02A8" w:rsidP="007B02A8">
                            <w:pPr>
                              <w:spacing w:line="276" w:lineRule="auto"/>
                              <w:jc w:val="left"/>
                              <w:rPr>
                                <w:rFonts w:cs="Arial"/>
                                <w:szCs w:val="18"/>
                              </w:rPr>
                            </w:pPr>
                            <w:r w:rsidRPr="005A44FF">
                              <w:rPr>
                                <w:rFonts w:cs="Arial"/>
                                <w:szCs w:val="18"/>
                              </w:rPr>
                              <w:t>petraskova@czech-ba.cz</w:t>
                            </w:r>
                          </w:p>
                          <w:p w:rsidR="007B02A8" w:rsidRPr="005A44FF" w:rsidRDefault="007B02A8" w:rsidP="007B02A8">
                            <w:pPr>
                              <w:spacing w:line="276" w:lineRule="auto"/>
                              <w:jc w:val="left"/>
                              <w:rPr>
                                <w:rFonts w:cs="Arial"/>
                                <w:szCs w:val="18"/>
                              </w:rPr>
                            </w:pPr>
                            <w:r w:rsidRPr="005A44FF">
                              <w:rPr>
                                <w:rFonts w:cs="Arial"/>
                                <w:szCs w:val="18"/>
                              </w:rPr>
                              <w:t>tel: + 420 733 130 282</w:t>
                            </w:r>
                          </w:p>
                          <w:p w:rsidR="007B02A8" w:rsidRDefault="007B02A8" w:rsidP="007B02A8">
                            <w:pPr>
                              <w:jc w:val="left"/>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A2DC3" id="Obdélník 200" o:spid="_x0000_s1032" style="position:absolute;left:0;text-align:left;margin-left:340.25pt;margin-top:0;width:170pt;height:141.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" fillcolor="#007e79" stroked="f" strokeweight="1pt">
                <v:fill opacity="32639f"/>
                <v:textbox inset="3mm,3mm,3mm,3mm">
                  <w:txbxContent>
                    <w:p w:rsidR="007B02A8" w:rsidRPr="005A44FF" w:rsidRDefault="007B02A8" w:rsidP="007B02A8">
                      <w:pPr>
                        <w:spacing w:line="276" w:lineRule="auto"/>
                        <w:ind w:left="28" w:hanging="28"/>
                        <w:jc w:val="left"/>
                        <w:outlineLvl w:val="0"/>
                        <w:rPr>
                          <w:rFonts w:cs="Arial"/>
                          <w:b/>
                          <w:sz w:val="20"/>
                          <w:szCs w:val="18"/>
                        </w:rPr>
                      </w:pPr>
                      <w:r w:rsidRPr="005A44FF">
                        <w:rPr>
                          <w:rFonts w:cs="Arial"/>
                          <w:b/>
                          <w:sz w:val="20"/>
                          <w:szCs w:val="18"/>
                        </w:rPr>
                        <w:t xml:space="preserve">Další informace </w:t>
                      </w:r>
                    </w:p>
                    <w:p w:rsidR="007B02A8" w:rsidRPr="005A44FF" w:rsidRDefault="007B02A8" w:rsidP="007B02A8">
                      <w:pPr>
                        <w:spacing w:line="276" w:lineRule="auto"/>
                        <w:ind w:left="28" w:hanging="28"/>
                        <w:jc w:val="left"/>
                        <w:outlineLvl w:val="0"/>
                        <w:rPr>
                          <w:rFonts w:cs="Arial"/>
                          <w:b/>
                          <w:sz w:val="20"/>
                          <w:szCs w:val="18"/>
                        </w:rPr>
                      </w:pPr>
                      <w:r w:rsidRPr="005A44FF">
                        <w:rPr>
                          <w:rFonts w:cs="Arial"/>
                          <w:b/>
                          <w:sz w:val="20"/>
                          <w:szCs w:val="18"/>
                        </w:rPr>
                        <w:t>obdržíte na adrese:</w:t>
                      </w:r>
                    </w:p>
                    <w:p w:rsidR="007B02A8" w:rsidRPr="003D3951" w:rsidRDefault="007B02A8" w:rsidP="007B02A8">
                      <w:pPr>
                        <w:spacing w:line="276" w:lineRule="auto"/>
                        <w:jc w:val="left"/>
                        <w:rPr>
                          <w:rFonts w:cs="Arial"/>
                          <w:b/>
                          <w:szCs w:val="18"/>
                        </w:rPr>
                      </w:pPr>
                    </w:p>
                    <w:p w:rsidR="007B02A8" w:rsidRPr="005A44FF" w:rsidRDefault="007B02A8" w:rsidP="007B02A8">
                      <w:pPr>
                        <w:spacing w:line="276" w:lineRule="auto"/>
                        <w:jc w:val="left"/>
                        <w:rPr>
                          <w:rFonts w:cs="Arial"/>
                          <w:noProof/>
                          <w:szCs w:val="18"/>
                        </w:rPr>
                      </w:pPr>
                      <w:r w:rsidRPr="005A44FF">
                        <w:rPr>
                          <w:rFonts w:cs="Arial"/>
                          <w:noProof/>
                          <w:szCs w:val="18"/>
                        </w:rPr>
                        <w:t xml:space="preserve">Monika Petrásková, </w:t>
                      </w:r>
                    </w:p>
                    <w:p w:rsidR="007B02A8" w:rsidRPr="005A44FF" w:rsidRDefault="007B02A8" w:rsidP="007B02A8">
                      <w:pPr>
                        <w:spacing w:line="276" w:lineRule="auto"/>
                        <w:jc w:val="left"/>
                        <w:rPr>
                          <w:rFonts w:cs="Arial"/>
                          <w:szCs w:val="18"/>
                        </w:rPr>
                      </w:pPr>
                      <w:r w:rsidRPr="005A44FF">
                        <w:rPr>
                          <w:rFonts w:cs="Arial"/>
                          <w:noProof/>
                          <w:szCs w:val="18"/>
                        </w:rPr>
                        <w:t>m</w:t>
                      </w:r>
                      <w:proofErr w:type="spellStart"/>
                      <w:r w:rsidRPr="005A44FF">
                        <w:rPr>
                          <w:rFonts w:cs="Arial"/>
                          <w:szCs w:val="18"/>
                        </w:rPr>
                        <w:t>anažerka</w:t>
                      </w:r>
                      <w:proofErr w:type="spellEnd"/>
                      <w:r w:rsidRPr="005A44FF">
                        <w:rPr>
                          <w:rFonts w:cs="Arial"/>
                          <w:szCs w:val="18"/>
                        </w:rPr>
                        <w:t xml:space="preserve"> PR a komunikace ČBA</w:t>
                      </w:r>
                    </w:p>
                    <w:p w:rsidR="007B02A8" w:rsidRPr="005A44FF" w:rsidRDefault="007B02A8" w:rsidP="007B02A8">
                      <w:pPr>
                        <w:spacing w:line="276" w:lineRule="auto"/>
                        <w:jc w:val="left"/>
                        <w:rPr>
                          <w:rFonts w:cs="Arial"/>
                          <w:szCs w:val="18"/>
                        </w:rPr>
                      </w:pPr>
                      <w:r w:rsidRPr="005A44FF">
                        <w:rPr>
                          <w:rFonts w:cs="Arial"/>
                          <w:szCs w:val="18"/>
                        </w:rPr>
                        <w:t>petraskova@czech-ba.cz</w:t>
                      </w:r>
                    </w:p>
                    <w:p w:rsidR="007B02A8" w:rsidRPr="005A44FF" w:rsidRDefault="007B02A8" w:rsidP="007B02A8">
                      <w:pPr>
                        <w:spacing w:line="276" w:lineRule="auto"/>
                        <w:jc w:val="left"/>
                        <w:rPr>
                          <w:rFonts w:cs="Arial"/>
                          <w:szCs w:val="18"/>
                        </w:rPr>
                      </w:pPr>
                      <w:r w:rsidRPr="005A44FF">
                        <w:rPr>
                          <w:rFonts w:cs="Arial"/>
                          <w:szCs w:val="18"/>
                        </w:rPr>
                        <w:t>tel: + 420 733 130 282</w:t>
                      </w:r>
                    </w:p>
                    <w:p w:rsidR="007B02A8" w:rsidRDefault="007B02A8" w:rsidP="007B02A8">
                      <w:pPr>
                        <w:jc w:val="left"/>
                      </w:pPr>
                    </w:p>
                  </w:txbxContent>
                </v:textbox>
                <w10:wrap anchorx="margin"/>
              </v:rect>
            </w:pict>
          </mc:Fallback>
        </mc:AlternateContent>
      </w:r>
    </w:p>
    <w:p w:rsidR="007B02A8" w:rsidRDefault="007B02A8" w:rsidP="003F7F31">
      <w:pPr>
        <w:spacing w:after="160" w:line="276" w:lineRule="auto"/>
        <w:rPr>
          <w:rFonts w:cs="Arial"/>
          <w:color w:val="BFBFBF" w:themeColor="background1" w:themeShade="BF"/>
        </w:rPr>
      </w:pPr>
    </w:p>
    <w:p w:rsidR="007B02A8" w:rsidRDefault="007B02A8" w:rsidP="003F7F31">
      <w:pPr>
        <w:spacing w:after="160" w:line="276" w:lineRule="auto"/>
        <w:rPr>
          <w:rFonts w:cs="Arial"/>
          <w:color w:val="BFBFBF" w:themeColor="background1" w:themeShade="BF"/>
        </w:rPr>
      </w:pPr>
    </w:p>
    <w:p w:rsidR="007B02A8" w:rsidRDefault="007B02A8" w:rsidP="003F7F31">
      <w:pPr>
        <w:spacing w:after="160" w:line="276" w:lineRule="auto"/>
        <w:rPr>
          <w:rFonts w:cs="Arial"/>
          <w:color w:val="BFBFBF" w:themeColor="background1" w:themeShade="BF"/>
        </w:rPr>
      </w:pPr>
    </w:p>
    <w:p w:rsidR="007B02A8" w:rsidRDefault="007B02A8" w:rsidP="003F7F31">
      <w:pPr>
        <w:spacing w:after="160" w:line="276" w:lineRule="auto"/>
        <w:rPr>
          <w:rFonts w:cs="Arial"/>
          <w:color w:val="BFBFBF" w:themeColor="background1" w:themeShade="BF"/>
        </w:rPr>
      </w:pPr>
    </w:p>
    <w:p w:rsidR="007B02A8" w:rsidRDefault="007B02A8" w:rsidP="003F7F31">
      <w:pPr>
        <w:spacing w:after="160" w:line="276" w:lineRule="auto"/>
        <w:rPr>
          <w:rFonts w:cs="Arial"/>
          <w:color w:val="BFBFBF" w:themeColor="background1" w:themeShade="BF"/>
        </w:rPr>
      </w:pPr>
    </w:p>
    <w:p w:rsidR="007B02A8" w:rsidRDefault="007B02A8" w:rsidP="003F7F31">
      <w:pPr>
        <w:spacing w:after="160" w:line="276" w:lineRule="auto"/>
        <w:rPr>
          <w:rFonts w:cs="Arial"/>
          <w:color w:val="BFBFBF" w:themeColor="background1" w:themeShade="BF"/>
        </w:rPr>
      </w:pPr>
    </w:p>
    <w:p w:rsidR="007B02A8" w:rsidRDefault="007B02A8" w:rsidP="003F7F31">
      <w:pPr>
        <w:spacing w:after="160" w:line="276" w:lineRule="auto"/>
        <w:rPr>
          <w:rFonts w:cs="Arial"/>
          <w:color w:val="BFBFBF" w:themeColor="background1" w:themeShade="BF"/>
        </w:rPr>
      </w:pPr>
    </w:p>
    <w:p w:rsidR="003F7F31" w:rsidRDefault="003F7F31" w:rsidP="003F7F31">
      <w:pPr>
        <w:spacing w:after="160" w:line="276" w:lineRule="auto"/>
        <w:rPr>
          <w:rFonts w:cs="Arial"/>
          <w:color w:val="BFBFBF" w:themeColor="background1" w:themeShade="BF"/>
        </w:rPr>
      </w:pPr>
    </w:p>
    <w:p w:rsidR="003F7F31" w:rsidRDefault="003F7F31" w:rsidP="003F7F31">
      <w:pPr>
        <w:spacing w:after="160" w:line="276" w:lineRule="auto"/>
        <w:rPr>
          <w:rFonts w:cs="Arial"/>
          <w:color w:val="BFBFBF" w:themeColor="background1" w:themeShade="BF"/>
        </w:rPr>
      </w:pPr>
    </w:p>
    <w:p w:rsidR="003F7F31" w:rsidRDefault="003F7F31" w:rsidP="003F7F31">
      <w:pPr>
        <w:spacing w:after="160" w:line="276" w:lineRule="auto"/>
        <w:rPr>
          <w:rFonts w:cs="Arial"/>
          <w:color w:val="BFBFBF" w:themeColor="background1" w:themeShade="BF"/>
        </w:rPr>
      </w:pPr>
    </w:p>
    <w:p w:rsidR="007B02A8" w:rsidRPr="003D3951" w:rsidRDefault="007B02A8" w:rsidP="007B02A8">
      <w:pPr>
        <w:pStyle w:val="Standard"/>
        <w:spacing w:line="276" w:lineRule="auto"/>
        <w:jc w:val="left"/>
        <w:rPr>
          <w:rFonts w:cs="Arial"/>
          <w:b/>
          <w:szCs w:val="18"/>
        </w:rPr>
      </w:pPr>
    </w:p>
    <w:p w:rsidR="00437589" w:rsidRDefault="00437589" w:rsidP="003F7F31">
      <w:pPr>
        <w:spacing w:after="160" w:line="276" w:lineRule="auto"/>
        <w:rPr>
          <w:rFonts w:cs="Arial"/>
          <w:color w:val="BFBFBF" w:themeColor="background1" w:themeShade="BF"/>
        </w:rPr>
      </w:pPr>
    </w:p>
    <w:p w:rsidR="003F7F31" w:rsidRDefault="003F7F31" w:rsidP="003F7F31">
      <w:pPr>
        <w:spacing w:after="160" w:line="276" w:lineRule="auto"/>
        <w:rPr>
          <w:rFonts w:cs="Arial"/>
          <w:color w:val="BFBFBF" w:themeColor="background1" w:themeShade="BF"/>
        </w:rPr>
      </w:pPr>
    </w:p>
    <w:p w:rsidR="003F7F31" w:rsidRPr="003F7F31" w:rsidRDefault="003F7F31" w:rsidP="003F7F31">
      <w:pPr>
        <w:rPr>
          <w:rFonts w:cs="Arial"/>
          <w:b/>
          <w:color w:val="007E79"/>
          <w:sz w:val="20"/>
        </w:rPr>
      </w:pPr>
      <w:r w:rsidRPr="003F7F31">
        <w:rPr>
          <w:rFonts w:cs="Arial"/>
          <w:b/>
          <w:color w:val="007E79"/>
          <w:sz w:val="20"/>
        </w:rPr>
        <w:lastRenderedPageBreak/>
        <w:t>Makroekonomická prognóza ČBA v číslech:</w:t>
      </w:r>
    </w:p>
    <w:p w:rsidR="003F7F31" w:rsidRPr="00791240" w:rsidRDefault="003F7F31" w:rsidP="003F7F31">
      <w:pPr>
        <w:rPr>
          <w:rFonts w:cs="Arial"/>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724"/>
        <w:gridCol w:w="1724"/>
        <w:gridCol w:w="1718"/>
      </w:tblGrid>
      <w:tr w:rsidR="003F7F31" w:rsidRPr="00791240" w:rsidTr="00437589">
        <w:trPr>
          <w:trHeight w:val="253"/>
        </w:trPr>
        <w:tc>
          <w:tcPr>
            <w:tcW w:w="4855" w:type="dxa"/>
            <w:shd w:val="clear" w:color="auto" w:fill="009999"/>
          </w:tcPr>
          <w:p w:rsidR="003F7F31" w:rsidRPr="00791240" w:rsidRDefault="003F7F31" w:rsidP="00FB23DB">
            <w:pPr>
              <w:rPr>
                <w:rFonts w:cs="Arial"/>
                <w:b/>
                <w:color w:val="FFFFFF"/>
                <w:sz w:val="20"/>
                <w:szCs w:val="18"/>
              </w:rPr>
            </w:pPr>
            <w:r w:rsidRPr="00791240">
              <w:rPr>
                <w:rFonts w:cs="Arial"/>
                <w:b/>
                <w:color w:val="FFFFFF"/>
                <w:sz w:val="20"/>
                <w:szCs w:val="18"/>
              </w:rPr>
              <w:t>Ukazatel</w:t>
            </w:r>
          </w:p>
        </w:tc>
        <w:tc>
          <w:tcPr>
            <w:tcW w:w="1724" w:type="dxa"/>
            <w:shd w:val="clear" w:color="auto" w:fill="009999"/>
          </w:tcPr>
          <w:p w:rsidR="003F7F31" w:rsidRPr="00791240" w:rsidRDefault="003F7F31" w:rsidP="00FB23DB">
            <w:pPr>
              <w:rPr>
                <w:rFonts w:cs="Arial"/>
                <w:b/>
                <w:color w:val="FFFFFF"/>
                <w:sz w:val="20"/>
                <w:szCs w:val="18"/>
              </w:rPr>
            </w:pPr>
            <w:r w:rsidRPr="00791240">
              <w:rPr>
                <w:rFonts w:cs="Arial"/>
                <w:b/>
                <w:color w:val="FFFFFF"/>
                <w:sz w:val="20"/>
                <w:szCs w:val="18"/>
              </w:rPr>
              <w:t>2017</w:t>
            </w:r>
          </w:p>
        </w:tc>
        <w:tc>
          <w:tcPr>
            <w:tcW w:w="1724" w:type="dxa"/>
            <w:shd w:val="clear" w:color="auto" w:fill="009999"/>
          </w:tcPr>
          <w:p w:rsidR="003F7F31" w:rsidRPr="00791240" w:rsidRDefault="003F7F31" w:rsidP="00FB23DB">
            <w:pPr>
              <w:rPr>
                <w:rFonts w:cs="Arial"/>
                <w:b/>
                <w:color w:val="FFFFFF"/>
                <w:sz w:val="20"/>
                <w:szCs w:val="18"/>
              </w:rPr>
            </w:pPr>
            <w:r w:rsidRPr="00791240">
              <w:rPr>
                <w:rFonts w:cs="Arial"/>
                <w:b/>
                <w:color w:val="FFFFFF"/>
                <w:sz w:val="20"/>
                <w:szCs w:val="18"/>
              </w:rPr>
              <w:t>2018</w:t>
            </w:r>
          </w:p>
        </w:tc>
        <w:tc>
          <w:tcPr>
            <w:tcW w:w="1718" w:type="dxa"/>
            <w:shd w:val="clear" w:color="auto" w:fill="009999"/>
          </w:tcPr>
          <w:p w:rsidR="003F7F31" w:rsidRPr="00791240" w:rsidRDefault="003F7F31" w:rsidP="00FB23DB">
            <w:pPr>
              <w:rPr>
                <w:rFonts w:cs="Arial"/>
                <w:b/>
                <w:color w:val="FFFFFF"/>
                <w:sz w:val="20"/>
                <w:szCs w:val="18"/>
              </w:rPr>
            </w:pPr>
            <w:r w:rsidRPr="00791240">
              <w:rPr>
                <w:rFonts w:cs="Arial"/>
                <w:b/>
                <w:color w:val="FFFFFF"/>
                <w:sz w:val="20"/>
                <w:szCs w:val="18"/>
              </w:rPr>
              <w:t>2019</w:t>
            </w:r>
          </w:p>
        </w:tc>
      </w:tr>
      <w:tr w:rsidR="003F7F31" w:rsidRPr="00791240" w:rsidTr="003F7F31">
        <w:trPr>
          <w:trHeight w:val="253"/>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Růst reálného HDP (%)</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4,6</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3,</w:t>
            </w:r>
            <w:r>
              <w:rPr>
                <w:rFonts w:cs="Arial"/>
                <w:sz w:val="20"/>
                <w:szCs w:val="18"/>
              </w:rPr>
              <w:t>0</w:t>
            </w:r>
          </w:p>
        </w:tc>
        <w:tc>
          <w:tcPr>
            <w:tcW w:w="1718" w:type="dxa"/>
            <w:shd w:val="clear" w:color="auto" w:fill="auto"/>
          </w:tcPr>
          <w:p w:rsidR="003F7F31" w:rsidRPr="00791240" w:rsidRDefault="003F7F31" w:rsidP="00FB23DB">
            <w:pPr>
              <w:rPr>
                <w:rFonts w:cs="Arial"/>
                <w:sz w:val="20"/>
                <w:szCs w:val="18"/>
              </w:rPr>
            </w:pPr>
            <w:r w:rsidRPr="00791240">
              <w:rPr>
                <w:rFonts w:cs="Arial"/>
                <w:sz w:val="20"/>
                <w:szCs w:val="18"/>
              </w:rPr>
              <w:t>2,9</w:t>
            </w:r>
          </w:p>
        </w:tc>
      </w:tr>
      <w:tr w:rsidR="003F7F31" w:rsidRPr="00791240" w:rsidTr="003F7F31">
        <w:trPr>
          <w:trHeight w:val="276"/>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Podíl nezaměstnaných osob (MPSV): průměr (%)</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4,2</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3,2</w:t>
            </w:r>
          </w:p>
        </w:tc>
        <w:tc>
          <w:tcPr>
            <w:tcW w:w="1718" w:type="dxa"/>
            <w:shd w:val="clear" w:color="auto" w:fill="auto"/>
          </w:tcPr>
          <w:p w:rsidR="003F7F31" w:rsidRPr="00791240" w:rsidRDefault="003F7F31" w:rsidP="00FB23DB">
            <w:pPr>
              <w:rPr>
                <w:rFonts w:cs="Arial"/>
                <w:sz w:val="20"/>
                <w:szCs w:val="18"/>
              </w:rPr>
            </w:pPr>
            <w:r w:rsidRPr="00791240">
              <w:rPr>
                <w:rFonts w:cs="Arial"/>
                <w:sz w:val="20"/>
                <w:szCs w:val="18"/>
              </w:rPr>
              <w:t>3,1</w:t>
            </w:r>
          </w:p>
        </w:tc>
      </w:tr>
      <w:tr w:rsidR="003F7F31" w:rsidRPr="00791240" w:rsidTr="003F7F31">
        <w:trPr>
          <w:trHeight w:val="253"/>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Průměrná nominální mzda</w:t>
            </w:r>
            <w:r>
              <w:rPr>
                <w:rFonts w:cs="Arial"/>
                <w:sz w:val="20"/>
                <w:szCs w:val="18"/>
              </w:rPr>
              <w:t xml:space="preserve"> (růst v %)</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8,0</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8</w:t>
            </w:r>
            <w:r>
              <w:rPr>
                <w:rFonts w:cs="Arial"/>
                <w:sz w:val="20"/>
                <w:szCs w:val="18"/>
              </w:rPr>
              <w:t>,2</w:t>
            </w:r>
          </w:p>
        </w:tc>
        <w:tc>
          <w:tcPr>
            <w:tcW w:w="1718" w:type="dxa"/>
            <w:shd w:val="clear" w:color="auto" w:fill="auto"/>
          </w:tcPr>
          <w:p w:rsidR="003F7F31" w:rsidRPr="00791240" w:rsidRDefault="003F7F31" w:rsidP="00FB23DB">
            <w:pPr>
              <w:rPr>
                <w:rFonts w:cs="Arial"/>
                <w:sz w:val="20"/>
                <w:szCs w:val="18"/>
              </w:rPr>
            </w:pPr>
            <w:r>
              <w:rPr>
                <w:rFonts w:cs="Arial"/>
                <w:sz w:val="20"/>
                <w:szCs w:val="18"/>
              </w:rPr>
              <w:t>6</w:t>
            </w:r>
            <w:r w:rsidRPr="00791240">
              <w:rPr>
                <w:rFonts w:cs="Arial"/>
                <w:sz w:val="20"/>
                <w:szCs w:val="18"/>
              </w:rPr>
              <w:t>,8</w:t>
            </w:r>
          </w:p>
        </w:tc>
      </w:tr>
      <w:tr w:rsidR="003F7F31" w:rsidRPr="00791240" w:rsidTr="003F7F31">
        <w:trPr>
          <w:trHeight w:val="253"/>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Míra inflace: CPI (%) průměr</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2,5</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2,</w:t>
            </w:r>
            <w:r>
              <w:rPr>
                <w:rFonts w:cs="Arial"/>
                <w:sz w:val="20"/>
                <w:szCs w:val="18"/>
              </w:rPr>
              <w:t>2</w:t>
            </w:r>
          </w:p>
        </w:tc>
        <w:tc>
          <w:tcPr>
            <w:tcW w:w="1718" w:type="dxa"/>
            <w:shd w:val="clear" w:color="auto" w:fill="auto"/>
          </w:tcPr>
          <w:p w:rsidR="003F7F31" w:rsidRPr="00791240" w:rsidRDefault="003F7F31" w:rsidP="00FB23DB">
            <w:pPr>
              <w:rPr>
                <w:rFonts w:cs="Arial"/>
                <w:sz w:val="20"/>
                <w:szCs w:val="18"/>
              </w:rPr>
            </w:pPr>
            <w:r w:rsidRPr="00791240">
              <w:rPr>
                <w:rFonts w:cs="Arial"/>
                <w:sz w:val="20"/>
                <w:szCs w:val="18"/>
              </w:rPr>
              <w:t>2,</w:t>
            </w:r>
            <w:r>
              <w:rPr>
                <w:rFonts w:cs="Arial"/>
                <w:sz w:val="20"/>
                <w:szCs w:val="18"/>
              </w:rPr>
              <w:t>4</w:t>
            </w:r>
          </w:p>
        </w:tc>
      </w:tr>
      <w:tr w:rsidR="003F7F31" w:rsidRPr="00791240" w:rsidTr="003F7F31">
        <w:trPr>
          <w:trHeight w:val="253"/>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Vládní deficit/přebytek (% HDP)</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0,06</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0,</w:t>
            </w:r>
            <w:r>
              <w:rPr>
                <w:rFonts w:cs="Arial"/>
                <w:sz w:val="20"/>
                <w:szCs w:val="18"/>
              </w:rPr>
              <w:t>5</w:t>
            </w:r>
          </w:p>
        </w:tc>
        <w:tc>
          <w:tcPr>
            <w:tcW w:w="1718" w:type="dxa"/>
            <w:shd w:val="clear" w:color="auto" w:fill="auto"/>
          </w:tcPr>
          <w:p w:rsidR="003F7F31" w:rsidRPr="00791240" w:rsidRDefault="003F7F31" w:rsidP="00FB23DB">
            <w:pPr>
              <w:rPr>
                <w:rFonts w:cs="Arial"/>
                <w:sz w:val="20"/>
                <w:szCs w:val="18"/>
              </w:rPr>
            </w:pPr>
            <w:r>
              <w:rPr>
                <w:rFonts w:cs="Arial"/>
                <w:sz w:val="20"/>
                <w:szCs w:val="18"/>
              </w:rPr>
              <w:t>0,0</w:t>
            </w:r>
          </w:p>
        </w:tc>
      </w:tr>
      <w:tr w:rsidR="003F7F31" w:rsidRPr="00791240" w:rsidTr="003F7F31">
        <w:trPr>
          <w:trHeight w:val="253"/>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 xml:space="preserve">Vládní dluh (% HDP) </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34,6</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32,</w:t>
            </w:r>
            <w:r>
              <w:rPr>
                <w:rFonts w:cs="Arial"/>
                <w:sz w:val="20"/>
                <w:szCs w:val="18"/>
              </w:rPr>
              <w:t>5</w:t>
            </w:r>
          </w:p>
        </w:tc>
        <w:tc>
          <w:tcPr>
            <w:tcW w:w="1718" w:type="dxa"/>
            <w:shd w:val="clear" w:color="auto" w:fill="auto"/>
          </w:tcPr>
          <w:p w:rsidR="003F7F31" w:rsidRPr="00791240" w:rsidRDefault="003F7F31" w:rsidP="00FB23DB">
            <w:pPr>
              <w:rPr>
                <w:rFonts w:cs="Arial"/>
                <w:sz w:val="20"/>
                <w:szCs w:val="18"/>
              </w:rPr>
            </w:pPr>
            <w:r w:rsidRPr="00791240">
              <w:rPr>
                <w:rFonts w:cs="Arial"/>
                <w:sz w:val="20"/>
                <w:szCs w:val="18"/>
              </w:rPr>
              <w:t>31,</w:t>
            </w:r>
            <w:r>
              <w:rPr>
                <w:rFonts w:cs="Arial"/>
                <w:sz w:val="20"/>
                <w:szCs w:val="18"/>
              </w:rPr>
              <w:t>1</w:t>
            </w:r>
          </w:p>
        </w:tc>
      </w:tr>
      <w:tr w:rsidR="003F7F31" w:rsidRPr="00791240" w:rsidTr="003F7F31">
        <w:trPr>
          <w:trHeight w:val="253"/>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Růst spotřeby domácností (%) reálně</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4,0</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4,</w:t>
            </w:r>
            <w:r>
              <w:rPr>
                <w:rFonts w:cs="Arial"/>
                <w:sz w:val="20"/>
                <w:szCs w:val="18"/>
              </w:rPr>
              <w:t>0</w:t>
            </w:r>
          </w:p>
        </w:tc>
        <w:tc>
          <w:tcPr>
            <w:tcW w:w="1718" w:type="dxa"/>
            <w:shd w:val="clear" w:color="auto" w:fill="auto"/>
          </w:tcPr>
          <w:p w:rsidR="003F7F31" w:rsidRPr="00791240" w:rsidRDefault="003F7F31" w:rsidP="00FB23DB">
            <w:pPr>
              <w:rPr>
                <w:rFonts w:cs="Arial"/>
                <w:sz w:val="20"/>
                <w:szCs w:val="18"/>
              </w:rPr>
            </w:pPr>
            <w:r w:rsidRPr="00791240">
              <w:rPr>
                <w:rFonts w:cs="Arial"/>
                <w:sz w:val="20"/>
                <w:szCs w:val="18"/>
              </w:rPr>
              <w:t>3,</w:t>
            </w:r>
            <w:r>
              <w:rPr>
                <w:rFonts w:cs="Arial"/>
                <w:sz w:val="20"/>
                <w:szCs w:val="18"/>
              </w:rPr>
              <w:t>7</w:t>
            </w:r>
          </w:p>
        </w:tc>
      </w:tr>
      <w:tr w:rsidR="003F7F31" w:rsidRPr="00791240" w:rsidTr="003F7F31">
        <w:trPr>
          <w:trHeight w:val="253"/>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Růst vládní spotřeby (%) reálně</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1,6</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2,</w:t>
            </w:r>
            <w:r>
              <w:rPr>
                <w:rFonts w:cs="Arial"/>
                <w:sz w:val="20"/>
                <w:szCs w:val="18"/>
              </w:rPr>
              <w:t>8</w:t>
            </w:r>
          </w:p>
        </w:tc>
        <w:tc>
          <w:tcPr>
            <w:tcW w:w="1718" w:type="dxa"/>
            <w:shd w:val="clear" w:color="auto" w:fill="auto"/>
          </w:tcPr>
          <w:p w:rsidR="003F7F31" w:rsidRPr="00791240" w:rsidRDefault="003F7F31" w:rsidP="00FB23DB">
            <w:pPr>
              <w:rPr>
                <w:rFonts w:cs="Arial"/>
                <w:sz w:val="20"/>
                <w:szCs w:val="18"/>
              </w:rPr>
            </w:pPr>
            <w:r w:rsidRPr="00791240">
              <w:rPr>
                <w:rFonts w:cs="Arial"/>
                <w:sz w:val="20"/>
                <w:szCs w:val="18"/>
              </w:rPr>
              <w:t>2,0</w:t>
            </w:r>
          </w:p>
        </w:tc>
      </w:tr>
      <w:tr w:rsidR="003F7F31" w:rsidRPr="00791240" w:rsidTr="003F7F31">
        <w:trPr>
          <w:trHeight w:val="253"/>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Růst investic (%) reálně</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5,8</w:t>
            </w:r>
          </w:p>
        </w:tc>
        <w:tc>
          <w:tcPr>
            <w:tcW w:w="1724" w:type="dxa"/>
            <w:shd w:val="clear" w:color="auto" w:fill="auto"/>
          </w:tcPr>
          <w:p w:rsidR="003F7F31" w:rsidRPr="00791240" w:rsidRDefault="003F7F31" w:rsidP="00FB23DB">
            <w:pPr>
              <w:rPr>
                <w:rFonts w:cs="Arial"/>
                <w:sz w:val="20"/>
                <w:szCs w:val="18"/>
              </w:rPr>
            </w:pPr>
            <w:r>
              <w:rPr>
                <w:rFonts w:cs="Arial"/>
                <w:sz w:val="20"/>
                <w:szCs w:val="18"/>
              </w:rPr>
              <w:t>7,0</w:t>
            </w:r>
          </w:p>
        </w:tc>
        <w:tc>
          <w:tcPr>
            <w:tcW w:w="1718" w:type="dxa"/>
            <w:shd w:val="clear" w:color="auto" w:fill="auto"/>
          </w:tcPr>
          <w:p w:rsidR="003F7F31" w:rsidRPr="00791240" w:rsidRDefault="003F7F31" w:rsidP="00FB23DB">
            <w:pPr>
              <w:rPr>
                <w:rFonts w:cs="Arial"/>
                <w:sz w:val="20"/>
                <w:szCs w:val="18"/>
              </w:rPr>
            </w:pPr>
            <w:r w:rsidRPr="00791240">
              <w:rPr>
                <w:rFonts w:cs="Arial"/>
                <w:sz w:val="20"/>
                <w:szCs w:val="18"/>
              </w:rPr>
              <w:t>3,</w:t>
            </w:r>
            <w:r>
              <w:rPr>
                <w:rFonts w:cs="Arial"/>
                <w:sz w:val="20"/>
                <w:szCs w:val="18"/>
              </w:rPr>
              <w:t>8</w:t>
            </w:r>
          </w:p>
        </w:tc>
      </w:tr>
      <w:tr w:rsidR="003F7F31" w:rsidRPr="00791240" w:rsidTr="003F7F31">
        <w:trPr>
          <w:trHeight w:val="253"/>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Růst reálného HDP v eurozóně (%)</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2,3</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2,</w:t>
            </w:r>
            <w:r>
              <w:rPr>
                <w:rFonts w:cs="Arial"/>
                <w:sz w:val="20"/>
                <w:szCs w:val="18"/>
              </w:rPr>
              <w:t>0</w:t>
            </w:r>
          </w:p>
        </w:tc>
        <w:tc>
          <w:tcPr>
            <w:tcW w:w="1718" w:type="dxa"/>
            <w:shd w:val="clear" w:color="auto" w:fill="auto"/>
          </w:tcPr>
          <w:p w:rsidR="003F7F31" w:rsidRPr="00791240" w:rsidRDefault="003F7F31" w:rsidP="00FB23DB">
            <w:pPr>
              <w:rPr>
                <w:rFonts w:cs="Arial"/>
                <w:sz w:val="20"/>
                <w:szCs w:val="18"/>
              </w:rPr>
            </w:pPr>
            <w:r w:rsidRPr="00791240">
              <w:rPr>
                <w:rFonts w:cs="Arial"/>
                <w:sz w:val="20"/>
                <w:szCs w:val="18"/>
              </w:rPr>
              <w:t>1,8</w:t>
            </w:r>
          </w:p>
        </w:tc>
      </w:tr>
      <w:tr w:rsidR="003F7F31" w:rsidRPr="00791240" w:rsidTr="003F7F31">
        <w:trPr>
          <w:trHeight w:val="253"/>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Směnný kurz CZEK/EUR: průměr</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26,3</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25,</w:t>
            </w:r>
            <w:r>
              <w:rPr>
                <w:rFonts w:cs="Arial"/>
                <w:sz w:val="20"/>
                <w:szCs w:val="18"/>
              </w:rPr>
              <w:t>56</w:t>
            </w:r>
          </w:p>
        </w:tc>
        <w:tc>
          <w:tcPr>
            <w:tcW w:w="1718" w:type="dxa"/>
            <w:shd w:val="clear" w:color="auto" w:fill="auto"/>
          </w:tcPr>
          <w:p w:rsidR="003F7F31" w:rsidRPr="00791240" w:rsidRDefault="003F7F31" w:rsidP="00FB23DB">
            <w:pPr>
              <w:rPr>
                <w:rFonts w:cs="Arial"/>
                <w:sz w:val="20"/>
                <w:szCs w:val="18"/>
              </w:rPr>
            </w:pPr>
            <w:r w:rsidRPr="00791240">
              <w:rPr>
                <w:rFonts w:cs="Arial"/>
                <w:sz w:val="20"/>
                <w:szCs w:val="18"/>
              </w:rPr>
              <w:t>2</w:t>
            </w:r>
            <w:r>
              <w:rPr>
                <w:rFonts w:cs="Arial"/>
                <w:sz w:val="20"/>
                <w:szCs w:val="18"/>
              </w:rPr>
              <w:t>5,13</w:t>
            </w:r>
          </w:p>
        </w:tc>
      </w:tr>
      <w:tr w:rsidR="003F7F31" w:rsidRPr="00791240" w:rsidTr="003F7F31">
        <w:trPr>
          <w:trHeight w:val="253"/>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Ceny ropy (USD za barel): brent průměr</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54</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7</w:t>
            </w:r>
            <w:r>
              <w:rPr>
                <w:rFonts w:cs="Arial"/>
                <w:sz w:val="20"/>
                <w:szCs w:val="18"/>
              </w:rPr>
              <w:t>4,18</w:t>
            </w:r>
          </w:p>
        </w:tc>
        <w:tc>
          <w:tcPr>
            <w:tcW w:w="1718" w:type="dxa"/>
            <w:shd w:val="clear" w:color="auto" w:fill="auto"/>
          </w:tcPr>
          <w:p w:rsidR="003F7F31" w:rsidRPr="00791240" w:rsidRDefault="003F7F31" w:rsidP="00FB23DB">
            <w:pPr>
              <w:rPr>
                <w:rFonts w:cs="Arial"/>
                <w:sz w:val="20"/>
                <w:szCs w:val="18"/>
              </w:rPr>
            </w:pPr>
            <w:r w:rsidRPr="00791240">
              <w:rPr>
                <w:rFonts w:cs="Arial"/>
                <w:sz w:val="20"/>
                <w:szCs w:val="18"/>
              </w:rPr>
              <w:t>7</w:t>
            </w:r>
            <w:r>
              <w:rPr>
                <w:rFonts w:cs="Arial"/>
                <w:sz w:val="20"/>
                <w:szCs w:val="18"/>
              </w:rPr>
              <w:t>1</w:t>
            </w:r>
            <w:r w:rsidRPr="00791240">
              <w:rPr>
                <w:rFonts w:cs="Arial"/>
                <w:sz w:val="20"/>
                <w:szCs w:val="18"/>
              </w:rPr>
              <w:t>,0</w:t>
            </w:r>
          </w:p>
        </w:tc>
      </w:tr>
      <w:tr w:rsidR="003F7F31" w:rsidRPr="00791240" w:rsidTr="003F7F31">
        <w:trPr>
          <w:trHeight w:val="253"/>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 xml:space="preserve">Základní sazba ČNB </w:t>
            </w:r>
            <w:proofErr w:type="gramStart"/>
            <w:r w:rsidRPr="00791240">
              <w:rPr>
                <w:rFonts w:cs="Arial"/>
                <w:sz w:val="20"/>
                <w:szCs w:val="18"/>
              </w:rPr>
              <w:t>2T</w:t>
            </w:r>
            <w:proofErr w:type="gramEnd"/>
            <w:r w:rsidRPr="00791240">
              <w:rPr>
                <w:rFonts w:cs="Arial"/>
                <w:sz w:val="20"/>
                <w:szCs w:val="18"/>
              </w:rPr>
              <w:t xml:space="preserve"> REPO (%): průměr</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0,5</w:t>
            </w:r>
          </w:p>
        </w:tc>
        <w:tc>
          <w:tcPr>
            <w:tcW w:w="1724" w:type="dxa"/>
            <w:shd w:val="clear" w:color="auto" w:fill="auto"/>
          </w:tcPr>
          <w:p w:rsidR="003F7F31" w:rsidRPr="00791240" w:rsidRDefault="003F7F31" w:rsidP="00FB23DB">
            <w:pPr>
              <w:rPr>
                <w:rFonts w:cs="Arial"/>
                <w:sz w:val="20"/>
                <w:szCs w:val="18"/>
              </w:rPr>
            </w:pPr>
            <w:r>
              <w:rPr>
                <w:rFonts w:cs="Arial"/>
                <w:sz w:val="20"/>
                <w:szCs w:val="18"/>
              </w:rPr>
              <w:t>1,17</w:t>
            </w:r>
          </w:p>
        </w:tc>
        <w:tc>
          <w:tcPr>
            <w:tcW w:w="1718" w:type="dxa"/>
            <w:shd w:val="clear" w:color="auto" w:fill="auto"/>
          </w:tcPr>
          <w:p w:rsidR="003F7F31" w:rsidRPr="00791240" w:rsidRDefault="003F7F31" w:rsidP="00FB23DB">
            <w:pPr>
              <w:rPr>
                <w:rFonts w:cs="Arial"/>
                <w:sz w:val="20"/>
                <w:szCs w:val="18"/>
              </w:rPr>
            </w:pPr>
            <w:r>
              <w:rPr>
                <w:rFonts w:cs="Arial"/>
                <w:sz w:val="20"/>
                <w:szCs w:val="18"/>
              </w:rPr>
              <w:t>2,00</w:t>
            </w:r>
          </w:p>
        </w:tc>
      </w:tr>
      <w:tr w:rsidR="003F7F31" w:rsidRPr="00791240" w:rsidTr="003F7F31">
        <w:trPr>
          <w:trHeight w:val="253"/>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Základní sazba ECB (%): průměr</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0,0</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0,0</w:t>
            </w:r>
          </w:p>
        </w:tc>
        <w:tc>
          <w:tcPr>
            <w:tcW w:w="1718" w:type="dxa"/>
            <w:shd w:val="clear" w:color="auto" w:fill="auto"/>
          </w:tcPr>
          <w:p w:rsidR="003F7F31" w:rsidRPr="00791240" w:rsidRDefault="003F7F31" w:rsidP="00FB23DB">
            <w:pPr>
              <w:rPr>
                <w:rFonts w:cs="Arial"/>
                <w:sz w:val="20"/>
                <w:szCs w:val="18"/>
              </w:rPr>
            </w:pPr>
            <w:r w:rsidRPr="00791240">
              <w:rPr>
                <w:rFonts w:cs="Arial"/>
                <w:sz w:val="20"/>
                <w:szCs w:val="18"/>
              </w:rPr>
              <w:t>0,0</w:t>
            </w:r>
            <w:r>
              <w:rPr>
                <w:rFonts w:cs="Arial"/>
                <w:sz w:val="20"/>
                <w:szCs w:val="18"/>
              </w:rPr>
              <w:t>5</w:t>
            </w:r>
          </w:p>
        </w:tc>
      </w:tr>
      <w:tr w:rsidR="003F7F31" w:rsidRPr="00791240" w:rsidTr="003F7F31">
        <w:trPr>
          <w:trHeight w:val="253"/>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3M-PRIBOR (%): průměr</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0,4</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1,</w:t>
            </w:r>
            <w:r>
              <w:rPr>
                <w:rFonts w:cs="Arial"/>
                <w:sz w:val="20"/>
                <w:szCs w:val="18"/>
              </w:rPr>
              <w:t>28</w:t>
            </w:r>
          </w:p>
        </w:tc>
        <w:tc>
          <w:tcPr>
            <w:tcW w:w="1718" w:type="dxa"/>
            <w:shd w:val="clear" w:color="auto" w:fill="auto"/>
          </w:tcPr>
          <w:p w:rsidR="003F7F31" w:rsidRPr="00791240" w:rsidRDefault="003F7F31" w:rsidP="00FB23DB">
            <w:pPr>
              <w:rPr>
                <w:rFonts w:cs="Arial"/>
                <w:sz w:val="20"/>
                <w:szCs w:val="18"/>
              </w:rPr>
            </w:pPr>
            <w:r>
              <w:rPr>
                <w:rFonts w:cs="Arial"/>
                <w:sz w:val="20"/>
                <w:szCs w:val="18"/>
              </w:rPr>
              <w:t>2,10</w:t>
            </w:r>
          </w:p>
        </w:tc>
      </w:tr>
      <w:tr w:rsidR="003F7F31" w:rsidRPr="00791240" w:rsidTr="003F7F31">
        <w:trPr>
          <w:trHeight w:val="253"/>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Růst bankovních úvěrů klientských (%)</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4,6</w:t>
            </w:r>
          </w:p>
        </w:tc>
        <w:tc>
          <w:tcPr>
            <w:tcW w:w="1724" w:type="dxa"/>
            <w:shd w:val="clear" w:color="auto" w:fill="auto"/>
          </w:tcPr>
          <w:p w:rsidR="003F7F31" w:rsidRPr="00791240" w:rsidRDefault="003F7F31" w:rsidP="00FB23DB">
            <w:pPr>
              <w:rPr>
                <w:rFonts w:cs="Arial"/>
                <w:sz w:val="20"/>
                <w:szCs w:val="18"/>
              </w:rPr>
            </w:pPr>
            <w:r>
              <w:rPr>
                <w:rFonts w:cs="Arial"/>
                <w:sz w:val="20"/>
                <w:szCs w:val="18"/>
              </w:rPr>
              <w:t>5,1</w:t>
            </w:r>
          </w:p>
        </w:tc>
        <w:tc>
          <w:tcPr>
            <w:tcW w:w="1718" w:type="dxa"/>
            <w:shd w:val="clear" w:color="auto" w:fill="auto"/>
          </w:tcPr>
          <w:p w:rsidR="003F7F31" w:rsidRPr="00791240" w:rsidRDefault="003F7F31" w:rsidP="00FB23DB">
            <w:pPr>
              <w:rPr>
                <w:rFonts w:cs="Arial"/>
                <w:sz w:val="20"/>
                <w:szCs w:val="18"/>
              </w:rPr>
            </w:pPr>
            <w:r w:rsidRPr="00791240">
              <w:rPr>
                <w:rFonts w:cs="Arial"/>
                <w:sz w:val="20"/>
                <w:szCs w:val="18"/>
              </w:rPr>
              <w:t>4,</w:t>
            </w:r>
            <w:r>
              <w:rPr>
                <w:rFonts w:cs="Arial"/>
                <w:sz w:val="20"/>
                <w:szCs w:val="18"/>
              </w:rPr>
              <w:t>8</w:t>
            </w:r>
          </w:p>
        </w:tc>
      </w:tr>
      <w:tr w:rsidR="003F7F31" w:rsidRPr="00791240" w:rsidTr="003F7F31">
        <w:trPr>
          <w:trHeight w:val="253"/>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Růst bankovních úvěrů domácnostem (%)</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7,7</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7</w:t>
            </w:r>
            <w:r>
              <w:rPr>
                <w:rFonts w:cs="Arial"/>
                <w:sz w:val="20"/>
                <w:szCs w:val="18"/>
              </w:rPr>
              <w:t>,3</w:t>
            </w:r>
          </w:p>
        </w:tc>
        <w:tc>
          <w:tcPr>
            <w:tcW w:w="1718" w:type="dxa"/>
            <w:shd w:val="clear" w:color="auto" w:fill="auto"/>
          </w:tcPr>
          <w:p w:rsidR="003F7F31" w:rsidRPr="00791240" w:rsidRDefault="003F7F31" w:rsidP="00FB23DB">
            <w:pPr>
              <w:rPr>
                <w:rFonts w:cs="Arial"/>
                <w:sz w:val="20"/>
                <w:szCs w:val="18"/>
              </w:rPr>
            </w:pPr>
            <w:r w:rsidRPr="00791240">
              <w:rPr>
                <w:rFonts w:cs="Arial"/>
                <w:sz w:val="20"/>
                <w:szCs w:val="18"/>
              </w:rPr>
              <w:t>5,</w:t>
            </w:r>
            <w:r>
              <w:rPr>
                <w:rFonts w:cs="Arial"/>
                <w:sz w:val="20"/>
                <w:szCs w:val="18"/>
              </w:rPr>
              <w:t>5</w:t>
            </w:r>
          </w:p>
        </w:tc>
      </w:tr>
      <w:tr w:rsidR="003F7F31" w:rsidRPr="00791240" w:rsidTr="003F7F31">
        <w:trPr>
          <w:trHeight w:val="211"/>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Růst bankovních úvěrů (nefinanční</w:t>
            </w:r>
            <w:r>
              <w:rPr>
                <w:rFonts w:cs="Arial"/>
                <w:sz w:val="20"/>
                <w:szCs w:val="18"/>
              </w:rPr>
              <w:t>m</w:t>
            </w:r>
            <w:r w:rsidRPr="00791240">
              <w:rPr>
                <w:rFonts w:cs="Arial"/>
                <w:sz w:val="20"/>
                <w:szCs w:val="18"/>
              </w:rPr>
              <w:t>) podnikům (%)</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4,8</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3,</w:t>
            </w:r>
            <w:r>
              <w:rPr>
                <w:rFonts w:cs="Arial"/>
                <w:sz w:val="20"/>
                <w:szCs w:val="18"/>
              </w:rPr>
              <w:t>0</w:t>
            </w:r>
          </w:p>
        </w:tc>
        <w:tc>
          <w:tcPr>
            <w:tcW w:w="1718" w:type="dxa"/>
            <w:shd w:val="clear" w:color="auto" w:fill="auto"/>
          </w:tcPr>
          <w:p w:rsidR="003F7F31" w:rsidRPr="00791240" w:rsidRDefault="003F7F31" w:rsidP="00FB23DB">
            <w:pPr>
              <w:rPr>
                <w:rFonts w:cs="Arial"/>
                <w:sz w:val="20"/>
                <w:szCs w:val="18"/>
              </w:rPr>
            </w:pPr>
            <w:r>
              <w:rPr>
                <w:rFonts w:cs="Arial"/>
                <w:sz w:val="20"/>
                <w:szCs w:val="18"/>
              </w:rPr>
              <w:t>4,0</w:t>
            </w:r>
          </w:p>
        </w:tc>
      </w:tr>
      <w:tr w:rsidR="003F7F31" w:rsidRPr="00791240" w:rsidTr="003F7F31">
        <w:trPr>
          <w:trHeight w:val="236"/>
        </w:trPr>
        <w:tc>
          <w:tcPr>
            <w:tcW w:w="4855" w:type="dxa"/>
            <w:shd w:val="clear" w:color="auto" w:fill="auto"/>
          </w:tcPr>
          <w:p w:rsidR="003F7F31" w:rsidRPr="00791240" w:rsidRDefault="003F7F31" w:rsidP="00FB23DB">
            <w:pPr>
              <w:rPr>
                <w:rFonts w:cs="Arial"/>
                <w:sz w:val="20"/>
                <w:szCs w:val="18"/>
              </w:rPr>
            </w:pPr>
            <w:r w:rsidRPr="00791240">
              <w:rPr>
                <w:rFonts w:cs="Arial"/>
                <w:sz w:val="20"/>
                <w:szCs w:val="18"/>
              </w:rPr>
              <w:t>Růst bankovních vkladů klientských celkem (%)</w:t>
            </w:r>
          </w:p>
        </w:tc>
        <w:tc>
          <w:tcPr>
            <w:tcW w:w="1724" w:type="dxa"/>
            <w:shd w:val="clear" w:color="auto" w:fill="auto"/>
          </w:tcPr>
          <w:p w:rsidR="003F7F31" w:rsidRPr="00791240" w:rsidRDefault="003F7F31" w:rsidP="00FB23DB">
            <w:pPr>
              <w:rPr>
                <w:rFonts w:cs="Arial"/>
                <w:sz w:val="20"/>
                <w:szCs w:val="18"/>
              </w:rPr>
            </w:pPr>
            <w:r w:rsidRPr="00791240">
              <w:rPr>
                <w:rFonts w:cs="Arial"/>
                <w:sz w:val="20"/>
                <w:szCs w:val="18"/>
              </w:rPr>
              <w:t>10,7</w:t>
            </w:r>
          </w:p>
        </w:tc>
        <w:tc>
          <w:tcPr>
            <w:tcW w:w="1724" w:type="dxa"/>
            <w:shd w:val="clear" w:color="auto" w:fill="auto"/>
          </w:tcPr>
          <w:p w:rsidR="003F7F31" w:rsidRPr="00791240" w:rsidRDefault="003F7F31" w:rsidP="00FB23DB">
            <w:pPr>
              <w:rPr>
                <w:rFonts w:cs="Arial"/>
                <w:sz w:val="20"/>
                <w:szCs w:val="18"/>
              </w:rPr>
            </w:pPr>
            <w:r>
              <w:rPr>
                <w:rFonts w:cs="Arial"/>
                <w:sz w:val="20"/>
                <w:szCs w:val="18"/>
              </w:rPr>
              <w:t>6,0</w:t>
            </w:r>
          </w:p>
        </w:tc>
        <w:tc>
          <w:tcPr>
            <w:tcW w:w="1718" w:type="dxa"/>
            <w:shd w:val="clear" w:color="auto" w:fill="auto"/>
          </w:tcPr>
          <w:p w:rsidR="003F7F31" w:rsidRPr="00791240" w:rsidRDefault="003F7F31" w:rsidP="00FB23DB">
            <w:pPr>
              <w:rPr>
                <w:rFonts w:cs="Arial"/>
                <w:sz w:val="20"/>
                <w:szCs w:val="18"/>
              </w:rPr>
            </w:pPr>
            <w:r w:rsidRPr="00791240">
              <w:rPr>
                <w:rFonts w:cs="Arial"/>
                <w:sz w:val="20"/>
                <w:szCs w:val="18"/>
              </w:rPr>
              <w:t>5,</w:t>
            </w:r>
            <w:r>
              <w:rPr>
                <w:rFonts w:cs="Arial"/>
                <w:sz w:val="20"/>
                <w:szCs w:val="18"/>
              </w:rPr>
              <w:t>9</w:t>
            </w:r>
          </w:p>
        </w:tc>
      </w:tr>
    </w:tbl>
    <w:p w:rsidR="005C1943" w:rsidRPr="00517111" w:rsidRDefault="005C1943" w:rsidP="00517111">
      <w:pPr>
        <w:spacing w:before="100" w:beforeAutospacing="1" w:after="100" w:afterAutospacing="1" w:line="276" w:lineRule="auto"/>
        <w:rPr>
          <w:rFonts w:eastAsiaTheme="minorEastAsia" w:cs="Arial"/>
        </w:rPr>
      </w:pPr>
    </w:p>
    <w:sectPr w:rsidR="005C1943" w:rsidRPr="00517111" w:rsidSect="00FB4A1C">
      <w:headerReference w:type="default" r:id="rId8"/>
      <w:footerReference w:type="default" r:id="rId9"/>
      <w:pgSz w:w="11906" w:h="16838"/>
      <w:pgMar w:top="2835" w:right="851" w:bottom="85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7E2" w:rsidRDefault="00FD57E2" w:rsidP="00F573F1">
      <w:r>
        <w:separator/>
      </w:r>
    </w:p>
  </w:endnote>
  <w:endnote w:type="continuationSeparator" w:id="0">
    <w:p w:rsidR="00FD57E2" w:rsidRDefault="00FD57E2"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4"/>
      </w:rPr>
      <w:id w:val="-915778797"/>
      <w:docPartObj>
        <w:docPartGallery w:val="Page Numbers (Bottom of Page)"/>
        <w:docPartUnique/>
      </w:docPartObj>
    </w:sdtPr>
    <w:sdtEndPr/>
    <w:sdtContent>
      <w:p w:rsidR="00FB4A1C" w:rsidRPr="00FB4A1C" w:rsidRDefault="00FB4A1C">
        <w:pPr>
          <w:pStyle w:val="Zpat"/>
          <w:rPr>
            <w:color w:val="A6A6A6" w:themeColor="background1" w:themeShade="A6"/>
            <w:sz w:val="14"/>
          </w:rPr>
        </w:pPr>
        <w:r w:rsidRPr="00FB4A1C">
          <w:rPr>
            <w:color w:val="A6A6A6" w:themeColor="background1" w:themeShade="A6"/>
            <w:sz w:val="14"/>
          </w:rPr>
          <w:fldChar w:fldCharType="begin"/>
        </w:r>
        <w:r w:rsidRPr="00FB4A1C">
          <w:rPr>
            <w:color w:val="A6A6A6" w:themeColor="background1" w:themeShade="A6"/>
            <w:sz w:val="14"/>
          </w:rPr>
          <w:instrText>PAGE   \* MERGEFORMAT</w:instrText>
        </w:r>
        <w:r w:rsidRPr="00FB4A1C">
          <w:rPr>
            <w:color w:val="A6A6A6" w:themeColor="background1" w:themeShade="A6"/>
            <w:sz w:val="14"/>
          </w:rPr>
          <w:fldChar w:fldCharType="separate"/>
        </w:r>
        <w:r w:rsidRPr="00FB4A1C">
          <w:rPr>
            <w:color w:val="A6A6A6" w:themeColor="background1" w:themeShade="A6"/>
            <w:sz w:val="14"/>
          </w:rPr>
          <w:t>2</w:t>
        </w:r>
        <w:r w:rsidRPr="00FB4A1C">
          <w:rPr>
            <w:color w:val="A6A6A6" w:themeColor="background1" w:themeShade="A6"/>
            <w:sz w:val="14"/>
          </w:rPr>
          <w:fldChar w:fldCharType="end"/>
        </w:r>
      </w:p>
    </w:sdtContent>
  </w:sdt>
  <w:p w:rsidR="00FB4A1C" w:rsidRPr="00FB4A1C" w:rsidRDefault="00FB4A1C"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7E2" w:rsidRDefault="00FD57E2" w:rsidP="00F573F1">
      <w:r>
        <w:separator/>
      </w:r>
    </w:p>
  </w:footnote>
  <w:footnote w:type="continuationSeparator" w:id="0">
    <w:p w:rsidR="00FD57E2" w:rsidRDefault="00FD57E2"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3F1" w:rsidRDefault="00F573F1">
    <w:pPr>
      <w:pStyle w:val="Zhlav"/>
    </w:pPr>
    <w:r>
      <w:rPr>
        <w:noProof/>
      </w:rPr>
      <w:drawing>
        <wp:anchor distT="0" distB="0" distL="114300" distR="114300" simplePos="0" relativeHeight="251659264" behindDoc="1" locked="0" layoutInCell="1" allowOverlap="1" wp14:anchorId="4355F488" wp14:editId="5392DEA5">
          <wp:simplePos x="0" y="0"/>
          <wp:positionH relativeFrom="page">
            <wp:posOffset>112395</wp:posOffset>
          </wp:positionH>
          <wp:positionV relativeFrom="paragraph">
            <wp:posOffset>-413385</wp:posOffset>
          </wp:positionV>
          <wp:extent cx="3196206" cy="1612900"/>
          <wp:effectExtent l="0" t="0" r="4445" b="6350"/>
          <wp:wrapNone/>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14:sizeRelH relativeFrom="margin">
            <wp14:pctWidth>0</wp14:pctWidth>
          </wp14:sizeRelH>
          <wp14:sizeRelV relativeFrom="margin">
            <wp14:pctHeight>0</wp14:pctHeight>
          </wp14:sizeRelV>
        </wp:anchor>
      </w:drawing>
    </w:r>
  </w:p>
  <w:p w:rsidR="00F573F1" w:rsidRDefault="00F573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11443F"/>
    <w:rsid w:val="002F477C"/>
    <w:rsid w:val="00327407"/>
    <w:rsid w:val="00370F35"/>
    <w:rsid w:val="00391FA6"/>
    <w:rsid w:val="003952ED"/>
    <w:rsid w:val="003F7F31"/>
    <w:rsid w:val="00437589"/>
    <w:rsid w:val="004E1AC6"/>
    <w:rsid w:val="00517111"/>
    <w:rsid w:val="005A2501"/>
    <w:rsid w:val="005A44FF"/>
    <w:rsid w:val="005C1943"/>
    <w:rsid w:val="005E58E1"/>
    <w:rsid w:val="006B2F86"/>
    <w:rsid w:val="007B02A8"/>
    <w:rsid w:val="007C4C83"/>
    <w:rsid w:val="007D4025"/>
    <w:rsid w:val="00854190"/>
    <w:rsid w:val="008857AA"/>
    <w:rsid w:val="00944D10"/>
    <w:rsid w:val="00977317"/>
    <w:rsid w:val="00A8750A"/>
    <w:rsid w:val="00B95673"/>
    <w:rsid w:val="00C17244"/>
    <w:rsid w:val="00C74048"/>
    <w:rsid w:val="00E10053"/>
    <w:rsid w:val="00E3317B"/>
    <w:rsid w:val="00E3386F"/>
    <w:rsid w:val="00F573F1"/>
    <w:rsid w:val="00F6767A"/>
    <w:rsid w:val="00FB4A1C"/>
    <w:rsid w:val="00FD5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9A46CF"/>
  <w15:chartTrackingRefBased/>
  <w15:docId w15:val="{2593DE48-8079-4E48-8F14-09991C41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CE3C-B88E-428E-82C5-1D4F98C5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972</Words>
  <Characters>5741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vlachova</dc:creator>
  <cp:keywords/>
  <dc:description/>
  <cp:lastModifiedBy>Monika Petrásková</cp:lastModifiedBy>
  <cp:revision>5</cp:revision>
  <cp:lastPrinted>2018-10-29T17:29:00Z</cp:lastPrinted>
  <dcterms:created xsi:type="dcterms:W3CDTF">2018-10-26T12:21:00Z</dcterms:created>
  <dcterms:modified xsi:type="dcterms:W3CDTF">2018-10-30T08:21:00Z</dcterms:modified>
</cp:coreProperties>
</file>