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1B59" w14:textId="3E0492ED" w:rsidR="009139AF" w:rsidRPr="001A7E43" w:rsidRDefault="009139AF" w:rsidP="00635F63">
      <w:pPr>
        <w:rPr>
          <w:rFonts w:ascii="Calibri" w:hAnsi="Calibri" w:cs="Arial"/>
          <w:b/>
          <w:color w:val="13576B"/>
          <w:sz w:val="36"/>
          <w:szCs w:val="36"/>
        </w:rPr>
      </w:pPr>
      <w:r w:rsidRPr="001A7E43">
        <w:rPr>
          <w:rFonts w:ascii="Calibri" w:hAnsi="Calibri" w:cs="Arial"/>
          <w:b/>
          <w:color w:val="13576B"/>
          <w:sz w:val="36"/>
          <w:szCs w:val="36"/>
        </w:rPr>
        <w:t xml:space="preserve">MAKROEKONOMICKÁ PROGNÓZA </w:t>
      </w:r>
      <w:r w:rsidR="001A7E43" w:rsidRPr="001A7E43">
        <w:rPr>
          <w:rFonts w:ascii="Calibri" w:hAnsi="Calibri" w:cs="Arial"/>
          <w:b/>
          <w:color w:val="13576B"/>
          <w:sz w:val="36"/>
          <w:szCs w:val="36"/>
        </w:rPr>
        <w:t>ČESKÉ BANKOVNÍ ASOCIACE</w:t>
      </w:r>
      <w:r w:rsidR="00B64486" w:rsidRPr="001A7E43">
        <w:rPr>
          <w:rFonts w:ascii="Calibri" w:hAnsi="Calibri" w:cs="Arial"/>
          <w:b/>
          <w:color w:val="13576B"/>
          <w:sz w:val="36"/>
          <w:szCs w:val="36"/>
        </w:rPr>
        <w:t xml:space="preserve"> </w:t>
      </w:r>
    </w:p>
    <w:p w14:paraId="27792D8C" w14:textId="77777777" w:rsidR="008C3E6D" w:rsidRPr="002E18D7" w:rsidRDefault="008C3E6D" w:rsidP="00635F63">
      <w:pPr>
        <w:rPr>
          <w:rFonts w:ascii="Calibri" w:hAnsi="Calibri" w:cs="Arial"/>
          <w:b/>
          <w:color w:val="13576B"/>
          <w:sz w:val="28"/>
          <w:szCs w:val="28"/>
        </w:rPr>
      </w:pPr>
    </w:p>
    <w:p w14:paraId="07C7C74A" w14:textId="1C956553" w:rsidR="00B64486" w:rsidRPr="00F37DC9" w:rsidRDefault="009B4FEE" w:rsidP="00635F63">
      <w:pPr>
        <w:rPr>
          <w:rFonts w:ascii="Calibri" w:hAnsi="Calibri" w:cs="Arial"/>
          <w:b/>
          <w:color w:val="13576B"/>
          <w:sz w:val="32"/>
          <w:szCs w:val="32"/>
        </w:rPr>
      </w:pPr>
      <w:r>
        <w:rPr>
          <w:rFonts w:ascii="Calibri" w:hAnsi="Calibri" w:cs="Arial"/>
          <w:b/>
          <w:color w:val="13576B"/>
          <w:sz w:val="32"/>
          <w:szCs w:val="32"/>
        </w:rPr>
        <w:t>E</w:t>
      </w:r>
      <w:r w:rsidR="00B64486" w:rsidRPr="00F37DC9">
        <w:rPr>
          <w:rFonts w:ascii="Calibri" w:hAnsi="Calibri" w:cs="Arial"/>
          <w:b/>
          <w:color w:val="13576B"/>
          <w:sz w:val="32"/>
          <w:szCs w:val="32"/>
        </w:rPr>
        <w:t xml:space="preserve">konomové bank </w:t>
      </w:r>
      <w:r w:rsidR="002207A6" w:rsidRPr="00F37DC9">
        <w:rPr>
          <w:rFonts w:ascii="Calibri" w:hAnsi="Calibri" w:cs="Arial"/>
          <w:b/>
          <w:color w:val="13576B"/>
          <w:sz w:val="32"/>
          <w:szCs w:val="32"/>
        </w:rPr>
        <w:t xml:space="preserve">zlepšili odhad </w:t>
      </w:r>
      <w:r w:rsidR="00B64486" w:rsidRPr="00F37DC9">
        <w:rPr>
          <w:rFonts w:ascii="Calibri" w:hAnsi="Calibri" w:cs="Arial"/>
          <w:b/>
          <w:color w:val="13576B"/>
          <w:sz w:val="32"/>
          <w:szCs w:val="32"/>
        </w:rPr>
        <w:t xml:space="preserve">vývoje HDP </w:t>
      </w:r>
      <w:r w:rsidR="00AB4419" w:rsidRPr="00F37DC9">
        <w:rPr>
          <w:rFonts w:ascii="Calibri" w:hAnsi="Calibri" w:cs="Arial"/>
          <w:b/>
          <w:color w:val="13576B"/>
          <w:sz w:val="32"/>
          <w:szCs w:val="32"/>
        </w:rPr>
        <w:t>na letošní rok</w:t>
      </w:r>
      <w:r w:rsidR="001A7E43">
        <w:rPr>
          <w:rFonts w:ascii="Calibri" w:hAnsi="Calibri" w:cs="Arial"/>
          <w:b/>
          <w:color w:val="13576B"/>
          <w:sz w:val="32"/>
          <w:szCs w:val="32"/>
        </w:rPr>
        <w:t>.</w:t>
      </w:r>
      <w:r w:rsidR="00B64486" w:rsidRPr="00F37DC9">
        <w:rPr>
          <w:rFonts w:ascii="Calibri" w:hAnsi="Calibri" w:cs="Arial"/>
          <w:b/>
          <w:color w:val="13576B"/>
          <w:sz w:val="32"/>
          <w:szCs w:val="32"/>
        </w:rPr>
        <w:t xml:space="preserve"> </w:t>
      </w:r>
      <w:r w:rsidR="001A7E43" w:rsidRPr="00F37DC9">
        <w:rPr>
          <w:rFonts w:ascii="Calibri" w:hAnsi="Calibri" w:cs="Arial"/>
          <w:b/>
          <w:color w:val="13576B"/>
          <w:sz w:val="32"/>
          <w:szCs w:val="32"/>
        </w:rPr>
        <w:t>Česká ekonomika letos poroste o 3,3 %, příští rok o 4,3 %</w:t>
      </w:r>
    </w:p>
    <w:p w14:paraId="47BA50B7" w14:textId="430BCCBF" w:rsidR="008B1328" w:rsidRPr="00F37DC9" w:rsidRDefault="009139AF" w:rsidP="00983579">
      <w:pPr>
        <w:pStyle w:val="Normlnweb"/>
        <w:jc w:val="both"/>
        <w:rPr>
          <w:rFonts w:ascii="Calibri" w:hAnsi="Calibri" w:cs="Calibri"/>
          <w:color w:val="13576B"/>
          <w:sz w:val="20"/>
        </w:rPr>
      </w:pPr>
      <w:r w:rsidRPr="00F37DC9">
        <w:rPr>
          <w:rFonts w:ascii="Calibri" w:hAnsi="Calibri" w:cs="Calibri"/>
          <w:b/>
          <w:color w:val="13576B"/>
          <w:sz w:val="20"/>
        </w:rPr>
        <w:t xml:space="preserve">Praha, </w:t>
      </w:r>
      <w:r w:rsidR="00F860E1" w:rsidRPr="00F37DC9">
        <w:rPr>
          <w:rFonts w:ascii="Calibri" w:hAnsi="Calibri" w:cs="Calibri"/>
          <w:b/>
          <w:color w:val="13576B"/>
          <w:sz w:val="20"/>
        </w:rPr>
        <w:t>1</w:t>
      </w:r>
      <w:r w:rsidR="000162B2" w:rsidRPr="00F37DC9">
        <w:rPr>
          <w:rFonts w:ascii="Calibri" w:hAnsi="Calibri" w:cs="Calibri"/>
          <w:b/>
          <w:color w:val="13576B"/>
          <w:sz w:val="20"/>
        </w:rPr>
        <w:t>3</w:t>
      </w:r>
      <w:r w:rsidRPr="00F37DC9">
        <w:rPr>
          <w:rFonts w:ascii="Calibri" w:hAnsi="Calibri" w:cs="Calibri"/>
          <w:b/>
          <w:color w:val="13576B"/>
          <w:sz w:val="20"/>
        </w:rPr>
        <w:t xml:space="preserve">. </w:t>
      </w:r>
      <w:r w:rsidR="000162B2" w:rsidRPr="00F37DC9">
        <w:rPr>
          <w:rFonts w:ascii="Calibri" w:hAnsi="Calibri" w:cs="Calibri"/>
          <w:b/>
          <w:color w:val="13576B"/>
          <w:sz w:val="20"/>
        </w:rPr>
        <w:t>května</w:t>
      </w:r>
      <w:r w:rsidRPr="00F37DC9">
        <w:rPr>
          <w:rFonts w:ascii="Calibri" w:hAnsi="Calibri" w:cs="Calibri"/>
          <w:b/>
          <w:color w:val="13576B"/>
          <w:sz w:val="20"/>
        </w:rPr>
        <w:t xml:space="preserve"> 20</w:t>
      </w:r>
      <w:r w:rsidR="007F6300" w:rsidRPr="00F37DC9">
        <w:rPr>
          <w:rFonts w:ascii="Calibri" w:hAnsi="Calibri" w:cs="Calibri"/>
          <w:b/>
          <w:color w:val="13576B"/>
          <w:sz w:val="20"/>
        </w:rPr>
        <w:t>2</w:t>
      </w:r>
      <w:r w:rsidR="00F860E1" w:rsidRPr="00F37DC9">
        <w:rPr>
          <w:rFonts w:ascii="Calibri" w:hAnsi="Calibri" w:cs="Calibri"/>
          <w:b/>
          <w:color w:val="13576B"/>
          <w:sz w:val="20"/>
        </w:rPr>
        <w:t>1</w:t>
      </w:r>
      <w:r w:rsidRPr="00F37DC9">
        <w:rPr>
          <w:rFonts w:ascii="Calibri" w:hAnsi="Calibri" w:cs="Calibri"/>
          <w:b/>
          <w:color w:val="13576B"/>
          <w:sz w:val="20"/>
        </w:rPr>
        <w:t xml:space="preserve"> </w:t>
      </w:r>
      <w:r w:rsidR="001A7E43">
        <w:rPr>
          <w:rFonts w:ascii="Calibri" w:hAnsi="Calibri" w:cs="Calibri"/>
          <w:b/>
          <w:color w:val="13576B"/>
          <w:sz w:val="20"/>
        </w:rPr>
        <w:t>–</w:t>
      </w:r>
      <w:r w:rsidR="000766D5" w:rsidRPr="00F37DC9">
        <w:rPr>
          <w:rFonts w:ascii="Calibri" w:hAnsi="Calibri" w:cs="Calibri"/>
          <w:b/>
          <w:color w:val="13576B"/>
          <w:sz w:val="20"/>
        </w:rPr>
        <w:t xml:space="preserve"> </w:t>
      </w:r>
      <w:r w:rsidR="003727EB" w:rsidRPr="00F37DC9">
        <w:rPr>
          <w:rFonts w:ascii="Calibri" w:hAnsi="Calibri" w:cs="Calibri"/>
          <w:b/>
          <w:color w:val="13576B"/>
          <w:sz w:val="20"/>
        </w:rPr>
        <w:t>Hlavní ekonomové bank zastoupení v prognostickém panelu České bankovní asociace (ČBA)</w:t>
      </w:r>
      <w:r w:rsidR="007E33A6" w:rsidRPr="00F37DC9">
        <w:rPr>
          <w:rFonts w:ascii="Calibri" w:hAnsi="Calibri" w:cs="Calibri"/>
          <w:b/>
          <w:color w:val="13576B"/>
          <w:sz w:val="20"/>
        </w:rPr>
        <w:t xml:space="preserve"> </w:t>
      </w:r>
      <w:r w:rsidR="00AB4419" w:rsidRPr="00F37DC9">
        <w:rPr>
          <w:rFonts w:ascii="Calibri" w:hAnsi="Calibri" w:cs="Calibri"/>
          <w:b/>
          <w:color w:val="13576B"/>
          <w:sz w:val="20"/>
        </w:rPr>
        <w:t xml:space="preserve">vzhledem ke slibným signálům přicházejícího oživení </w:t>
      </w:r>
      <w:r w:rsidR="00421049" w:rsidRPr="00F37DC9">
        <w:rPr>
          <w:rFonts w:ascii="Calibri" w:hAnsi="Calibri" w:cs="Calibri"/>
          <w:b/>
          <w:color w:val="13576B"/>
          <w:sz w:val="20"/>
        </w:rPr>
        <w:t xml:space="preserve">zvýšili </w:t>
      </w:r>
      <w:r w:rsidR="00EC720E" w:rsidRPr="00F37DC9">
        <w:rPr>
          <w:rFonts w:ascii="Calibri" w:hAnsi="Calibri" w:cs="Calibri"/>
          <w:b/>
          <w:color w:val="13576B"/>
          <w:sz w:val="20"/>
        </w:rPr>
        <w:t xml:space="preserve">oproti únorové prognóze </w:t>
      </w:r>
      <w:r w:rsidR="00421049" w:rsidRPr="00F37DC9">
        <w:rPr>
          <w:rFonts w:ascii="Calibri" w:hAnsi="Calibri" w:cs="Calibri"/>
          <w:b/>
          <w:color w:val="13576B"/>
          <w:sz w:val="20"/>
        </w:rPr>
        <w:t>odhad</w:t>
      </w:r>
      <w:r w:rsidR="007E33A6" w:rsidRPr="00F37DC9">
        <w:rPr>
          <w:rFonts w:ascii="Calibri" w:hAnsi="Calibri" w:cs="Calibri"/>
          <w:b/>
          <w:color w:val="13576B"/>
          <w:sz w:val="20"/>
        </w:rPr>
        <w:t xml:space="preserve"> růstu HDP na letošek </w:t>
      </w:r>
      <w:r w:rsidR="00AB4419" w:rsidRPr="00F37DC9">
        <w:rPr>
          <w:rFonts w:ascii="Calibri" w:hAnsi="Calibri" w:cs="Calibri"/>
          <w:b/>
          <w:color w:val="13576B"/>
          <w:sz w:val="20"/>
        </w:rPr>
        <w:t>o sedm desetin pro</w:t>
      </w:r>
      <w:r w:rsidR="00421049" w:rsidRPr="00F37DC9">
        <w:rPr>
          <w:rFonts w:ascii="Calibri" w:hAnsi="Calibri" w:cs="Calibri"/>
          <w:b/>
          <w:color w:val="13576B"/>
          <w:sz w:val="20"/>
        </w:rPr>
        <w:t xml:space="preserve">centního bodu </w:t>
      </w:r>
      <w:r w:rsidR="005F4524" w:rsidRPr="00F37DC9">
        <w:rPr>
          <w:rFonts w:ascii="Calibri" w:hAnsi="Calibri" w:cs="Calibri"/>
          <w:b/>
          <w:color w:val="13576B"/>
          <w:sz w:val="20"/>
        </w:rPr>
        <w:t xml:space="preserve">na </w:t>
      </w:r>
      <w:r w:rsidR="00421049" w:rsidRPr="00F37DC9">
        <w:rPr>
          <w:rFonts w:ascii="Calibri" w:hAnsi="Calibri" w:cs="Calibri"/>
          <w:b/>
          <w:color w:val="13576B"/>
          <w:sz w:val="20"/>
        </w:rPr>
        <w:t>3,3</w:t>
      </w:r>
      <w:r w:rsidR="005C3C3C" w:rsidRPr="00F37DC9">
        <w:rPr>
          <w:rFonts w:ascii="Calibri" w:hAnsi="Calibri" w:cs="Calibri"/>
          <w:b/>
          <w:color w:val="13576B"/>
          <w:sz w:val="20"/>
        </w:rPr>
        <w:t xml:space="preserve"> </w:t>
      </w:r>
      <w:r w:rsidR="005F4524" w:rsidRPr="00F37DC9">
        <w:rPr>
          <w:rFonts w:ascii="Calibri" w:hAnsi="Calibri" w:cs="Calibri"/>
          <w:b/>
          <w:color w:val="13576B"/>
          <w:sz w:val="20"/>
        </w:rPr>
        <w:t>%</w:t>
      </w:r>
      <w:r w:rsidR="007E33A6" w:rsidRPr="00F37DC9">
        <w:rPr>
          <w:rFonts w:ascii="Calibri" w:hAnsi="Calibri" w:cs="Calibri"/>
          <w:b/>
          <w:color w:val="13576B"/>
          <w:sz w:val="20"/>
        </w:rPr>
        <w:t xml:space="preserve">, </w:t>
      </w:r>
      <w:r w:rsidR="00421049" w:rsidRPr="00F37DC9">
        <w:rPr>
          <w:rFonts w:ascii="Calibri" w:hAnsi="Calibri" w:cs="Calibri"/>
          <w:b/>
          <w:color w:val="13576B"/>
          <w:sz w:val="20"/>
        </w:rPr>
        <w:t xml:space="preserve">odhad </w:t>
      </w:r>
      <w:r w:rsidR="009F1744" w:rsidRPr="00F37DC9">
        <w:rPr>
          <w:rFonts w:ascii="Calibri" w:hAnsi="Calibri" w:cs="Calibri"/>
          <w:b/>
          <w:color w:val="13576B"/>
          <w:sz w:val="20"/>
        </w:rPr>
        <w:t xml:space="preserve">pro rok 2022 </w:t>
      </w:r>
      <w:r w:rsidR="00421049" w:rsidRPr="00F37DC9">
        <w:rPr>
          <w:rFonts w:ascii="Calibri" w:hAnsi="Calibri" w:cs="Calibri"/>
          <w:b/>
          <w:color w:val="13576B"/>
          <w:sz w:val="20"/>
        </w:rPr>
        <w:t xml:space="preserve">naopak mírně upravili směrem dolů </w:t>
      </w:r>
      <w:r w:rsidR="005F4524" w:rsidRPr="00F37DC9">
        <w:rPr>
          <w:rFonts w:ascii="Calibri" w:hAnsi="Calibri" w:cs="Calibri"/>
          <w:b/>
          <w:color w:val="13576B"/>
          <w:sz w:val="20"/>
        </w:rPr>
        <w:t>na 4,</w:t>
      </w:r>
      <w:r w:rsidR="00421049" w:rsidRPr="00F37DC9">
        <w:rPr>
          <w:rFonts w:ascii="Calibri" w:hAnsi="Calibri" w:cs="Calibri"/>
          <w:b/>
          <w:color w:val="13576B"/>
          <w:sz w:val="20"/>
        </w:rPr>
        <w:t>3</w:t>
      </w:r>
      <w:r w:rsidR="005F4524" w:rsidRPr="00F37DC9">
        <w:rPr>
          <w:rFonts w:ascii="Calibri" w:hAnsi="Calibri" w:cs="Calibri"/>
          <w:b/>
          <w:color w:val="13576B"/>
          <w:sz w:val="20"/>
        </w:rPr>
        <w:t xml:space="preserve"> %</w:t>
      </w:r>
      <w:r w:rsidR="00421049" w:rsidRPr="00F37DC9">
        <w:rPr>
          <w:rFonts w:ascii="Calibri" w:hAnsi="Calibri" w:cs="Calibri"/>
          <w:b/>
          <w:color w:val="13576B"/>
          <w:sz w:val="20"/>
        </w:rPr>
        <w:t xml:space="preserve">. </w:t>
      </w:r>
      <w:r w:rsidR="00D7765B" w:rsidRPr="00F37DC9">
        <w:rPr>
          <w:rFonts w:ascii="Calibri" w:hAnsi="Calibri" w:cs="Calibri"/>
          <w:b/>
          <w:color w:val="13576B"/>
          <w:sz w:val="20"/>
        </w:rPr>
        <w:t>Většina rizik</w:t>
      </w:r>
      <w:r w:rsidR="00421049" w:rsidRPr="00F37DC9">
        <w:rPr>
          <w:rFonts w:ascii="Calibri" w:hAnsi="Calibri" w:cs="Calibri"/>
          <w:b/>
          <w:color w:val="13576B"/>
          <w:sz w:val="20"/>
        </w:rPr>
        <w:t xml:space="preserve"> i nadále souvisí </w:t>
      </w:r>
      <w:r w:rsidR="007E33A6" w:rsidRPr="00F37DC9">
        <w:rPr>
          <w:rFonts w:ascii="Calibri" w:hAnsi="Calibri" w:cs="Calibri"/>
          <w:b/>
          <w:color w:val="13576B"/>
          <w:sz w:val="20"/>
        </w:rPr>
        <w:t>s</w:t>
      </w:r>
      <w:r w:rsidR="00D7765B" w:rsidRPr="00F37DC9">
        <w:rPr>
          <w:rFonts w:ascii="Calibri" w:hAnsi="Calibri" w:cs="Calibri"/>
          <w:b/>
          <w:color w:val="13576B"/>
          <w:sz w:val="20"/>
        </w:rPr>
        <w:t xml:space="preserve"> nejistotou ohledně </w:t>
      </w:r>
      <w:r w:rsidR="007E33A6" w:rsidRPr="00F37DC9">
        <w:rPr>
          <w:rFonts w:ascii="Calibri" w:hAnsi="Calibri" w:cs="Calibri"/>
          <w:b/>
          <w:color w:val="13576B"/>
          <w:sz w:val="20"/>
        </w:rPr>
        <w:t>další</w:t>
      </w:r>
      <w:r w:rsidR="00D7765B" w:rsidRPr="00F37DC9">
        <w:rPr>
          <w:rFonts w:ascii="Calibri" w:hAnsi="Calibri" w:cs="Calibri"/>
          <w:b/>
          <w:color w:val="13576B"/>
          <w:sz w:val="20"/>
        </w:rPr>
        <w:t>ho vývoje</w:t>
      </w:r>
      <w:r w:rsidR="007E33A6" w:rsidRPr="00F37DC9">
        <w:rPr>
          <w:rFonts w:ascii="Calibri" w:hAnsi="Calibri" w:cs="Calibri"/>
          <w:b/>
          <w:color w:val="13576B"/>
          <w:sz w:val="20"/>
        </w:rPr>
        <w:t xml:space="preserve"> </w:t>
      </w:r>
      <w:r w:rsidR="00D7765B" w:rsidRPr="00F37DC9">
        <w:rPr>
          <w:rFonts w:ascii="Calibri" w:hAnsi="Calibri" w:cs="Calibri"/>
          <w:b/>
          <w:color w:val="13576B"/>
          <w:sz w:val="20"/>
        </w:rPr>
        <w:t>Covid-19</w:t>
      </w:r>
      <w:r w:rsidR="007E33A6" w:rsidRPr="00F37DC9">
        <w:rPr>
          <w:rFonts w:ascii="Calibri" w:hAnsi="Calibri" w:cs="Calibri"/>
          <w:b/>
          <w:color w:val="13576B"/>
          <w:sz w:val="20"/>
        </w:rPr>
        <w:t xml:space="preserve"> a jeho hospodářskými dopady</w:t>
      </w:r>
      <w:r w:rsidR="00983579" w:rsidRPr="00F37DC9">
        <w:rPr>
          <w:rFonts w:ascii="Calibri" w:hAnsi="Calibri" w:cs="Calibri"/>
          <w:b/>
          <w:color w:val="13576B"/>
          <w:sz w:val="20"/>
        </w:rPr>
        <w:t>, ke kterým patří i závažný nedostatek některých subdodávek ze zámoří. Ve srovnání s dosud publikovanými odhady se i přes tyto nejistoty prognóza ČBA řadí mezi ty optimističtější.</w:t>
      </w:r>
    </w:p>
    <w:p w14:paraId="15858FAE" w14:textId="4AAF83C4" w:rsidR="00E82C0C" w:rsidRPr="00F37DC9" w:rsidRDefault="00F37DC9" w:rsidP="00B4285D">
      <w:pPr>
        <w:rPr>
          <w:rFonts w:ascii="Calibri" w:hAnsi="Calibri" w:cs="Calibri"/>
          <w:sz w:val="20"/>
        </w:rPr>
      </w:pPr>
      <w:r w:rsidRPr="00C15C17">
        <w:rPr>
          <w:noProof/>
          <w:sz w:val="20"/>
        </w:rPr>
        <mc:AlternateContent>
          <mc:Choice Requires="wps">
            <w:drawing>
              <wp:anchor distT="45720" distB="45720" distL="114300" distR="114300" simplePos="0" relativeHeight="251664384" behindDoc="0" locked="0" layoutInCell="1" allowOverlap="1" wp14:anchorId="4A31A896" wp14:editId="136110E2">
                <wp:simplePos x="0" y="0"/>
                <wp:positionH relativeFrom="column">
                  <wp:posOffset>5080</wp:posOffset>
                </wp:positionH>
                <wp:positionV relativeFrom="paragraph">
                  <wp:posOffset>1074420</wp:posOffset>
                </wp:positionV>
                <wp:extent cx="6461760" cy="1085850"/>
                <wp:effectExtent l="0" t="0" r="15240" b="1905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085850"/>
                        </a:xfrm>
                        <a:prstGeom prst="rect">
                          <a:avLst/>
                        </a:prstGeom>
                        <a:solidFill>
                          <a:srgbClr val="FFFFFF"/>
                        </a:solidFill>
                        <a:ln w="9525">
                          <a:solidFill>
                            <a:srgbClr val="000000"/>
                          </a:solidFill>
                          <a:miter lim="800000"/>
                          <a:headEnd/>
                          <a:tailEnd/>
                        </a:ln>
                      </wps:spPr>
                      <wps:txbx>
                        <w:txbxContent>
                          <w:p w14:paraId="3BA64372" w14:textId="77777777" w:rsidR="00F37DC9" w:rsidRPr="00F37DC9" w:rsidRDefault="00F37DC9" w:rsidP="00F37DC9">
                            <w:pPr>
                              <w:rPr>
                                <w:rFonts w:ascii="Calibri" w:hAnsi="Calibri" w:cs="Calibri"/>
                                <w:sz w:val="20"/>
                              </w:rPr>
                            </w:pPr>
                            <w:r w:rsidRPr="00F37DC9">
                              <w:rPr>
                                <w:rFonts w:ascii="Calibri" w:hAnsi="Calibri" w:cs="Calibri"/>
                                <w:b/>
                                <w:bCs/>
                                <w:sz w:val="20"/>
                              </w:rPr>
                              <w:t>Miroslav Zámečník</w:t>
                            </w:r>
                            <w:r w:rsidRPr="00F37DC9">
                              <w:rPr>
                                <w:rFonts w:ascii="Calibri" w:hAnsi="Calibri" w:cs="Calibri"/>
                                <w:sz w:val="20"/>
                              </w:rPr>
                              <w:t>, ekonomický analytik České bankovní asociace:</w:t>
                            </w:r>
                          </w:p>
                          <w:p w14:paraId="74763C82" w14:textId="604E4739" w:rsidR="00F37DC9" w:rsidRPr="00F37DC9" w:rsidRDefault="00F37DC9" w:rsidP="00F37DC9">
                            <w:pPr>
                              <w:rPr>
                                <w:rFonts w:ascii="Calibri" w:hAnsi="Calibri" w:cs="Calibri"/>
                                <w:i/>
                                <w:iCs/>
                              </w:rPr>
                            </w:pPr>
                            <w:r w:rsidRPr="00F37DC9">
                              <w:rPr>
                                <w:rFonts w:ascii="Calibri" w:hAnsi="Calibri" w:cs="Calibri"/>
                                <w:i/>
                                <w:iCs/>
                                <w:sz w:val="20"/>
                              </w:rPr>
                              <w:t>„</w:t>
                            </w:r>
                            <w:r w:rsidR="00267813">
                              <w:rPr>
                                <w:rFonts w:ascii="Calibri" w:hAnsi="Calibri" w:cs="Calibri"/>
                                <w:i/>
                                <w:iCs/>
                                <w:sz w:val="20"/>
                              </w:rPr>
                              <w:t>Česká ekonomika je vysoce závislá na zpracovatelském průmyslu, který je hluboce integrován do mezinárodních dodavatelských řetězců.</w:t>
                            </w:r>
                            <w:r w:rsidR="00310D0B">
                              <w:rPr>
                                <w:rFonts w:ascii="Calibri" w:hAnsi="Calibri" w:cs="Calibri"/>
                                <w:i/>
                                <w:iCs/>
                                <w:sz w:val="20"/>
                              </w:rPr>
                              <w:t xml:space="preserve"> V tuto chvíli se jasně ukazuje, že jejím úzkým hrdlem proto není ani tolik </w:t>
                            </w:r>
                            <w:r w:rsidRPr="00F37DC9">
                              <w:rPr>
                                <w:rFonts w:ascii="Calibri" w:hAnsi="Calibri" w:cs="Calibri"/>
                                <w:i/>
                                <w:iCs/>
                                <w:sz w:val="20"/>
                              </w:rPr>
                              <w:t>zahraniční poptávka, jako</w:t>
                            </w:r>
                            <w:r w:rsidR="00310D0B">
                              <w:rPr>
                                <w:rFonts w:ascii="Calibri" w:hAnsi="Calibri" w:cs="Calibri"/>
                                <w:i/>
                                <w:iCs/>
                                <w:sz w:val="20"/>
                              </w:rPr>
                              <w:t>žto</w:t>
                            </w:r>
                            <w:r w:rsidR="00267813">
                              <w:rPr>
                                <w:rFonts w:ascii="Calibri" w:hAnsi="Calibri" w:cs="Calibri"/>
                                <w:i/>
                                <w:iCs/>
                                <w:sz w:val="20"/>
                              </w:rPr>
                              <w:t xml:space="preserve"> </w:t>
                            </w:r>
                            <w:r w:rsidRPr="00F37DC9">
                              <w:rPr>
                                <w:rFonts w:ascii="Calibri" w:hAnsi="Calibri" w:cs="Calibri"/>
                                <w:i/>
                                <w:iCs/>
                                <w:sz w:val="20"/>
                              </w:rPr>
                              <w:t>poruchy v dodávkách dovážených materiálů a komponentů, například počítačových čipů pro zdejší automobilky. Z hlediska národních účtů se to promítne do růstu zásob (viz letiště v Hradci Králové s řadami nedokončených vozů) a naopak nižšího čistého vývozu</w:t>
                            </w:r>
                            <w:r w:rsidR="00310D0B">
                              <w:rPr>
                                <w:rFonts w:ascii="Calibri" w:hAnsi="Calibri" w:cs="Calibri"/>
                                <w:i/>
                                <w:iCs/>
                                <w:sz w:val="20"/>
                              </w:rPr>
                              <w:t>. Z</w:t>
                            </w:r>
                            <w:r w:rsidRPr="00F37DC9">
                              <w:rPr>
                                <w:rFonts w:ascii="Calibri" w:hAnsi="Calibri" w:cs="Calibri"/>
                                <w:i/>
                                <w:iCs/>
                                <w:sz w:val="20"/>
                              </w:rPr>
                              <w:t> hlediska logistiky a řízení výroby je to každopádně zásah velmi nepříjemný.“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1A896" id="_x0000_t202" coordsize="21600,21600" o:spt="202" path="m,l,21600r21600,l21600,xe">
                <v:stroke joinstyle="miter"/>
                <v:path gradientshapeok="t" o:connecttype="rect"/>
              </v:shapetype>
              <v:shape id="Textové pole 2" o:spid="_x0000_s1026" type="#_x0000_t202" style="position:absolute;left:0;text-align:left;margin-left:.4pt;margin-top:84.6pt;width:508.8pt;height: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">
                <v:textbox>
                  <w:txbxContent>
                    <w:p w14:paraId="3BA64372" w14:textId="77777777" w:rsidR="00F37DC9" w:rsidRPr="00F37DC9" w:rsidRDefault="00F37DC9" w:rsidP="00F37DC9">
                      <w:pPr>
                        <w:rPr>
                          <w:rFonts w:ascii="Calibri" w:hAnsi="Calibri" w:cs="Calibri"/>
                          <w:sz w:val="20"/>
                        </w:rPr>
                      </w:pPr>
                      <w:r w:rsidRPr="00F37DC9">
                        <w:rPr>
                          <w:rFonts w:ascii="Calibri" w:hAnsi="Calibri" w:cs="Calibri"/>
                          <w:b/>
                          <w:bCs/>
                          <w:sz w:val="20"/>
                        </w:rPr>
                        <w:t>Miroslav Zámečník</w:t>
                      </w:r>
                      <w:r w:rsidRPr="00F37DC9">
                        <w:rPr>
                          <w:rFonts w:ascii="Calibri" w:hAnsi="Calibri" w:cs="Calibri"/>
                          <w:sz w:val="20"/>
                        </w:rPr>
                        <w:t>, ekonomický analytik České bankovní asociace:</w:t>
                      </w:r>
                    </w:p>
                    <w:p w14:paraId="74763C82" w14:textId="604E4739" w:rsidR="00F37DC9" w:rsidRPr="00F37DC9" w:rsidRDefault="00F37DC9" w:rsidP="00F37DC9">
                      <w:pPr>
                        <w:rPr>
                          <w:rFonts w:ascii="Calibri" w:hAnsi="Calibri" w:cs="Calibri"/>
                          <w:i/>
                          <w:iCs/>
                        </w:rPr>
                      </w:pPr>
                      <w:r w:rsidRPr="00F37DC9">
                        <w:rPr>
                          <w:rFonts w:ascii="Calibri" w:hAnsi="Calibri" w:cs="Calibri"/>
                          <w:i/>
                          <w:iCs/>
                          <w:sz w:val="20"/>
                        </w:rPr>
                        <w:t>„</w:t>
                      </w:r>
                      <w:r w:rsidR="00267813">
                        <w:rPr>
                          <w:rFonts w:ascii="Calibri" w:hAnsi="Calibri" w:cs="Calibri"/>
                          <w:i/>
                          <w:iCs/>
                          <w:sz w:val="20"/>
                        </w:rPr>
                        <w:t>Česká ekonomika je vysoce závislá na zpracovatelském průmyslu, který je hluboce integrován do mezinárodních dodavatelských řetězců.</w:t>
                      </w:r>
                      <w:r w:rsidR="00310D0B">
                        <w:rPr>
                          <w:rFonts w:ascii="Calibri" w:hAnsi="Calibri" w:cs="Calibri"/>
                          <w:i/>
                          <w:iCs/>
                          <w:sz w:val="20"/>
                        </w:rPr>
                        <w:t xml:space="preserve"> V tuto chvíli se jasně ukazuje, že jejím úzkým hrdlem proto není ani tolik </w:t>
                      </w:r>
                      <w:r w:rsidRPr="00F37DC9">
                        <w:rPr>
                          <w:rFonts w:ascii="Calibri" w:hAnsi="Calibri" w:cs="Calibri"/>
                          <w:i/>
                          <w:iCs/>
                          <w:sz w:val="20"/>
                        </w:rPr>
                        <w:t>zahraniční poptávka, jako</w:t>
                      </w:r>
                      <w:r w:rsidR="00310D0B">
                        <w:rPr>
                          <w:rFonts w:ascii="Calibri" w:hAnsi="Calibri" w:cs="Calibri"/>
                          <w:i/>
                          <w:iCs/>
                          <w:sz w:val="20"/>
                        </w:rPr>
                        <w:t>žto</w:t>
                      </w:r>
                      <w:r w:rsidR="00267813">
                        <w:rPr>
                          <w:rFonts w:ascii="Calibri" w:hAnsi="Calibri" w:cs="Calibri"/>
                          <w:i/>
                          <w:iCs/>
                          <w:sz w:val="20"/>
                        </w:rPr>
                        <w:t xml:space="preserve"> </w:t>
                      </w:r>
                      <w:r w:rsidRPr="00F37DC9">
                        <w:rPr>
                          <w:rFonts w:ascii="Calibri" w:hAnsi="Calibri" w:cs="Calibri"/>
                          <w:i/>
                          <w:iCs/>
                          <w:sz w:val="20"/>
                        </w:rPr>
                        <w:t>poruchy v dodávkách dovážených materiálů a komponentů, například počítačových čipů pro zdejší automobilky. Z hlediska národních účtů se to promítne do růstu zásob (viz letiště v Hradci Králové s řadami nedokončených vozů) a naopak nižšího čistého vývozu</w:t>
                      </w:r>
                      <w:r w:rsidR="00310D0B">
                        <w:rPr>
                          <w:rFonts w:ascii="Calibri" w:hAnsi="Calibri" w:cs="Calibri"/>
                          <w:i/>
                          <w:iCs/>
                          <w:sz w:val="20"/>
                        </w:rPr>
                        <w:t>. Z</w:t>
                      </w:r>
                      <w:r w:rsidRPr="00F37DC9">
                        <w:rPr>
                          <w:rFonts w:ascii="Calibri" w:hAnsi="Calibri" w:cs="Calibri"/>
                          <w:i/>
                          <w:iCs/>
                          <w:sz w:val="20"/>
                        </w:rPr>
                        <w:t> hlediska logistiky a řízení výroby je to každopádně zásah velmi nepříjemný.“</w:t>
                      </w:r>
                    </w:p>
                  </w:txbxContent>
                </v:textbox>
                <w10:wrap type="square"/>
              </v:shape>
            </w:pict>
          </mc:Fallback>
        </mc:AlternateContent>
      </w:r>
      <w:r w:rsidR="00E82C0C" w:rsidRPr="00F37DC9">
        <w:rPr>
          <w:rFonts w:ascii="Calibri" w:hAnsi="Calibri" w:cs="Calibri"/>
          <w:sz w:val="20"/>
        </w:rPr>
        <w:t>Prohlubování pandemie Covid-19 v posledním čtvrtletí roku 2020 a prvním čtvrtletí roku 2021, kdy se ČR v mezinárodním srovnání profilovala jako země zvládající pandemi</w:t>
      </w:r>
      <w:r w:rsidR="00FE03F5">
        <w:rPr>
          <w:rFonts w:ascii="Calibri" w:hAnsi="Calibri" w:cs="Calibri"/>
          <w:sz w:val="20"/>
        </w:rPr>
        <w:t>i</w:t>
      </w:r>
      <w:r w:rsidR="00E82C0C" w:rsidRPr="00F37DC9">
        <w:rPr>
          <w:rFonts w:ascii="Calibri" w:hAnsi="Calibri" w:cs="Calibri"/>
          <w:sz w:val="20"/>
        </w:rPr>
        <w:t xml:space="preserve"> nejhůře, vyvolávalo poměrně pesimistická očekávání. T</w:t>
      </w:r>
      <w:r w:rsidR="005864AD">
        <w:rPr>
          <w:rFonts w:ascii="Calibri" w:hAnsi="Calibri" w:cs="Calibri"/>
          <w:sz w:val="20"/>
        </w:rPr>
        <w:t>a</w:t>
      </w:r>
      <w:r w:rsidR="00E82C0C" w:rsidRPr="00F37DC9">
        <w:rPr>
          <w:rFonts w:ascii="Calibri" w:hAnsi="Calibri" w:cs="Calibri"/>
          <w:sz w:val="20"/>
        </w:rPr>
        <w:t xml:space="preserve"> rozptýlilo až zveřejnění prvního odhadu HDP z dílny Č</w:t>
      </w:r>
      <w:r w:rsidR="00FE03F5">
        <w:rPr>
          <w:rFonts w:ascii="Calibri" w:hAnsi="Calibri" w:cs="Calibri"/>
          <w:sz w:val="20"/>
        </w:rPr>
        <w:t>eského statistického úřadu</w:t>
      </w:r>
      <w:r w:rsidR="00E82C0C" w:rsidRPr="00F37DC9">
        <w:rPr>
          <w:rFonts w:ascii="Calibri" w:hAnsi="Calibri" w:cs="Calibri"/>
          <w:sz w:val="20"/>
        </w:rPr>
        <w:t xml:space="preserve"> na přelomu dubna a května, podle něhož česká ekonomika v prvním čtvrtletí letošního roku poklesla o </w:t>
      </w:r>
      <w:r w:rsidR="002E3DF7" w:rsidRPr="00F37DC9">
        <w:rPr>
          <w:rFonts w:ascii="Calibri" w:hAnsi="Calibri" w:cs="Calibri"/>
          <w:sz w:val="20"/>
        </w:rPr>
        <w:t xml:space="preserve">pouhých </w:t>
      </w:r>
      <w:r w:rsidR="00E82C0C" w:rsidRPr="00F37DC9">
        <w:rPr>
          <w:rFonts w:ascii="Calibri" w:hAnsi="Calibri" w:cs="Calibri"/>
          <w:sz w:val="20"/>
        </w:rPr>
        <w:t xml:space="preserve">0,3 % mezičtvrtletně a o 2,1 % meziročně. </w:t>
      </w:r>
      <w:r w:rsidR="0091603D" w:rsidRPr="00F37DC9">
        <w:rPr>
          <w:rFonts w:ascii="Calibri" w:hAnsi="Calibri" w:cs="Calibri"/>
          <w:sz w:val="20"/>
        </w:rPr>
        <w:t>Panel ČBA předpokládá, že se o to zasloužila především spotřeba vlády a solidní čistý vývoz, zatímco opačným směrem působila nadále slabá investiční aktivita firem a spotřeba domácností, zasažená u</w:t>
      </w:r>
      <w:r w:rsidR="00474A86" w:rsidRPr="00F37DC9">
        <w:rPr>
          <w:rFonts w:ascii="Calibri" w:hAnsi="Calibri" w:cs="Calibri"/>
          <w:sz w:val="20"/>
        </w:rPr>
        <w:t>zavřen</w:t>
      </w:r>
      <w:r w:rsidR="0091603D" w:rsidRPr="00F37DC9">
        <w:rPr>
          <w:rFonts w:ascii="Calibri" w:hAnsi="Calibri" w:cs="Calibri"/>
          <w:sz w:val="20"/>
        </w:rPr>
        <w:t>ím</w:t>
      </w:r>
      <w:r w:rsidR="00474A86" w:rsidRPr="00F37DC9">
        <w:rPr>
          <w:rFonts w:ascii="Calibri" w:hAnsi="Calibri" w:cs="Calibri"/>
          <w:sz w:val="20"/>
        </w:rPr>
        <w:t xml:space="preserve"> </w:t>
      </w:r>
      <w:r w:rsidR="0091603D" w:rsidRPr="00F37DC9">
        <w:rPr>
          <w:rFonts w:ascii="Calibri" w:hAnsi="Calibri" w:cs="Calibri"/>
          <w:sz w:val="20"/>
        </w:rPr>
        <w:t xml:space="preserve">většiny </w:t>
      </w:r>
      <w:r w:rsidR="00474A86" w:rsidRPr="00F37DC9">
        <w:rPr>
          <w:rFonts w:ascii="Calibri" w:hAnsi="Calibri" w:cs="Calibri"/>
          <w:sz w:val="20"/>
        </w:rPr>
        <w:t>obchod</w:t>
      </w:r>
      <w:r w:rsidR="0091603D" w:rsidRPr="00EB6C50">
        <w:rPr>
          <w:rFonts w:ascii="Calibri" w:hAnsi="Calibri" w:cs="Calibri"/>
          <w:sz w:val="20"/>
        </w:rPr>
        <w:t>ů</w:t>
      </w:r>
      <w:r w:rsidR="00474A86" w:rsidRPr="00EB6C50">
        <w:rPr>
          <w:rFonts w:ascii="Calibri" w:hAnsi="Calibri" w:cs="Calibri"/>
          <w:sz w:val="20"/>
        </w:rPr>
        <w:t xml:space="preserve"> i</w:t>
      </w:r>
      <w:r w:rsidR="00474A86" w:rsidRPr="00F37DC9">
        <w:rPr>
          <w:rFonts w:ascii="Calibri" w:hAnsi="Calibri" w:cs="Calibri"/>
          <w:sz w:val="20"/>
        </w:rPr>
        <w:t xml:space="preserve"> </w:t>
      </w:r>
      <w:r w:rsidR="0091603D" w:rsidRPr="00F37DC9">
        <w:rPr>
          <w:rFonts w:ascii="Calibri" w:hAnsi="Calibri" w:cs="Calibri"/>
          <w:sz w:val="20"/>
        </w:rPr>
        <w:t>řady oborů služeb po cel</w:t>
      </w:r>
      <w:r w:rsidR="002E18D7">
        <w:rPr>
          <w:rFonts w:ascii="Calibri" w:hAnsi="Calibri" w:cs="Calibri"/>
          <w:sz w:val="20"/>
        </w:rPr>
        <w:t>é</w:t>
      </w:r>
      <w:r w:rsidR="0091603D" w:rsidRPr="00F37DC9">
        <w:rPr>
          <w:rFonts w:ascii="Calibri" w:hAnsi="Calibri" w:cs="Calibri"/>
          <w:sz w:val="20"/>
        </w:rPr>
        <w:t xml:space="preserve"> první čtvrtletí</w:t>
      </w:r>
      <w:r w:rsidR="002E18D7">
        <w:rPr>
          <w:rFonts w:ascii="Calibri" w:hAnsi="Calibri" w:cs="Calibri"/>
          <w:sz w:val="20"/>
        </w:rPr>
        <w:t xml:space="preserve"> letošního roku</w:t>
      </w:r>
      <w:r w:rsidR="0091603D" w:rsidRPr="00F37DC9">
        <w:rPr>
          <w:rFonts w:ascii="Calibri" w:hAnsi="Calibri" w:cs="Calibri"/>
          <w:sz w:val="20"/>
        </w:rPr>
        <w:t>.</w:t>
      </w:r>
    </w:p>
    <w:p w14:paraId="10B3F741" w14:textId="3BD0B28D" w:rsidR="00B403E8" w:rsidRDefault="00B403E8" w:rsidP="00B4285D">
      <w:pPr>
        <w:rPr>
          <w:rFonts w:ascii="Calibri" w:hAnsi="Calibri" w:cs="Calibri"/>
          <w:sz w:val="20"/>
        </w:rPr>
      </w:pPr>
    </w:p>
    <w:p w14:paraId="3D5DA6B2" w14:textId="78A446D8" w:rsidR="00F32F3A" w:rsidRPr="00F37DC9" w:rsidRDefault="00A2430B" w:rsidP="00EB6C50">
      <w:pPr>
        <w:spacing w:after="120"/>
        <w:rPr>
          <w:rFonts w:ascii="Calibri" w:hAnsi="Calibri" w:cs="Calibri"/>
          <w:b/>
          <w:color w:val="13576B"/>
          <w:sz w:val="22"/>
          <w:szCs w:val="22"/>
        </w:rPr>
      </w:pPr>
      <w:r w:rsidRPr="00F37DC9">
        <w:rPr>
          <w:rFonts w:ascii="Calibri" w:hAnsi="Calibri" w:cs="Calibri"/>
          <w:b/>
          <w:color w:val="13576B"/>
          <w:sz w:val="22"/>
          <w:szCs w:val="22"/>
        </w:rPr>
        <w:t xml:space="preserve">Vliv </w:t>
      </w:r>
      <w:r w:rsidR="005C60BB" w:rsidRPr="00F37DC9">
        <w:rPr>
          <w:rFonts w:ascii="Calibri" w:hAnsi="Calibri" w:cs="Calibri"/>
          <w:b/>
          <w:color w:val="13576B"/>
          <w:sz w:val="22"/>
          <w:szCs w:val="22"/>
        </w:rPr>
        <w:t xml:space="preserve">hospodářského </w:t>
      </w:r>
      <w:r w:rsidR="00EA6FE9" w:rsidRPr="00F37DC9">
        <w:rPr>
          <w:rFonts w:ascii="Calibri" w:hAnsi="Calibri" w:cs="Calibri"/>
          <w:b/>
          <w:color w:val="13576B"/>
          <w:sz w:val="22"/>
          <w:szCs w:val="22"/>
        </w:rPr>
        <w:t xml:space="preserve">vývoje </w:t>
      </w:r>
      <w:r w:rsidR="005C60BB" w:rsidRPr="00F37DC9">
        <w:rPr>
          <w:rFonts w:ascii="Calibri" w:hAnsi="Calibri" w:cs="Calibri"/>
          <w:b/>
          <w:color w:val="13576B"/>
          <w:sz w:val="22"/>
          <w:szCs w:val="22"/>
        </w:rPr>
        <w:t xml:space="preserve">ve světě </w:t>
      </w:r>
      <w:r w:rsidRPr="00F37DC9">
        <w:rPr>
          <w:rFonts w:ascii="Calibri" w:hAnsi="Calibri" w:cs="Calibri"/>
          <w:b/>
          <w:color w:val="13576B"/>
          <w:sz w:val="22"/>
          <w:szCs w:val="22"/>
        </w:rPr>
        <w:t>na</w:t>
      </w:r>
      <w:r w:rsidR="004D7651" w:rsidRPr="00F37DC9">
        <w:rPr>
          <w:rFonts w:ascii="Calibri" w:hAnsi="Calibri" w:cs="Calibri"/>
          <w:b/>
          <w:color w:val="13576B"/>
          <w:sz w:val="22"/>
          <w:szCs w:val="22"/>
        </w:rPr>
        <w:t xml:space="preserve"> české </w:t>
      </w:r>
      <w:r w:rsidR="00F32F3A" w:rsidRPr="00F37DC9">
        <w:rPr>
          <w:rFonts w:ascii="Calibri" w:hAnsi="Calibri" w:cs="Calibri"/>
          <w:b/>
          <w:color w:val="13576B"/>
          <w:sz w:val="22"/>
          <w:szCs w:val="22"/>
        </w:rPr>
        <w:t>hospodářství</w:t>
      </w:r>
    </w:p>
    <w:p w14:paraId="1A8DCF44" w14:textId="4CBF5FDA" w:rsidR="00912FEF" w:rsidRPr="00F37DC9" w:rsidRDefault="00CF04CA" w:rsidP="00912FEF">
      <w:pPr>
        <w:rPr>
          <w:rFonts w:ascii="Calibri" w:hAnsi="Calibri" w:cs="Calibri"/>
          <w:sz w:val="20"/>
        </w:rPr>
      </w:pPr>
      <w:r w:rsidRPr="00F37DC9">
        <w:rPr>
          <w:rFonts w:ascii="Calibri" w:hAnsi="Calibri" w:cs="Calibri"/>
          <w:sz w:val="20"/>
        </w:rPr>
        <w:t>Mezinárodní měnový fond</w:t>
      </w:r>
      <w:r w:rsidR="004D7651" w:rsidRPr="00F37DC9">
        <w:rPr>
          <w:rFonts w:ascii="Calibri" w:hAnsi="Calibri" w:cs="Calibri"/>
          <w:sz w:val="20"/>
        </w:rPr>
        <w:t xml:space="preserve"> </w:t>
      </w:r>
      <w:r w:rsidR="00D7765B" w:rsidRPr="00F37DC9">
        <w:rPr>
          <w:rFonts w:ascii="Calibri" w:hAnsi="Calibri" w:cs="Calibri"/>
          <w:sz w:val="20"/>
        </w:rPr>
        <w:t>(MMF)</w:t>
      </w:r>
      <w:r w:rsidR="00AC08E3" w:rsidRPr="00F37DC9">
        <w:rPr>
          <w:rFonts w:ascii="Calibri" w:hAnsi="Calibri" w:cs="Calibri"/>
          <w:sz w:val="20"/>
        </w:rPr>
        <w:t xml:space="preserve"> po poklesu </w:t>
      </w:r>
      <w:r w:rsidR="005B12FA" w:rsidRPr="00F37DC9">
        <w:rPr>
          <w:rFonts w:ascii="Calibri" w:hAnsi="Calibri" w:cs="Calibri"/>
          <w:sz w:val="20"/>
        </w:rPr>
        <w:t>globálního výkonu o</w:t>
      </w:r>
      <w:r w:rsidR="00AC08E3" w:rsidRPr="00F37DC9">
        <w:rPr>
          <w:rFonts w:ascii="Calibri" w:hAnsi="Calibri" w:cs="Calibri"/>
          <w:sz w:val="20"/>
        </w:rPr>
        <w:t xml:space="preserve"> 3,3 % v roce 2020</w:t>
      </w:r>
      <w:r w:rsidR="00912FEF" w:rsidRPr="00F37DC9">
        <w:rPr>
          <w:rFonts w:ascii="Calibri" w:hAnsi="Calibri" w:cs="Calibri"/>
          <w:sz w:val="20"/>
        </w:rPr>
        <w:t xml:space="preserve"> </w:t>
      </w:r>
      <w:r w:rsidR="00AC08E3" w:rsidRPr="00F37DC9">
        <w:rPr>
          <w:rFonts w:ascii="Calibri" w:hAnsi="Calibri" w:cs="Calibri"/>
          <w:sz w:val="20"/>
        </w:rPr>
        <w:t xml:space="preserve">zlepšil </w:t>
      </w:r>
      <w:r w:rsidR="005F772B" w:rsidRPr="00D347D2">
        <w:rPr>
          <w:rFonts w:ascii="Calibri" w:hAnsi="Calibri" w:cs="Calibri"/>
          <w:sz w:val="20"/>
        </w:rPr>
        <w:t>před jarním zasedáním</w:t>
      </w:r>
      <w:r w:rsidR="005F772B" w:rsidRPr="00F37DC9">
        <w:rPr>
          <w:rFonts w:ascii="Calibri" w:hAnsi="Calibri" w:cs="Calibri"/>
          <w:sz w:val="20"/>
        </w:rPr>
        <w:t xml:space="preserve"> o polovinu procentního bodu lednový </w:t>
      </w:r>
      <w:r w:rsidR="00BF73F4" w:rsidRPr="00F37DC9">
        <w:rPr>
          <w:rFonts w:ascii="Calibri" w:hAnsi="Calibri" w:cs="Calibri"/>
          <w:sz w:val="20"/>
        </w:rPr>
        <w:t>odhad</w:t>
      </w:r>
      <w:r w:rsidR="00AC08E3" w:rsidRPr="00F37DC9">
        <w:rPr>
          <w:rFonts w:ascii="Calibri" w:hAnsi="Calibri" w:cs="Calibri"/>
          <w:sz w:val="20"/>
        </w:rPr>
        <w:t>,</w:t>
      </w:r>
      <w:r w:rsidR="0080505A" w:rsidRPr="00F37DC9">
        <w:rPr>
          <w:rFonts w:ascii="Calibri" w:hAnsi="Calibri" w:cs="Calibri"/>
          <w:sz w:val="20"/>
        </w:rPr>
        <w:t xml:space="preserve"> </w:t>
      </w:r>
      <w:r w:rsidR="005F772B" w:rsidRPr="00F37DC9">
        <w:rPr>
          <w:rFonts w:ascii="Calibri" w:hAnsi="Calibri" w:cs="Calibri"/>
          <w:sz w:val="20"/>
        </w:rPr>
        <w:t xml:space="preserve">a nově </w:t>
      </w:r>
      <w:r w:rsidR="008D1230" w:rsidRPr="00F37DC9">
        <w:rPr>
          <w:rFonts w:ascii="Calibri" w:hAnsi="Calibri" w:cs="Calibri"/>
          <w:sz w:val="20"/>
        </w:rPr>
        <w:t>očekává</w:t>
      </w:r>
      <w:r w:rsidR="005F772B" w:rsidRPr="00F37DC9">
        <w:rPr>
          <w:rFonts w:ascii="Calibri" w:hAnsi="Calibri" w:cs="Calibri"/>
          <w:sz w:val="20"/>
        </w:rPr>
        <w:t xml:space="preserve"> růst světového HDP v letošním roce</w:t>
      </w:r>
      <w:r w:rsidR="00AC08E3" w:rsidRPr="00F37DC9">
        <w:rPr>
          <w:rFonts w:ascii="Calibri" w:hAnsi="Calibri" w:cs="Calibri"/>
          <w:sz w:val="20"/>
        </w:rPr>
        <w:t xml:space="preserve"> o</w:t>
      </w:r>
      <w:r w:rsidR="008D1230" w:rsidRPr="00F37DC9">
        <w:rPr>
          <w:rFonts w:ascii="Calibri" w:hAnsi="Calibri" w:cs="Calibri"/>
          <w:sz w:val="20"/>
        </w:rPr>
        <w:t xml:space="preserve"> </w:t>
      </w:r>
      <w:r w:rsidR="005F772B" w:rsidRPr="00F37DC9">
        <w:rPr>
          <w:rFonts w:ascii="Calibri" w:hAnsi="Calibri" w:cs="Calibri"/>
          <w:sz w:val="20"/>
        </w:rPr>
        <w:t>6</w:t>
      </w:r>
      <w:r w:rsidR="005C3C3C" w:rsidRPr="00F37DC9">
        <w:rPr>
          <w:rFonts w:ascii="Calibri" w:hAnsi="Calibri" w:cs="Calibri"/>
          <w:sz w:val="20"/>
        </w:rPr>
        <w:t xml:space="preserve"> </w:t>
      </w:r>
      <w:r w:rsidR="00224284" w:rsidRPr="00F37DC9">
        <w:rPr>
          <w:rFonts w:ascii="Calibri" w:hAnsi="Calibri" w:cs="Calibri"/>
          <w:sz w:val="20"/>
        </w:rPr>
        <w:t>%</w:t>
      </w:r>
      <w:r w:rsidR="005F772B" w:rsidRPr="00F37DC9">
        <w:rPr>
          <w:rFonts w:ascii="Calibri" w:hAnsi="Calibri" w:cs="Calibri"/>
          <w:sz w:val="20"/>
        </w:rPr>
        <w:t xml:space="preserve">. V roce </w:t>
      </w:r>
      <w:r w:rsidR="008D1230" w:rsidRPr="00F37DC9">
        <w:rPr>
          <w:rFonts w:ascii="Calibri" w:hAnsi="Calibri" w:cs="Calibri"/>
          <w:sz w:val="20"/>
        </w:rPr>
        <w:t xml:space="preserve">2022 </w:t>
      </w:r>
      <w:r w:rsidR="00B4671E">
        <w:rPr>
          <w:rFonts w:ascii="Calibri" w:hAnsi="Calibri" w:cs="Calibri"/>
          <w:sz w:val="20"/>
        </w:rPr>
        <w:t xml:space="preserve">pak </w:t>
      </w:r>
      <w:r w:rsidR="005F772B" w:rsidRPr="00F37DC9">
        <w:rPr>
          <w:rFonts w:ascii="Calibri" w:hAnsi="Calibri" w:cs="Calibri"/>
          <w:sz w:val="20"/>
        </w:rPr>
        <w:t xml:space="preserve">předpovídá </w:t>
      </w:r>
      <w:r w:rsidR="008D1230" w:rsidRPr="00F37DC9">
        <w:rPr>
          <w:rFonts w:ascii="Calibri" w:hAnsi="Calibri" w:cs="Calibri"/>
          <w:sz w:val="20"/>
        </w:rPr>
        <w:t>zmírnění tempa na 4,</w:t>
      </w:r>
      <w:r w:rsidR="005F772B" w:rsidRPr="00F37DC9">
        <w:rPr>
          <w:rFonts w:ascii="Calibri" w:hAnsi="Calibri" w:cs="Calibri"/>
          <w:sz w:val="20"/>
        </w:rPr>
        <w:t>4</w:t>
      </w:r>
      <w:r w:rsidR="005C3C3C" w:rsidRPr="00F37DC9">
        <w:rPr>
          <w:rFonts w:ascii="Calibri" w:hAnsi="Calibri" w:cs="Calibri"/>
          <w:sz w:val="20"/>
        </w:rPr>
        <w:t xml:space="preserve"> </w:t>
      </w:r>
      <w:r w:rsidR="008D1230" w:rsidRPr="00F37DC9">
        <w:rPr>
          <w:rFonts w:ascii="Calibri" w:hAnsi="Calibri" w:cs="Calibri"/>
          <w:sz w:val="20"/>
        </w:rPr>
        <w:t>%.</w:t>
      </w:r>
      <w:r w:rsidR="00AC08E3" w:rsidRPr="00F37DC9">
        <w:rPr>
          <w:rFonts w:ascii="Calibri" w:hAnsi="Calibri" w:cs="Calibri"/>
          <w:sz w:val="20"/>
        </w:rPr>
        <w:t xml:space="preserve"> </w:t>
      </w:r>
    </w:p>
    <w:p w14:paraId="18324678" w14:textId="77777777" w:rsidR="00912FEF" w:rsidRPr="00F37DC9" w:rsidRDefault="00912FEF" w:rsidP="00912FEF">
      <w:pPr>
        <w:rPr>
          <w:rFonts w:ascii="Calibri" w:hAnsi="Calibri" w:cs="Calibri"/>
        </w:rPr>
      </w:pPr>
    </w:p>
    <w:p w14:paraId="7481E7CE" w14:textId="6C58EB77" w:rsidR="007836B5" w:rsidRPr="00F37DC9" w:rsidRDefault="00F37DC9" w:rsidP="007836B5">
      <w:pPr>
        <w:pStyle w:val="Textkomente"/>
        <w:rPr>
          <w:rFonts w:ascii="Calibri" w:hAnsi="Calibri" w:cs="Calibri"/>
        </w:rPr>
      </w:pPr>
      <w:r w:rsidRPr="00C15C17">
        <w:rPr>
          <w:noProof/>
        </w:rPr>
        <mc:AlternateContent>
          <mc:Choice Requires="wps">
            <w:drawing>
              <wp:anchor distT="45720" distB="45720" distL="114300" distR="114300" simplePos="0" relativeHeight="251666432" behindDoc="0" locked="0" layoutInCell="1" allowOverlap="1" wp14:anchorId="12872336" wp14:editId="35DCC1D3">
                <wp:simplePos x="0" y="0"/>
                <wp:positionH relativeFrom="column">
                  <wp:posOffset>-2540</wp:posOffset>
                </wp:positionH>
                <wp:positionV relativeFrom="paragraph">
                  <wp:posOffset>1541145</wp:posOffset>
                </wp:positionV>
                <wp:extent cx="6496050" cy="781050"/>
                <wp:effectExtent l="0" t="0" r="19050" b="1905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81050"/>
                        </a:xfrm>
                        <a:prstGeom prst="rect">
                          <a:avLst/>
                        </a:prstGeom>
                        <a:solidFill>
                          <a:srgbClr val="FFFFFF"/>
                        </a:solidFill>
                        <a:ln w="9525">
                          <a:solidFill>
                            <a:srgbClr val="000000"/>
                          </a:solidFill>
                          <a:miter lim="800000"/>
                          <a:headEnd/>
                          <a:tailEnd/>
                        </a:ln>
                      </wps:spPr>
                      <wps:txbx>
                        <w:txbxContent>
                          <w:p w14:paraId="7C02816D" w14:textId="49CB97A6" w:rsidR="00F37DC9" w:rsidRPr="00F37DC9" w:rsidRDefault="00F37DC9" w:rsidP="00F37DC9">
                            <w:pPr>
                              <w:rPr>
                                <w:rFonts w:ascii="Calibri" w:hAnsi="Calibri" w:cs="Calibri"/>
                                <w:sz w:val="20"/>
                              </w:rPr>
                            </w:pPr>
                            <w:r>
                              <w:rPr>
                                <w:rFonts w:ascii="Calibri" w:hAnsi="Calibri" w:cs="Calibri"/>
                                <w:b/>
                                <w:bCs/>
                                <w:sz w:val="20"/>
                              </w:rPr>
                              <w:t>Jan Vejmělek</w:t>
                            </w:r>
                            <w:r w:rsidRPr="00F37DC9">
                              <w:rPr>
                                <w:rFonts w:ascii="Calibri" w:hAnsi="Calibri" w:cs="Calibri"/>
                                <w:sz w:val="20"/>
                              </w:rPr>
                              <w:t xml:space="preserve">, </w:t>
                            </w:r>
                            <w:r>
                              <w:rPr>
                                <w:rFonts w:ascii="Calibri" w:hAnsi="Calibri" w:cs="Calibri"/>
                                <w:sz w:val="20"/>
                              </w:rPr>
                              <w:t>hlavní ekonom Komerční banky</w:t>
                            </w:r>
                            <w:r w:rsidRPr="00F37DC9">
                              <w:rPr>
                                <w:rFonts w:ascii="Calibri" w:hAnsi="Calibri" w:cs="Calibri"/>
                                <w:sz w:val="20"/>
                              </w:rPr>
                              <w:t>:</w:t>
                            </w:r>
                          </w:p>
                          <w:p w14:paraId="072C2D7C" w14:textId="7E49D332" w:rsidR="00F37DC9" w:rsidRPr="00F37DC9" w:rsidRDefault="00F37DC9" w:rsidP="00F37DC9">
                            <w:pPr>
                              <w:rPr>
                                <w:rFonts w:ascii="Calibri" w:hAnsi="Calibri" w:cs="Calibri"/>
                                <w:i/>
                                <w:iCs/>
                              </w:rPr>
                            </w:pPr>
                            <w:r w:rsidRPr="00F37DC9">
                              <w:rPr>
                                <w:rFonts w:ascii="Calibri" w:hAnsi="Calibri" w:cs="Calibri"/>
                                <w:i/>
                                <w:iCs/>
                                <w:sz w:val="20"/>
                              </w:rPr>
                              <w:t>„Druhé čtvrtletí je začátkem oživené globální ekonomiky, zejména té evropské. Zatímco dosud země EU nebyly v rychlosti vakcinace ve srovnání s Velkou Británií či Spojenými státy příliš úspěšné, v nejbližších týdnech a měsících uvidíme vakcinační sprint.“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72336" id="Textové pole 1" o:spid="_x0000_s1027" type="#_x0000_t202" style="position:absolute;left:0;text-align:left;margin-left:-.2pt;margin-top:121.35pt;width:511.5pt;height:6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">
                <v:textbox>
                  <w:txbxContent>
                    <w:p w14:paraId="7C02816D" w14:textId="49CB97A6" w:rsidR="00F37DC9" w:rsidRPr="00F37DC9" w:rsidRDefault="00F37DC9" w:rsidP="00F37DC9">
                      <w:pPr>
                        <w:rPr>
                          <w:rFonts w:ascii="Calibri" w:hAnsi="Calibri" w:cs="Calibri"/>
                          <w:sz w:val="20"/>
                        </w:rPr>
                      </w:pPr>
                      <w:r>
                        <w:rPr>
                          <w:rFonts w:ascii="Calibri" w:hAnsi="Calibri" w:cs="Calibri"/>
                          <w:b/>
                          <w:bCs/>
                          <w:sz w:val="20"/>
                        </w:rPr>
                        <w:t>Jan Vejmělek</w:t>
                      </w:r>
                      <w:r w:rsidRPr="00F37DC9">
                        <w:rPr>
                          <w:rFonts w:ascii="Calibri" w:hAnsi="Calibri" w:cs="Calibri"/>
                          <w:sz w:val="20"/>
                        </w:rPr>
                        <w:t xml:space="preserve">, </w:t>
                      </w:r>
                      <w:r>
                        <w:rPr>
                          <w:rFonts w:ascii="Calibri" w:hAnsi="Calibri" w:cs="Calibri"/>
                          <w:sz w:val="20"/>
                        </w:rPr>
                        <w:t>hlavní ekonom Komerční banky</w:t>
                      </w:r>
                      <w:r w:rsidRPr="00F37DC9">
                        <w:rPr>
                          <w:rFonts w:ascii="Calibri" w:hAnsi="Calibri" w:cs="Calibri"/>
                          <w:sz w:val="20"/>
                        </w:rPr>
                        <w:t>:</w:t>
                      </w:r>
                    </w:p>
                    <w:p w14:paraId="072C2D7C" w14:textId="7E49D332" w:rsidR="00F37DC9" w:rsidRPr="00F37DC9" w:rsidRDefault="00F37DC9" w:rsidP="00F37DC9">
                      <w:pPr>
                        <w:rPr>
                          <w:rFonts w:ascii="Calibri" w:hAnsi="Calibri" w:cs="Calibri"/>
                          <w:i/>
                          <w:iCs/>
                        </w:rPr>
                      </w:pPr>
                      <w:r w:rsidRPr="00F37DC9">
                        <w:rPr>
                          <w:rFonts w:ascii="Calibri" w:hAnsi="Calibri" w:cs="Calibri"/>
                          <w:i/>
                          <w:iCs/>
                          <w:sz w:val="20"/>
                        </w:rPr>
                        <w:t>„Druhé čtvrtletí je začátkem oživené globální ekonomiky, zejména té evropské. Zatímco dosud země EU nebyly v rychlosti vakcinace ve srovnání s Velkou Británií či Spojenými státy příliš úspěšné, v nejbližších týdnech a měsících uvidíme vakcinační sprint.“</w:t>
                      </w:r>
                    </w:p>
                  </w:txbxContent>
                </v:textbox>
                <w10:wrap type="square"/>
              </v:shape>
            </w:pict>
          </mc:Fallback>
        </mc:AlternateContent>
      </w:r>
      <w:r w:rsidR="007836B5" w:rsidRPr="00F37DC9">
        <w:rPr>
          <w:rFonts w:ascii="Calibri" w:hAnsi="Calibri" w:cs="Calibri"/>
        </w:rPr>
        <w:t xml:space="preserve">Nejlépe </w:t>
      </w:r>
      <w:r w:rsidR="001B44EF" w:rsidRPr="00F37DC9">
        <w:rPr>
          <w:rFonts w:ascii="Calibri" w:hAnsi="Calibri" w:cs="Calibri"/>
        </w:rPr>
        <w:t>v</w:t>
      </w:r>
      <w:r w:rsidR="00DF0C5E">
        <w:rPr>
          <w:rFonts w:ascii="Calibri" w:hAnsi="Calibri" w:cs="Calibri"/>
        </w:rPr>
        <w:t xml:space="preserve"> jeho </w:t>
      </w:r>
      <w:r w:rsidR="001B44EF" w:rsidRPr="00F37DC9">
        <w:rPr>
          <w:rFonts w:ascii="Calibri" w:hAnsi="Calibri" w:cs="Calibri"/>
        </w:rPr>
        <w:t xml:space="preserve">mezinárodním srovnání </w:t>
      </w:r>
      <w:r w:rsidR="007836B5" w:rsidRPr="00F37DC9">
        <w:rPr>
          <w:rFonts w:ascii="Calibri" w:hAnsi="Calibri" w:cs="Calibri"/>
        </w:rPr>
        <w:t xml:space="preserve">vychází </w:t>
      </w:r>
      <w:r w:rsidR="001B44EF" w:rsidRPr="00F37DC9">
        <w:rPr>
          <w:rFonts w:ascii="Calibri" w:hAnsi="Calibri" w:cs="Calibri"/>
        </w:rPr>
        <w:t>Čína</w:t>
      </w:r>
      <w:r w:rsidR="00224284" w:rsidRPr="00F37DC9">
        <w:rPr>
          <w:rFonts w:ascii="Calibri" w:hAnsi="Calibri" w:cs="Calibri"/>
        </w:rPr>
        <w:t>,</w:t>
      </w:r>
      <w:r w:rsidR="007836B5" w:rsidRPr="00F37DC9">
        <w:rPr>
          <w:rFonts w:ascii="Calibri" w:hAnsi="Calibri" w:cs="Calibri"/>
        </w:rPr>
        <w:t xml:space="preserve"> jejíž hospodářství v loňském roce vzrostlo </w:t>
      </w:r>
      <w:r w:rsidR="009D150F" w:rsidRPr="00F37DC9">
        <w:rPr>
          <w:rFonts w:ascii="Calibri" w:hAnsi="Calibri" w:cs="Calibri"/>
        </w:rPr>
        <w:t xml:space="preserve">o </w:t>
      </w:r>
      <w:r w:rsidR="001B44EF" w:rsidRPr="00F37DC9">
        <w:rPr>
          <w:rFonts w:ascii="Calibri" w:hAnsi="Calibri" w:cs="Calibri"/>
        </w:rPr>
        <w:t>2,3</w:t>
      </w:r>
      <w:r w:rsidR="00224284" w:rsidRPr="00F37DC9">
        <w:rPr>
          <w:rFonts w:ascii="Calibri" w:hAnsi="Calibri" w:cs="Calibri"/>
        </w:rPr>
        <w:t xml:space="preserve"> %, letos zrychlí na</w:t>
      </w:r>
      <w:r w:rsidR="001B44EF" w:rsidRPr="00F37DC9">
        <w:rPr>
          <w:rFonts w:ascii="Calibri" w:hAnsi="Calibri" w:cs="Calibri"/>
        </w:rPr>
        <w:t xml:space="preserve"> 8,</w:t>
      </w:r>
      <w:r w:rsidR="007836B5" w:rsidRPr="00F37DC9">
        <w:rPr>
          <w:rFonts w:ascii="Calibri" w:hAnsi="Calibri" w:cs="Calibri"/>
        </w:rPr>
        <w:t>4</w:t>
      </w:r>
      <w:r w:rsidR="00D7765B" w:rsidRPr="00F37DC9">
        <w:rPr>
          <w:rFonts w:ascii="Calibri" w:hAnsi="Calibri" w:cs="Calibri"/>
        </w:rPr>
        <w:t xml:space="preserve"> </w:t>
      </w:r>
      <w:r w:rsidR="00224284" w:rsidRPr="00F37DC9">
        <w:rPr>
          <w:rFonts w:ascii="Calibri" w:hAnsi="Calibri" w:cs="Calibri"/>
        </w:rPr>
        <w:t>%</w:t>
      </w:r>
      <w:r w:rsidR="00365B2D" w:rsidRPr="00F37DC9">
        <w:rPr>
          <w:rFonts w:ascii="Calibri" w:hAnsi="Calibri" w:cs="Calibri"/>
        </w:rPr>
        <w:t xml:space="preserve"> </w:t>
      </w:r>
      <w:r w:rsidR="008168A6">
        <w:rPr>
          <w:rFonts w:ascii="Calibri" w:hAnsi="Calibri" w:cs="Calibri"/>
        </w:rPr>
        <w:br/>
      </w:r>
      <w:r w:rsidR="00365B2D" w:rsidRPr="00F37DC9">
        <w:rPr>
          <w:rFonts w:ascii="Calibri" w:hAnsi="Calibri" w:cs="Calibri"/>
        </w:rPr>
        <w:t>a</w:t>
      </w:r>
      <w:r w:rsidR="00224284" w:rsidRPr="00F37DC9">
        <w:rPr>
          <w:rFonts w:ascii="Calibri" w:hAnsi="Calibri" w:cs="Calibri"/>
        </w:rPr>
        <w:t xml:space="preserve"> napřesrok by měl HDP stoupnout o</w:t>
      </w:r>
      <w:r w:rsidR="00D7765B" w:rsidRPr="00F37DC9">
        <w:rPr>
          <w:rFonts w:ascii="Calibri" w:hAnsi="Calibri" w:cs="Calibri"/>
        </w:rPr>
        <w:t xml:space="preserve"> </w:t>
      </w:r>
      <w:r w:rsidR="001B44EF" w:rsidRPr="00F37DC9">
        <w:rPr>
          <w:rFonts w:ascii="Calibri" w:hAnsi="Calibri" w:cs="Calibri"/>
        </w:rPr>
        <w:t>5,6</w:t>
      </w:r>
      <w:r w:rsidR="00D7765B" w:rsidRPr="00F37DC9">
        <w:rPr>
          <w:rFonts w:ascii="Calibri" w:hAnsi="Calibri" w:cs="Calibri"/>
        </w:rPr>
        <w:t xml:space="preserve"> </w:t>
      </w:r>
      <w:r w:rsidR="001B44EF" w:rsidRPr="00F37DC9">
        <w:rPr>
          <w:rFonts w:ascii="Calibri" w:hAnsi="Calibri" w:cs="Calibri"/>
        </w:rPr>
        <w:t xml:space="preserve">%. </w:t>
      </w:r>
      <w:r w:rsidR="009D150F" w:rsidRPr="00F37DC9">
        <w:rPr>
          <w:rFonts w:ascii="Calibri" w:hAnsi="Calibri" w:cs="Calibri"/>
        </w:rPr>
        <w:t>To je</w:t>
      </w:r>
      <w:r w:rsidR="001B44EF" w:rsidRPr="00F37DC9">
        <w:rPr>
          <w:rFonts w:ascii="Calibri" w:hAnsi="Calibri" w:cs="Calibri"/>
        </w:rPr>
        <w:t xml:space="preserve"> dobrá zpráva nejen pro exportně orientované Německo</w:t>
      </w:r>
      <w:r w:rsidR="00F93181" w:rsidRPr="00F37DC9">
        <w:rPr>
          <w:rFonts w:ascii="Calibri" w:hAnsi="Calibri" w:cs="Calibri"/>
        </w:rPr>
        <w:t>, které</w:t>
      </w:r>
      <w:r w:rsidR="009D150F" w:rsidRPr="00F37DC9">
        <w:rPr>
          <w:rFonts w:ascii="Calibri" w:hAnsi="Calibri" w:cs="Calibri"/>
        </w:rPr>
        <w:t xml:space="preserve"> by se mělo</w:t>
      </w:r>
      <w:r w:rsidR="006146A8" w:rsidRPr="00F37DC9">
        <w:rPr>
          <w:rFonts w:ascii="Calibri" w:hAnsi="Calibri" w:cs="Calibri"/>
        </w:rPr>
        <w:t>,</w:t>
      </w:r>
      <w:r w:rsidR="009D150F" w:rsidRPr="00F37DC9">
        <w:rPr>
          <w:rFonts w:ascii="Calibri" w:hAnsi="Calibri" w:cs="Calibri"/>
        </w:rPr>
        <w:t xml:space="preserve"> po loňském poklesu o </w:t>
      </w:r>
      <w:r w:rsidR="007836B5" w:rsidRPr="00F37DC9">
        <w:rPr>
          <w:rFonts w:ascii="Calibri" w:hAnsi="Calibri" w:cs="Calibri"/>
        </w:rPr>
        <w:t>4,9</w:t>
      </w:r>
      <w:r w:rsidR="009D150F" w:rsidRPr="00F37DC9">
        <w:rPr>
          <w:rFonts w:ascii="Calibri" w:hAnsi="Calibri" w:cs="Calibri"/>
        </w:rPr>
        <w:t xml:space="preserve"> </w:t>
      </w:r>
      <w:r w:rsidR="006146A8" w:rsidRPr="00F37DC9">
        <w:rPr>
          <w:rFonts w:ascii="Calibri" w:hAnsi="Calibri" w:cs="Calibri"/>
        </w:rPr>
        <w:t>%, vrátit k</w:t>
      </w:r>
      <w:r w:rsidR="00224284" w:rsidRPr="00F37DC9">
        <w:rPr>
          <w:rFonts w:ascii="Calibri" w:hAnsi="Calibri" w:cs="Calibri"/>
        </w:rPr>
        <w:t> </w:t>
      </w:r>
      <w:r w:rsidR="006146A8" w:rsidRPr="00F37DC9">
        <w:rPr>
          <w:rFonts w:ascii="Calibri" w:hAnsi="Calibri" w:cs="Calibri"/>
        </w:rPr>
        <w:t>růstu</w:t>
      </w:r>
      <w:r w:rsidR="00224284" w:rsidRPr="00F37DC9">
        <w:rPr>
          <w:rFonts w:ascii="Calibri" w:hAnsi="Calibri" w:cs="Calibri"/>
        </w:rPr>
        <w:t xml:space="preserve"> o 3,</w:t>
      </w:r>
      <w:r w:rsidR="007836B5" w:rsidRPr="00F37DC9">
        <w:rPr>
          <w:rFonts w:ascii="Calibri" w:hAnsi="Calibri" w:cs="Calibri"/>
        </w:rPr>
        <w:t>6</w:t>
      </w:r>
      <w:r w:rsidR="00224284" w:rsidRPr="00F37DC9">
        <w:rPr>
          <w:rFonts w:ascii="Calibri" w:hAnsi="Calibri" w:cs="Calibri"/>
        </w:rPr>
        <w:t xml:space="preserve"> %, a v příštím roce</w:t>
      </w:r>
      <w:r w:rsidR="007836B5" w:rsidRPr="00F37DC9">
        <w:rPr>
          <w:rFonts w:ascii="Calibri" w:hAnsi="Calibri" w:cs="Calibri"/>
        </w:rPr>
        <w:t xml:space="preserve"> o 3,1 %, což jsou pro hospodářství našeho největšího obchodního partnera povzbuzující čísla. I pro nás je dobrou zprávou, že němečtí analytici pozorují </w:t>
      </w:r>
      <w:r w:rsidR="00DB5DA9" w:rsidRPr="00F37DC9">
        <w:rPr>
          <w:rFonts w:ascii="Calibri" w:hAnsi="Calibri" w:cs="Calibri"/>
        </w:rPr>
        <w:t>zlepšení v mezinárodním obchodu, zrychl</w:t>
      </w:r>
      <w:r w:rsidR="005C41EF" w:rsidRPr="00F37DC9">
        <w:rPr>
          <w:rFonts w:ascii="Calibri" w:hAnsi="Calibri" w:cs="Calibri"/>
        </w:rPr>
        <w:t xml:space="preserve">ování vývozního tempa </w:t>
      </w:r>
      <w:r w:rsidR="00DB5DA9" w:rsidRPr="00F37DC9">
        <w:rPr>
          <w:rFonts w:ascii="Calibri" w:hAnsi="Calibri" w:cs="Calibri"/>
        </w:rPr>
        <w:t>a přech</w:t>
      </w:r>
      <w:r w:rsidR="005C41EF" w:rsidRPr="00F37DC9">
        <w:rPr>
          <w:rFonts w:ascii="Calibri" w:hAnsi="Calibri" w:cs="Calibri"/>
        </w:rPr>
        <w:t>od</w:t>
      </w:r>
      <w:r w:rsidR="00DB5DA9" w:rsidRPr="00F37DC9">
        <w:rPr>
          <w:rFonts w:ascii="Calibri" w:hAnsi="Calibri" w:cs="Calibri"/>
        </w:rPr>
        <w:t xml:space="preserve"> do fáze citelného oživení (poptávka z</w:t>
      </w:r>
      <w:r w:rsidR="00912FEF" w:rsidRPr="00F37DC9">
        <w:rPr>
          <w:rFonts w:ascii="Calibri" w:hAnsi="Calibri" w:cs="Calibri"/>
        </w:rPr>
        <w:t> </w:t>
      </w:r>
      <w:r w:rsidR="00DB5DA9" w:rsidRPr="00F37DC9">
        <w:rPr>
          <w:rFonts w:ascii="Calibri" w:hAnsi="Calibri" w:cs="Calibri"/>
        </w:rPr>
        <w:t>A</w:t>
      </w:r>
      <w:r w:rsidR="00EC720E" w:rsidRPr="00F37DC9">
        <w:rPr>
          <w:rFonts w:ascii="Calibri" w:hAnsi="Calibri" w:cs="Calibri"/>
        </w:rPr>
        <w:t>s</w:t>
      </w:r>
      <w:r w:rsidR="00DB5DA9" w:rsidRPr="00F37DC9">
        <w:rPr>
          <w:rFonts w:ascii="Calibri" w:hAnsi="Calibri" w:cs="Calibri"/>
        </w:rPr>
        <w:t>ie</w:t>
      </w:r>
      <w:r w:rsidR="00912FEF" w:rsidRPr="00F37DC9">
        <w:rPr>
          <w:rFonts w:ascii="Calibri" w:hAnsi="Calibri" w:cs="Calibri"/>
        </w:rPr>
        <w:t>,</w:t>
      </w:r>
      <w:r w:rsidR="002E5008" w:rsidRPr="00F37DC9">
        <w:rPr>
          <w:rFonts w:ascii="Calibri" w:hAnsi="Calibri" w:cs="Calibri"/>
        </w:rPr>
        <w:t xml:space="preserve"> </w:t>
      </w:r>
      <w:r w:rsidR="005C41EF" w:rsidRPr="00F37DC9">
        <w:rPr>
          <w:rFonts w:ascii="Calibri" w:hAnsi="Calibri" w:cs="Calibri"/>
        </w:rPr>
        <w:t>a hlavně z</w:t>
      </w:r>
      <w:r w:rsidR="00DF0C5E">
        <w:rPr>
          <w:rFonts w:ascii="Calibri" w:hAnsi="Calibri" w:cs="Calibri"/>
        </w:rPr>
        <w:t> </w:t>
      </w:r>
      <w:r w:rsidR="005C41EF" w:rsidRPr="00F37DC9">
        <w:rPr>
          <w:rFonts w:ascii="Calibri" w:hAnsi="Calibri" w:cs="Calibri"/>
        </w:rPr>
        <w:t>Číny</w:t>
      </w:r>
      <w:r w:rsidR="00DF0C5E">
        <w:rPr>
          <w:rFonts w:ascii="Calibri" w:hAnsi="Calibri" w:cs="Calibri"/>
        </w:rPr>
        <w:t>,</w:t>
      </w:r>
      <w:r w:rsidR="005C41EF" w:rsidRPr="00F37DC9">
        <w:rPr>
          <w:rFonts w:ascii="Calibri" w:hAnsi="Calibri" w:cs="Calibri"/>
        </w:rPr>
        <w:t xml:space="preserve"> po německém zboží </w:t>
      </w:r>
      <w:r w:rsidR="00DB5DA9" w:rsidRPr="00F37DC9">
        <w:rPr>
          <w:rFonts w:ascii="Calibri" w:hAnsi="Calibri" w:cs="Calibri"/>
        </w:rPr>
        <w:t xml:space="preserve">prudce stoupá, ale zlepšuje se i z USA). Německá ekonomika, která má za sebou </w:t>
      </w:r>
      <w:r w:rsidR="00E03E1A" w:rsidRPr="00F37DC9">
        <w:rPr>
          <w:rFonts w:ascii="Calibri" w:hAnsi="Calibri" w:cs="Calibri"/>
        </w:rPr>
        <w:t>osm</w:t>
      </w:r>
      <w:r w:rsidR="00DB5DA9" w:rsidRPr="00F37DC9">
        <w:rPr>
          <w:rFonts w:ascii="Calibri" w:hAnsi="Calibri" w:cs="Calibri"/>
        </w:rPr>
        <w:t xml:space="preserve"> čtvrtletí poklesu průmyslové produkce, zároveň prochází masivním strukturálním posunem</w:t>
      </w:r>
      <w:r w:rsidR="00E03E1A" w:rsidRPr="00F37DC9">
        <w:rPr>
          <w:rFonts w:ascii="Calibri" w:hAnsi="Calibri" w:cs="Calibri"/>
        </w:rPr>
        <w:t>,</w:t>
      </w:r>
      <w:r w:rsidR="00DB5DA9" w:rsidRPr="00F37DC9">
        <w:rPr>
          <w:rFonts w:ascii="Calibri" w:hAnsi="Calibri" w:cs="Calibri"/>
        </w:rPr>
        <w:t xml:space="preserve"> </w:t>
      </w:r>
      <w:r w:rsidR="00DF0C5E">
        <w:rPr>
          <w:rFonts w:ascii="Calibri" w:hAnsi="Calibri" w:cs="Calibri"/>
        </w:rPr>
        <w:t xml:space="preserve">a to </w:t>
      </w:r>
      <w:r w:rsidR="00DB5DA9" w:rsidRPr="00F37DC9">
        <w:rPr>
          <w:rFonts w:ascii="Calibri" w:hAnsi="Calibri" w:cs="Calibri"/>
        </w:rPr>
        <w:t xml:space="preserve">zejména v automobilovém průmyslu. Většina sektoru služeb je stále pod uzávěrou, nicméně proočkovanost se zvyšuje, a proto trh do konce května očekává uvolnění nejrestriktivnějších opatření.  </w:t>
      </w:r>
    </w:p>
    <w:p w14:paraId="1C3C24B8" w14:textId="63DB9A37" w:rsidR="001B44EF" w:rsidRPr="00F37DC9" w:rsidRDefault="001B44EF" w:rsidP="00DB5DA9">
      <w:pPr>
        <w:pStyle w:val="Textkomente"/>
        <w:rPr>
          <w:rFonts w:ascii="Calibri" w:hAnsi="Calibri" w:cs="Calibri"/>
        </w:rPr>
      </w:pPr>
      <w:r w:rsidRPr="00F37DC9">
        <w:rPr>
          <w:rFonts w:ascii="Calibri" w:hAnsi="Calibri" w:cs="Calibri"/>
        </w:rPr>
        <w:lastRenderedPageBreak/>
        <w:t xml:space="preserve">Hospodářství eurozóny jako celku </w:t>
      </w:r>
      <w:r w:rsidR="00F97C75" w:rsidRPr="00F37DC9">
        <w:rPr>
          <w:rFonts w:ascii="Calibri" w:hAnsi="Calibri" w:cs="Calibri"/>
        </w:rPr>
        <w:t>dle</w:t>
      </w:r>
      <w:r w:rsidR="00F93181" w:rsidRPr="00F37DC9">
        <w:rPr>
          <w:rFonts w:ascii="Calibri" w:hAnsi="Calibri" w:cs="Calibri"/>
        </w:rPr>
        <w:t xml:space="preserve"> </w:t>
      </w:r>
      <w:r w:rsidR="00DB5DA9" w:rsidRPr="00F37DC9">
        <w:rPr>
          <w:rFonts w:ascii="Calibri" w:hAnsi="Calibri" w:cs="Calibri"/>
        </w:rPr>
        <w:t xml:space="preserve">MMF </w:t>
      </w:r>
      <w:r w:rsidR="005864AD" w:rsidRPr="00F37DC9">
        <w:rPr>
          <w:rFonts w:ascii="Calibri" w:hAnsi="Calibri" w:cs="Calibri"/>
        </w:rPr>
        <w:t xml:space="preserve">loni </w:t>
      </w:r>
      <w:r w:rsidR="00F93181" w:rsidRPr="00F37DC9">
        <w:rPr>
          <w:rFonts w:ascii="Calibri" w:hAnsi="Calibri" w:cs="Calibri"/>
        </w:rPr>
        <w:t xml:space="preserve">kleslo </w:t>
      </w:r>
      <w:r w:rsidR="00F97C75" w:rsidRPr="00F37DC9">
        <w:rPr>
          <w:rFonts w:ascii="Calibri" w:hAnsi="Calibri" w:cs="Calibri"/>
        </w:rPr>
        <w:t xml:space="preserve">o </w:t>
      </w:r>
      <w:r w:rsidR="00F93181" w:rsidRPr="00F37DC9">
        <w:rPr>
          <w:rFonts w:ascii="Calibri" w:hAnsi="Calibri" w:cs="Calibri"/>
        </w:rPr>
        <w:t>6,</w:t>
      </w:r>
      <w:r w:rsidR="00DB5DA9" w:rsidRPr="00F37DC9">
        <w:rPr>
          <w:rFonts w:ascii="Calibri" w:hAnsi="Calibri" w:cs="Calibri"/>
        </w:rPr>
        <w:t>6</w:t>
      </w:r>
      <w:r w:rsidR="00F97C75" w:rsidRPr="00F37DC9">
        <w:rPr>
          <w:rFonts w:ascii="Calibri" w:hAnsi="Calibri" w:cs="Calibri"/>
        </w:rPr>
        <w:t xml:space="preserve"> %, letos </w:t>
      </w:r>
      <w:r w:rsidR="00F93181" w:rsidRPr="00F37DC9">
        <w:rPr>
          <w:rFonts w:ascii="Calibri" w:hAnsi="Calibri" w:cs="Calibri"/>
        </w:rPr>
        <w:t xml:space="preserve">by dle </w:t>
      </w:r>
      <w:r w:rsidR="00B52170">
        <w:rPr>
          <w:rFonts w:ascii="Calibri" w:hAnsi="Calibri" w:cs="Calibri"/>
        </w:rPr>
        <w:t>něj</w:t>
      </w:r>
      <w:r w:rsidR="00B52170" w:rsidRPr="00F37DC9">
        <w:rPr>
          <w:rFonts w:ascii="Calibri" w:hAnsi="Calibri" w:cs="Calibri"/>
        </w:rPr>
        <w:t xml:space="preserve"> </w:t>
      </w:r>
      <w:r w:rsidR="00F93181" w:rsidRPr="00F37DC9">
        <w:rPr>
          <w:rFonts w:ascii="Calibri" w:hAnsi="Calibri" w:cs="Calibri"/>
        </w:rPr>
        <w:t>mělo růst</w:t>
      </w:r>
      <w:r w:rsidR="00F97C75" w:rsidRPr="00F37DC9">
        <w:rPr>
          <w:rFonts w:ascii="Calibri" w:hAnsi="Calibri" w:cs="Calibri"/>
        </w:rPr>
        <w:t xml:space="preserve"> o 4,</w:t>
      </w:r>
      <w:r w:rsidR="00DB5DA9" w:rsidRPr="00F37DC9">
        <w:rPr>
          <w:rFonts w:ascii="Calibri" w:hAnsi="Calibri" w:cs="Calibri"/>
        </w:rPr>
        <w:t>4</w:t>
      </w:r>
      <w:r w:rsidR="00F97C75" w:rsidRPr="00F37DC9">
        <w:rPr>
          <w:rFonts w:ascii="Calibri" w:hAnsi="Calibri" w:cs="Calibri"/>
        </w:rPr>
        <w:t xml:space="preserve"> % a o 3,</w:t>
      </w:r>
      <w:r w:rsidR="00DB5DA9" w:rsidRPr="00F37DC9">
        <w:rPr>
          <w:rFonts w:ascii="Calibri" w:hAnsi="Calibri" w:cs="Calibri"/>
        </w:rPr>
        <w:t>8</w:t>
      </w:r>
      <w:r w:rsidR="00F97C75" w:rsidRPr="00F37DC9">
        <w:rPr>
          <w:rFonts w:ascii="Calibri" w:hAnsi="Calibri" w:cs="Calibri"/>
        </w:rPr>
        <w:t xml:space="preserve"> % v roce příštím.</w:t>
      </w:r>
      <w:r w:rsidRPr="00F37DC9">
        <w:rPr>
          <w:rFonts w:ascii="Calibri" w:hAnsi="Calibri" w:cs="Calibri"/>
        </w:rPr>
        <w:t xml:space="preserve"> </w:t>
      </w:r>
      <w:r w:rsidR="00D9338E" w:rsidRPr="00F37DC9">
        <w:rPr>
          <w:rFonts w:ascii="Calibri" w:hAnsi="Calibri" w:cs="Calibri"/>
        </w:rPr>
        <w:t>Díky</w:t>
      </w:r>
      <w:r w:rsidR="00F97C75" w:rsidRPr="00F37DC9">
        <w:rPr>
          <w:rFonts w:ascii="Calibri" w:hAnsi="Calibri" w:cs="Calibri"/>
        </w:rPr>
        <w:t xml:space="preserve"> pružnější ekonomi</w:t>
      </w:r>
      <w:r w:rsidR="00D9338E" w:rsidRPr="00F37DC9">
        <w:rPr>
          <w:rFonts w:ascii="Calibri" w:hAnsi="Calibri" w:cs="Calibri"/>
        </w:rPr>
        <w:t>ce</w:t>
      </w:r>
      <w:r w:rsidR="00F97C75" w:rsidRPr="00F37DC9">
        <w:rPr>
          <w:rFonts w:ascii="Calibri" w:hAnsi="Calibri" w:cs="Calibri"/>
        </w:rPr>
        <w:t xml:space="preserve"> </w:t>
      </w:r>
      <w:r w:rsidR="00F93181" w:rsidRPr="00F37DC9">
        <w:rPr>
          <w:rFonts w:ascii="Calibri" w:hAnsi="Calibri" w:cs="Calibri"/>
        </w:rPr>
        <w:t xml:space="preserve">a masivnímu fiskálnímu stimulu </w:t>
      </w:r>
      <w:r w:rsidR="00D9338E" w:rsidRPr="00F37DC9">
        <w:rPr>
          <w:rFonts w:ascii="Calibri" w:hAnsi="Calibri" w:cs="Calibri"/>
        </w:rPr>
        <w:t xml:space="preserve">zaznamenaly </w:t>
      </w:r>
      <w:r w:rsidR="00EC720E" w:rsidRPr="00F37DC9">
        <w:rPr>
          <w:rFonts w:ascii="Calibri" w:hAnsi="Calibri" w:cs="Calibri"/>
        </w:rPr>
        <w:t>USA v loňském roce ve srovnání s</w:t>
      </w:r>
      <w:r w:rsidR="00D7765B" w:rsidRPr="00F37DC9">
        <w:rPr>
          <w:rFonts w:ascii="Calibri" w:hAnsi="Calibri" w:cs="Calibri"/>
        </w:rPr>
        <w:t xml:space="preserve"> EU </w:t>
      </w:r>
      <w:r w:rsidR="00D9338E" w:rsidRPr="00F37DC9">
        <w:rPr>
          <w:rFonts w:ascii="Calibri" w:hAnsi="Calibri" w:cs="Calibri"/>
        </w:rPr>
        <w:t>nižší pokl</w:t>
      </w:r>
      <w:r w:rsidR="00F97C75" w:rsidRPr="00F37DC9">
        <w:rPr>
          <w:rFonts w:ascii="Calibri" w:hAnsi="Calibri" w:cs="Calibri"/>
        </w:rPr>
        <w:t xml:space="preserve">es </w:t>
      </w:r>
      <w:r w:rsidR="00435C21">
        <w:rPr>
          <w:rFonts w:ascii="Calibri" w:hAnsi="Calibri" w:cs="Calibri"/>
        </w:rPr>
        <w:br/>
      </w:r>
      <w:r w:rsidR="00D7765B" w:rsidRPr="00F37DC9">
        <w:rPr>
          <w:rFonts w:ascii="Calibri" w:hAnsi="Calibri" w:cs="Calibri"/>
        </w:rPr>
        <w:t>(</w:t>
      </w:r>
      <w:r w:rsidR="00D9338E" w:rsidRPr="00F37DC9">
        <w:rPr>
          <w:rFonts w:ascii="Calibri" w:hAnsi="Calibri" w:cs="Calibri"/>
        </w:rPr>
        <w:t xml:space="preserve">o </w:t>
      </w:r>
      <w:r w:rsidR="00F97C75" w:rsidRPr="00F37DC9">
        <w:rPr>
          <w:rFonts w:ascii="Calibri" w:hAnsi="Calibri" w:cs="Calibri"/>
        </w:rPr>
        <w:t>3,</w:t>
      </w:r>
      <w:r w:rsidR="00DB5DA9" w:rsidRPr="00F37DC9">
        <w:rPr>
          <w:rFonts w:ascii="Calibri" w:hAnsi="Calibri" w:cs="Calibri"/>
        </w:rPr>
        <w:t>5</w:t>
      </w:r>
      <w:r w:rsidR="00F97C75" w:rsidRPr="00F37DC9">
        <w:rPr>
          <w:rFonts w:ascii="Calibri" w:hAnsi="Calibri" w:cs="Calibri"/>
        </w:rPr>
        <w:t xml:space="preserve"> %</w:t>
      </w:r>
      <w:r w:rsidR="00D7765B" w:rsidRPr="00F37DC9">
        <w:rPr>
          <w:rFonts w:ascii="Calibri" w:hAnsi="Calibri" w:cs="Calibri"/>
        </w:rPr>
        <w:t>)</w:t>
      </w:r>
      <w:r w:rsidR="00F97C75" w:rsidRPr="00F37DC9">
        <w:rPr>
          <w:rFonts w:ascii="Calibri" w:hAnsi="Calibri" w:cs="Calibri"/>
        </w:rPr>
        <w:t xml:space="preserve"> a </w:t>
      </w:r>
      <w:r w:rsidR="00D9338E" w:rsidRPr="00F37DC9">
        <w:rPr>
          <w:rFonts w:ascii="Calibri" w:hAnsi="Calibri" w:cs="Calibri"/>
        </w:rPr>
        <w:t>letos porostou</w:t>
      </w:r>
      <w:r w:rsidR="00F93181" w:rsidRPr="00F37DC9">
        <w:rPr>
          <w:rFonts w:ascii="Calibri" w:hAnsi="Calibri" w:cs="Calibri"/>
        </w:rPr>
        <w:t xml:space="preserve"> </w:t>
      </w:r>
      <w:r w:rsidR="00E03E1A" w:rsidRPr="00F37DC9">
        <w:rPr>
          <w:rFonts w:ascii="Calibri" w:hAnsi="Calibri" w:cs="Calibri"/>
        </w:rPr>
        <w:t xml:space="preserve">naopak </w:t>
      </w:r>
      <w:r w:rsidR="00DB5DA9" w:rsidRPr="00F37DC9">
        <w:rPr>
          <w:rFonts w:ascii="Calibri" w:hAnsi="Calibri" w:cs="Calibri"/>
        </w:rPr>
        <w:t>rychleji (</w:t>
      </w:r>
      <w:r w:rsidR="00F97C75" w:rsidRPr="00F37DC9">
        <w:rPr>
          <w:rFonts w:ascii="Calibri" w:hAnsi="Calibri" w:cs="Calibri"/>
        </w:rPr>
        <w:t xml:space="preserve">o </w:t>
      </w:r>
      <w:r w:rsidR="00DB5DA9" w:rsidRPr="00F37DC9">
        <w:rPr>
          <w:rFonts w:ascii="Calibri" w:hAnsi="Calibri" w:cs="Calibri"/>
        </w:rPr>
        <w:t>6,4</w:t>
      </w:r>
      <w:r w:rsidR="00F97C75" w:rsidRPr="00F37DC9">
        <w:rPr>
          <w:rFonts w:ascii="Calibri" w:hAnsi="Calibri" w:cs="Calibri"/>
        </w:rPr>
        <w:t xml:space="preserve"> %</w:t>
      </w:r>
      <w:r w:rsidR="00DB5DA9" w:rsidRPr="00F37DC9">
        <w:rPr>
          <w:rFonts w:ascii="Calibri" w:hAnsi="Calibri" w:cs="Calibri"/>
        </w:rPr>
        <w:t>)</w:t>
      </w:r>
      <w:r w:rsidR="00F97C75" w:rsidRPr="00F37DC9">
        <w:rPr>
          <w:rFonts w:ascii="Calibri" w:hAnsi="Calibri" w:cs="Calibri"/>
        </w:rPr>
        <w:t xml:space="preserve">. Pro rok 2022 MMF předvídá severoamerické ekonomice </w:t>
      </w:r>
      <w:r w:rsidR="00D9338E" w:rsidRPr="00F37DC9">
        <w:rPr>
          <w:rFonts w:ascii="Calibri" w:hAnsi="Calibri" w:cs="Calibri"/>
        </w:rPr>
        <w:t xml:space="preserve">zpomalení </w:t>
      </w:r>
      <w:r w:rsidR="00435C21">
        <w:rPr>
          <w:rFonts w:ascii="Calibri" w:hAnsi="Calibri" w:cs="Calibri"/>
        </w:rPr>
        <w:br/>
      </w:r>
      <w:r w:rsidR="00D9338E" w:rsidRPr="00F37DC9">
        <w:rPr>
          <w:rFonts w:ascii="Calibri" w:hAnsi="Calibri" w:cs="Calibri"/>
        </w:rPr>
        <w:t xml:space="preserve">na </w:t>
      </w:r>
      <w:r w:rsidR="00DB5DA9" w:rsidRPr="00F37DC9">
        <w:rPr>
          <w:rFonts w:ascii="Calibri" w:hAnsi="Calibri" w:cs="Calibri"/>
        </w:rPr>
        <w:t>3</w:t>
      </w:r>
      <w:r w:rsidR="00D9338E" w:rsidRPr="00F37DC9">
        <w:rPr>
          <w:rFonts w:ascii="Calibri" w:hAnsi="Calibri" w:cs="Calibri"/>
        </w:rPr>
        <w:t>,5</w:t>
      </w:r>
      <w:r w:rsidR="00D7765B" w:rsidRPr="00F37DC9">
        <w:rPr>
          <w:rFonts w:ascii="Calibri" w:hAnsi="Calibri" w:cs="Calibri"/>
        </w:rPr>
        <w:t xml:space="preserve"> </w:t>
      </w:r>
      <w:r w:rsidR="00D9338E" w:rsidRPr="00F37DC9">
        <w:rPr>
          <w:rFonts w:ascii="Calibri" w:hAnsi="Calibri" w:cs="Calibri"/>
        </w:rPr>
        <w:t>%</w:t>
      </w:r>
      <w:r w:rsidR="00F97C75" w:rsidRPr="00F37DC9">
        <w:rPr>
          <w:rFonts w:ascii="Calibri" w:hAnsi="Calibri" w:cs="Calibri"/>
        </w:rPr>
        <w:t>.</w:t>
      </w:r>
    </w:p>
    <w:p w14:paraId="640FA93F" w14:textId="269144AB" w:rsidR="001B44EF" w:rsidRDefault="001B44EF" w:rsidP="00B4285D">
      <w:pPr>
        <w:rPr>
          <w:rFonts w:ascii="Calibri" w:hAnsi="Calibri" w:cs="Calibri"/>
          <w:sz w:val="20"/>
        </w:rPr>
      </w:pPr>
    </w:p>
    <w:p w14:paraId="2E0422B9" w14:textId="77777777" w:rsidR="00EB6C50" w:rsidRPr="00F37DC9" w:rsidRDefault="00EB6C50" w:rsidP="00B4285D">
      <w:pPr>
        <w:rPr>
          <w:rFonts w:ascii="Calibri" w:hAnsi="Calibri" w:cs="Calibri"/>
          <w:sz w:val="20"/>
        </w:rPr>
      </w:pPr>
    </w:p>
    <w:p w14:paraId="7306EF6D" w14:textId="7AB80F49" w:rsidR="00F32F3A" w:rsidRPr="00F37DC9" w:rsidRDefault="00A2430B" w:rsidP="00EB6C50">
      <w:pPr>
        <w:spacing w:after="120"/>
        <w:rPr>
          <w:rFonts w:ascii="Calibri" w:hAnsi="Calibri" w:cs="Calibri"/>
          <w:b/>
          <w:color w:val="13576B"/>
          <w:sz w:val="22"/>
          <w:szCs w:val="22"/>
        </w:rPr>
      </w:pPr>
      <w:r w:rsidRPr="00F37DC9">
        <w:rPr>
          <w:rFonts w:ascii="Calibri" w:hAnsi="Calibri" w:cs="Calibri"/>
          <w:b/>
          <w:color w:val="13576B"/>
          <w:sz w:val="22"/>
          <w:szCs w:val="22"/>
        </w:rPr>
        <w:t>Výhled h</w:t>
      </w:r>
      <w:r w:rsidR="00F32F3A" w:rsidRPr="00F37DC9">
        <w:rPr>
          <w:rFonts w:ascii="Calibri" w:hAnsi="Calibri" w:cs="Calibri"/>
          <w:b/>
          <w:color w:val="13576B"/>
          <w:sz w:val="22"/>
          <w:szCs w:val="22"/>
        </w:rPr>
        <w:t>ospodářsk</w:t>
      </w:r>
      <w:r w:rsidRPr="00F37DC9">
        <w:rPr>
          <w:rFonts w:ascii="Calibri" w:hAnsi="Calibri" w:cs="Calibri"/>
          <w:b/>
          <w:color w:val="13576B"/>
          <w:sz w:val="22"/>
          <w:szCs w:val="22"/>
        </w:rPr>
        <w:t>ého</w:t>
      </w:r>
      <w:r w:rsidR="00F32F3A" w:rsidRPr="00F37DC9">
        <w:rPr>
          <w:rFonts w:ascii="Calibri" w:hAnsi="Calibri" w:cs="Calibri"/>
          <w:b/>
          <w:color w:val="13576B"/>
          <w:sz w:val="22"/>
          <w:szCs w:val="22"/>
        </w:rPr>
        <w:t xml:space="preserve"> růst</w:t>
      </w:r>
      <w:r w:rsidRPr="00F37DC9">
        <w:rPr>
          <w:rFonts w:ascii="Calibri" w:hAnsi="Calibri" w:cs="Calibri"/>
          <w:b/>
          <w:color w:val="13576B"/>
          <w:sz w:val="22"/>
          <w:szCs w:val="22"/>
        </w:rPr>
        <w:t>u ČR</w:t>
      </w:r>
      <w:r w:rsidR="005C60BB" w:rsidRPr="00F37DC9">
        <w:rPr>
          <w:rFonts w:ascii="Calibri" w:hAnsi="Calibri" w:cs="Calibri"/>
          <w:b/>
          <w:color w:val="13576B"/>
          <w:sz w:val="22"/>
          <w:szCs w:val="22"/>
        </w:rPr>
        <w:t xml:space="preserve">: </w:t>
      </w:r>
      <w:r w:rsidR="007204F9" w:rsidRPr="00F37DC9">
        <w:rPr>
          <w:rFonts w:ascii="Calibri" w:hAnsi="Calibri" w:cs="Calibri"/>
          <w:b/>
          <w:color w:val="13576B"/>
          <w:sz w:val="22"/>
          <w:szCs w:val="22"/>
        </w:rPr>
        <w:t>po dvojím</w:t>
      </w:r>
      <w:r w:rsidR="00576028" w:rsidRPr="00F37DC9">
        <w:rPr>
          <w:rFonts w:ascii="Calibri" w:hAnsi="Calibri" w:cs="Calibri"/>
          <w:b/>
          <w:color w:val="13576B"/>
          <w:sz w:val="22"/>
          <w:szCs w:val="22"/>
        </w:rPr>
        <w:t xml:space="preserve"> propad</w:t>
      </w:r>
      <w:r w:rsidR="007204F9" w:rsidRPr="00F37DC9">
        <w:rPr>
          <w:rFonts w:ascii="Calibri" w:hAnsi="Calibri" w:cs="Calibri"/>
          <w:b/>
          <w:color w:val="13576B"/>
          <w:sz w:val="22"/>
          <w:szCs w:val="22"/>
        </w:rPr>
        <w:t xml:space="preserve">u </w:t>
      </w:r>
      <w:r w:rsidR="005C41EF" w:rsidRPr="00F37DC9">
        <w:rPr>
          <w:rFonts w:ascii="Calibri" w:hAnsi="Calibri" w:cs="Calibri"/>
          <w:b/>
          <w:color w:val="13576B"/>
          <w:sz w:val="22"/>
          <w:szCs w:val="22"/>
        </w:rPr>
        <w:t xml:space="preserve">nastává </w:t>
      </w:r>
      <w:r w:rsidR="00576028" w:rsidRPr="00F37DC9">
        <w:rPr>
          <w:rFonts w:ascii="Calibri" w:hAnsi="Calibri" w:cs="Calibri"/>
          <w:b/>
          <w:color w:val="13576B"/>
          <w:sz w:val="22"/>
          <w:szCs w:val="22"/>
        </w:rPr>
        <w:t>oživení</w:t>
      </w:r>
    </w:p>
    <w:p w14:paraId="5F07D033" w14:textId="13E4B6EE" w:rsidR="002A7837" w:rsidRDefault="00F37DC9" w:rsidP="00B4285D">
      <w:pPr>
        <w:rPr>
          <w:rFonts w:ascii="Calibri" w:hAnsi="Calibri" w:cs="Calibri"/>
          <w:sz w:val="20"/>
        </w:rPr>
      </w:pPr>
      <w:r w:rsidRPr="00C15C17">
        <w:rPr>
          <w:noProof/>
          <w:sz w:val="20"/>
        </w:rPr>
        <mc:AlternateContent>
          <mc:Choice Requires="wps">
            <w:drawing>
              <wp:anchor distT="45720" distB="45720" distL="114300" distR="114300" simplePos="0" relativeHeight="251668480" behindDoc="0" locked="0" layoutInCell="1" allowOverlap="1" wp14:anchorId="688C2926" wp14:editId="435C9D23">
                <wp:simplePos x="0" y="0"/>
                <wp:positionH relativeFrom="column">
                  <wp:posOffset>-2540</wp:posOffset>
                </wp:positionH>
                <wp:positionV relativeFrom="paragraph">
                  <wp:posOffset>1320265</wp:posOffset>
                </wp:positionV>
                <wp:extent cx="6496050" cy="928370"/>
                <wp:effectExtent l="0" t="0" r="19050"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28370"/>
                        </a:xfrm>
                        <a:prstGeom prst="rect">
                          <a:avLst/>
                        </a:prstGeom>
                        <a:solidFill>
                          <a:srgbClr val="FFFFFF"/>
                        </a:solidFill>
                        <a:ln w="9525">
                          <a:solidFill>
                            <a:srgbClr val="000000"/>
                          </a:solidFill>
                          <a:miter lim="800000"/>
                          <a:headEnd/>
                          <a:tailEnd/>
                        </a:ln>
                      </wps:spPr>
                      <wps:txbx>
                        <w:txbxContent>
                          <w:p w14:paraId="472B6095" w14:textId="742AB069" w:rsidR="00F37DC9" w:rsidRPr="00F37DC9" w:rsidRDefault="00F37DC9" w:rsidP="00F37DC9">
                            <w:pPr>
                              <w:rPr>
                                <w:rFonts w:ascii="Calibri" w:hAnsi="Calibri" w:cs="Calibri"/>
                                <w:sz w:val="20"/>
                              </w:rPr>
                            </w:pPr>
                            <w:r w:rsidRPr="00F37DC9">
                              <w:rPr>
                                <w:rFonts w:ascii="Calibri" w:hAnsi="Calibri" w:cs="Calibri"/>
                                <w:b/>
                                <w:bCs/>
                                <w:sz w:val="20"/>
                              </w:rPr>
                              <w:t>Helena Horská</w:t>
                            </w:r>
                            <w:r w:rsidRPr="00F37DC9">
                              <w:rPr>
                                <w:rFonts w:ascii="Calibri" w:hAnsi="Calibri" w:cs="Calibri"/>
                                <w:sz w:val="20"/>
                              </w:rPr>
                              <w:t>, hlavní ekonomka Raiffeisenbank:</w:t>
                            </w:r>
                          </w:p>
                          <w:p w14:paraId="662510D0" w14:textId="33A6DDF5" w:rsidR="00F37DC9" w:rsidRPr="00F37DC9" w:rsidRDefault="00F37DC9" w:rsidP="00F37DC9">
                            <w:pPr>
                              <w:rPr>
                                <w:rFonts w:ascii="Calibri" w:hAnsi="Calibri" w:cs="Calibri"/>
                                <w:i/>
                                <w:iCs/>
                              </w:rPr>
                            </w:pPr>
                            <w:r w:rsidRPr="00F37DC9">
                              <w:rPr>
                                <w:rFonts w:ascii="Calibri" w:hAnsi="Calibri" w:cs="Calibri"/>
                                <w:i/>
                                <w:iCs/>
                                <w:sz w:val="20"/>
                              </w:rPr>
                              <w:t>„V menší míře – vzhledem k oživení dovozní aktivity – k růstu české ekonomiky přispěje zahraniční obchod především zásluhou rostoucí zahraniční poptávky. Nebýt problémů s nedostatkem komponent, výpadků v globálních dodavatelsko-odběratelských řetězců a značného růstu cen v dopravě, mohlo být oživení českého exportu výraznější a dominovat restartu ekonomiky.“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C2926" id="_x0000_t202" coordsize="21600,21600" o:spt="202" path="m,l,21600r21600,l21600,xe">
                <v:stroke joinstyle="miter"/>
                <v:path gradientshapeok="t" o:connecttype="rect"/>
              </v:shapetype>
              <v:shape id="Textové pole 3" o:spid="_x0000_s1028" type="#_x0000_t202" style="position:absolute;left:0;text-align:left;margin-left:-.2pt;margin-top:103.95pt;width:511.5pt;height:7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">
                <v:textbox>
                  <w:txbxContent>
                    <w:p w14:paraId="472B6095" w14:textId="742AB069" w:rsidR="00F37DC9" w:rsidRPr="00F37DC9" w:rsidRDefault="00F37DC9" w:rsidP="00F37DC9">
                      <w:pPr>
                        <w:rPr>
                          <w:rFonts w:ascii="Calibri" w:hAnsi="Calibri" w:cs="Calibri"/>
                          <w:sz w:val="20"/>
                        </w:rPr>
                      </w:pPr>
                      <w:r w:rsidRPr="00F37DC9">
                        <w:rPr>
                          <w:rFonts w:ascii="Calibri" w:hAnsi="Calibri" w:cs="Calibri"/>
                          <w:b/>
                          <w:bCs/>
                          <w:sz w:val="20"/>
                        </w:rPr>
                        <w:t>Helena Horská</w:t>
                      </w:r>
                      <w:r w:rsidRPr="00F37DC9">
                        <w:rPr>
                          <w:rFonts w:ascii="Calibri" w:hAnsi="Calibri" w:cs="Calibri"/>
                          <w:sz w:val="20"/>
                        </w:rPr>
                        <w:t>, hlavní ekonomka Raiffeisenbank:</w:t>
                      </w:r>
                    </w:p>
                    <w:p w14:paraId="662510D0" w14:textId="33A6DDF5" w:rsidR="00F37DC9" w:rsidRPr="00F37DC9" w:rsidRDefault="00F37DC9" w:rsidP="00F37DC9">
                      <w:pPr>
                        <w:rPr>
                          <w:rFonts w:ascii="Calibri" w:hAnsi="Calibri" w:cs="Calibri"/>
                          <w:i/>
                          <w:iCs/>
                        </w:rPr>
                      </w:pPr>
                      <w:r w:rsidRPr="00F37DC9">
                        <w:rPr>
                          <w:rFonts w:ascii="Calibri" w:hAnsi="Calibri" w:cs="Calibri"/>
                          <w:i/>
                          <w:iCs/>
                          <w:sz w:val="20"/>
                        </w:rPr>
                        <w:t>„V menší míře – vzhledem k oživení dovozní aktivity – k růstu české ekonomiky přispěje zahraniční obchod především zásluhou rostoucí zahraniční poptávky. Nebýt problémů s nedostatkem komponent, výpadků v globálních dodavatelsko-odběratelských řetězců a značného růstu cen v dopravě, mohlo být oživení českého exportu výraznější a dominovat restartu ekonomiky.“</w:t>
                      </w:r>
                    </w:p>
                  </w:txbxContent>
                </v:textbox>
                <w10:wrap type="square"/>
              </v:shape>
            </w:pict>
          </mc:Fallback>
        </mc:AlternateContent>
      </w:r>
      <w:r w:rsidR="00474A86" w:rsidRPr="00F37DC9">
        <w:rPr>
          <w:rFonts w:ascii="Calibri" w:hAnsi="Calibri" w:cs="Calibri"/>
          <w:sz w:val="20"/>
        </w:rPr>
        <w:t xml:space="preserve">I když se </w:t>
      </w:r>
      <w:r w:rsidR="00E03E1A" w:rsidRPr="00F37DC9">
        <w:rPr>
          <w:rFonts w:ascii="Calibri" w:hAnsi="Calibri" w:cs="Calibri"/>
          <w:sz w:val="20"/>
        </w:rPr>
        <w:t>epidemická</w:t>
      </w:r>
      <w:r w:rsidR="009A1DCA" w:rsidRPr="00F37DC9">
        <w:rPr>
          <w:rFonts w:ascii="Calibri" w:hAnsi="Calibri" w:cs="Calibri"/>
          <w:sz w:val="20"/>
        </w:rPr>
        <w:t xml:space="preserve"> situace Česka </w:t>
      </w:r>
      <w:r w:rsidR="00474A86" w:rsidRPr="00F37DC9">
        <w:rPr>
          <w:rFonts w:ascii="Calibri" w:hAnsi="Calibri" w:cs="Calibri"/>
          <w:sz w:val="20"/>
        </w:rPr>
        <w:t>s nástupem jara, ruku v ruce s</w:t>
      </w:r>
      <w:r w:rsidR="002A7837" w:rsidRPr="00F37DC9">
        <w:rPr>
          <w:rFonts w:ascii="Calibri" w:hAnsi="Calibri" w:cs="Calibri"/>
          <w:sz w:val="20"/>
        </w:rPr>
        <w:t> konečně zrychlující</w:t>
      </w:r>
      <w:r w:rsidR="00B52170">
        <w:rPr>
          <w:rFonts w:ascii="Calibri" w:hAnsi="Calibri" w:cs="Calibri"/>
          <w:sz w:val="20"/>
        </w:rPr>
        <w:t xml:space="preserve"> se</w:t>
      </w:r>
      <w:r w:rsidR="002A7837" w:rsidRPr="00F37DC9">
        <w:rPr>
          <w:rFonts w:ascii="Calibri" w:hAnsi="Calibri" w:cs="Calibri"/>
          <w:sz w:val="20"/>
        </w:rPr>
        <w:t xml:space="preserve"> </w:t>
      </w:r>
      <w:r w:rsidR="00474A86" w:rsidRPr="00F37DC9">
        <w:rPr>
          <w:rFonts w:ascii="Calibri" w:hAnsi="Calibri" w:cs="Calibri"/>
          <w:sz w:val="20"/>
        </w:rPr>
        <w:t>vakcinací, pozvolna začala obracet k lepšímu, vyhráno zdaleka ještě není. E</w:t>
      </w:r>
      <w:r w:rsidR="009A1DCA" w:rsidRPr="00F37DC9">
        <w:rPr>
          <w:rFonts w:ascii="Calibri" w:hAnsi="Calibri" w:cs="Calibri"/>
          <w:sz w:val="20"/>
        </w:rPr>
        <w:t>xperti prognostického panelu ČBA</w:t>
      </w:r>
      <w:r w:rsidR="00D9338E" w:rsidRPr="00F37DC9">
        <w:rPr>
          <w:rFonts w:ascii="Calibri" w:hAnsi="Calibri" w:cs="Calibri"/>
          <w:sz w:val="20"/>
        </w:rPr>
        <w:t xml:space="preserve"> </w:t>
      </w:r>
      <w:r w:rsidR="00474A86" w:rsidRPr="00F37DC9">
        <w:rPr>
          <w:rFonts w:ascii="Calibri" w:hAnsi="Calibri" w:cs="Calibri"/>
          <w:sz w:val="20"/>
        </w:rPr>
        <w:t xml:space="preserve">jsou </w:t>
      </w:r>
      <w:r w:rsidR="00C31CD3" w:rsidRPr="00F37DC9">
        <w:rPr>
          <w:rFonts w:ascii="Calibri" w:hAnsi="Calibri" w:cs="Calibri"/>
          <w:sz w:val="20"/>
        </w:rPr>
        <w:t>přesto</w:t>
      </w:r>
      <w:r w:rsidR="00474A86" w:rsidRPr="00F37DC9">
        <w:rPr>
          <w:rFonts w:ascii="Calibri" w:hAnsi="Calibri" w:cs="Calibri"/>
          <w:sz w:val="20"/>
        </w:rPr>
        <w:t xml:space="preserve"> o něco optimističtější než v únoru, kdy ČBA</w:t>
      </w:r>
      <w:r w:rsidR="00C31CD3" w:rsidRPr="00F37DC9">
        <w:rPr>
          <w:rFonts w:ascii="Calibri" w:hAnsi="Calibri" w:cs="Calibri"/>
          <w:sz w:val="20"/>
        </w:rPr>
        <w:t xml:space="preserve"> prezentovala svůj první letošní hospodářský výhled. Jejich optimismus se týká především zlepšení </w:t>
      </w:r>
      <w:r w:rsidR="00C31CD3" w:rsidRPr="009B4FEE">
        <w:rPr>
          <w:rFonts w:ascii="Calibri" w:hAnsi="Calibri" w:cs="Calibri"/>
          <w:b/>
          <w:bCs/>
          <w:sz w:val="20"/>
        </w:rPr>
        <w:t xml:space="preserve">výhledu na letošek, kdy </w:t>
      </w:r>
      <w:r w:rsidR="00421049" w:rsidRPr="009B4FEE">
        <w:rPr>
          <w:rFonts w:ascii="Calibri" w:hAnsi="Calibri" w:cs="Calibri"/>
          <w:b/>
          <w:bCs/>
          <w:sz w:val="20"/>
        </w:rPr>
        <w:t>by podle mediánu jejich odhadů měl HDP meziročně vzrůst o 3,3 %</w:t>
      </w:r>
      <w:r w:rsidR="00C31CD3" w:rsidRPr="00F37DC9">
        <w:rPr>
          <w:rFonts w:ascii="Calibri" w:hAnsi="Calibri" w:cs="Calibri"/>
          <w:sz w:val="20"/>
        </w:rPr>
        <w:t>.</w:t>
      </w:r>
      <w:r w:rsidR="007948B6" w:rsidRPr="00F37DC9">
        <w:rPr>
          <w:rFonts w:ascii="Calibri" w:hAnsi="Calibri" w:cs="Calibri"/>
          <w:sz w:val="20"/>
        </w:rPr>
        <w:t xml:space="preserve"> </w:t>
      </w:r>
      <w:r w:rsidR="00CE5DCA">
        <w:rPr>
          <w:rFonts w:ascii="Calibri" w:hAnsi="Calibri" w:cs="Calibri"/>
          <w:sz w:val="20"/>
        </w:rPr>
        <w:t>P</w:t>
      </w:r>
      <w:r w:rsidR="007948B6" w:rsidRPr="00F37DC9">
        <w:rPr>
          <w:rFonts w:ascii="Calibri" w:hAnsi="Calibri" w:cs="Calibri"/>
          <w:sz w:val="20"/>
        </w:rPr>
        <w:t>o 2,1% meziročním propadu v prvním čtvrtletí</w:t>
      </w:r>
      <w:r w:rsidR="00CE5DCA">
        <w:rPr>
          <w:rFonts w:ascii="Calibri" w:hAnsi="Calibri" w:cs="Calibri"/>
          <w:sz w:val="20"/>
        </w:rPr>
        <w:t xml:space="preserve"> by h</w:t>
      </w:r>
      <w:r w:rsidR="00CE5DCA" w:rsidRPr="00F37DC9">
        <w:rPr>
          <w:rFonts w:ascii="Calibri" w:hAnsi="Calibri" w:cs="Calibri"/>
          <w:sz w:val="20"/>
        </w:rPr>
        <w:t>lavní růstový impuls</w:t>
      </w:r>
      <w:r w:rsidR="00CE5DCA">
        <w:rPr>
          <w:rFonts w:ascii="Calibri" w:hAnsi="Calibri" w:cs="Calibri"/>
          <w:sz w:val="20"/>
        </w:rPr>
        <w:t xml:space="preserve"> podle očekávání panelu ČBA</w:t>
      </w:r>
      <w:r w:rsidR="007948B6" w:rsidRPr="00F37DC9">
        <w:rPr>
          <w:rFonts w:ascii="Calibri" w:hAnsi="Calibri" w:cs="Calibri"/>
          <w:sz w:val="20"/>
        </w:rPr>
        <w:t xml:space="preserve"> </w:t>
      </w:r>
      <w:r w:rsidR="008F06AA" w:rsidRPr="00F37DC9">
        <w:rPr>
          <w:rFonts w:ascii="Calibri" w:hAnsi="Calibri" w:cs="Calibri"/>
          <w:sz w:val="20"/>
        </w:rPr>
        <w:t>měl</w:t>
      </w:r>
      <w:r w:rsidR="008F06AA">
        <w:rPr>
          <w:rFonts w:ascii="Calibri" w:hAnsi="Calibri" w:cs="Calibri"/>
          <w:sz w:val="20"/>
        </w:rPr>
        <w:t>o</w:t>
      </w:r>
      <w:r w:rsidR="008F06AA" w:rsidRPr="00F37DC9">
        <w:rPr>
          <w:rFonts w:ascii="Calibri" w:hAnsi="Calibri" w:cs="Calibri"/>
          <w:sz w:val="20"/>
        </w:rPr>
        <w:t xml:space="preserve"> </w:t>
      </w:r>
      <w:r w:rsidR="007948B6" w:rsidRPr="00F37DC9">
        <w:rPr>
          <w:rFonts w:ascii="Calibri" w:hAnsi="Calibri" w:cs="Calibri"/>
          <w:sz w:val="20"/>
        </w:rPr>
        <w:t xml:space="preserve">přinést především druhé </w:t>
      </w:r>
      <w:r w:rsidR="00435C21" w:rsidRPr="00F37DC9">
        <w:rPr>
          <w:rFonts w:ascii="Calibri" w:hAnsi="Calibri" w:cs="Calibri"/>
          <w:sz w:val="20"/>
        </w:rPr>
        <w:t xml:space="preserve">čtvrtletí </w:t>
      </w:r>
      <w:r w:rsidR="007948B6" w:rsidRPr="00F37DC9">
        <w:rPr>
          <w:rFonts w:ascii="Calibri" w:hAnsi="Calibri" w:cs="Calibri"/>
          <w:sz w:val="20"/>
        </w:rPr>
        <w:t>s meziročním tempem růstu 8,4 %.</w:t>
      </w:r>
      <w:r w:rsidR="00421049" w:rsidRPr="00F37DC9">
        <w:rPr>
          <w:rFonts w:ascii="Calibri" w:hAnsi="Calibri" w:cs="Calibri"/>
          <w:sz w:val="20"/>
        </w:rPr>
        <w:t xml:space="preserve"> Podle názoru </w:t>
      </w:r>
      <w:r w:rsidR="00C83793">
        <w:rPr>
          <w:rFonts w:ascii="Calibri" w:hAnsi="Calibri" w:cs="Calibri"/>
          <w:sz w:val="20"/>
        </w:rPr>
        <w:t xml:space="preserve">bankovních ekonomů </w:t>
      </w:r>
      <w:r w:rsidR="00421049" w:rsidRPr="00F37DC9">
        <w:rPr>
          <w:rFonts w:ascii="Calibri" w:hAnsi="Calibri" w:cs="Calibri"/>
          <w:sz w:val="20"/>
        </w:rPr>
        <w:t>se o zesilování počínajícího oživení v zásadě rovnoměrně postará spotřeba domácností, u níž očekávají 2,</w:t>
      </w:r>
      <w:r w:rsidR="00087A3D" w:rsidRPr="00F37DC9">
        <w:rPr>
          <w:rFonts w:ascii="Calibri" w:hAnsi="Calibri" w:cs="Calibri"/>
          <w:sz w:val="20"/>
        </w:rPr>
        <w:t>2</w:t>
      </w:r>
      <w:r w:rsidR="00421049" w:rsidRPr="00F37DC9">
        <w:rPr>
          <w:rFonts w:ascii="Calibri" w:hAnsi="Calibri" w:cs="Calibri"/>
          <w:sz w:val="20"/>
        </w:rPr>
        <w:t xml:space="preserve">% meziroční růst, </w:t>
      </w:r>
      <w:r w:rsidR="00087A3D" w:rsidRPr="00F37DC9">
        <w:rPr>
          <w:rFonts w:ascii="Calibri" w:hAnsi="Calibri" w:cs="Calibri"/>
          <w:sz w:val="20"/>
        </w:rPr>
        <w:t xml:space="preserve">vládní spotřeba s tempem růstu 2,6 % a </w:t>
      </w:r>
      <w:r w:rsidR="00C83793">
        <w:rPr>
          <w:rFonts w:ascii="Calibri" w:hAnsi="Calibri" w:cs="Calibri"/>
          <w:sz w:val="20"/>
        </w:rPr>
        <w:t>(</w:t>
      </w:r>
      <w:r w:rsidR="00087A3D" w:rsidRPr="00F37DC9">
        <w:rPr>
          <w:rFonts w:ascii="Calibri" w:hAnsi="Calibri" w:cs="Calibri"/>
          <w:sz w:val="20"/>
        </w:rPr>
        <w:t>spíše ve druhé polovině roku</w:t>
      </w:r>
      <w:r w:rsidR="00C83793">
        <w:rPr>
          <w:rFonts w:ascii="Calibri" w:hAnsi="Calibri" w:cs="Calibri"/>
          <w:sz w:val="20"/>
        </w:rPr>
        <w:t>)</w:t>
      </w:r>
      <w:r w:rsidR="00087A3D" w:rsidRPr="00F37DC9">
        <w:rPr>
          <w:rFonts w:ascii="Calibri" w:hAnsi="Calibri" w:cs="Calibri"/>
          <w:sz w:val="20"/>
        </w:rPr>
        <w:t xml:space="preserve"> i investice, u kterých očekávají meziroční růst o 2 %. </w:t>
      </w:r>
    </w:p>
    <w:p w14:paraId="53C7D0DD" w14:textId="3CD691F8" w:rsidR="00F37DC9" w:rsidRDefault="00F37DC9" w:rsidP="00B4285D">
      <w:pPr>
        <w:rPr>
          <w:rFonts w:ascii="Calibri" w:hAnsi="Calibri" w:cs="Calibri"/>
          <w:sz w:val="20"/>
        </w:rPr>
      </w:pPr>
    </w:p>
    <w:p w14:paraId="603FEB81" w14:textId="078BCEC3" w:rsidR="007948B6" w:rsidRPr="00F37DC9" w:rsidRDefault="00B639BE" w:rsidP="00B4285D">
      <w:pPr>
        <w:rPr>
          <w:rFonts w:ascii="Calibri" w:hAnsi="Calibri" w:cs="Calibri"/>
          <w:sz w:val="20"/>
        </w:rPr>
      </w:pPr>
      <w:r w:rsidRPr="00F37DC9">
        <w:rPr>
          <w:rFonts w:ascii="Calibri" w:hAnsi="Calibri" w:cs="Calibri"/>
          <w:sz w:val="20"/>
        </w:rPr>
        <w:t xml:space="preserve">Pro </w:t>
      </w:r>
      <w:r w:rsidRPr="00F37DC9">
        <w:rPr>
          <w:rFonts w:ascii="Calibri" w:hAnsi="Calibri" w:cs="Calibri"/>
          <w:b/>
          <w:sz w:val="20"/>
        </w:rPr>
        <w:t>rok 2022</w:t>
      </w:r>
      <w:r w:rsidRPr="009B4FEE">
        <w:rPr>
          <w:rFonts w:ascii="Calibri" w:hAnsi="Calibri" w:cs="Calibri"/>
          <w:b/>
          <w:bCs/>
          <w:sz w:val="20"/>
        </w:rPr>
        <w:t xml:space="preserve"> </w:t>
      </w:r>
      <w:r w:rsidR="00087A3D" w:rsidRPr="009B4FEE">
        <w:rPr>
          <w:rFonts w:ascii="Calibri" w:hAnsi="Calibri" w:cs="Calibri"/>
          <w:b/>
          <w:bCs/>
          <w:sz w:val="20"/>
        </w:rPr>
        <w:t>očekávají</w:t>
      </w:r>
      <w:r w:rsidRPr="009B4FEE">
        <w:rPr>
          <w:rFonts w:ascii="Calibri" w:hAnsi="Calibri" w:cs="Calibri"/>
          <w:b/>
          <w:bCs/>
          <w:sz w:val="20"/>
        </w:rPr>
        <w:t xml:space="preserve"> hlavní ekonomové bank </w:t>
      </w:r>
      <w:r w:rsidR="00087A3D" w:rsidRPr="009B4FEE">
        <w:rPr>
          <w:rFonts w:ascii="Calibri" w:hAnsi="Calibri" w:cs="Calibri"/>
          <w:b/>
          <w:bCs/>
          <w:sz w:val="20"/>
        </w:rPr>
        <w:t>4,3</w:t>
      </w:r>
      <w:r w:rsidR="009F1744" w:rsidRPr="009B4FEE">
        <w:rPr>
          <w:rFonts w:ascii="Calibri" w:hAnsi="Calibri" w:cs="Calibri"/>
          <w:b/>
          <w:bCs/>
          <w:sz w:val="20"/>
        </w:rPr>
        <w:t>% růst HDP</w:t>
      </w:r>
      <w:r w:rsidR="00087A3D" w:rsidRPr="00F37DC9">
        <w:rPr>
          <w:rFonts w:ascii="Calibri" w:hAnsi="Calibri" w:cs="Calibri"/>
          <w:sz w:val="20"/>
        </w:rPr>
        <w:t xml:space="preserve">, který </w:t>
      </w:r>
      <w:r w:rsidR="00571647" w:rsidRPr="00F37DC9">
        <w:rPr>
          <w:rFonts w:ascii="Calibri" w:hAnsi="Calibri" w:cs="Calibri"/>
          <w:sz w:val="20"/>
        </w:rPr>
        <w:t xml:space="preserve">by </w:t>
      </w:r>
      <w:r w:rsidR="00087A3D" w:rsidRPr="00F37DC9">
        <w:rPr>
          <w:rFonts w:ascii="Calibri" w:hAnsi="Calibri" w:cs="Calibri"/>
          <w:sz w:val="20"/>
        </w:rPr>
        <w:t xml:space="preserve">vedle spotřeby zrychlující na </w:t>
      </w:r>
      <w:r w:rsidR="00E03E1A" w:rsidRPr="00F37DC9">
        <w:rPr>
          <w:rFonts w:ascii="Calibri" w:hAnsi="Calibri" w:cs="Calibri"/>
          <w:sz w:val="20"/>
        </w:rPr>
        <w:t xml:space="preserve">meziroční tempo růstu ve výši </w:t>
      </w:r>
      <w:r w:rsidR="00087A3D" w:rsidRPr="00F37DC9">
        <w:rPr>
          <w:rFonts w:ascii="Calibri" w:hAnsi="Calibri" w:cs="Calibri"/>
          <w:sz w:val="20"/>
        </w:rPr>
        <w:t>3,3</w:t>
      </w:r>
      <w:r w:rsidR="00435C21">
        <w:rPr>
          <w:rFonts w:ascii="Calibri" w:hAnsi="Calibri" w:cs="Calibri"/>
          <w:sz w:val="20"/>
        </w:rPr>
        <w:t xml:space="preserve"> </w:t>
      </w:r>
      <w:r w:rsidR="00087A3D" w:rsidRPr="00F37DC9">
        <w:rPr>
          <w:rFonts w:ascii="Calibri" w:hAnsi="Calibri" w:cs="Calibri"/>
          <w:sz w:val="20"/>
        </w:rPr>
        <w:t xml:space="preserve">% </w:t>
      </w:r>
      <w:r w:rsidR="00571647" w:rsidRPr="00F37DC9">
        <w:rPr>
          <w:rFonts w:ascii="Calibri" w:hAnsi="Calibri" w:cs="Calibri"/>
          <w:sz w:val="20"/>
        </w:rPr>
        <w:t>měl</w:t>
      </w:r>
      <w:r w:rsidR="00087A3D" w:rsidRPr="00F37DC9">
        <w:rPr>
          <w:rFonts w:ascii="Calibri" w:hAnsi="Calibri" w:cs="Calibri"/>
          <w:sz w:val="20"/>
        </w:rPr>
        <w:t xml:space="preserve"> být tažen především výrazným 7% oživením investiční aktivity firem. </w:t>
      </w:r>
      <w:r w:rsidR="007948B6" w:rsidRPr="00F37DC9">
        <w:rPr>
          <w:rFonts w:ascii="Calibri" w:hAnsi="Calibri" w:cs="Calibri"/>
          <w:sz w:val="20"/>
        </w:rPr>
        <w:t>Veřejná spotřeba by oproti letošku měla růst pouze 1% tempem a pokračující dovozní aktivita způsobí, že čisté exporty budou k růstu přispívat pouze nepatrně.</w:t>
      </w:r>
    </w:p>
    <w:p w14:paraId="5A2AAB49" w14:textId="67AD5A08" w:rsidR="007948B6" w:rsidRDefault="007948B6" w:rsidP="00B4285D">
      <w:pPr>
        <w:rPr>
          <w:rFonts w:ascii="Calibri" w:hAnsi="Calibri" w:cs="Calibri"/>
          <w:sz w:val="20"/>
        </w:rPr>
      </w:pPr>
      <w:r w:rsidRPr="00F37DC9">
        <w:rPr>
          <w:rFonts w:ascii="Calibri" w:hAnsi="Calibri" w:cs="Calibri"/>
          <w:sz w:val="20"/>
        </w:rPr>
        <w:t xml:space="preserve"> </w:t>
      </w:r>
    </w:p>
    <w:p w14:paraId="0063D6F4" w14:textId="77777777" w:rsidR="00EB6C50" w:rsidRPr="00F37DC9" w:rsidRDefault="00EB6C50" w:rsidP="00B4285D">
      <w:pPr>
        <w:rPr>
          <w:rFonts w:ascii="Calibri" w:hAnsi="Calibri" w:cs="Calibri"/>
          <w:sz w:val="20"/>
        </w:rPr>
      </w:pPr>
    </w:p>
    <w:p w14:paraId="2FB25880" w14:textId="484A9423" w:rsidR="005C60BB" w:rsidRPr="00F37DC9" w:rsidRDefault="005C60BB" w:rsidP="00EB6C50">
      <w:pPr>
        <w:spacing w:after="120"/>
        <w:rPr>
          <w:rFonts w:ascii="Calibri" w:hAnsi="Calibri" w:cs="Calibri"/>
          <w:b/>
          <w:color w:val="007E79"/>
          <w:sz w:val="22"/>
          <w:szCs w:val="22"/>
        </w:rPr>
      </w:pPr>
      <w:r w:rsidRPr="00F37DC9">
        <w:rPr>
          <w:rFonts w:ascii="Calibri" w:hAnsi="Calibri" w:cs="Calibri"/>
          <w:b/>
          <w:color w:val="13576B"/>
          <w:sz w:val="22"/>
          <w:szCs w:val="22"/>
        </w:rPr>
        <w:t>Trh práce</w:t>
      </w:r>
      <w:r w:rsidR="00C83793">
        <w:rPr>
          <w:rFonts w:ascii="Calibri" w:hAnsi="Calibri" w:cs="Calibri"/>
          <w:b/>
          <w:color w:val="13576B"/>
          <w:sz w:val="22"/>
          <w:szCs w:val="22"/>
        </w:rPr>
        <w:t>:</w:t>
      </w:r>
      <w:r w:rsidR="006A54C3" w:rsidRPr="00F37DC9">
        <w:rPr>
          <w:rFonts w:ascii="Calibri" w:hAnsi="Calibri" w:cs="Calibri"/>
          <w:b/>
          <w:color w:val="13576B"/>
          <w:sz w:val="22"/>
          <w:szCs w:val="22"/>
        </w:rPr>
        <w:t xml:space="preserve"> </w:t>
      </w:r>
      <w:r w:rsidR="00835E99" w:rsidRPr="00F37DC9">
        <w:rPr>
          <w:rFonts w:ascii="Calibri" w:hAnsi="Calibri" w:cs="Calibri"/>
          <w:b/>
          <w:color w:val="13576B"/>
          <w:sz w:val="22"/>
          <w:szCs w:val="22"/>
        </w:rPr>
        <w:t xml:space="preserve">nezaměstnanost </w:t>
      </w:r>
      <w:r w:rsidR="00C83793">
        <w:rPr>
          <w:rFonts w:ascii="Calibri" w:hAnsi="Calibri" w:cs="Calibri"/>
          <w:b/>
          <w:color w:val="13576B"/>
          <w:sz w:val="22"/>
          <w:szCs w:val="22"/>
        </w:rPr>
        <w:t xml:space="preserve">je </w:t>
      </w:r>
      <w:r w:rsidR="00835E99" w:rsidRPr="00F37DC9">
        <w:rPr>
          <w:rFonts w:ascii="Calibri" w:hAnsi="Calibri" w:cs="Calibri"/>
          <w:b/>
          <w:color w:val="13576B"/>
          <w:sz w:val="22"/>
          <w:szCs w:val="22"/>
        </w:rPr>
        <w:t xml:space="preserve">navzdory pandemii nízká, </w:t>
      </w:r>
      <w:r w:rsidR="006A54C3" w:rsidRPr="00F37DC9">
        <w:rPr>
          <w:rFonts w:ascii="Calibri" w:hAnsi="Calibri" w:cs="Calibri"/>
          <w:b/>
          <w:color w:val="13576B"/>
          <w:sz w:val="22"/>
          <w:szCs w:val="22"/>
        </w:rPr>
        <w:t xml:space="preserve">strukturální problémy </w:t>
      </w:r>
      <w:r w:rsidR="00C83793">
        <w:rPr>
          <w:rFonts w:ascii="Calibri" w:hAnsi="Calibri" w:cs="Calibri"/>
          <w:b/>
          <w:color w:val="13576B"/>
          <w:sz w:val="22"/>
          <w:szCs w:val="22"/>
        </w:rPr>
        <w:t xml:space="preserve">ale </w:t>
      </w:r>
      <w:r w:rsidR="006A54C3" w:rsidRPr="00F37DC9">
        <w:rPr>
          <w:rFonts w:ascii="Calibri" w:hAnsi="Calibri" w:cs="Calibri"/>
          <w:b/>
          <w:color w:val="13576B"/>
          <w:sz w:val="22"/>
          <w:szCs w:val="22"/>
        </w:rPr>
        <w:t>přetrvávají</w:t>
      </w:r>
    </w:p>
    <w:p w14:paraId="52223CA0" w14:textId="60B7A6FE" w:rsidR="00B85767" w:rsidRPr="00F37DC9" w:rsidRDefault="00EB6C50" w:rsidP="00B4285D">
      <w:pPr>
        <w:rPr>
          <w:rFonts w:ascii="Calibri" w:hAnsi="Calibri" w:cs="Calibri"/>
          <w:noProof/>
          <w:sz w:val="20"/>
        </w:rPr>
      </w:pPr>
      <w:r w:rsidRPr="00C15C17">
        <w:rPr>
          <w:noProof/>
          <w:sz w:val="20"/>
        </w:rPr>
        <mc:AlternateContent>
          <mc:Choice Requires="wps">
            <w:drawing>
              <wp:anchor distT="45720" distB="45720" distL="114300" distR="114300" simplePos="0" relativeHeight="251670528" behindDoc="0" locked="0" layoutInCell="1" allowOverlap="1" wp14:anchorId="7CEA9339" wp14:editId="69E2F894">
                <wp:simplePos x="0" y="0"/>
                <wp:positionH relativeFrom="column">
                  <wp:posOffset>-26670</wp:posOffset>
                </wp:positionH>
                <wp:positionV relativeFrom="paragraph">
                  <wp:posOffset>1671955</wp:posOffset>
                </wp:positionV>
                <wp:extent cx="6496050" cy="762000"/>
                <wp:effectExtent l="0" t="0" r="19050" b="1905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62000"/>
                        </a:xfrm>
                        <a:prstGeom prst="rect">
                          <a:avLst/>
                        </a:prstGeom>
                        <a:solidFill>
                          <a:srgbClr val="FFFFFF"/>
                        </a:solidFill>
                        <a:ln w="9525">
                          <a:solidFill>
                            <a:srgbClr val="000000"/>
                          </a:solidFill>
                          <a:miter lim="800000"/>
                          <a:headEnd/>
                          <a:tailEnd/>
                        </a:ln>
                      </wps:spPr>
                      <wps:txbx>
                        <w:txbxContent>
                          <w:p w14:paraId="35EB7B47" w14:textId="7B5644B9" w:rsidR="00F37DC9" w:rsidRPr="00F37DC9" w:rsidRDefault="00EB6C50" w:rsidP="00F37DC9">
                            <w:pPr>
                              <w:rPr>
                                <w:rFonts w:ascii="Calibri" w:hAnsi="Calibri" w:cs="Calibri"/>
                                <w:sz w:val="20"/>
                              </w:rPr>
                            </w:pPr>
                            <w:r>
                              <w:rPr>
                                <w:rFonts w:ascii="Calibri" w:hAnsi="Calibri" w:cs="Calibri"/>
                                <w:b/>
                                <w:bCs/>
                                <w:sz w:val="20"/>
                              </w:rPr>
                              <w:t>Jan Vejmělek</w:t>
                            </w:r>
                            <w:r w:rsidR="00F37DC9" w:rsidRPr="00F37DC9">
                              <w:rPr>
                                <w:rFonts w:ascii="Calibri" w:hAnsi="Calibri" w:cs="Calibri"/>
                                <w:sz w:val="20"/>
                              </w:rPr>
                              <w:t xml:space="preserve">, hlavní ekonom </w:t>
                            </w:r>
                            <w:r>
                              <w:rPr>
                                <w:rFonts w:ascii="Calibri" w:hAnsi="Calibri" w:cs="Calibri"/>
                                <w:sz w:val="20"/>
                              </w:rPr>
                              <w:t>Komerční banky</w:t>
                            </w:r>
                            <w:r w:rsidR="00F37DC9" w:rsidRPr="00F37DC9">
                              <w:rPr>
                                <w:rFonts w:ascii="Calibri" w:hAnsi="Calibri" w:cs="Calibri"/>
                                <w:sz w:val="20"/>
                              </w:rPr>
                              <w:t>:</w:t>
                            </w:r>
                          </w:p>
                          <w:p w14:paraId="25E51E06" w14:textId="5E945FFE" w:rsidR="00F37DC9" w:rsidRPr="00EB6C50" w:rsidRDefault="00EB6C50" w:rsidP="00EB6C50">
                            <w:pPr>
                              <w:rPr>
                                <w:rFonts w:ascii="Calibri" w:hAnsi="Calibri" w:cs="Calibri"/>
                                <w:i/>
                                <w:iCs/>
                              </w:rPr>
                            </w:pPr>
                            <w:r w:rsidRPr="00EB6C50">
                              <w:rPr>
                                <w:rFonts w:ascii="Calibri" w:hAnsi="Calibri" w:cs="Calibri"/>
                                <w:i/>
                                <w:iCs/>
                                <w:noProof/>
                                <w:sz w:val="20"/>
                              </w:rPr>
                              <w:t xml:space="preserve">„Vládní programy Antivitrus a schválený kurzarbeit znamenají, že nezaměstnanost již nahoru příliš nevyskočí. Na druhou stranu bude pomaleji i klesat. </w:t>
                            </w:r>
                            <w:r w:rsidR="00435C21" w:rsidRPr="00435C21">
                              <w:rPr>
                                <w:rFonts w:ascii="Calibri" w:hAnsi="Calibri" w:cs="Calibri"/>
                                <w:i/>
                                <w:iCs/>
                                <w:noProof/>
                                <w:sz w:val="20"/>
                              </w:rPr>
                              <w:t>Struktura ekonomiky totiž bude jiná než před pandemií a nižší flexibilita trhu práce nebude žádoucím strukturálním změnám příliš pomáhat.</w:t>
                            </w:r>
                            <w:r w:rsidRPr="00EB6C50">
                              <w:rPr>
                                <w:rFonts w:ascii="Calibri" w:hAnsi="Calibri" w:cs="Calibri"/>
                                <w:i/>
                                <w:iCs/>
                                <w:noProof/>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A9339" id="Textové pole 5" o:spid="_x0000_s1029" type="#_x0000_t202" style="position:absolute;left:0;text-align:left;margin-left:-2.1pt;margin-top:131.65pt;width:511.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">
                <v:textbox>
                  <w:txbxContent>
                    <w:p w14:paraId="35EB7B47" w14:textId="7B5644B9" w:rsidR="00F37DC9" w:rsidRPr="00F37DC9" w:rsidRDefault="00EB6C50" w:rsidP="00F37DC9">
                      <w:pPr>
                        <w:rPr>
                          <w:rFonts w:ascii="Calibri" w:hAnsi="Calibri" w:cs="Calibri"/>
                          <w:sz w:val="20"/>
                        </w:rPr>
                      </w:pPr>
                      <w:r>
                        <w:rPr>
                          <w:rFonts w:ascii="Calibri" w:hAnsi="Calibri" w:cs="Calibri"/>
                          <w:b/>
                          <w:bCs/>
                          <w:sz w:val="20"/>
                        </w:rPr>
                        <w:t xml:space="preserve">Jan </w:t>
                      </w:r>
                      <w:proofErr w:type="spellStart"/>
                      <w:r>
                        <w:rPr>
                          <w:rFonts w:ascii="Calibri" w:hAnsi="Calibri" w:cs="Calibri"/>
                          <w:b/>
                          <w:bCs/>
                          <w:sz w:val="20"/>
                        </w:rPr>
                        <w:t>Vejmělek</w:t>
                      </w:r>
                      <w:proofErr w:type="spellEnd"/>
                      <w:r w:rsidR="00F37DC9" w:rsidRPr="00F37DC9">
                        <w:rPr>
                          <w:rFonts w:ascii="Calibri" w:hAnsi="Calibri" w:cs="Calibri"/>
                          <w:sz w:val="20"/>
                        </w:rPr>
                        <w:t xml:space="preserve">, hlavní ekonom </w:t>
                      </w:r>
                      <w:r>
                        <w:rPr>
                          <w:rFonts w:ascii="Calibri" w:hAnsi="Calibri" w:cs="Calibri"/>
                          <w:sz w:val="20"/>
                        </w:rPr>
                        <w:t>Komerční banky</w:t>
                      </w:r>
                      <w:r w:rsidR="00F37DC9" w:rsidRPr="00F37DC9">
                        <w:rPr>
                          <w:rFonts w:ascii="Calibri" w:hAnsi="Calibri" w:cs="Calibri"/>
                          <w:sz w:val="20"/>
                        </w:rPr>
                        <w:t>:</w:t>
                      </w:r>
                    </w:p>
                    <w:p w14:paraId="25E51E06" w14:textId="5E945FFE" w:rsidR="00F37DC9" w:rsidRPr="00EB6C50" w:rsidRDefault="00EB6C50" w:rsidP="00EB6C50">
                      <w:pPr>
                        <w:rPr>
                          <w:rFonts w:ascii="Calibri" w:hAnsi="Calibri" w:cs="Calibri"/>
                          <w:i/>
                          <w:iCs/>
                        </w:rPr>
                      </w:pPr>
                      <w:r w:rsidRPr="00EB6C50">
                        <w:rPr>
                          <w:rFonts w:ascii="Calibri" w:hAnsi="Calibri" w:cs="Calibri"/>
                          <w:i/>
                          <w:iCs/>
                          <w:noProof/>
                          <w:sz w:val="20"/>
                        </w:rPr>
                        <w:t xml:space="preserve">„Vládní programy Antivitrus a schválený kurzarbeit znamenají, že nezaměstnanost již nahoru příliš nevyskočí. Na druhou stranu bude pomaleji i klesat. </w:t>
                      </w:r>
                      <w:r w:rsidR="00435C21" w:rsidRPr="00435C21">
                        <w:rPr>
                          <w:rFonts w:ascii="Calibri" w:hAnsi="Calibri" w:cs="Calibri"/>
                          <w:i/>
                          <w:iCs/>
                          <w:noProof/>
                          <w:sz w:val="20"/>
                        </w:rPr>
                        <w:t>Struktura ekonomiky totiž bude jiná než před pandemií a nižší flexibilita trhu práce nebude žádoucím strukturálním změnám příliš pomáhat.</w:t>
                      </w:r>
                      <w:r w:rsidRPr="00EB6C50">
                        <w:rPr>
                          <w:rFonts w:ascii="Calibri" w:hAnsi="Calibri" w:cs="Calibri"/>
                          <w:i/>
                          <w:iCs/>
                          <w:noProof/>
                          <w:sz w:val="20"/>
                        </w:rPr>
                        <w:t>“</w:t>
                      </w:r>
                    </w:p>
                  </w:txbxContent>
                </v:textbox>
                <w10:wrap type="square"/>
              </v:shape>
            </w:pict>
          </mc:Fallback>
        </mc:AlternateContent>
      </w:r>
      <w:r w:rsidR="004C1B31" w:rsidRPr="00F37DC9">
        <w:rPr>
          <w:rFonts w:ascii="Calibri" w:hAnsi="Calibri" w:cs="Calibri"/>
          <w:noProof/>
          <w:sz w:val="20"/>
        </w:rPr>
        <w:t>Mezera mezi volnými pracovními místy a počtem nezaměstnaných se od nejvyšší hodnoty</w:t>
      </w:r>
      <w:r w:rsidR="00026596" w:rsidRPr="00F37DC9">
        <w:rPr>
          <w:rFonts w:ascii="Calibri" w:hAnsi="Calibri" w:cs="Calibri"/>
          <w:noProof/>
          <w:sz w:val="20"/>
        </w:rPr>
        <w:t xml:space="preserve"> na začátku pandemie</w:t>
      </w:r>
      <w:r w:rsidR="005B12FA" w:rsidRPr="00F37DC9">
        <w:rPr>
          <w:rFonts w:ascii="Calibri" w:hAnsi="Calibri" w:cs="Calibri"/>
          <w:noProof/>
          <w:sz w:val="20"/>
        </w:rPr>
        <w:t xml:space="preserve"> v březnu 2020</w:t>
      </w:r>
      <w:r w:rsidR="004C1B31" w:rsidRPr="00F37DC9">
        <w:rPr>
          <w:rFonts w:ascii="Calibri" w:hAnsi="Calibri" w:cs="Calibri"/>
          <w:noProof/>
          <w:sz w:val="20"/>
        </w:rPr>
        <w:t xml:space="preserve">, kdy volných míst bylo o cca 124 tisíc více než žadatelů, postupně uzavírala. </w:t>
      </w:r>
      <w:r w:rsidR="00B82C4A" w:rsidRPr="00F37DC9">
        <w:rPr>
          <w:rFonts w:ascii="Calibri" w:hAnsi="Calibri" w:cs="Calibri"/>
          <w:noProof/>
          <w:sz w:val="20"/>
        </w:rPr>
        <w:t xml:space="preserve">Rok 2021 začal lednovým </w:t>
      </w:r>
      <w:r w:rsidR="00026596" w:rsidRPr="00F37DC9">
        <w:rPr>
          <w:rFonts w:ascii="Calibri" w:hAnsi="Calibri" w:cs="Calibri"/>
          <w:noProof/>
          <w:sz w:val="20"/>
        </w:rPr>
        <w:t>„</w:t>
      </w:r>
      <w:r w:rsidR="004C1B31" w:rsidRPr="00F37DC9">
        <w:rPr>
          <w:rFonts w:ascii="Calibri" w:hAnsi="Calibri" w:cs="Calibri"/>
          <w:noProof/>
          <w:sz w:val="20"/>
        </w:rPr>
        <w:t>převis</w:t>
      </w:r>
      <w:r w:rsidR="00B82C4A" w:rsidRPr="00F37DC9">
        <w:rPr>
          <w:rFonts w:ascii="Calibri" w:hAnsi="Calibri" w:cs="Calibri"/>
          <w:noProof/>
          <w:sz w:val="20"/>
        </w:rPr>
        <w:t>em</w:t>
      </w:r>
      <w:r w:rsidR="00026596" w:rsidRPr="00F37DC9">
        <w:rPr>
          <w:rFonts w:ascii="Calibri" w:hAnsi="Calibri" w:cs="Calibri"/>
          <w:noProof/>
          <w:sz w:val="20"/>
        </w:rPr>
        <w:t>“</w:t>
      </w:r>
      <w:r w:rsidR="004C1B31" w:rsidRPr="00F37DC9">
        <w:rPr>
          <w:rFonts w:ascii="Calibri" w:hAnsi="Calibri" w:cs="Calibri"/>
          <w:noProof/>
          <w:sz w:val="20"/>
        </w:rPr>
        <w:t xml:space="preserve"> volných míst na úrovni „pouhých“ </w:t>
      </w:r>
      <w:r w:rsidR="005B12FA" w:rsidRPr="00F37DC9">
        <w:rPr>
          <w:rFonts w:ascii="Calibri" w:hAnsi="Calibri" w:cs="Calibri"/>
          <w:noProof/>
          <w:sz w:val="20"/>
        </w:rPr>
        <w:t>16,</w:t>
      </w:r>
      <w:r w:rsidR="00B82C4A" w:rsidRPr="00F37DC9">
        <w:rPr>
          <w:rFonts w:ascii="Calibri" w:hAnsi="Calibri" w:cs="Calibri"/>
          <w:noProof/>
          <w:sz w:val="20"/>
        </w:rPr>
        <w:t>8</w:t>
      </w:r>
      <w:r w:rsidR="004C1B31" w:rsidRPr="00F37DC9">
        <w:rPr>
          <w:rFonts w:ascii="Calibri" w:hAnsi="Calibri" w:cs="Calibri"/>
          <w:noProof/>
          <w:sz w:val="20"/>
        </w:rPr>
        <w:t xml:space="preserve"> tisíc</w:t>
      </w:r>
      <w:r w:rsidR="00B82C4A" w:rsidRPr="00F37DC9">
        <w:rPr>
          <w:rFonts w:ascii="Calibri" w:hAnsi="Calibri" w:cs="Calibri"/>
          <w:noProof/>
          <w:sz w:val="20"/>
        </w:rPr>
        <w:t xml:space="preserve">e, ovšem poté se trend začal obracet a na konci března </w:t>
      </w:r>
      <w:r w:rsidR="00EC720E" w:rsidRPr="00F37DC9">
        <w:rPr>
          <w:rFonts w:ascii="Calibri" w:hAnsi="Calibri" w:cs="Calibri"/>
          <w:noProof/>
          <w:sz w:val="20"/>
        </w:rPr>
        <w:t xml:space="preserve">bylo </w:t>
      </w:r>
      <w:r w:rsidR="00B82C4A" w:rsidRPr="00F37DC9">
        <w:rPr>
          <w:rFonts w:ascii="Calibri" w:hAnsi="Calibri" w:cs="Calibri"/>
          <w:noProof/>
          <w:sz w:val="20"/>
        </w:rPr>
        <w:t>přes 32 tisíc neobsazených míst</w:t>
      </w:r>
      <w:r w:rsidR="009F5C2E" w:rsidRPr="00F37DC9">
        <w:rPr>
          <w:rFonts w:ascii="Calibri" w:hAnsi="Calibri" w:cs="Calibri"/>
          <w:noProof/>
          <w:sz w:val="20"/>
        </w:rPr>
        <w:t xml:space="preserve"> navíc oproti počtu dostupných uchazečů o zaměstnání</w:t>
      </w:r>
      <w:r w:rsidR="00B82C4A" w:rsidRPr="00F37DC9">
        <w:rPr>
          <w:rFonts w:ascii="Calibri" w:hAnsi="Calibri" w:cs="Calibri"/>
          <w:noProof/>
          <w:sz w:val="20"/>
        </w:rPr>
        <w:t>.</w:t>
      </w:r>
      <w:r w:rsidR="00FC7377">
        <w:rPr>
          <w:rFonts w:ascii="Calibri" w:hAnsi="Calibri" w:cs="Calibri"/>
          <w:noProof/>
          <w:sz w:val="20"/>
        </w:rPr>
        <w:t xml:space="preserve"> </w:t>
      </w:r>
      <w:r w:rsidR="000D7C38" w:rsidRPr="00F37DC9">
        <w:rPr>
          <w:rFonts w:ascii="Calibri" w:hAnsi="Calibri" w:cs="Calibri"/>
          <w:noProof/>
          <w:sz w:val="20"/>
        </w:rPr>
        <w:t>Č</w:t>
      </w:r>
      <w:r w:rsidR="00026596" w:rsidRPr="00F37DC9">
        <w:rPr>
          <w:rFonts w:ascii="Calibri" w:hAnsi="Calibri" w:cs="Calibri"/>
          <w:noProof/>
          <w:sz w:val="20"/>
        </w:rPr>
        <w:t xml:space="preserve">eská ekonomika </w:t>
      </w:r>
      <w:r w:rsidR="00FC7377">
        <w:rPr>
          <w:rFonts w:ascii="Calibri" w:hAnsi="Calibri" w:cs="Calibri"/>
          <w:noProof/>
          <w:sz w:val="20"/>
        </w:rPr>
        <w:t xml:space="preserve">je </w:t>
      </w:r>
      <w:r w:rsidR="00026596" w:rsidRPr="00F37DC9">
        <w:rPr>
          <w:rFonts w:ascii="Calibri" w:hAnsi="Calibri" w:cs="Calibri"/>
          <w:noProof/>
          <w:sz w:val="20"/>
        </w:rPr>
        <w:t xml:space="preserve">v rámci EU </w:t>
      </w:r>
      <w:r w:rsidR="000162B2" w:rsidRPr="00F37DC9">
        <w:rPr>
          <w:rFonts w:ascii="Calibri" w:hAnsi="Calibri" w:cs="Calibri"/>
          <w:noProof/>
          <w:sz w:val="20"/>
        </w:rPr>
        <w:t xml:space="preserve">stále </w:t>
      </w:r>
      <w:r w:rsidR="00026596" w:rsidRPr="00F37DC9">
        <w:rPr>
          <w:rFonts w:ascii="Calibri" w:hAnsi="Calibri" w:cs="Calibri"/>
          <w:noProof/>
          <w:sz w:val="20"/>
        </w:rPr>
        <w:t xml:space="preserve">v relativně unikátní situaci </w:t>
      </w:r>
      <w:r w:rsidR="00EB3C69" w:rsidRPr="00F37DC9">
        <w:rPr>
          <w:rFonts w:ascii="Calibri" w:hAnsi="Calibri" w:cs="Calibri"/>
          <w:noProof/>
          <w:sz w:val="20"/>
        </w:rPr>
        <w:t>(i</w:t>
      </w:r>
      <w:r w:rsidR="00C83793">
        <w:rPr>
          <w:rFonts w:ascii="Calibri" w:hAnsi="Calibri" w:cs="Calibri"/>
          <w:noProof/>
          <w:sz w:val="20"/>
        </w:rPr>
        <w:t xml:space="preserve"> </w:t>
      </w:r>
      <w:r w:rsidR="00EB3C69" w:rsidRPr="00F37DC9">
        <w:rPr>
          <w:rFonts w:ascii="Calibri" w:hAnsi="Calibri" w:cs="Calibri"/>
          <w:noProof/>
          <w:sz w:val="20"/>
        </w:rPr>
        <w:t xml:space="preserve">když </w:t>
      </w:r>
      <w:r w:rsidR="00C83793" w:rsidRPr="00F37DC9">
        <w:rPr>
          <w:rFonts w:ascii="Calibri" w:hAnsi="Calibri" w:cs="Calibri"/>
          <w:noProof/>
          <w:sz w:val="20"/>
        </w:rPr>
        <w:t xml:space="preserve">Polsko </w:t>
      </w:r>
      <w:r w:rsidR="00EB3C69" w:rsidRPr="00F37DC9">
        <w:rPr>
          <w:rFonts w:ascii="Calibri" w:hAnsi="Calibri" w:cs="Calibri"/>
          <w:noProof/>
          <w:sz w:val="20"/>
        </w:rPr>
        <w:t>už druhý měsíc eviduje nižší nezeměstnanost než my)</w:t>
      </w:r>
      <w:r w:rsidR="00026596" w:rsidRPr="00F37DC9">
        <w:rPr>
          <w:rFonts w:ascii="Calibri" w:hAnsi="Calibri" w:cs="Calibri"/>
          <w:noProof/>
          <w:sz w:val="20"/>
        </w:rPr>
        <w:t xml:space="preserve"> a </w:t>
      </w:r>
      <w:r w:rsidR="00383E25" w:rsidRPr="00F37DC9">
        <w:rPr>
          <w:rFonts w:ascii="Calibri" w:hAnsi="Calibri" w:cs="Calibri"/>
          <w:noProof/>
          <w:sz w:val="20"/>
        </w:rPr>
        <w:t xml:space="preserve">podíl nezaměstnaných osob </w:t>
      </w:r>
      <w:r w:rsidR="00026596" w:rsidRPr="009B4FEE">
        <w:rPr>
          <w:rFonts w:ascii="Calibri" w:hAnsi="Calibri" w:cs="Calibri"/>
          <w:noProof/>
          <w:sz w:val="20"/>
        </w:rPr>
        <w:t xml:space="preserve">v prosinci </w:t>
      </w:r>
      <w:r w:rsidR="00383E25" w:rsidRPr="009B4FEE">
        <w:rPr>
          <w:rFonts w:ascii="Calibri" w:hAnsi="Calibri" w:cs="Calibri"/>
          <w:noProof/>
          <w:sz w:val="20"/>
        </w:rPr>
        <w:t>dosáhl pouze 4</w:t>
      </w:r>
      <w:r w:rsidR="00026596" w:rsidRPr="009B4FEE">
        <w:rPr>
          <w:rFonts w:ascii="Calibri" w:hAnsi="Calibri" w:cs="Calibri"/>
          <w:noProof/>
          <w:sz w:val="20"/>
        </w:rPr>
        <w:t xml:space="preserve"> %</w:t>
      </w:r>
      <w:r w:rsidR="0056315C" w:rsidRPr="009B4FEE">
        <w:rPr>
          <w:rFonts w:ascii="Calibri" w:hAnsi="Calibri" w:cs="Calibri"/>
          <w:noProof/>
          <w:sz w:val="20"/>
        </w:rPr>
        <w:t xml:space="preserve"> (cca o 1 procentní bod výše než před rokem)</w:t>
      </w:r>
      <w:r w:rsidR="000162B2" w:rsidRPr="009B4FEE">
        <w:rPr>
          <w:rFonts w:ascii="Calibri" w:hAnsi="Calibri" w:cs="Calibri"/>
          <w:noProof/>
          <w:sz w:val="20"/>
        </w:rPr>
        <w:t xml:space="preserve"> a na konci </w:t>
      </w:r>
      <w:r w:rsidR="002A7837" w:rsidRPr="009B4FEE">
        <w:rPr>
          <w:rFonts w:ascii="Calibri" w:hAnsi="Calibri" w:cs="Calibri"/>
          <w:noProof/>
          <w:sz w:val="20"/>
        </w:rPr>
        <w:t>dubna</w:t>
      </w:r>
      <w:r w:rsidR="00FC7377" w:rsidRPr="009B4FEE">
        <w:rPr>
          <w:rFonts w:ascii="Calibri" w:hAnsi="Calibri" w:cs="Calibri"/>
          <w:noProof/>
          <w:sz w:val="20"/>
        </w:rPr>
        <w:t xml:space="preserve"> </w:t>
      </w:r>
      <w:r w:rsidR="002A7837" w:rsidRPr="009B4FEE">
        <w:rPr>
          <w:rFonts w:ascii="Calibri" w:hAnsi="Calibri" w:cs="Calibri"/>
          <w:noProof/>
          <w:sz w:val="20"/>
        </w:rPr>
        <w:t xml:space="preserve">vzrostl pouze na </w:t>
      </w:r>
      <w:r w:rsidR="00596CED" w:rsidRPr="009B4FEE">
        <w:rPr>
          <w:rFonts w:ascii="Calibri" w:hAnsi="Calibri" w:cs="Calibri"/>
          <w:noProof/>
          <w:sz w:val="20"/>
        </w:rPr>
        <w:t>4</w:t>
      </w:r>
      <w:r w:rsidR="009B4FEE" w:rsidRPr="009B4FEE">
        <w:rPr>
          <w:rFonts w:ascii="Calibri" w:hAnsi="Calibri" w:cs="Calibri"/>
          <w:noProof/>
          <w:sz w:val="20"/>
        </w:rPr>
        <w:t>,1</w:t>
      </w:r>
      <w:r w:rsidR="00596CED" w:rsidRPr="009B4FEE">
        <w:rPr>
          <w:rFonts w:ascii="Calibri" w:hAnsi="Calibri" w:cs="Calibri"/>
          <w:noProof/>
          <w:sz w:val="20"/>
        </w:rPr>
        <w:t xml:space="preserve"> %, při přetrv</w:t>
      </w:r>
      <w:r w:rsidR="00596CED" w:rsidRPr="00F37DC9">
        <w:rPr>
          <w:rFonts w:ascii="Calibri" w:hAnsi="Calibri" w:cs="Calibri"/>
          <w:noProof/>
          <w:sz w:val="20"/>
        </w:rPr>
        <w:t>ávajících strukturální</w:t>
      </w:r>
      <w:r w:rsidR="00ED1237" w:rsidRPr="00F37DC9">
        <w:rPr>
          <w:rFonts w:ascii="Calibri" w:hAnsi="Calibri" w:cs="Calibri"/>
          <w:noProof/>
          <w:sz w:val="20"/>
        </w:rPr>
        <w:t>ch</w:t>
      </w:r>
      <w:r w:rsidR="00596CED" w:rsidRPr="00F37DC9">
        <w:rPr>
          <w:rFonts w:ascii="Calibri" w:hAnsi="Calibri" w:cs="Calibri"/>
          <w:noProof/>
          <w:sz w:val="20"/>
        </w:rPr>
        <w:t xml:space="preserve"> problém</w:t>
      </w:r>
      <w:r w:rsidR="00ED1237" w:rsidRPr="00F37DC9">
        <w:rPr>
          <w:rFonts w:ascii="Calibri" w:hAnsi="Calibri" w:cs="Calibri"/>
          <w:noProof/>
          <w:sz w:val="20"/>
        </w:rPr>
        <w:t xml:space="preserve">ech </w:t>
      </w:r>
      <w:r w:rsidR="00596CED" w:rsidRPr="00F37DC9">
        <w:rPr>
          <w:rFonts w:ascii="Calibri" w:hAnsi="Calibri" w:cs="Calibri"/>
          <w:noProof/>
          <w:sz w:val="20"/>
        </w:rPr>
        <w:t>trhu práce.</w:t>
      </w:r>
      <w:r w:rsidR="00FC7377">
        <w:rPr>
          <w:rFonts w:ascii="Calibri" w:hAnsi="Calibri" w:cs="Calibri"/>
          <w:noProof/>
          <w:sz w:val="20"/>
        </w:rPr>
        <w:t xml:space="preserve"> </w:t>
      </w:r>
      <w:r w:rsidR="000162B2" w:rsidRPr="00F37DC9">
        <w:rPr>
          <w:rFonts w:ascii="Calibri" w:hAnsi="Calibri" w:cs="Calibri"/>
          <w:noProof/>
          <w:sz w:val="20"/>
        </w:rPr>
        <w:t>Jakkoli se zdá, že by to mohlo znamenat obrat, po ukončení vládních podpůrných programů se situace v některých oborech, resp. regionech</w:t>
      </w:r>
      <w:r w:rsidR="00FC7377">
        <w:rPr>
          <w:rFonts w:ascii="Calibri" w:hAnsi="Calibri" w:cs="Calibri"/>
          <w:noProof/>
          <w:sz w:val="20"/>
        </w:rPr>
        <w:t>,</w:t>
      </w:r>
      <w:r w:rsidR="000162B2" w:rsidRPr="00F37DC9">
        <w:rPr>
          <w:rFonts w:ascii="Calibri" w:hAnsi="Calibri" w:cs="Calibri"/>
          <w:noProof/>
          <w:sz w:val="20"/>
        </w:rPr>
        <w:t xml:space="preserve"> může zhoršit. </w:t>
      </w:r>
      <w:r w:rsidR="00B85767" w:rsidRPr="00F37DC9">
        <w:rPr>
          <w:rFonts w:ascii="Calibri" w:hAnsi="Calibri" w:cs="Calibri"/>
          <w:noProof/>
          <w:sz w:val="20"/>
        </w:rPr>
        <w:t xml:space="preserve">Podle </w:t>
      </w:r>
      <w:r w:rsidR="00A07E80" w:rsidRPr="00F37DC9">
        <w:rPr>
          <w:rFonts w:ascii="Calibri" w:hAnsi="Calibri" w:cs="Calibri"/>
          <w:noProof/>
          <w:sz w:val="20"/>
        </w:rPr>
        <w:t xml:space="preserve">prognostického panelu ČBA </w:t>
      </w:r>
      <w:r w:rsidR="00B85767" w:rsidRPr="00F37DC9">
        <w:rPr>
          <w:rFonts w:ascii="Calibri" w:hAnsi="Calibri" w:cs="Calibri"/>
          <w:noProof/>
          <w:sz w:val="20"/>
        </w:rPr>
        <w:t xml:space="preserve">však bude </w:t>
      </w:r>
      <w:r w:rsidR="000162B2" w:rsidRPr="00F37DC9">
        <w:rPr>
          <w:rFonts w:ascii="Calibri" w:hAnsi="Calibri" w:cs="Calibri"/>
          <w:noProof/>
          <w:sz w:val="20"/>
        </w:rPr>
        <w:t xml:space="preserve">i takový </w:t>
      </w:r>
      <w:r w:rsidR="00B85767" w:rsidRPr="00F37DC9">
        <w:rPr>
          <w:rFonts w:ascii="Calibri" w:hAnsi="Calibri" w:cs="Calibri"/>
          <w:noProof/>
          <w:sz w:val="20"/>
        </w:rPr>
        <w:t>nárůst míry</w:t>
      </w:r>
      <w:r w:rsidR="0027402B" w:rsidRPr="00F37DC9">
        <w:rPr>
          <w:rFonts w:ascii="Calibri" w:hAnsi="Calibri" w:cs="Calibri"/>
          <w:noProof/>
          <w:sz w:val="20"/>
        </w:rPr>
        <w:t xml:space="preserve"> nezaměstnanosti</w:t>
      </w:r>
      <w:r w:rsidR="00E00755" w:rsidRPr="00F37DC9">
        <w:rPr>
          <w:rFonts w:ascii="Calibri" w:hAnsi="Calibri" w:cs="Calibri"/>
          <w:noProof/>
          <w:sz w:val="20"/>
        </w:rPr>
        <w:t xml:space="preserve"> v </w:t>
      </w:r>
      <w:r w:rsidR="00B3228D" w:rsidRPr="00F37DC9">
        <w:rPr>
          <w:rFonts w:ascii="Calibri" w:hAnsi="Calibri" w:cs="Calibri"/>
          <w:noProof/>
          <w:sz w:val="20"/>
        </w:rPr>
        <w:t>Č</w:t>
      </w:r>
      <w:r w:rsidR="00E00755" w:rsidRPr="00F37DC9">
        <w:rPr>
          <w:rFonts w:ascii="Calibri" w:hAnsi="Calibri" w:cs="Calibri"/>
          <w:noProof/>
          <w:sz w:val="20"/>
        </w:rPr>
        <w:t>R pouz</w:t>
      </w:r>
      <w:r w:rsidR="00B85767" w:rsidRPr="00F37DC9">
        <w:rPr>
          <w:rFonts w:ascii="Calibri" w:hAnsi="Calibri" w:cs="Calibri"/>
          <w:noProof/>
          <w:sz w:val="20"/>
        </w:rPr>
        <w:t xml:space="preserve">e přechodný. </w:t>
      </w:r>
      <w:r w:rsidR="00B85767" w:rsidRPr="009B4FEE">
        <w:rPr>
          <w:rFonts w:ascii="Calibri" w:hAnsi="Calibri" w:cs="Calibri"/>
          <w:b/>
          <w:bCs/>
          <w:noProof/>
          <w:sz w:val="20"/>
        </w:rPr>
        <w:t xml:space="preserve">V roce </w:t>
      </w:r>
      <w:r w:rsidR="0027402B" w:rsidRPr="009B4FEE">
        <w:rPr>
          <w:rFonts w:ascii="Calibri" w:hAnsi="Calibri" w:cs="Calibri"/>
          <w:b/>
          <w:bCs/>
          <w:noProof/>
          <w:sz w:val="20"/>
        </w:rPr>
        <w:t>2021</w:t>
      </w:r>
      <w:r w:rsidR="00E00755" w:rsidRPr="009B4FEE">
        <w:rPr>
          <w:rFonts w:ascii="Calibri" w:hAnsi="Calibri" w:cs="Calibri"/>
          <w:b/>
          <w:bCs/>
          <w:noProof/>
          <w:sz w:val="20"/>
        </w:rPr>
        <w:t xml:space="preserve"> od</w:t>
      </w:r>
      <w:r w:rsidR="00BF1E98" w:rsidRPr="009B4FEE">
        <w:rPr>
          <w:rFonts w:ascii="Calibri" w:hAnsi="Calibri" w:cs="Calibri"/>
          <w:b/>
          <w:bCs/>
          <w:noProof/>
          <w:sz w:val="20"/>
        </w:rPr>
        <w:t xml:space="preserve">haduje </w:t>
      </w:r>
      <w:r w:rsidR="002C4547" w:rsidRPr="009B4FEE">
        <w:rPr>
          <w:rFonts w:ascii="Calibri" w:hAnsi="Calibri" w:cs="Calibri"/>
          <w:b/>
          <w:bCs/>
          <w:noProof/>
          <w:sz w:val="20"/>
        </w:rPr>
        <w:t>průměrnou nezaměstnanost na 4,</w:t>
      </w:r>
      <w:r w:rsidR="007948B6" w:rsidRPr="009B4FEE">
        <w:rPr>
          <w:rFonts w:ascii="Calibri" w:hAnsi="Calibri" w:cs="Calibri"/>
          <w:b/>
          <w:bCs/>
          <w:noProof/>
          <w:sz w:val="20"/>
        </w:rPr>
        <w:t>3</w:t>
      </w:r>
      <w:r w:rsidR="002C4547" w:rsidRPr="009B4FEE">
        <w:rPr>
          <w:rFonts w:ascii="Calibri" w:hAnsi="Calibri" w:cs="Calibri"/>
          <w:b/>
          <w:bCs/>
          <w:noProof/>
          <w:sz w:val="20"/>
        </w:rPr>
        <w:t xml:space="preserve"> %</w:t>
      </w:r>
      <w:r w:rsidR="00B85767" w:rsidRPr="009B4FEE">
        <w:rPr>
          <w:rFonts w:ascii="Calibri" w:hAnsi="Calibri" w:cs="Calibri"/>
          <w:b/>
          <w:bCs/>
          <w:noProof/>
          <w:sz w:val="20"/>
        </w:rPr>
        <w:t xml:space="preserve">, </w:t>
      </w:r>
      <w:r w:rsidR="002C4547" w:rsidRPr="009B4FEE">
        <w:rPr>
          <w:rFonts w:ascii="Calibri" w:hAnsi="Calibri" w:cs="Calibri"/>
          <w:b/>
          <w:bCs/>
          <w:noProof/>
          <w:sz w:val="20"/>
        </w:rPr>
        <w:t xml:space="preserve">která </w:t>
      </w:r>
      <w:r w:rsidR="00B85767" w:rsidRPr="009B4FEE">
        <w:rPr>
          <w:rFonts w:ascii="Calibri" w:hAnsi="Calibri" w:cs="Calibri"/>
          <w:b/>
          <w:bCs/>
          <w:noProof/>
          <w:sz w:val="20"/>
        </w:rPr>
        <w:t xml:space="preserve">by následně v roce 2022 </w:t>
      </w:r>
      <w:r w:rsidR="009F5C2E" w:rsidRPr="009B4FEE">
        <w:rPr>
          <w:rFonts w:ascii="Calibri" w:hAnsi="Calibri" w:cs="Calibri"/>
          <w:b/>
          <w:bCs/>
          <w:noProof/>
          <w:sz w:val="20"/>
        </w:rPr>
        <w:t>měla</w:t>
      </w:r>
      <w:r w:rsidR="00B85767" w:rsidRPr="009B4FEE">
        <w:rPr>
          <w:rFonts w:ascii="Calibri" w:hAnsi="Calibri" w:cs="Calibri"/>
          <w:b/>
          <w:bCs/>
          <w:noProof/>
          <w:sz w:val="20"/>
        </w:rPr>
        <w:t xml:space="preserve"> </w:t>
      </w:r>
      <w:r w:rsidR="007948B6" w:rsidRPr="009B4FEE">
        <w:rPr>
          <w:rFonts w:ascii="Calibri" w:hAnsi="Calibri" w:cs="Calibri"/>
          <w:b/>
          <w:bCs/>
          <w:noProof/>
          <w:sz w:val="20"/>
        </w:rPr>
        <w:t xml:space="preserve">nepatrně </w:t>
      </w:r>
      <w:r w:rsidR="009F5C2E" w:rsidRPr="009B4FEE">
        <w:rPr>
          <w:rFonts w:ascii="Calibri" w:hAnsi="Calibri" w:cs="Calibri"/>
          <w:b/>
          <w:bCs/>
          <w:noProof/>
          <w:sz w:val="20"/>
        </w:rPr>
        <w:t>poklesnout</w:t>
      </w:r>
      <w:r w:rsidR="00B85767" w:rsidRPr="009B4FEE">
        <w:rPr>
          <w:rFonts w:ascii="Calibri" w:hAnsi="Calibri" w:cs="Calibri"/>
          <w:b/>
          <w:bCs/>
          <w:noProof/>
          <w:sz w:val="20"/>
        </w:rPr>
        <w:t xml:space="preserve"> na </w:t>
      </w:r>
      <w:r w:rsidR="007948B6" w:rsidRPr="009B4FEE">
        <w:rPr>
          <w:rFonts w:ascii="Calibri" w:hAnsi="Calibri" w:cs="Calibri"/>
          <w:b/>
          <w:bCs/>
          <w:noProof/>
          <w:sz w:val="20"/>
        </w:rPr>
        <w:t>4,1</w:t>
      </w:r>
      <w:r w:rsidR="002C4547" w:rsidRPr="009B4FEE">
        <w:rPr>
          <w:rFonts w:ascii="Calibri" w:hAnsi="Calibri" w:cs="Calibri"/>
          <w:b/>
          <w:bCs/>
          <w:noProof/>
          <w:sz w:val="20"/>
        </w:rPr>
        <w:t xml:space="preserve"> %</w:t>
      </w:r>
      <w:r w:rsidR="002C4547" w:rsidRPr="00F37DC9">
        <w:rPr>
          <w:rFonts w:ascii="Calibri" w:hAnsi="Calibri" w:cs="Calibri"/>
          <w:noProof/>
          <w:sz w:val="20"/>
        </w:rPr>
        <w:t>.</w:t>
      </w:r>
    </w:p>
    <w:p w14:paraId="76110AB7" w14:textId="008CFEB9" w:rsidR="00B403E8" w:rsidRDefault="00B403E8" w:rsidP="00B4285D">
      <w:pPr>
        <w:rPr>
          <w:rFonts w:ascii="Calibri" w:hAnsi="Calibri" w:cs="Calibri"/>
          <w:noProof/>
          <w:sz w:val="20"/>
        </w:rPr>
      </w:pPr>
    </w:p>
    <w:p w14:paraId="4646B608" w14:textId="77777777" w:rsidR="00B403E8" w:rsidRPr="00F37DC9" w:rsidRDefault="00B403E8" w:rsidP="00B403E8">
      <w:pPr>
        <w:pStyle w:val="Textkomente"/>
        <w:rPr>
          <w:rFonts w:ascii="Calibri" w:hAnsi="Calibri" w:cs="Calibri"/>
        </w:rPr>
      </w:pPr>
    </w:p>
    <w:p w14:paraId="17B9ABDD" w14:textId="0B862833" w:rsidR="006C6CFF" w:rsidRPr="00EB6C50" w:rsidRDefault="002D12BD" w:rsidP="00EB6C50">
      <w:pPr>
        <w:spacing w:after="120"/>
        <w:rPr>
          <w:rFonts w:ascii="Calibri" w:hAnsi="Calibri" w:cs="Calibri"/>
          <w:b/>
          <w:sz w:val="22"/>
          <w:szCs w:val="22"/>
        </w:rPr>
      </w:pPr>
      <w:r w:rsidRPr="00EB6C50">
        <w:rPr>
          <w:rFonts w:ascii="Calibri" w:hAnsi="Calibri" w:cs="Calibri"/>
          <w:b/>
          <w:color w:val="13576B"/>
          <w:sz w:val="22"/>
          <w:szCs w:val="22"/>
        </w:rPr>
        <w:t>Veřejné finance</w:t>
      </w:r>
      <w:r w:rsidR="005C60BB" w:rsidRPr="00EB6C50">
        <w:rPr>
          <w:rFonts w:ascii="Calibri" w:hAnsi="Calibri" w:cs="Calibri"/>
          <w:b/>
          <w:color w:val="13576B"/>
          <w:sz w:val="22"/>
          <w:szCs w:val="22"/>
        </w:rPr>
        <w:t>: fiskální expanze</w:t>
      </w:r>
      <w:r w:rsidR="00C94C33" w:rsidRPr="00EB6C50">
        <w:rPr>
          <w:rFonts w:ascii="Calibri" w:hAnsi="Calibri" w:cs="Calibri"/>
          <w:b/>
          <w:color w:val="13576B"/>
          <w:sz w:val="22"/>
          <w:szCs w:val="22"/>
        </w:rPr>
        <w:t xml:space="preserve"> </w:t>
      </w:r>
      <w:r w:rsidR="00AC75B5" w:rsidRPr="00EB6C50">
        <w:rPr>
          <w:rFonts w:ascii="Calibri" w:hAnsi="Calibri" w:cs="Calibri"/>
          <w:b/>
          <w:color w:val="13576B"/>
          <w:sz w:val="22"/>
          <w:szCs w:val="22"/>
        </w:rPr>
        <w:t xml:space="preserve">stále </w:t>
      </w:r>
      <w:r w:rsidR="00C94C33" w:rsidRPr="00EB6C50">
        <w:rPr>
          <w:rFonts w:ascii="Calibri" w:hAnsi="Calibri" w:cs="Calibri"/>
          <w:b/>
          <w:color w:val="13576B"/>
          <w:sz w:val="22"/>
          <w:szCs w:val="22"/>
        </w:rPr>
        <w:t>bez výhledu na konsolidaci</w:t>
      </w:r>
    </w:p>
    <w:p w14:paraId="5D21EC78" w14:textId="008E58C9" w:rsidR="00247943" w:rsidRPr="00F37DC9" w:rsidRDefault="00C31CD3" w:rsidP="00247943">
      <w:pPr>
        <w:rPr>
          <w:rFonts w:ascii="Calibri" w:hAnsi="Calibri" w:cs="Calibri"/>
          <w:sz w:val="20"/>
        </w:rPr>
      </w:pPr>
      <w:r w:rsidRPr="00F37DC9">
        <w:rPr>
          <w:rFonts w:ascii="Calibri" w:hAnsi="Calibri" w:cs="Calibri"/>
          <w:noProof/>
          <w:sz w:val="20"/>
        </w:rPr>
        <w:t xml:space="preserve">Veřejné finance v loňském „covidovém“ roce skončily ve schodku 6,2 % HDP a kumulovaný veřejný dluh tak stoupl na 38,1 % HDP. </w:t>
      </w:r>
      <w:r w:rsidR="002F3D6C" w:rsidRPr="00F37DC9">
        <w:rPr>
          <w:rFonts w:ascii="Calibri" w:hAnsi="Calibri" w:cs="Calibri"/>
          <w:sz w:val="20"/>
        </w:rPr>
        <w:t xml:space="preserve">Sám o sobě by takový výsledek vzhledem k mimořádnosti a síle externího šoku, kterému česká ekonomika musela čelit, </w:t>
      </w:r>
      <w:r w:rsidR="002F3D6C" w:rsidRPr="00F37DC9">
        <w:rPr>
          <w:rFonts w:ascii="Calibri" w:hAnsi="Calibri" w:cs="Calibri"/>
          <w:sz w:val="20"/>
        </w:rPr>
        <w:lastRenderedPageBreak/>
        <w:t>nebyl vnímán jako mimořádný</w:t>
      </w:r>
      <w:r w:rsidR="000A6730" w:rsidRPr="00F37DC9">
        <w:rPr>
          <w:rFonts w:ascii="Calibri" w:hAnsi="Calibri" w:cs="Calibri"/>
          <w:sz w:val="20"/>
        </w:rPr>
        <w:t xml:space="preserve">. </w:t>
      </w:r>
      <w:r w:rsidR="00ED1237" w:rsidRPr="00F37DC9">
        <w:rPr>
          <w:rFonts w:ascii="Calibri" w:hAnsi="Calibri" w:cs="Calibri"/>
          <w:noProof/>
          <w:sz w:val="20"/>
        </w:rPr>
        <w:t>Kritika se týká především</w:t>
      </w:r>
      <w:r w:rsidR="002F3D6C" w:rsidRPr="00F37DC9">
        <w:rPr>
          <w:rFonts w:ascii="Calibri" w:hAnsi="Calibri" w:cs="Calibri"/>
          <w:noProof/>
          <w:sz w:val="20"/>
        </w:rPr>
        <w:t xml:space="preserve"> schválení daňového balíčku, které zanechalo v příjmech státního rozpočtu do budoucna (zatím nijak nekompen</w:t>
      </w:r>
      <w:r w:rsidR="002E5008" w:rsidRPr="00F37DC9">
        <w:rPr>
          <w:rFonts w:ascii="Calibri" w:hAnsi="Calibri" w:cs="Calibri"/>
          <w:noProof/>
          <w:sz w:val="20"/>
        </w:rPr>
        <w:t>z</w:t>
      </w:r>
      <w:r w:rsidR="002F3D6C" w:rsidRPr="00F37DC9">
        <w:rPr>
          <w:rFonts w:ascii="Calibri" w:hAnsi="Calibri" w:cs="Calibri"/>
          <w:noProof/>
          <w:sz w:val="20"/>
        </w:rPr>
        <w:t>ovanou) mezeru v rozsahu cca 100 mld. Kč. V letošním volebním roce ani největší optimisté neočekáva</w:t>
      </w:r>
      <w:r w:rsidR="009F5C2E" w:rsidRPr="00F37DC9">
        <w:rPr>
          <w:rFonts w:ascii="Calibri" w:hAnsi="Calibri" w:cs="Calibri"/>
          <w:noProof/>
          <w:sz w:val="20"/>
        </w:rPr>
        <w:t>jí</w:t>
      </w:r>
      <w:r w:rsidR="00FC7377">
        <w:rPr>
          <w:rFonts w:ascii="Calibri" w:hAnsi="Calibri" w:cs="Calibri"/>
          <w:noProof/>
          <w:sz w:val="20"/>
        </w:rPr>
        <w:t xml:space="preserve"> </w:t>
      </w:r>
      <w:r w:rsidR="002F3D6C" w:rsidRPr="00F37DC9">
        <w:rPr>
          <w:rFonts w:ascii="Calibri" w:hAnsi="Calibri" w:cs="Calibri"/>
          <w:noProof/>
          <w:sz w:val="20"/>
        </w:rPr>
        <w:t>návrat k rozpočtové střídmosti</w:t>
      </w:r>
      <w:r w:rsidR="00FC7377">
        <w:rPr>
          <w:rFonts w:ascii="Calibri" w:hAnsi="Calibri" w:cs="Calibri"/>
          <w:noProof/>
          <w:sz w:val="20"/>
        </w:rPr>
        <w:t>.</w:t>
      </w:r>
      <w:r w:rsidR="002F3D6C" w:rsidRPr="00F37DC9">
        <w:rPr>
          <w:rFonts w:ascii="Calibri" w:hAnsi="Calibri" w:cs="Calibri"/>
          <w:noProof/>
          <w:sz w:val="20"/>
        </w:rPr>
        <w:t xml:space="preserve"> </w:t>
      </w:r>
      <w:r w:rsidR="00FC7377">
        <w:rPr>
          <w:rFonts w:ascii="Calibri" w:hAnsi="Calibri" w:cs="Calibri"/>
          <w:noProof/>
          <w:sz w:val="20"/>
        </w:rPr>
        <w:t>N</w:t>
      </w:r>
      <w:r w:rsidR="002F3D6C" w:rsidRPr="00F37DC9">
        <w:rPr>
          <w:rFonts w:ascii="Calibri" w:hAnsi="Calibri" w:cs="Calibri"/>
          <w:noProof/>
          <w:sz w:val="20"/>
        </w:rPr>
        <w:t>icméně nedávno zveřejněný Konvergenční program překvapil upřímností, s jakou prezentuje odhad schodku na letošní (ve většině doufejme post covidový) rok ve výši 8,8 %, téměř 6 % na rok 2022 a shodně nad 5 % po dva následující roky. I scénář „s chystanými</w:t>
      </w:r>
      <w:r w:rsidR="002E5008" w:rsidRPr="00F37DC9">
        <w:rPr>
          <w:rFonts w:ascii="Calibri" w:hAnsi="Calibri" w:cs="Calibri"/>
          <w:noProof/>
          <w:sz w:val="20"/>
        </w:rPr>
        <w:t xml:space="preserve">“ avšak neupřesněnými </w:t>
      </w:r>
      <w:r w:rsidR="002F3D6C" w:rsidRPr="00F37DC9">
        <w:rPr>
          <w:rFonts w:ascii="Calibri" w:hAnsi="Calibri" w:cs="Calibri"/>
          <w:noProof/>
          <w:sz w:val="20"/>
        </w:rPr>
        <w:t xml:space="preserve">úsporami </w:t>
      </w:r>
      <w:r w:rsidR="002E5008" w:rsidRPr="00F37DC9">
        <w:rPr>
          <w:rFonts w:ascii="Calibri" w:hAnsi="Calibri" w:cs="Calibri"/>
          <w:noProof/>
          <w:sz w:val="20"/>
        </w:rPr>
        <w:t xml:space="preserve">počítá až do roku 2024 včetně s deficity nad 4 % ročně a veřejným dluhem v blízkosti zákonem stanovené 55% dluhové brzdy. </w:t>
      </w:r>
      <w:r w:rsidR="00247943" w:rsidRPr="00F37DC9">
        <w:rPr>
          <w:rFonts w:ascii="Calibri" w:hAnsi="Calibri" w:cs="Calibri"/>
          <w:sz w:val="20"/>
        </w:rPr>
        <w:t>Nedostatku konsolidačních ambicí současné české vlády</w:t>
      </w:r>
      <w:r w:rsidR="00EC720E" w:rsidRPr="00F37DC9">
        <w:rPr>
          <w:rFonts w:ascii="Calibri" w:hAnsi="Calibri" w:cs="Calibri"/>
          <w:sz w:val="20"/>
        </w:rPr>
        <w:t xml:space="preserve"> si</w:t>
      </w:r>
      <w:r w:rsidR="00247943" w:rsidRPr="00F37DC9">
        <w:rPr>
          <w:rFonts w:ascii="Calibri" w:hAnsi="Calibri" w:cs="Calibri"/>
          <w:sz w:val="20"/>
        </w:rPr>
        <w:t xml:space="preserve"> v návaznosti na zveřejnění Konvergenčního programu už všimla ratingová agentura Moody´s a publikovala směrem k investorům příslušn</w:t>
      </w:r>
      <w:r w:rsidR="000D2B81">
        <w:rPr>
          <w:rFonts w:ascii="Calibri" w:hAnsi="Calibri" w:cs="Calibri"/>
          <w:sz w:val="20"/>
        </w:rPr>
        <w:t>á</w:t>
      </w:r>
      <w:r w:rsidR="00247943" w:rsidRPr="00F37DC9">
        <w:rPr>
          <w:rFonts w:ascii="Calibri" w:hAnsi="Calibri" w:cs="Calibri"/>
          <w:sz w:val="20"/>
        </w:rPr>
        <w:t xml:space="preserve"> varování.</w:t>
      </w:r>
      <w:r w:rsidR="00ED4B86" w:rsidRPr="00F37DC9">
        <w:rPr>
          <w:rFonts w:ascii="Calibri" w:hAnsi="Calibri" w:cs="Calibri"/>
          <w:sz w:val="20"/>
        </w:rPr>
        <w:t xml:space="preserve"> </w:t>
      </w:r>
    </w:p>
    <w:p w14:paraId="2445C571" w14:textId="79799972" w:rsidR="00C31CD3" w:rsidRPr="00F37DC9" w:rsidRDefault="002E5008" w:rsidP="00B4285D">
      <w:pPr>
        <w:rPr>
          <w:rFonts w:ascii="Calibri" w:hAnsi="Calibri" w:cs="Calibri"/>
          <w:noProof/>
          <w:sz w:val="20"/>
        </w:rPr>
      </w:pPr>
      <w:r w:rsidRPr="00F37DC9">
        <w:rPr>
          <w:rFonts w:ascii="Calibri" w:hAnsi="Calibri" w:cs="Calibri"/>
          <w:noProof/>
          <w:sz w:val="20"/>
        </w:rPr>
        <w:t xml:space="preserve"> </w:t>
      </w:r>
    </w:p>
    <w:p w14:paraId="2B9234C3" w14:textId="3349207A" w:rsidR="00505C9C" w:rsidRPr="00F37DC9" w:rsidRDefault="007C5704" w:rsidP="00B4285D">
      <w:pPr>
        <w:rPr>
          <w:rFonts w:ascii="Calibri" w:hAnsi="Calibri" w:cs="Calibri"/>
          <w:sz w:val="20"/>
        </w:rPr>
      </w:pPr>
      <w:r w:rsidRPr="00F37DC9">
        <w:rPr>
          <w:rFonts w:ascii="Calibri" w:hAnsi="Calibri" w:cs="Calibri"/>
          <w:sz w:val="20"/>
        </w:rPr>
        <w:t>Prognostický panel Č</w:t>
      </w:r>
      <w:r w:rsidR="002511A0" w:rsidRPr="00F37DC9">
        <w:rPr>
          <w:rFonts w:ascii="Calibri" w:hAnsi="Calibri" w:cs="Calibri"/>
          <w:sz w:val="20"/>
        </w:rPr>
        <w:t xml:space="preserve">BA </w:t>
      </w:r>
      <w:r w:rsidRPr="00F37DC9">
        <w:rPr>
          <w:rFonts w:ascii="Calibri" w:hAnsi="Calibri" w:cs="Calibri"/>
          <w:sz w:val="20"/>
        </w:rPr>
        <w:t xml:space="preserve">odhaduje </w:t>
      </w:r>
      <w:r w:rsidR="002511A0" w:rsidRPr="00F37DC9">
        <w:rPr>
          <w:rFonts w:ascii="Calibri" w:hAnsi="Calibri" w:cs="Calibri"/>
          <w:sz w:val="20"/>
        </w:rPr>
        <w:t xml:space="preserve">schodek veřejných financí </w:t>
      </w:r>
      <w:r w:rsidR="002E5008" w:rsidRPr="00F37DC9">
        <w:rPr>
          <w:rFonts w:ascii="Calibri" w:hAnsi="Calibri" w:cs="Calibri"/>
          <w:sz w:val="20"/>
        </w:rPr>
        <w:t xml:space="preserve">v letošním roce </w:t>
      </w:r>
      <w:r w:rsidR="007948B6" w:rsidRPr="009B4FEE">
        <w:rPr>
          <w:rFonts w:ascii="Calibri" w:hAnsi="Calibri" w:cs="Calibri"/>
          <w:b/>
          <w:bCs/>
          <w:sz w:val="20"/>
        </w:rPr>
        <w:t>na 7,4 % HDP, přičemž veřejný dluh vzroste na 44,1 % HDP</w:t>
      </w:r>
      <w:r w:rsidR="007948B6" w:rsidRPr="00F37DC9">
        <w:rPr>
          <w:rFonts w:ascii="Calibri" w:hAnsi="Calibri" w:cs="Calibri"/>
          <w:sz w:val="20"/>
        </w:rPr>
        <w:t xml:space="preserve">. </w:t>
      </w:r>
      <w:r w:rsidRPr="00F37DC9">
        <w:rPr>
          <w:rFonts w:ascii="Calibri" w:hAnsi="Calibri" w:cs="Calibri"/>
          <w:sz w:val="20"/>
        </w:rPr>
        <w:t xml:space="preserve">Dopad razantního výpadku příjmů bez přijetí </w:t>
      </w:r>
      <w:r w:rsidR="00CB5392" w:rsidRPr="00F37DC9">
        <w:rPr>
          <w:rFonts w:ascii="Calibri" w:hAnsi="Calibri" w:cs="Calibri"/>
          <w:sz w:val="20"/>
        </w:rPr>
        <w:t>dostatečných</w:t>
      </w:r>
      <w:r w:rsidRPr="00F37DC9">
        <w:rPr>
          <w:rFonts w:ascii="Calibri" w:hAnsi="Calibri" w:cs="Calibri"/>
          <w:sz w:val="20"/>
        </w:rPr>
        <w:t xml:space="preserve"> opatření na výdajové straně ani v roce 2022 neumožní </w:t>
      </w:r>
      <w:r w:rsidR="00ED1237" w:rsidRPr="00F37DC9">
        <w:rPr>
          <w:rFonts w:ascii="Calibri" w:hAnsi="Calibri" w:cs="Calibri"/>
          <w:sz w:val="20"/>
        </w:rPr>
        <w:t>snížení schodku veřejných financí pod</w:t>
      </w:r>
      <w:r w:rsidRPr="00F37DC9">
        <w:rPr>
          <w:rFonts w:ascii="Calibri" w:hAnsi="Calibri" w:cs="Calibri"/>
          <w:sz w:val="20"/>
        </w:rPr>
        <w:t xml:space="preserve"> </w:t>
      </w:r>
      <w:r w:rsidR="00CB5392" w:rsidRPr="00F37DC9">
        <w:rPr>
          <w:rFonts w:ascii="Calibri" w:hAnsi="Calibri" w:cs="Calibri"/>
          <w:sz w:val="20"/>
        </w:rPr>
        <w:t>4,5</w:t>
      </w:r>
      <w:r w:rsidRPr="00F37DC9">
        <w:rPr>
          <w:rFonts w:ascii="Calibri" w:hAnsi="Calibri" w:cs="Calibri"/>
          <w:sz w:val="20"/>
        </w:rPr>
        <w:t xml:space="preserve"> % HDP. </w:t>
      </w:r>
      <w:r w:rsidR="00E11110" w:rsidRPr="00F37DC9">
        <w:rPr>
          <w:rFonts w:ascii="Calibri" w:hAnsi="Calibri" w:cs="Calibri"/>
          <w:sz w:val="20"/>
        </w:rPr>
        <w:t>V</w:t>
      </w:r>
      <w:r w:rsidR="002511A0" w:rsidRPr="00F37DC9">
        <w:rPr>
          <w:rFonts w:ascii="Calibri" w:hAnsi="Calibri" w:cs="Calibri"/>
          <w:sz w:val="20"/>
        </w:rPr>
        <w:t>eřejný dluh</w:t>
      </w:r>
      <w:r w:rsidR="005C7415" w:rsidRPr="00F37DC9">
        <w:rPr>
          <w:rFonts w:ascii="Calibri" w:hAnsi="Calibri" w:cs="Calibri"/>
          <w:sz w:val="20"/>
        </w:rPr>
        <w:t xml:space="preserve"> </w:t>
      </w:r>
      <w:r w:rsidR="00E11110" w:rsidRPr="00F37DC9">
        <w:rPr>
          <w:rFonts w:ascii="Calibri" w:hAnsi="Calibri" w:cs="Calibri"/>
          <w:sz w:val="20"/>
        </w:rPr>
        <w:t xml:space="preserve">by se tak </w:t>
      </w:r>
      <w:r w:rsidR="00CB5392" w:rsidRPr="00F37DC9">
        <w:rPr>
          <w:rFonts w:ascii="Calibri" w:hAnsi="Calibri" w:cs="Calibri"/>
          <w:sz w:val="20"/>
        </w:rPr>
        <w:t>v</w:t>
      </w:r>
      <w:r w:rsidR="00E11110" w:rsidRPr="00F37DC9">
        <w:rPr>
          <w:rFonts w:ascii="Calibri" w:hAnsi="Calibri" w:cs="Calibri"/>
          <w:sz w:val="20"/>
        </w:rPr>
        <w:t>yšplhal</w:t>
      </w:r>
      <w:r w:rsidR="00CB5392" w:rsidRPr="00F37DC9">
        <w:rPr>
          <w:rFonts w:ascii="Calibri" w:hAnsi="Calibri" w:cs="Calibri"/>
          <w:sz w:val="20"/>
        </w:rPr>
        <w:t xml:space="preserve"> na 45,7 % HDP. Pokud vláda vzešlá z podzimních voleb nezačne veřejné finance razantně konsolidovat, k nárazu na dluhovou brzdu</w:t>
      </w:r>
      <w:r w:rsidR="00ED1237" w:rsidRPr="00F37DC9">
        <w:rPr>
          <w:rFonts w:ascii="Calibri" w:hAnsi="Calibri" w:cs="Calibri"/>
          <w:sz w:val="20"/>
        </w:rPr>
        <w:t>,</w:t>
      </w:r>
      <w:r w:rsidR="00CB5392" w:rsidRPr="00F37DC9">
        <w:rPr>
          <w:rFonts w:ascii="Calibri" w:hAnsi="Calibri" w:cs="Calibri"/>
          <w:sz w:val="20"/>
        </w:rPr>
        <w:t xml:space="preserve"> </w:t>
      </w:r>
      <w:r w:rsidRPr="00F37DC9">
        <w:rPr>
          <w:rFonts w:ascii="Calibri" w:hAnsi="Calibri" w:cs="Calibri"/>
          <w:sz w:val="20"/>
        </w:rPr>
        <w:t>stanoven</w:t>
      </w:r>
      <w:r w:rsidR="00CB5392" w:rsidRPr="00F37DC9">
        <w:rPr>
          <w:rFonts w:ascii="Calibri" w:hAnsi="Calibri" w:cs="Calibri"/>
          <w:sz w:val="20"/>
        </w:rPr>
        <w:t>ou</w:t>
      </w:r>
      <w:r w:rsidRPr="00F37DC9">
        <w:rPr>
          <w:rFonts w:ascii="Calibri" w:hAnsi="Calibri" w:cs="Calibri"/>
          <w:sz w:val="20"/>
        </w:rPr>
        <w:t xml:space="preserve"> </w:t>
      </w:r>
      <w:r w:rsidR="00E11110" w:rsidRPr="00F37DC9">
        <w:rPr>
          <w:rFonts w:ascii="Calibri" w:hAnsi="Calibri" w:cs="Calibri"/>
          <w:sz w:val="20"/>
        </w:rPr>
        <w:t xml:space="preserve">zákonem o rozpočtové odpovědnosti </w:t>
      </w:r>
      <w:r w:rsidRPr="00F37DC9">
        <w:rPr>
          <w:rFonts w:ascii="Calibri" w:hAnsi="Calibri" w:cs="Calibri"/>
          <w:sz w:val="20"/>
        </w:rPr>
        <w:t>na 55 %</w:t>
      </w:r>
      <w:r w:rsidR="007642B3" w:rsidRPr="00F37DC9">
        <w:rPr>
          <w:rFonts w:ascii="Calibri" w:hAnsi="Calibri" w:cs="Calibri"/>
          <w:sz w:val="20"/>
        </w:rPr>
        <w:t xml:space="preserve"> HDP</w:t>
      </w:r>
      <w:r w:rsidR="00CB5392" w:rsidRPr="00F37DC9">
        <w:rPr>
          <w:rFonts w:ascii="Calibri" w:hAnsi="Calibri" w:cs="Calibri"/>
          <w:sz w:val="20"/>
        </w:rPr>
        <w:t>, by mohlo dojít již v roce 2024</w:t>
      </w:r>
      <w:r w:rsidRPr="00F37DC9">
        <w:rPr>
          <w:rFonts w:ascii="Calibri" w:hAnsi="Calibri" w:cs="Calibri"/>
          <w:sz w:val="20"/>
        </w:rPr>
        <w:t xml:space="preserve">. </w:t>
      </w:r>
    </w:p>
    <w:p w14:paraId="5B0B104F" w14:textId="77777777" w:rsidR="007C5704" w:rsidRPr="00F37DC9" w:rsidRDefault="007C5704" w:rsidP="00B4285D">
      <w:pPr>
        <w:rPr>
          <w:rFonts w:ascii="Calibri" w:hAnsi="Calibri" w:cs="Calibri"/>
          <w:sz w:val="20"/>
        </w:rPr>
      </w:pPr>
    </w:p>
    <w:p w14:paraId="37B537A9" w14:textId="5680A373" w:rsidR="000A6730" w:rsidRPr="00F37DC9" w:rsidRDefault="00EB6C50" w:rsidP="00B4285D">
      <w:pPr>
        <w:rPr>
          <w:rFonts w:ascii="Calibri" w:hAnsi="Calibri" w:cs="Calibri"/>
          <w:sz w:val="20"/>
        </w:rPr>
      </w:pPr>
      <w:r w:rsidRPr="00C15C17">
        <w:rPr>
          <w:noProof/>
          <w:sz w:val="20"/>
        </w:rPr>
        <mc:AlternateContent>
          <mc:Choice Requires="wps">
            <w:drawing>
              <wp:anchor distT="45720" distB="45720" distL="114300" distR="114300" simplePos="0" relativeHeight="251672576" behindDoc="0" locked="0" layoutInCell="1" allowOverlap="1" wp14:anchorId="3001764B" wp14:editId="2E1B01FB">
                <wp:simplePos x="0" y="0"/>
                <wp:positionH relativeFrom="column">
                  <wp:posOffset>1905</wp:posOffset>
                </wp:positionH>
                <wp:positionV relativeFrom="paragraph">
                  <wp:posOffset>1386205</wp:posOffset>
                </wp:positionV>
                <wp:extent cx="6496050" cy="928370"/>
                <wp:effectExtent l="0" t="0" r="19050" b="2413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28370"/>
                        </a:xfrm>
                        <a:prstGeom prst="rect">
                          <a:avLst/>
                        </a:prstGeom>
                        <a:solidFill>
                          <a:srgbClr val="FFFFFF"/>
                        </a:solidFill>
                        <a:ln w="9525">
                          <a:solidFill>
                            <a:srgbClr val="000000"/>
                          </a:solidFill>
                          <a:miter lim="800000"/>
                          <a:headEnd/>
                          <a:tailEnd/>
                        </a:ln>
                      </wps:spPr>
                      <wps:txbx>
                        <w:txbxContent>
                          <w:p w14:paraId="0758A178" w14:textId="6BE2F7A2" w:rsidR="00EB6C50" w:rsidRPr="00F37DC9" w:rsidRDefault="00EB6C50" w:rsidP="00EB6C50">
                            <w:pPr>
                              <w:rPr>
                                <w:rFonts w:ascii="Calibri" w:hAnsi="Calibri" w:cs="Calibri"/>
                                <w:sz w:val="20"/>
                              </w:rPr>
                            </w:pPr>
                            <w:r>
                              <w:rPr>
                                <w:rFonts w:ascii="Calibri" w:hAnsi="Calibri" w:cs="Calibri"/>
                                <w:b/>
                                <w:bCs/>
                                <w:sz w:val="20"/>
                              </w:rPr>
                              <w:t>Helena Horská</w:t>
                            </w:r>
                            <w:r w:rsidRPr="00F37DC9">
                              <w:rPr>
                                <w:rFonts w:ascii="Calibri" w:hAnsi="Calibri" w:cs="Calibri"/>
                                <w:sz w:val="20"/>
                              </w:rPr>
                              <w:t>, hlavní ekonom</w:t>
                            </w:r>
                            <w:r>
                              <w:rPr>
                                <w:rFonts w:ascii="Calibri" w:hAnsi="Calibri" w:cs="Calibri"/>
                                <w:sz w:val="20"/>
                              </w:rPr>
                              <w:t>ka</w:t>
                            </w:r>
                            <w:r w:rsidRPr="00F37DC9">
                              <w:rPr>
                                <w:rFonts w:ascii="Calibri" w:hAnsi="Calibri" w:cs="Calibri"/>
                                <w:sz w:val="20"/>
                              </w:rPr>
                              <w:t xml:space="preserve"> Raiffeisenbank:</w:t>
                            </w:r>
                          </w:p>
                          <w:p w14:paraId="6E373176" w14:textId="1DCD57D6" w:rsidR="00EB6C50" w:rsidRPr="00EB6C50" w:rsidRDefault="00EB6C50" w:rsidP="00EB6C50">
                            <w:pPr>
                              <w:rPr>
                                <w:rFonts w:ascii="Calibri" w:hAnsi="Calibri" w:cs="Calibri"/>
                                <w:i/>
                                <w:iCs/>
                              </w:rPr>
                            </w:pPr>
                            <w:r w:rsidRPr="00EB6C50">
                              <w:rPr>
                                <w:rFonts w:ascii="Calibri" w:hAnsi="Calibri" w:cs="Calibri"/>
                                <w:i/>
                                <w:iCs/>
                                <w:sz w:val="20"/>
                              </w:rPr>
                              <w:t>„Budoucí konsolidace českých veřejných rozpočtů bude muset být bezpochyby ambicióznější než v současné době avízované půl procento HDP ročně. Spoléhat se na pouhý růst ekonomiky nestačí. Vyrůst z dluhů na dluh není jednoduché obzvlášť, když produkční kapacita ekonomiky velmi brzy bez zásadních investic opět narazí na vlastní hranice. Konsolidace si vyžádá nejen zásahy do příjmů, ale i výdajů.“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764B" id="Textové pole 7" o:spid="_x0000_s1030" type="#_x0000_t202" style="position:absolute;left:0;text-align:left;margin-left:.15pt;margin-top:109.15pt;width:511.5pt;height:73.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">
                <v:textbox>
                  <w:txbxContent>
                    <w:p w14:paraId="0758A178" w14:textId="6BE2F7A2" w:rsidR="00EB6C50" w:rsidRPr="00F37DC9" w:rsidRDefault="00EB6C50" w:rsidP="00EB6C50">
                      <w:pPr>
                        <w:rPr>
                          <w:rFonts w:ascii="Calibri" w:hAnsi="Calibri" w:cs="Calibri"/>
                          <w:sz w:val="20"/>
                        </w:rPr>
                      </w:pPr>
                      <w:r>
                        <w:rPr>
                          <w:rFonts w:ascii="Calibri" w:hAnsi="Calibri" w:cs="Calibri"/>
                          <w:b/>
                          <w:bCs/>
                          <w:sz w:val="20"/>
                        </w:rPr>
                        <w:t>Helena Horská</w:t>
                      </w:r>
                      <w:r w:rsidRPr="00F37DC9">
                        <w:rPr>
                          <w:rFonts w:ascii="Calibri" w:hAnsi="Calibri" w:cs="Calibri"/>
                          <w:sz w:val="20"/>
                        </w:rPr>
                        <w:t>, hlavní ekonom</w:t>
                      </w:r>
                      <w:r>
                        <w:rPr>
                          <w:rFonts w:ascii="Calibri" w:hAnsi="Calibri" w:cs="Calibri"/>
                          <w:sz w:val="20"/>
                        </w:rPr>
                        <w:t>ka</w:t>
                      </w:r>
                      <w:r w:rsidRPr="00F37DC9">
                        <w:rPr>
                          <w:rFonts w:ascii="Calibri" w:hAnsi="Calibri" w:cs="Calibri"/>
                          <w:sz w:val="20"/>
                        </w:rPr>
                        <w:t xml:space="preserve"> Raiffeisenbank:</w:t>
                      </w:r>
                    </w:p>
                    <w:p w14:paraId="6E373176" w14:textId="1DCD57D6" w:rsidR="00EB6C50" w:rsidRPr="00EB6C50" w:rsidRDefault="00EB6C50" w:rsidP="00EB6C50">
                      <w:pPr>
                        <w:rPr>
                          <w:rFonts w:ascii="Calibri" w:hAnsi="Calibri" w:cs="Calibri"/>
                          <w:i/>
                          <w:iCs/>
                        </w:rPr>
                      </w:pPr>
                      <w:r w:rsidRPr="00EB6C50">
                        <w:rPr>
                          <w:rFonts w:ascii="Calibri" w:hAnsi="Calibri" w:cs="Calibri"/>
                          <w:i/>
                          <w:iCs/>
                          <w:sz w:val="20"/>
                        </w:rPr>
                        <w:t>„Budoucí konsolidace českých veřejných rozpočtů bude muset být bezpochyby ambicióznější než v současné době avízované půl procento HDP ročně. Spoléhat se na pouhý růst ekonomiky nestačí. Vyrůst z dluhů na dluh není jednoduché obzvlášť, když produkční kapacita ekonomiky velmi brzy bez zásadních investic opět narazí na vlastní hranice. Konsolidace si vyžádá nejen zásahy do příjmů, ale i výdajů.“</w:t>
                      </w:r>
                    </w:p>
                  </w:txbxContent>
                </v:textbox>
                <w10:wrap type="square"/>
              </v:shape>
            </w:pict>
          </mc:Fallback>
        </mc:AlternateContent>
      </w:r>
      <w:r w:rsidR="002E5008" w:rsidRPr="00F37DC9">
        <w:rPr>
          <w:rFonts w:ascii="Calibri" w:hAnsi="Calibri" w:cs="Calibri"/>
          <w:sz w:val="20"/>
        </w:rPr>
        <w:t xml:space="preserve">Nezbývá než opakovat, co </w:t>
      </w:r>
      <w:r w:rsidR="00191CB2">
        <w:rPr>
          <w:rFonts w:ascii="Calibri" w:hAnsi="Calibri" w:cs="Calibri"/>
          <w:sz w:val="20"/>
        </w:rPr>
        <w:t>p</w:t>
      </w:r>
      <w:r w:rsidR="002E5008" w:rsidRPr="00F37DC9">
        <w:rPr>
          <w:rFonts w:ascii="Calibri" w:hAnsi="Calibri" w:cs="Calibri"/>
          <w:sz w:val="20"/>
        </w:rPr>
        <w:t xml:space="preserve">rognostický panel ČBA konstatoval </w:t>
      </w:r>
      <w:r w:rsidR="001E4E51" w:rsidRPr="00F37DC9">
        <w:rPr>
          <w:rFonts w:ascii="Calibri" w:hAnsi="Calibri" w:cs="Calibri"/>
          <w:sz w:val="20"/>
        </w:rPr>
        <w:t xml:space="preserve">již </w:t>
      </w:r>
      <w:r w:rsidR="002E5008" w:rsidRPr="00F37DC9">
        <w:rPr>
          <w:rFonts w:ascii="Calibri" w:hAnsi="Calibri" w:cs="Calibri"/>
          <w:sz w:val="20"/>
        </w:rPr>
        <w:t>v únoru. P</w:t>
      </w:r>
      <w:r w:rsidR="00CA0CF8" w:rsidRPr="00F37DC9">
        <w:rPr>
          <w:rFonts w:ascii="Calibri" w:hAnsi="Calibri" w:cs="Calibri"/>
          <w:sz w:val="20"/>
        </w:rPr>
        <w:t>řestože ve srovnání s řadou států EU</w:t>
      </w:r>
      <w:r w:rsidR="00C25EA6">
        <w:rPr>
          <w:rFonts w:ascii="Calibri" w:hAnsi="Calibri" w:cs="Calibri"/>
          <w:sz w:val="20"/>
        </w:rPr>
        <w:t xml:space="preserve">, </w:t>
      </w:r>
      <w:r w:rsidR="00C25EA6" w:rsidRPr="00F37DC9">
        <w:rPr>
          <w:rFonts w:ascii="Calibri" w:hAnsi="Calibri" w:cs="Calibri"/>
          <w:sz w:val="20"/>
        </w:rPr>
        <w:t>pokud jde o úroveň dluhu</w:t>
      </w:r>
      <w:r w:rsidR="00C25EA6">
        <w:rPr>
          <w:rFonts w:ascii="Calibri" w:hAnsi="Calibri" w:cs="Calibri"/>
          <w:sz w:val="20"/>
        </w:rPr>
        <w:t>,</w:t>
      </w:r>
      <w:r w:rsidR="00C25EA6" w:rsidRPr="00F37DC9">
        <w:rPr>
          <w:rFonts w:ascii="Calibri" w:hAnsi="Calibri" w:cs="Calibri"/>
          <w:sz w:val="20"/>
        </w:rPr>
        <w:t xml:space="preserve"> </w:t>
      </w:r>
      <w:r w:rsidR="00C25EA6" w:rsidRPr="004D1089">
        <w:rPr>
          <w:rFonts w:ascii="Calibri" w:hAnsi="Calibri" w:cs="Calibri"/>
          <w:iCs/>
          <w:sz w:val="20"/>
        </w:rPr>
        <w:t>zatím</w:t>
      </w:r>
      <w:r w:rsidR="00C25EA6" w:rsidRPr="00F37DC9">
        <w:rPr>
          <w:rFonts w:ascii="Calibri" w:hAnsi="Calibri" w:cs="Calibri"/>
          <w:sz w:val="20"/>
        </w:rPr>
        <w:t xml:space="preserve"> </w:t>
      </w:r>
      <w:r w:rsidR="00CA0CF8" w:rsidRPr="00F37DC9">
        <w:rPr>
          <w:rFonts w:ascii="Calibri" w:hAnsi="Calibri" w:cs="Calibri"/>
          <w:sz w:val="20"/>
        </w:rPr>
        <w:t>patříme ve fiskální oblasti mezi premianty</w:t>
      </w:r>
      <w:r w:rsidR="000A6730" w:rsidRPr="00F37DC9">
        <w:rPr>
          <w:rFonts w:ascii="Calibri" w:hAnsi="Calibri" w:cs="Calibri"/>
          <w:sz w:val="20"/>
        </w:rPr>
        <w:t>,</w:t>
      </w:r>
      <w:r w:rsidR="00FF69E1" w:rsidRPr="00F37DC9">
        <w:rPr>
          <w:rFonts w:ascii="Calibri" w:hAnsi="Calibri" w:cs="Calibri"/>
          <w:sz w:val="20"/>
        </w:rPr>
        <w:t xml:space="preserve"> z dynamického pohledu se naopak řadíme k těm nejhorším </w:t>
      </w:r>
      <w:r w:rsidR="00FC7377">
        <w:rPr>
          <w:rFonts w:ascii="Calibri" w:hAnsi="Calibri" w:cs="Calibri"/>
          <w:sz w:val="20"/>
        </w:rPr>
        <w:t>–</w:t>
      </w:r>
      <w:r w:rsidR="00CA0CF8" w:rsidRPr="00F37DC9">
        <w:rPr>
          <w:rFonts w:ascii="Calibri" w:hAnsi="Calibri" w:cs="Calibri"/>
          <w:sz w:val="20"/>
        </w:rPr>
        <w:t xml:space="preserve"> rozsah zadlužení českého státu se rychle zhoršuje. </w:t>
      </w:r>
      <w:r w:rsidR="00DF7A07" w:rsidRPr="00F37DC9">
        <w:rPr>
          <w:rFonts w:ascii="Calibri" w:hAnsi="Calibri" w:cs="Calibri"/>
          <w:sz w:val="20"/>
        </w:rPr>
        <w:t>N</w:t>
      </w:r>
      <w:r w:rsidR="008910AF" w:rsidRPr="00F37DC9">
        <w:rPr>
          <w:rFonts w:ascii="Calibri" w:hAnsi="Calibri" w:cs="Calibri"/>
          <w:sz w:val="20"/>
        </w:rPr>
        <w:t>áraz</w:t>
      </w:r>
      <w:r w:rsidR="006648C4" w:rsidRPr="00F37DC9">
        <w:rPr>
          <w:rFonts w:ascii="Calibri" w:hAnsi="Calibri" w:cs="Calibri"/>
          <w:sz w:val="20"/>
        </w:rPr>
        <w:t xml:space="preserve"> na dluhovou brzdu</w:t>
      </w:r>
      <w:r w:rsidR="00CA0CF8" w:rsidRPr="00F37DC9">
        <w:rPr>
          <w:rFonts w:ascii="Calibri" w:hAnsi="Calibri" w:cs="Calibri"/>
          <w:sz w:val="20"/>
        </w:rPr>
        <w:t xml:space="preserve"> navíc </w:t>
      </w:r>
      <w:r w:rsidR="006648C4" w:rsidRPr="00F37DC9">
        <w:rPr>
          <w:rFonts w:ascii="Calibri" w:hAnsi="Calibri" w:cs="Calibri"/>
          <w:sz w:val="20"/>
        </w:rPr>
        <w:t xml:space="preserve">hrozí v situaci, kdy by naopak bylo potřeba </w:t>
      </w:r>
      <w:r w:rsidR="008910AF" w:rsidRPr="00F37DC9">
        <w:rPr>
          <w:rFonts w:ascii="Calibri" w:hAnsi="Calibri" w:cs="Calibri"/>
          <w:sz w:val="20"/>
        </w:rPr>
        <w:t xml:space="preserve">konečně realizovat desetiletí odkládanou reformu </w:t>
      </w:r>
      <w:r w:rsidR="007642B3" w:rsidRPr="00F37DC9">
        <w:rPr>
          <w:rFonts w:ascii="Calibri" w:hAnsi="Calibri" w:cs="Calibri"/>
          <w:sz w:val="20"/>
        </w:rPr>
        <w:t xml:space="preserve">penzijního systému </w:t>
      </w:r>
      <w:r w:rsidR="008910AF" w:rsidRPr="00F37DC9">
        <w:rPr>
          <w:rFonts w:ascii="Calibri" w:hAnsi="Calibri" w:cs="Calibri"/>
          <w:sz w:val="20"/>
        </w:rPr>
        <w:t xml:space="preserve">a </w:t>
      </w:r>
      <w:r w:rsidR="00ED1237" w:rsidRPr="00F37DC9">
        <w:rPr>
          <w:rFonts w:ascii="Calibri" w:hAnsi="Calibri" w:cs="Calibri"/>
          <w:sz w:val="20"/>
        </w:rPr>
        <w:t xml:space="preserve">vytvořit fiskální prostor pro </w:t>
      </w:r>
      <w:r w:rsidR="008910AF" w:rsidRPr="00F37DC9">
        <w:rPr>
          <w:rFonts w:ascii="Calibri" w:hAnsi="Calibri" w:cs="Calibri"/>
          <w:sz w:val="20"/>
        </w:rPr>
        <w:t xml:space="preserve">financování zdravotní péče. Ačkoli </w:t>
      </w:r>
      <w:r w:rsidR="00DF7A07" w:rsidRPr="00F37DC9">
        <w:rPr>
          <w:rFonts w:ascii="Calibri" w:hAnsi="Calibri" w:cs="Calibri"/>
          <w:sz w:val="20"/>
        </w:rPr>
        <w:t>t</w:t>
      </w:r>
      <w:r w:rsidR="00FC7377">
        <w:rPr>
          <w:rFonts w:ascii="Calibri" w:hAnsi="Calibri" w:cs="Calibri"/>
          <w:sz w:val="20"/>
        </w:rPr>
        <w:t>e</w:t>
      </w:r>
      <w:r w:rsidR="00DF7A07" w:rsidRPr="00F37DC9">
        <w:rPr>
          <w:rFonts w:ascii="Calibri" w:hAnsi="Calibri" w:cs="Calibri"/>
          <w:sz w:val="20"/>
        </w:rPr>
        <w:t xml:space="preserve">ze </w:t>
      </w:r>
      <w:r w:rsidR="008910AF" w:rsidRPr="00F37DC9">
        <w:rPr>
          <w:rFonts w:ascii="Calibri" w:hAnsi="Calibri" w:cs="Calibri"/>
          <w:sz w:val="20"/>
        </w:rPr>
        <w:t xml:space="preserve">o hrozící neudržitelnosti veřejných financí zní už pomalu jako klišé, je apel na urychlené přijetí plánu </w:t>
      </w:r>
      <w:r w:rsidR="005C7415" w:rsidRPr="00F37DC9">
        <w:rPr>
          <w:rFonts w:ascii="Calibri" w:hAnsi="Calibri" w:cs="Calibri"/>
          <w:sz w:val="20"/>
        </w:rPr>
        <w:t xml:space="preserve">jejich </w:t>
      </w:r>
      <w:r w:rsidR="008910AF" w:rsidRPr="00F37DC9">
        <w:rPr>
          <w:rFonts w:ascii="Calibri" w:hAnsi="Calibri" w:cs="Calibri"/>
          <w:sz w:val="20"/>
        </w:rPr>
        <w:t>konsolidace čím dál naléhavější. Změní-li</w:t>
      </w:r>
      <w:r w:rsidR="007642B3" w:rsidRPr="00F37DC9">
        <w:rPr>
          <w:rFonts w:ascii="Calibri" w:hAnsi="Calibri" w:cs="Calibri"/>
          <w:sz w:val="20"/>
        </w:rPr>
        <w:t xml:space="preserve"> se</w:t>
      </w:r>
      <w:r w:rsidR="008910AF" w:rsidRPr="00F37DC9">
        <w:rPr>
          <w:rFonts w:ascii="Calibri" w:hAnsi="Calibri" w:cs="Calibri"/>
          <w:sz w:val="20"/>
        </w:rPr>
        <w:t xml:space="preserve"> sentiment investorů </w:t>
      </w:r>
      <w:r w:rsidR="007642B3" w:rsidRPr="00F37DC9">
        <w:rPr>
          <w:rFonts w:ascii="Calibri" w:hAnsi="Calibri" w:cs="Calibri"/>
          <w:sz w:val="20"/>
        </w:rPr>
        <w:t>(což může nastat i při nezměněném</w:t>
      </w:r>
      <w:r w:rsidR="008910AF" w:rsidRPr="00F37DC9">
        <w:rPr>
          <w:rFonts w:ascii="Calibri" w:hAnsi="Calibri" w:cs="Calibri"/>
          <w:sz w:val="20"/>
        </w:rPr>
        <w:t> ratingu ČR</w:t>
      </w:r>
      <w:r w:rsidR="007642B3" w:rsidRPr="00F37DC9">
        <w:rPr>
          <w:rFonts w:ascii="Calibri" w:hAnsi="Calibri" w:cs="Calibri"/>
          <w:sz w:val="20"/>
        </w:rPr>
        <w:t>)</w:t>
      </w:r>
      <w:r w:rsidR="008910AF" w:rsidRPr="00F37DC9">
        <w:rPr>
          <w:rFonts w:ascii="Calibri" w:hAnsi="Calibri" w:cs="Calibri"/>
          <w:sz w:val="20"/>
        </w:rPr>
        <w:t xml:space="preserve"> dříve</w:t>
      </w:r>
      <w:r w:rsidR="00247943" w:rsidRPr="00F37DC9">
        <w:rPr>
          <w:rFonts w:ascii="Calibri" w:hAnsi="Calibri" w:cs="Calibri"/>
          <w:sz w:val="20"/>
        </w:rPr>
        <w:t>,</w:t>
      </w:r>
      <w:r w:rsidR="008910AF" w:rsidRPr="00F37DC9">
        <w:rPr>
          <w:rFonts w:ascii="Calibri" w:hAnsi="Calibri" w:cs="Calibri"/>
          <w:sz w:val="20"/>
        </w:rPr>
        <w:t xml:space="preserve"> než bude odpovídající plán přijat, </w:t>
      </w:r>
      <w:r w:rsidR="006146A8" w:rsidRPr="00F37DC9">
        <w:rPr>
          <w:rFonts w:ascii="Calibri" w:hAnsi="Calibri" w:cs="Calibri"/>
          <w:sz w:val="20"/>
        </w:rPr>
        <w:t xml:space="preserve">tak </w:t>
      </w:r>
      <w:r w:rsidR="009224FC" w:rsidRPr="00F37DC9">
        <w:rPr>
          <w:rFonts w:ascii="Calibri" w:hAnsi="Calibri" w:cs="Calibri"/>
          <w:sz w:val="20"/>
        </w:rPr>
        <w:t xml:space="preserve">by </w:t>
      </w:r>
      <w:r w:rsidR="008910AF" w:rsidRPr="00F37DC9">
        <w:rPr>
          <w:rFonts w:ascii="Calibri" w:hAnsi="Calibri" w:cs="Calibri"/>
          <w:sz w:val="20"/>
        </w:rPr>
        <w:t xml:space="preserve">výsledné zdražení obsluhy veřejného dluhu </w:t>
      </w:r>
      <w:r w:rsidR="009224FC" w:rsidRPr="00F37DC9">
        <w:rPr>
          <w:rFonts w:ascii="Calibri" w:hAnsi="Calibri" w:cs="Calibri"/>
          <w:sz w:val="20"/>
        </w:rPr>
        <w:t xml:space="preserve">dále zkomplikovalo </w:t>
      </w:r>
      <w:r w:rsidR="008910AF" w:rsidRPr="00F37DC9">
        <w:rPr>
          <w:rFonts w:ascii="Calibri" w:hAnsi="Calibri" w:cs="Calibri"/>
          <w:sz w:val="20"/>
        </w:rPr>
        <w:t>situaci, v jaké se české veřejné finance</w:t>
      </w:r>
      <w:r w:rsidR="003366D7" w:rsidRPr="00F37DC9">
        <w:rPr>
          <w:rFonts w:ascii="Calibri" w:hAnsi="Calibri" w:cs="Calibri"/>
          <w:sz w:val="20"/>
        </w:rPr>
        <w:t xml:space="preserve"> nacházejí</w:t>
      </w:r>
      <w:r w:rsidR="009224FC" w:rsidRPr="00F37DC9">
        <w:rPr>
          <w:rFonts w:ascii="Calibri" w:hAnsi="Calibri" w:cs="Calibri"/>
          <w:sz w:val="20"/>
        </w:rPr>
        <w:t>.</w:t>
      </w:r>
      <w:r w:rsidR="00E76C3A" w:rsidRPr="00F37DC9">
        <w:rPr>
          <w:rFonts w:ascii="Calibri" w:hAnsi="Calibri" w:cs="Calibri"/>
          <w:sz w:val="20"/>
        </w:rPr>
        <w:t xml:space="preserve"> </w:t>
      </w:r>
    </w:p>
    <w:p w14:paraId="10ED9651" w14:textId="19DB6D32" w:rsidR="00C62B5E" w:rsidRDefault="00C62B5E" w:rsidP="00B4285D">
      <w:pPr>
        <w:rPr>
          <w:rFonts w:ascii="Calibri" w:hAnsi="Calibri" w:cs="Calibri"/>
          <w:b/>
          <w:color w:val="007E79"/>
          <w:sz w:val="20"/>
        </w:rPr>
      </w:pPr>
    </w:p>
    <w:p w14:paraId="55C3D391" w14:textId="0AAB4CE8" w:rsidR="006C6CFF" w:rsidRPr="00F37DC9" w:rsidRDefault="002D12BD" w:rsidP="00EB6C50">
      <w:pPr>
        <w:spacing w:after="120"/>
        <w:rPr>
          <w:rFonts w:ascii="Calibri" w:hAnsi="Calibri" w:cs="Calibri"/>
          <w:b/>
          <w:color w:val="13576B"/>
          <w:sz w:val="20"/>
        </w:rPr>
      </w:pPr>
      <w:r w:rsidRPr="00EB6C50">
        <w:rPr>
          <w:rFonts w:ascii="Calibri" w:hAnsi="Calibri" w:cs="Calibri"/>
          <w:b/>
          <w:color w:val="13576B"/>
          <w:sz w:val="22"/>
          <w:szCs w:val="22"/>
        </w:rPr>
        <w:t>Měnová politika, inflace a měnový kurz</w:t>
      </w:r>
      <w:r w:rsidR="00125474" w:rsidRPr="00EB6C50">
        <w:rPr>
          <w:rFonts w:ascii="Calibri" w:hAnsi="Calibri" w:cs="Calibri"/>
          <w:b/>
          <w:color w:val="13576B"/>
          <w:sz w:val="22"/>
          <w:szCs w:val="22"/>
        </w:rPr>
        <w:t xml:space="preserve"> </w:t>
      </w:r>
    </w:p>
    <w:p w14:paraId="2CDBEBA8" w14:textId="0D070910" w:rsidR="009047C8" w:rsidRPr="00F37DC9" w:rsidRDefault="00F60644" w:rsidP="00B4285D">
      <w:pPr>
        <w:rPr>
          <w:rFonts w:ascii="Calibri" w:hAnsi="Calibri" w:cs="Calibri"/>
          <w:sz w:val="20"/>
        </w:rPr>
      </w:pPr>
      <w:r w:rsidRPr="00F37DC9">
        <w:rPr>
          <w:rFonts w:ascii="Calibri" w:hAnsi="Calibri" w:cs="Calibri"/>
          <w:sz w:val="20"/>
        </w:rPr>
        <w:t>Podle očekávání ponechala na svém květnovém zasedání Bankovní rada</w:t>
      </w:r>
      <w:r w:rsidR="00191CB2">
        <w:rPr>
          <w:rFonts w:ascii="Calibri" w:hAnsi="Calibri" w:cs="Calibri"/>
          <w:sz w:val="20"/>
        </w:rPr>
        <w:t xml:space="preserve"> České národní banky</w:t>
      </w:r>
      <w:r w:rsidRPr="00F37DC9">
        <w:rPr>
          <w:rFonts w:ascii="Calibri" w:hAnsi="Calibri" w:cs="Calibri"/>
          <w:sz w:val="20"/>
        </w:rPr>
        <w:t xml:space="preserve"> </w:t>
      </w:r>
      <w:r w:rsidR="00191CB2">
        <w:rPr>
          <w:rFonts w:ascii="Calibri" w:hAnsi="Calibri" w:cs="Calibri"/>
          <w:sz w:val="20"/>
        </w:rPr>
        <w:t>(</w:t>
      </w:r>
      <w:r w:rsidRPr="00F37DC9">
        <w:rPr>
          <w:rFonts w:ascii="Calibri" w:hAnsi="Calibri" w:cs="Calibri"/>
          <w:sz w:val="20"/>
        </w:rPr>
        <w:t>ČNB</w:t>
      </w:r>
      <w:r w:rsidR="00191CB2">
        <w:rPr>
          <w:rFonts w:ascii="Calibri" w:hAnsi="Calibri" w:cs="Calibri"/>
          <w:sz w:val="20"/>
        </w:rPr>
        <w:t>)</w:t>
      </w:r>
      <w:r w:rsidRPr="00F37DC9">
        <w:rPr>
          <w:rFonts w:ascii="Calibri" w:hAnsi="Calibri" w:cs="Calibri"/>
          <w:sz w:val="20"/>
        </w:rPr>
        <w:t xml:space="preserve"> </w:t>
      </w:r>
      <w:r w:rsidR="005A5299" w:rsidRPr="00F37DC9">
        <w:rPr>
          <w:rFonts w:ascii="Calibri" w:hAnsi="Calibri" w:cs="Calibri"/>
          <w:sz w:val="20"/>
        </w:rPr>
        <w:t>sazb</w:t>
      </w:r>
      <w:r w:rsidR="00F61423">
        <w:rPr>
          <w:rFonts w:ascii="Calibri" w:hAnsi="Calibri" w:cs="Calibri"/>
          <w:sz w:val="20"/>
        </w:rPr>
        <w:t>y</w:t>
      </w:r>
      <w:r w:rsidR="005A5299" w:rsidRPr="00F37DC9">
        <w:rPr>
          <w:rFonts w:ascii="Calibri" w:hAnsi="Calibri" w:cs="Calibri"/>
          <w:sz w:val="20"/>
        </w:rPr>
        <w:t xml:space="preserve"> </w:t>
      </w:r>
      <w:r w:rsidRPr="00F37DC9">
        <w:rPr>
          <w:rFonts w:ascii="Calibri" w:hAnsi="Calibri" w:cs="Calibri"/>
          <w:sz w:val="20"/>
        </w:rPr>
        <w:t>na úrovni</w:t>
      </w:r>
      <w:r w:rsidR="000A6730" w:rsidRPr="00F37DC9">
        <w:rPr>
          <w:rFonts w:ascii="Calibri" w:hAnsi="Calibri" w:cs="Calibri"/>
          <w:sz w:val="20"/>
        </w:rPr>
        <w:t xml:space="preserve"> 0,25 %</w:t>
      </w:r>
      <w:r w:rsidRPr="00F37DC9">
        <w:rPr>
          <w:rFonts w:ascii="Calibri" w:hAnsi="Calibri" w:cs="Calibri"/>
          <w:sz w:val="20"/>
        </w:rPr>
        <w:t>, na kter</w:t>
      </w:r>
      <w:r w:rsidR="00F61423">
        <w:rPr>
          <w:rFonts w:ascii="Calibri" w:hAnsi="Calibri" w:cs="Calibri"/>
          <w:sz w:val="20"/>
        </w:rPr>
        <w:t>é</w:t>
      </w:r>
      <w:r w:rsidRPr="00F37DC9">
        <w:rPr>
          <w:rFonts w:ascii="Calibri" w:hAnsi="Calibri" w:cs="Calibri"/>
          <w:sz w:val="20"/>
        </w:rPr>
        <w:t xml:space="preserve"> je poslala </w:t>
      </w:r>
      <w:r w:rsidR="002050D0" w:rsidRPr="00F37DC9">
        <w:rPr>
          <w:rFonts w:ascii="Calibri" w:hAnsi="Calibri" w:cs="Calibri"/>
          <w:sz w:val="20"/>
        </w:rPr>
        <w:t>1</w:t>
      </w:r>
      <w:r w:rsidRPr="00F37DC9">
        <w:rPr>
          <w:rFonts w:ascii="Calibri" w:hAnsi="Calibri" w:cs="Calibri"/>
          <w:sz w:val="20"/>
        </w:rPr>
        <w:t>1</w:t>
      </w:r>
      <w:r w:rsidR="00FC7377">
        <w:rPr>
          <w:rFonts w:ascii="Calibri" w:hAnsi="Calibri" w:cs="Calibri"/>
          <w:sz w:val="20"/>
        </w:rPr>
        <w:t xml:space="preserve">. května </w:t>
      </w:r>
      <w:r w:rsidRPr="00F37DC9">
        <w:rPr>
          <w:rFonts w:ascii="Calibri" w:hAnsi="Calibri" w:cs="Calibri"/>
          <w:sz w:val="20"/>
        </w:rPr>
        <w:t>2020</w:t>
      </w:r>
      <w:r w:rsidR="005A5299" w:rsidRPr="00F37DC9">
        <w:rPr>
          <w:rFonts w:ascii="Calibri" w:hAnsi="Calibri" w:cs="Calibri"/>
          <w:sz w:val="20"/>
        </w:rPr>
        <w:t>, tedy před rokem.</w:t>
      </w:r>
      <w:r w:rsidRPr="00F37DC9">
        <w:rPr>
          <w:rFonts w:ascii="Calibri" w:hAnsi="Calibri" w:cs="Calibri"/>
          <w:sz w:val="20"/>
        </w:rPr>
        <w:t xml:space="preserve"> </w:t>
      </w:r>
      <w:r w:rsidR="002050D0" w:rsidRPr="00F37DC9">
        <w:rPr>
          <w:rFonts w:ascii="Calibri" w:hAnsi="Calibri" w:cs="Calibri"/>
          <w:sz w:val="20"/>
        </w:rPr>
        <w:t xml:space="preserve">S novou </w:t>
      </w:r>
      <w:r w:rsidR="007642B3" w:rsidRPr="00F37DC9">
        <w:rPr>
          <w:rFonts w:ascii="Calibri" w:hAnsi="Calibri" w:cs="Calibri"/>
          <w:sz w:val="20"/>
        </w:rPr>
        <w:t>prognóz</w:t>
      </w:r>
      <w:r w:rsidR="002050D0" w:rsidRPr="00F37DC9">
        <w:rPr>
          <w:rFonts w:ascii="Calibri" w:hAnsi="Calibri" w:cs="Calibri"/>
          <w:sz w:val="20"/>
        </w:rPr>
        <w:t>ou</w:t>
      </w:r>
      <w:r w:rsidR="007642B3" w:rsidRPr="00F37DC9">
        <w:rPr>
          <w:rFonts w:ascii="Calibri" w:hAnsi="Calibri" w:cs="Calibri"/>
          <w:sz w:val="20"/>
        </w:rPr>
        <w:t xml:space="preserve"> </w:t>
      </w:r>
      <w:r w:rsidR="000E5E2A" w:rsidRPr="00F37DC9">
        <w:rPr>
          <w:rFonts w:ascii="Calibri" w:hAnsi="Calibri" w:cs="Calibri"/>
          <w:sz w:val="20"/>
        </w:rPr>
        <w:t xml:space="preserve">ČNB </w:t>
      </w:r>
      <w:r w:rsidR="007642B3" w:rsidRPr="00F37DC9">
        <w:rPr>
          <w:rFonts w:ascii="Calibri" w:hAnsi="Calibri" w:cs="Calibri"/>
          <w:sz w:val="20"/>
        </w:rPr>
        <w:t>publikovan</w:t>
      </w:r>
      <w:r w:rsidR="002050D0" w:rsidRPr="00F37DC9">
        <w:rPr>
          <w:rFonts w:ascii="Calibri" w:hAnsi="Calibri" w:cs="Calibri"/>
          <w:sz w:val="20"/>
        </w:rPr>
        <w:t>ou</w:t>
      </w:r>
      <w:r w:rsidR="007642B3" w:rsidRPr="00F37DC9">
        <w:rPr>
          <w:rFonts w:ascii="Calibri" w:hAnsi="Calibri" w:cs="Calibri"/>
          <w:sz w:val="20"/>
        </w:rPr>
        <w:t xml:space="preserve"> </w:t>
      </w:r>
      <w:r w:rsidRPr="00F37DC9">
        <w:rPr>
          <w:rFonts w:ascii="Calibri" w:hAnsi="Calibri" w:cs="Calibri"/>
          <w:sz w:val="20"/>
        </w:rPr>
        <w:t>6</w:t>
      </w:r>
      <w:r w:rsidR="00FC7377">
        <w:rPr>
          <w:rFonts w:ascii="Calibri" w:hAnsi="Calibri" w:cs="Calibri"/>
          <w:sz w:val="20"/>
        </w:rPr>
        <w:t>. května 2</w:t>
      </w:r>
      <w:r w:rsidR="000E5E2A" w:rsidRPr="00F37DC9">
        <w:rPr>
          <w:rFonts w:ascii="Calibri" w:hAnsi="Calibri" w:cs="Calibri"/>
          <w:sz w:val="20"/>
        </w:rPr>
        <w:t>021</w:t>
      </w:r>
      <w:r w:rsidR="00DF7A07" w:rsidRPr="00F37DC9">
        <w:rPr>
          <w:rFonts w:ascii="Calibri" w:hAnsi="Calibri" w:cs="Calibri"/>
          <w:sz w:val="20"/>
        </w:rPr>
        <w:t xml:space="preserve"> </w:t>
      </w:r>
      <w:r w:rsidR="002050D0" w:rsidRPr="00F37DC9">
        <w:rPr>
          <w:rFonts w:ascii="Calibri" w:hAnsi="Calibri" w:cs="Calibri"/>
          <w:sz w:val="20"/>
        </w:rPr>
        <w:t xml:space="preserve">je konzistentní nejprve stabilita tržních úrokových sazeb následovaná jejich nárůstem zhruba od poloviny </w:t>
      </w:r>
      <w:r w:rsidR="002050D0" w:rsidRPr="009B4FEE">
        <w:rPr>
          <w:rFonts w:ascii="Calibri" w:hAnsi="Calibri" w:cs="Calibri"/>
          <w:sz w:val="20"/>
        </w:rPr>
        <w:t xml:space="preserve">letošního roku. </w:t>
      </w:r>
      <w:r w:rsidR="005A5299" w:rsidRPr="009B4FEE">
        <w:rPr>
          <w:rFonts w:ascii="Calibri" w:hAnsi="Calibri" w:cs="Calibri"/>
          <w:sz w:val="20"/>
        </w:rPr>
        <w:t>P</w:t>
      </w:r>
      <w:r w:rsidR="0008238B" w:rsidRPr="009B4FEE">
        <w:rPr>
          <w:rFonts w:ascii="Calibri" w:hAnsi="Calibri" w:cs="Calibri"/>
          <w:sz w:val="20"/>
        </w:rPr>
        <w:t xml:space="preserve">rognóza ČNB překvapila ve dvojím smyslu: </w:t>
      </w:r>
      <w:r w:rsidR="009B4FEE" w:rsidRPr="009B4FEE">
        <w:rPr>
          <w:rFonts w:ascii="Calibri" w:hAnsi="Calibri" w:cs="Calibri"/>
          <w:sz w:val="20"/>
        </w:rPr>
        <w:t xml:space="preserve">jednak </w:t>
      </w:r>
      <w:r w:rsidR="0008238B" w:rsidRPr="009B4FEE">
        <w:rPr>
          <w:rFonts w:ascii="Calibri" w:hAnsi="Calibri" w:cs="Calibri"/>
          <w:sz w:val="20"/>
        </w:rPr>
        <w:t>výraznou korekcí očekávaného růstu letošního HDP směrem dolů</w:t>
      </w:r>
      <w:r w:rsidR="00FB51DC" w:rsidRPr="009B4FEE">
        <w:rPr>
          <w:rFonts w:ascii="Calibri" w:hAnsi="Calibri" w:cs="Calibri"/>
          <w:sz w:val="20"/>
        </w:rPr>
        <w:t xml:space="preserve"> na </w:t>
      </w:r>
      <w:r w:rsidR="009B4FEE" w:rsidRPr="009B4FEE">
        <w:rPr>
          <w:rFonts w:ascii="Calibri" w:hAnsi="Calibri" w:cs="Calibri"/>
          <w:sz w:val="20"/>
        </w:rPr>
        <w:t>1,2 %</w:t>
      </w:r>
      <w:r w:rsidR="009047C8" w:rsidRPr="009B4FEE">
        <w:rPr>
          <w:rFonts w:ascii="Calibri" w:hAnsi="Calibri" w:cs="Calibri"/>
          <w:sz w:val="20"/>
        </w:rPr>
        <w:t>, a</w:t>
      </w:r>
      <w:r w:rsidR="009047C8" w:rsidRPr="00F37DC9">
        <w:rPr>
          <w:rFonts w:ascii="Calibri" w:hAnsi="Calibri" w:cs="Calibri"/>
          <w:sz w:val="20"/>
        </w:rPr>
        <w:t xml:space="preserve"> </w:t>
      </w:r>
      <w:r w:rsidR="00CB2CC6">
        <w:rPr>
          <w:rFonts w:ascii="Calibri" w:hAnsi="Calibri" w:cs="Calibri"/>
          <w:sz w:val="20"/>
        </w:rPr>
        <w:t>jednak</w:t>
      </w:r>
      <w:r w:rsidR="009B4FEE">
        <w:rPr>
          <w:rFonts w:ascii="Calibri" w:hAnsi="Calibri" w:cs="Calibri"/>
          <w:sz w:val="20"/>
        </w:rPr>
        <w:t>, n</w:t>
      </w:r>
      <w:r w:rsidR="009047C8" w:rsidRPr="00F37DC9">
        <w:rPr>
          <w:rFonts w:ascii="Calibri" w:hAnsi="Calibri" w:cs="Calibri"/>
          <w:sz w:val="20"/>
        </w:rPr>
        <w:t xml:space="preserve">avzdory </w:t>
      </w:r>
      <w:r w:rsidR="005A5299" w:rsidRPr="00F37DC9">
        <w:rPr>
          <w:rFonts w:ascii="Calibri" w:hAnsi="Calibri" w:cs="Calibri"/>
          <w:sz w:val="20"/>
        </w:rPr>
        <w:t xml:space="preserve">citelně </w:t>
      </w:r>
      <w:r w:rsidR="009047C8" w:rsidRPr="00F37DC9">
        <w:rPr>
          <w:rFonts w:ascii="Calibri" w:hAnsi="Calibri" w:cs="Calibri"/>
          <w:sz w:val="20"/>
        </w:rPr>
        <w:t>vyšší očekávané inflaci</w:t>
      </w:r>
      <w:r w:rsidR="009B4FEE">
        <w:rPr>
          <w:rFonts w:ascii="Calibri" w:hAnsi="Calibri" w:cs="Calibri"/>
          <w:sz w:val="20"/>
        </w:rPr>
        <w:t>,</w:t>
      </w:r>
      <w:r w:rsidR="009047C8" w:rsidRPr="00F37DC9">
        <w:rPr>
          <w:rFonts w:ascii="Calibri" w:hAnsi="Calibri" w:cs="Calibri"/>
          <w:sz w:val="20"/>
        </w:rPr>
        <w:t xml:space="preserve"> nezměněnou trajektorií sazeb.</w:t>
      </w:r>
    </w:p>
    <w:p w14:paraId="03471924" w14:textId="77777777" w:rsidR="009047C8" w:rsidRPr="00F37DC9" w:rsidRDefault="009047C8" w:rsidP="00B4285D">
      <w:pPr>
        <w:rPr>
          <w:rFonts w:ascii="Calibri" w:hAnsi="Calibri" w:cs="Calibri"/>
          <w:sz w:val="20"/>
        </w:rPr>
      </w:pPr>
    </w:p>
    <w:p w14:paraId="7B051F50" w14:textId="48540A54" w:rsidR="00F60644" w:rsidRPr="00F37DC9" w:rsidRDefault="00FE493E" w:rsidP="00B4285D">
      <w:pPr>
        <w:rPr>
          <w:rFonts w:ascii="Calibri" w:hAnsi="Calibri" w:cs="Calibri"/>
          <w:sz w:val="20"/>
        </w:rPr>
      </w:pPr>
      <w:r w:rsidRPr="00F37DC9">
        <w:rPr>
          <w:rFonts w:ascii="Calibri" w:hAnsi="Calibri" w:cs="Calibri"/>
          <w:sz w:val="20"/>
        </w:rPr>
        <w:t xml:space="preserve">Během krizového roku </w:t>
      </w:r>
      <w:r w:rsidR="001B4FA1" w:rsidRPr="00F37DC9">
        <w:rPr>
          <w:rFonts w:ascii="Calibri" w:hAnsi="Calibri" w:cs="Calibri"/>
          <w:sz w:val="20"/>
        </w:rPr>
        <w:t xml:space="preserve">2020 udržovala centrální banka </w:t>
      </w:r>
      <w:r w:rsidRPr="00F37DC9">
        <w:rPr>
          <w:rFonts w:ascii="Calibri" w:hAnsi="Calibri" w:cs="Calibri"/>
          <w:sz w:val="20"/>
        </w:rPr>
        <w:t>měnovou politiku</w:t>
      </w:r>
      <w:r w:rsidR="00D520B2" w:rsidRPr="00F37DC9">
        <w:rPr>
          <w:rFonts w:ascii="Calibri" w:hAnsi="Calibri" w:cs="Calibri"/>
          <w:sz w:val="20"/>
        </w:rPr>
        <w:t xml:space="preserve"> </w:t>
      </w:r>
      <w:r w:rsidRPr="00F37DC9">
        <w:rPr>
          <w:rFonts w:ascii="Calibri" w:hAnsi="Calibri" w:cs="Calibri"/>
          <w:sz w:val="20"/>
        </w:rPr>
        <w:t xml:space="preserve">v </w:t>
      </w:r>
      <w:r w:rsidR="00D91982" w:rsidRPr="00F37DC9">
        <w:rPr>
          <w:rFonts w:ascii="Calibri" w:hAnsi="Calibri" w:cs="Calibri"/>
          <w:sz w:val="20"/>
        </w:rPr>
        <w:t>uvolněném</w:t>
      </w:r>
      <w:r w:rsidRPr="00F37DC9">
        <w:rPr>
          <w:rFonts w:ascii="Calibri" w:hAnsi="Calibri" w:cs="Calibri"/>
          <w:sz w:val="20"/>
        </w:rPr>
        <w:t xml:space="preserve"> módu </w:t>
      </w:r>
      <w:r w:rsidR="00D520B2" w:rsidRPr="00F37DC9">
        <w:rPr>
          <w:rFonts w:ascii="Calibri" w:hAnsi="Calibri" w:cs="Calibri"/>
          <w:sz w:val="20"/>
        </w:rPr>
        <w:t>navzdory</w:t>
      </w:r>
      <w:r w:rsidR="00F60644" w:rsidRPr="00F37DC9">
        <w:rPr>
          <w:rFonts w:ascii="Calibri" w:hAnsi="Calibri" w:cs="Calibri"/>
          <w:sz w:val="20"/>
        </w:rPr>
        <w:t xml:space="preserve"> spotřebitelské</w:t>
      </w:r>
      <w:r w:rsidR="00D520B2" w:rsidRPr="00F37DC9">
        <w:rPr>
          <w:rFonts w:ascii="Calibri" w:hAnsi="Calibri" w:cs="Calibri"/>
          <w:sz w:val="20"/>
        </w:rPr>
        <w:t xml:space="preserve"> inflaci, která se </w:t>
      </w:r>
      <w:r w:rsidR="007E0BF1" w:rsidRPr="00F37DC9">
        <w:rPr>
          <w:rFonts w:ascii="Calibri" w:hAnsi="Calibri" w:cs="Calibri"/>
          <w:sz w:val="20"/>
        </w:rPr>
        <w:t xml:space="preserve">od </w:t>
      </w:r>
      <w:r w:rsidR="00F60644" w:rsidRPr="00F37DC9">
        <w:rPr>
          <w:rFonts w:ascii="Calibri" w:hAnsi="Calibri" w:cs="Calibri"/>
          <w:sz w:val="20"/>
        </w:rPr>
        <w:t xml:space="preserve">loňského </w:t>
      </w:r>
      <w:r w:rsidR="007E0BF1" w:rsidRPr="00F37DC9">
        <w:rPr>
          <w:rFonts w:ascii="Calibri" w:hAnsi="Calibri" w:cs="Calibri"/>
          <w:sz w:val="20"/>
        </w:rPr>
        <w:t xml:space="preserve">dubna </w:t>
      </w:r>
      <w:r w:rsidR="00D91982" w:rsidRPr="00F37DC9">
        <w:rPr>
          <w:rFonts w:ascii="Calibri" w:hAnsi="Calibri" w:cs="Calibri"/>
          <w:sz w:val="20"/>
        </w:rPr>
        <w:t>p</w:t>
      </w:r>
      <w:r w:rsidR="007E0BF1" w:rsidRPr="00F37DC9">
        <w:rPr>
          <w:rFonts w:ascii="Calibri" w:hAnsi="Calibri" w:cs="Calibri"/>
          <w:sz w:val="20"/>
        </w:rPr>
        <w:t>ohyb</w:t>
      </w:r>
      <w:r w:rsidRPr="00F37DC9">
        <w:rPr>
          <w:rFonts w:ascii="Calibri" w:hAnsi="Calibri" w:cs="Calibri"/>
          <w:sz w:val="20"/>
        </w:rPr>
        <w:t>ovala</w:t>
      </w:r>
      <w:r w:rsidR="007E0BF1" w:rsidRPr="00F37DC9">
        <w:rPr>
          <w:rFonts w:ascii="Calibri" w:hAnsi="Calibri" w:cs="Calibri"/>
          <w:sz w:val="20"/>
        </w:rPr>
        <w:t xml:space="preserve"> nejenom</w:t>
      </w:r>
      <w:r w:rsidR="00D520B2" w:rsidRPr="00F37DC9">
        <w:rPr>
          <w:rFonts w:ascii="Calibri" w:hAnsi="Calibri" w:cs="Calibri"/>
          <w:sz w:val="20"/>
        </w:rPr>
        <w:t xml:space="preserve"> </w:t>
      </w:r>
      <w:r w:rsidR="007E0BF1" w:rsidRPr="00F37DC9">
        <w:rPr>
          <w:rFonts w:ascii="Calibri" w:hAnsi="Calibri" w:cs="Calibri"/>
          <w:sz w:val="20"/>
        </w:rPr>
        <w:t xml:space="preserve">nad inflačním cílem, ale i mírně nad </w:t>
      </w:r>
      <w:r w:rsidR="007642B3" w:rsidRPr="00F37DC9">
        <w:rPr>
          <w:rFonts w:ascii="Calibri" w:hAnsi="Calibri" w:cs="Calibri"/>
          <w:sz w:val="20"/>
        </w:rPr>
        <w:t xml:space="preserve">horní hranicí </w:t>
      </w:r>
      <w:r w:rsidR="007E0BF1" w:rsidRPr="00F37DC9">
        <w:rPr>
          <w:rFonts w:ascii="Calibri" w:hAnsi="Calibri" w:cs="Calibri"/>
          <w:sz w:val="20"/>
        </w:rPr>
        <w:t>toleranční</w:t>
      </w:r>
      <w:r w:rsidR="007642B3" w:rsidRPr="00F37DC9">
        <w:rPr>
          <w:rFonts w:ascii="Calibri" w:hAnsi="Calibri" w:cs="Calibri"/>
          <w:sz w:val="20"/>
        </w:rPr>
        <w:t>ho</w:t>
      </w:r>
      <w:r w:rsidR="007E0BF1" w:rsidRPr="00F37DC9">
        <w:rPr>
          <w:rFonts w:ascii="Calibri" w:hAnsi="Calibri" w:cs="Calibri"/>
          <w:sz w:val="20"/>
        </w:rPr>
        <w:t xml:space="preserve"> pásm</w:t>
      </w:r>
      <w:r w:rsidR="00A51840" w:rsidRPr="00F37DC9">
        <w:rPr>
          <w:rFonts w:ascii="Calibri" w:hAnsi="Calibri" w:cs="Calibri"/>
          <w:sz w:val="20"/>
        </w:rPr>
        <w:t>a</w:t>
      </w:r>
      <w:r w:rsidR="0087441A" w:rsidRPr="00F37DC9">
        <w:rPr>
          <w:rFonts w:ascii="Calibri" w:hAnsi="Calibri" w:cs="Calibri"/>
          <w:sz w:val="20"/>
        </w:rPr>
        <w:t>. V</w:t>
      </w:r>
      <w:r w:rsidR="00F60644" w:rsidRPr="00F37DC9">
        <w:rPr>
          <w:rFonts w:ascii="Calibri" w:hAnsi="Calibri" w:cs="Calibri"/>
          <w:sz w:val="20"/>
        </w:rPr>
        <w:t xml:space="preserve"> závěru prvního letošního čtvrtletí </w:t>
      </w:r>
      <w:r w:rsidR="0087441A" w:rsidRPr="00F37DC9">
        <w:rPr>
          <w:rFonts w:ascii="Calibri" w:hAnsi="Calibri" w:cs="Calibri"/>
          <w:sz w:val="20"/>
        </w:rPr>
        <w:t>bylo možné pozorovat její klesající trend, postupný návrat do tolerančního pásma</w:t>
      </w:r>
      <w:r w:rsidR="00ED1237" w:rsidRPr="00F37DC9">
        <w:rPr>
          <w:rFonts w:ascii="Calibri" w:hAnsi="Calibri" w:cs="Calibri"/>
          <w:sz w:val="20"/>
        </w:rPr>
        <w:t xml:space="preserve">, </w:t>
      </w:r>
      <w:r w:rsidR="0087441A" w:rsidRPr="00F37DC9">
        <w:rPr>
          <w:rFonts w:ascii="Calibri" w:hAnsi="Calibri" w:cs="Calibri"/>
          <w:sz w:val="20"/>
        </w:rPr>
        <w:t xml:space="preserve">i když stále ještě nad cílem </w:t>
      </w:r>
      <w:r w:rsidR="00F60644" w:rsidRPr="00F37DC9">
        <w:rPr>
          <w:rFonts w:ascii="Calibri" w:hAnsi="Calibri" w:cs="Calibri"/>
          <w:sz w:val="20"/>
        </w:rPr>
        <w:t>(na konci března 2,3 % meziročně, průměrně 2,8 % za posledních 12 měsíců)</w:t>
      </w:r>
      <w:r w:rsidR="0087441A" w:rsidRPr="00F37DC9">
        <w:rPr>
          <w:rFonts w:ascii="Calibri" w:hAnsi="Calibri" w:cs="Calibri"/>
          <w:sz w:val="20"/>
        </w:rPr>
        <w:t>.</w:t>
      </w:r>
    </w:p>
    <w:p w14:paraId="2850C613" w14:textId="77777777" w:rsidR="00F60644" w:rsidRPr="00F37DC9" w:rsidRDefault="00F60644" w:rsidP="00B4285D">
      <w:pPr>
        <w:rPr>
          <w:rFonts w:ascii="Calibri" w:hAnsi="Calibri" w:cs="Calibri"/>
          <w:sz w:val="20"/>
        </w:rPr>
      </w:pPr>
    </w:p>
    <w:p w14:paraId="53BD0780" w14:textId="03BAF13A" w:rsidR="00FE493E" w:rsidRPr="00F37DC9" w:rsidRDefault="00FE493E" w:rsidP="00B4285D">
      <w:pPr>
        <w:rPr>
          <w:rFonts w:ascii="Calibri" w:hAnsi="Calibri" w:cs="Calibri"/>
          <w:sz w:val="20"/>
        </w:rPr>
      </w:pPr>
      <w:r w:rsidRPr="00F37DC9">
        <w:rPr>
          <w:rFonts w:ascii="Calibri" w:hAnsi="Calibri" w:cs="Calibri"/>
          <w:sz w:val="20"/>
        </w:rPr>
        <w:t>Pro letošní i pro příští rok očekávají hlavní ekonomové bank, že</w:t>
      </w:r>
      <w:r w:rsidR="00036DD3" w:rsidRPr="00F37DC9">
        <w:rPr>
          <w:rFonts w:ascii="Calibri" w:hAnsi="Calibri" w:cs="Calibri"/>
          <w:sz w:val="20"/>
        </w:rPr>
        <w:t xml:space="preserve"> nárůst spotřebitelských cen</w:t>
      </w:r>
      <w:r w:rsidR="00164D55" w:rsidRPr="00F37DC9">
        <w:rPr>
          <w:rFonts w:ascii="Calibri" w:hAnsi="Calibri" w:cs="Calibri"/>
          <w:sz w:val="20"/>
        </w:rPr>
        <w:t>, vyjma krátkodobého zrychlení inflace,</w:t>
      </w:r>
      <w:r w:rsidR="00036DD3" w:rsidRPr="00F37DC9">
        <w:rPr>
          <w:rFonts w:ascii="Calibri" w:hAnsi="Calibri" w:cs="Calibri"/>
          <w:sz w:val="20"/>
        </w:rPr>
        <w:t xml:space="preserve"> bude </w:t>
      </w:r>
      <w:r w:rsidR="00247943" w:rsidRPr="00F37DC9">
        <w:rPr>
          <w:rFonts w:ascii="Calibri" w:hAnsi="Calibri" w:cs="Calibri"/>
          <w:sz w:val="20"/>
        </w:rPr>
        <w:t>i nadále po</w:t>
      </w:r>
      <w:r w:rsidR="00DC7164" w:rsidRPr="00F37DC9">
        <w:rPr>
          <w:rFonts w:ascii="Calibri" w:hAnsi="Calibri" w:cs="Calibri"/>
          <w:sz w:val="20"/>
        </w:rPr>
        <w:t xml:space="preserve">zvolna </w:t>
      </w:r>
      <w:r w:rsidR="00164D55" w:rsidRPr="00F37DC9">
        <w:rPr>
          <w:rFonts w:ascii="Calibri" w:hAnsi="Calibri" w:cs="Calibri"/>
          <w:sz w:val="20"/>
        </w:rPr>
        <w:t>směřovat</w:t>
      </w:r>
      <w:r w:rsidR="00247943" w:rsidRPr="00F37DC9">
        <w:rPr>
          <w:rFonts w:ascii="Calibri" w:hAnsi="Calibri" w:cs="Calibri"/>
          <w:sz w:val="20"/>
        </w:rPr>
        <w:t xml:space="preserve"> ke </w:t>
      </w:r>
      <w:r w:rsidR="00247943" w:rsidRPr="009B4FEE">
        <w:rPr>
          <w:rFonts w:ascii="Calibri" w:hAnsi="Calibri" w:cs="Calibri"/>
          <w:b/>
          <w:bCs/>
          <w:sz w:val="20"/>
        </w:rPr>
        <w:t xml:space="preserve">2% </w:t>
      </w:r>
      <w:r w:rsidR="00036DD3" w:rsidRPr="009B4FEE">
        <w:rPr>
          <w:rFonts w:ascii="Calibri" w:hAnsi="Calibri" w:cs="Calibri"/>
          <w:b/>
          <w:bCs/>
          <w:sz w:val="20"/>
        </w:rPr>
        <w:t>inflační</w:t>
      </w:r>
      <w:r w:rsidR="00247943" w:rsidRPr="009B4FEE">
        <w:rPr>
          <w:rFonts w:ascii="Calibri" w:hAnsi="Calibri" w:cs="Calibri"/>
          <w:b/>
          <w:bCs/>
          <w:sz w:val="20"/>
        </w:rPr>
        <w:t>mu</w:t>
      </w:r>
      <w:r w:rsidR="00036DD3" w:rsidRPr="009B4FEE">
        <w:rPr>
          <w:rFonts w:ascii="Calibri" w:hAnsi="Calibri" w:cs="Calibri"/>
          <w:b/>
          <w:bCs/>
          <w:sz w:val="20"/>
        </w:rPr>
        <w:t xml:space="preserve"> cíl</w:t>
      </w:r>
      <w:r w:rsidR="00247943" w:rsidRPr="009B4FEE">
        <w:rPr>
          <w:rFonts w:ascii="Calibri" w:hAnsi="Calibri" w:cs="Calibri"/>
          <w:b/>
          <w:bCs/>
          <w:sz w:val="20"/>
        </w:rPr>
        <w:t>i</w:t>
      </w:r>
      <w:r w:rsidR="00036DD3" w:rsidRPr="009B4FEE">
        <w:rPr>
          <w:rFonts w:ascii="Calibri" w:hAnsi="Calibri" w:cs="Calibri"/>
          <w:b/>
          <w:bCs/>
          <w:sz w:val="20"/>
        </w:rPr>
        <w:t xml:space="preserve">, a to </w:t>
      </w:r>
      <w:r w:rsidR="00EA5E6A" w:rsidRPr="009B4FEE">
        <w:rPr>
          <w:rFonts w:ascii="Calibri" w:hAnsi="Calibri" w:cs="Calibri"/>
          <w:b/>
          <w:bCs/>
          <w:sz w:val="20"/>
        </w:rPr>
        <w:t>na průměru kolem 2,</w:t>
      </w:r>
      <w:r w:rsidR="00247943" w:rsidRPr="009B4FEE">
        <w:rPr>
          <w:rFonts w:ascii="Calibri" w:hAnsi="Calibri" w:cs="Calibri"/>
          <w:b/>
          <w:bCs/>
          <w:sz w:val="20"/>
        </w:rPr>
        <w:t>5</w:t>
      </w:r>
      <w:r w:rsidR="00EA5E6A" w:rsidRPr="009B4FEE">
        <w:rPr>
          <w:rFonts w:ascii="Calibri" w:hAnsi="Calibri" w:cs="Calibri"/>
          <w:b/>
          <w:bCs/>
          <w:sz w:val="20"/>
        </w:rPr>
        <w:t xml:space="preserve"> % letos a 2,</w:t>
      </w:r>
      <w:r w:rsidR="00247943" w:rsidRPr="009B4FEE">
        <w:rPr>
          <w:rFonts w:ascii="Calibri" w:hAnsi="Calibri" w:cs="Calibri"/>
          <w:b/>
          <w:bCs/>
          <w:sz w:val="20"/>
        </w:rPr>
        <w:t>2</w:t>
      </w:r>
      <w:r w:rsidR="00EA5E6A" w:rsidRPr="009B4FEE">
        <w:rPr>
          <w:rFonts w:ascii="Calibri" w:hAnsi="Calibri" w:cs="Calibri"/>
          <w:b/>
          <w:bCs/>
          <w:sz w:val="20"/>
        </w:rPr>
        <w:t xml:space="preserve"> % v roce 2022</w:t>
      </w:r>
      <w:r w:rsidR="00EA5E6A" w:rsidRPr="00F37DC9">
        <w:rPr>
          <w:rFonts w:ascii="Calibri" w:hAnsi="Calibri" w:cs="Calibri"/>
          <w:sz w:val="20"/>
        </w:rPr>
        <w:t>.</w:t>
      </w:r>
      <w:r w:rsidR="00164D55" w:rsidRPr="00F37DC9">
        <w:rPr>
          <w:rFonts w:ascii="Calibri" w:hAnsi="Calibri" w:cs="Calibri"/>
          <w:sz w:val="20"/>
        </w:rPr>
        <w:t xml:space="preserve"> </w:t>
      </w:r>
    </w:p>
    <w:p w14:paraId="7650EE85" w14:textId="77777777" w:rsidR="00EB6C50" w:rsidRDefault="00EB6C50" w:rsidP="00B4285D">
      <w:pPr>
        <w:rPr>
          <w:rFonts w:ascii="Calibri" w:hAnsi="Calibri" w:cs="Calibri"/>
          <w:sz w:val="20"/>
        </w:rPr>
      </w:pPr>
    </w:p>
    <w:p w14:paraId="351B59B8" w14:textId="33BD820B" w:rsidR="00036DD3" w:rsidRDefault="00EB6C50" w:rsidP="00B4285D">
      <w:pPr>
        <w:rPr>
          <w:rFonts w:ascii="Calibri" w:hAnsi="Calibri" w:cs="Calibri"/>
          <w:sz w:val="20"/>
        </w:rPr>
      </w:pPr>
      <w:r w:rsidRPr="00C15C17">
        <w:rPr>
          <w:noProof/>
          <w:sz w:val="20"/>
        </w:rPr>
        <w:lastRenderedPageBreak/>
        <mc:AlternateContent>
          <mc:Choice Requires="wps">
            <w:drawing>
              <wp:anchor distT="45720" distB="45720" distL="114300" distR="114300" simplePos="0" relativeHeight="251674624" behindDoc="0" locked="0" layoutInCell="1" allowOverlap="1" wp14:anchorId="34F53176" wp14:editId="5640AFF6">
                <wp:simplePos x="0" y="0"/>
                <wp:positionH relativeFrom="column">
                  <wp:posOffset>-26035</wp:posOffset>
                </wp:positionH>
                <wp:positionV relativeFrom="paragraph">
                  <wp:posOffset>561340</wp:posOffset>
                </wp:positionV>
                <wp:extent cx="6496050" cy="619125"/>
                <wp:effectExtent l="0" t="0" r="19050" b="28575"/>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19125"/>
                        </a:xfrm>
                        <a:prstGeom prst="rect">
                          <a:avLst/>
                        </a:prstGeom>
                        <a:solidFill>
                          <a:srgbClr val="FFFFFF"/>
                        </a:solidFill>
                        <a:ln w="9525">
                          <a:solidFill>
                            <a:srgbClr val="000000"/>
                          </a:solidFill>
                          <a:miter lim="800000"/>
                          <a:headEnd/>
                          <a:tailEnd/>
                        </a:ln>
                      </wps:spPr>
                      <wps:txbx>
                        <w:txbxContent>
                          <w:p w14:paraId="3FAAB5F1" w14:textId="5BCD06C1" w:rsidR="00EB6C50" w:rsidRPr="00F37DC9" w:rsidRDefault="00EB6C50" w:rsidP="00EB6C50">
                            <w:pPr>
                              <w:rPr>
                                <w:rFonts w:ascii="Calibri" w:hAnsi="Calibri" w:cs="Calibri"/>
                                <w:sz w:val="20"/>
                              </w:rPr>
                            </w:pPr>
                            <w:r>
                              <w:rPr>
                                <w:rFonts w:ascii="Calibri" w:hAnsi="Calibri" w:cs="Calibri"/>
                                <w:b/>
                                <w:bCs/>
                                <w:sz w:val="20"/>
                              </w:rPr>
                              <w:t>Jan Vejmělek,</w:t>
                            </w:r>
                            <w:r w:rsidRPr="00F37DC9">
                              <w:rPr>
                                <w:rFonts w:ascii="Calibri" w:hAnsi="Calibri" w:cs="Calibri"/>
                                <w:sz w:val="20"/>
                              </w:rPr>
                              <w:t xml:space="preserve"> hlavní ekonom </w:t>
                            </w:r>
                            <w:r>
                              <w:rPr>
                                <w:rFonts w:ascii="Calibri" w:hAnsi="Calibri" w:cs="Calibri"/>
                                <w:sz w:val="20"/>
                              </w:rPr>
                              <w:t>Komerční banky</w:t>
                            </w:r>
                            <w:r w:rsidRPr="00F37DC9">
                              <w:rPr>
                                <w:rFonts w:ascii="Calibri" w:hAnsi="Calibri" w:cs="Calibri"/>
                                <w:sz w:val="20"/>
                              </w:rPr>
                              <w:t>:</w:t>
                            </w:r>
                          </w:p>
                          <w:p w14:paraId="1312AB0E" w14:textId="0EBE3718" w:rsidR="00EB6C50" w:rsidRPr="00EB6C50" w:rsidRDefault="00EB6C50" w:rsidP="00EB6C50">
                            <w:pPr>
                              <w:rPr>
                                <w:rFonts w:ascii="Calibri" w:hAnsi="Calibri" w:cs="Calibri"/>
                                <w:i/>
                                <w:iCs/>
                              </w:rPr>
                            </w:pPr>
                            <w:r w:rsidRPr="00EB6C50">
                              <w:rPr>
                                <w:rFonts w:ascii="Calibri" w:hAnsi="Calibri" w:cs="Calibri"/>
                                <w:i/>
                                <w:iCs/>
                                <w:sz w:val="20"/>
                              </w:rPr>
                              <w:t>„Jestřábi se vracejí a jejich hlas v bankovní radě bude čím dál tím silnější. Zvýšení úrokových sazeb přijde již ve druhé polovině roku a bude začátkem cyklu zvyšujících se sazeb.“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53176" id="Textové pole 8" o:spid="_x0000_s1031" type="#_x0000_t202" style="position:absolute;left:0;text-align:left;margin-left:-2.05pt;margin-top:44.2pt;width:511.5pt;height:4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">
                <v:textbox>
                  <w:txbxContent>
                    <w:p w14:paraId="3FAAB5F1" w14:textId="5BCD06C1" w:rsidR="00EB6C50" w:rsidRPr="00F37DC9" w:rsidRDefault="00EB6C50" w:rsidP="00EB6C50">
                      <w:pPr>
                        <w:rPr>
                          <w:rFonts w:ascii="Calibri" w:hAnsi="Calibri" w:cs="Calibri"/>
                          <w:sz w:val="20"/>
                        </w:rPr>
                      </w:pPr>
                      <w:r>
                        <w:rPr>
                          <w:rFonts w:ascii="Calibri" w:hAnsi="Calibri" w:cs="Calibri"/>
                          <w:b/>
                          <w:bCs/>
                          <w:sz w:val="20"/>
                        </w:rPr>
                        <w:t xml:space="preserve">Jan </w:t>
                      </w:r>
                      <w:proofErr w:type="spellStart"/>
                      <w:r>
                        <w:rPr>
                          <w:rFonts w:ascii="Calibri" w:hAnsi="Calibri" w:cs="Calibri"/>
                          <w:b/>
                          <w:bCs/>
                          <w:sz w:val="20"/>
                        </w:rPr>
                        <w:t>Vejmělek</w:t>
                      </w:r>
                      <w:proofErr w:type="spellEnd"/>
                      <w:r>
                        <w:rPr>
                          <w:rFonts w:ascii="Calibri" w:hAnsi="Calibri" w:cs="Calibri"/>
                          <w:b/>
                          <w:bCs/>
                          <w:sz w:val="20"/>
                        </w:rPr>
                        <w:t>,</w:t>
                      </w:r>
                      <w:r w:rsidRPr="00F37DC9">
                        <w:rPr>
                          <w:rFonts w:ascii="Calibri" w:hAnsi="Calibri" w:cs="Calibri"/>
                          <w:sz w:val="20"/>
                        </w:rPr>
                        <w:t xml:space="preserve"> hlavní ekonom </w:t>
                      </w:r>
                      <w:r>
                        <w:rPr>
                          <w:rFonts w:ascii="Calibri" w:hAnsi="Calibri" w:cs="Calibri"/>
                          <w:sz w:val="20"/>
                        </w:rPr>
                        <w:t>Komerční banky</w:t>
                      </w:r>
                      <w:r w:rsidRPr="00F37DC9">
                        <w:rPr>
                          <w:rFonts w:ascii="Calibri" w:hAnsi="Calibri" w:cs="Calibri"/>
                          <w:sz w:val="20"/>
                        </w:rPr>
                        <w:t>:</w:t>
                      </w:r>
                    </w:p>
                    <w:p w14:paraId="1312AB0E" w14:textId="0EBE3718" w:rsidR="00EB6C50" w:rsidRPr="00EB6C50" w:rsidRDefault="00EB6C50" w:rsidP="00EB6C50">
                      <w:pPr>
                        <w:rPr>
                          <w:rFonts w:ascii="Calibri" w:hAnsi="Calibri" w:cs="Calibri"/>
                          <w:i/>
                          <w:iCs/>
                        </w:rPr>
                      </w:pPr>
                      <w:r w:rsidRPr="00EB6C50">
                        <w:rPr>
                          <w:rFonts w:ascii="Calibri" w:hAnsi="Calibri" w:cs="Calibri"/>
                          <w:i/>
                          <w:iCs/>
                          <w:sz w:val="20"/>
                        </w:rPr>
                        <w:t>„Jestřábi se vracejí a jejich hlas v bankovní radě bude čím dál tím silnější. Zvýšení úrokových sazeb přijde již ve druhé polovině roku a bude začátkem cyklu zvyšujících se sazeb.“</w:t>
                      </w:r>
                    </w:p>
                  </w:txbxContent>
                </v:textbox>
                <w10:wrap type="square"/>
              </v:shape>
            </w:pict>
          </mc:Fallback>
        </mc:AlternateContent>
      </w:r>
      <w:r w:rsidR="00DF7A07" w:rsidRPr="00F37DC9">
        <w:rPr>
          <w:rFonts w:ascii="Calibri" w:hAnsi="Calibri" w:cs="Calibri"/>
          <w:sz w:val="20"/>
        </w:rPr>
        <w:t>Pokud jde o</w:t>
      </w:r>
      <w:r w:rsidR="00036DD3" w:rsidRPr="00F37DC9">
        <w:rPr>
          <w:rFonts w:ascii="Calibri" w:hAnsi="Calibri" w:cs="Calibri"/>
          <w:sz w:val="20"/>
        </w:rPr>
        <w:t xml:space="preserve"> měnově politick</w:t>
      </w:r>
      <w:r w:rsidR="00DF7A07" w:rsidRPr="00F37DC9">
        <w:rPr>
          <w:rFonts w:ascii="Calibri" w:hAnsi="Calibri" w:cs="Calibri"/>
          <w:sz w:val="20"/>
        </w:rPr>
        <w:t>ou sazbu</w:t>
      </w:r>
      <w:r w:rsidR="00036DD3" w:rsidRPr="00F37DC9">
        <w:rPr>
          <w:rFonts w:ascii="Calibri" w:hAnsi="Calibri" w:cs="Calibri"/>
          <w:sz w:val="20"/>
        </w:rPr>
        <w:t xml:space="preserve">, k jejímu prvnímu zvýšení dojde podle </w:t>
      </w:r>
      <w:r w:rsidR="00DF7A07" w:rsidRPr="00F37DC9">
        <w:rPr>
          <w:rFonts w:ascii="Calibri" w:hAnsi="Calibri" w:cs="Calibri"/>
          <w:sz w:val="20"/>
        </w:rPr>
        <w:t xml:space="preserve">ekonomů bank </w:t>
      </w:r>
      <w:r w:rsidR="00036DD3" w:rsidRPr="00F37DC9">
        <w:rPr>
          <w:rFonts w:ascii="Calibri" w:hAnsi="Calibri" w:cs="Calibri"/>
          <w:sz w:val="20"/>
        </w:rPr>
        <w:t>spíše ve</w:t>
      </w:r>
      <w:r w:rsidR="00EA5E6A" w:rsidRPr="00F37DC9">
        <w:rPr>
          <w:rFonts w:ascii="Calibri" w:hAnsi="Calibri" w:cs="Calibri"/>
          <w:sz w:val="20"/>
        </w:rPr>
        <w:t xml:space="preserve"> druhé polovině letošního roku. </w:t>
      </w:r>
      <w:r w:rsidR="00DC7164" w:rsidRPr="00F37DC9">
        <w:rPr>
          <w:rFonts w:ascii="Calibri" w:hAnsi="Calibri" w:cs="Calibri"/>
          <w:sz w:val="20"/>
        </w:rPr>
        <w:t xml:space="preserve">V letošním i příštím roce očekávají po dvou zvýšeních po </w:t>
      </w:r>
      <w:r w:rsidR="00CB2CC6" w:rsidRPr="00F37DC9">
        <w:rPr>
          <w:rFonts w:ascii="Calibri" w:hAnsi="Calibri" w:cs="Calibri"/>
          <w:sz w:val="20"/>
        </w:rPr>
        <w:t>0,25</w:t>
      </w:r>
      <w:r w:rsidR="00CB2CC6">
        <w:rPr>
          <w:rFonts w:ascii="Calibri" w:hAnsi="Calibri" w:cs="Calibri"/>
          <w:sz w:val="20"/>
        </w:rPr>
        <w:t>procentních</w:t>
      </w:r>
      <w:r w:rsidR="00DC7164" w:rsidRPr="00F37DC9">
        <w:rPr>
          <w:rFonts w:ascii="Calibri" w:hAnsi="Calibri" w:cs="Calibri"/>
          <w:sz w:val="20"/>
        </w:rPr>
        <w:t xml:space="preserve"> bodech, čímž by se dvoutýdenní reposazba měla v závěru příštího roku dostat na 1,25 %. </w:t>
      </w:r>
    </w:p>
    <w:p w14:paraId="057266E2" w14:textId="68FC5E36" w:rsidR="00907818" w:rsidRPr="00F37DC9" w:rsidRDefault="007E0BF1" w:rsidP="00B4285D">
      <w:pPr>
        <w:rPr>
          <w:rFonts w:ascii="Calibri" w:hAnsi="Calibri" w:cs="Calibri"/>
          <w:sz w:val="20"/>
        </w:rPr>
      </w:pPr>
      <w:r w:rsidRPr="00F37DC9">
        <w:rPr>
          <w:rFonts w:ascii="Calibri" w:hAnsi="Calibri" w:cs="Calibri"/>
          <w:sz w:val="20"/>
        </w:rPr>
        <w:t xml:space="preserve">Měnový kurz </w:t>
      </w:r>
      <w:r w:rsidR="00907818" w:rsidRPr="00F37DC9">
        <w:rPr>
          <w:rFonts w:ascii="Calibri" w:hAnsi="Calibri" w:cs="Calibri"/>
          <w:sz w:val="20"/>
        </w:rPr>
        <w:t>po turbulentním vývoji během loňského roku</w:t>
      </w:r>
      <w:r w:rsidR="005A5299" w:rsidRPr="00F37DC9">
        <w:rPr>
          <w:rFonts w:ascii="Calibri" w:hAnsi="Calibri" w:cs="Calibri"/>
          <w:sz w:val="20"/>
        </w:rPr>
        <w:t xml:space="preserve"> </w:t>
      </w:r>
      <w:r w:rsidR="00F438E3">
        <w:rPr>
          <w:rFonts w:ascii="Calibri" w:hAnsi="Calibri" w:cs="Calibri"/>
          <w:sz w:val="20"/>
        </w:rPr>
        <w:t>ukončil rok</w:t>
      </w:r>
      <w:r w:rsidR="00F438E3" w:rsidRPr="00F37DC9">
        <w:rPr>
          <w:rFonts w:ascii="Calibri" w:hAnsi="Calibri" w:cs="Calibri"/>
          <w:sz w:val="20"/>
        </w:rPr>
        <w:t xml:space="preserve"> </w:t>
      </w:r>
      <w:r w:rsidR="005A5299" w:rsidRPr="00F37DC9">
        <w:rPr>
          <w:rFonts w:ascii="Calibri" w:hAnsi="Calibri" w:cs="Calibri"/>
          <w:sz w:val="20"/>
        </w:rPr>
        <w:t>n</w:t>
      </w:r>
      <w:r w:rsidR="0087441A" w:rsidRPr="00F37DC9">
        <w:rPr>
          <w:rFonts w:ascii="Calibri" w:hAnsi="Calibri" w:cs="Calibri"/>
          <w:sz w:val="20"/>
        </w:rPr>
        <w:t>a</w:t>
      </w:r>
      <w:r w:rsidR="00F438E3">
        <w:rPr>
          <w:rFonts w:ascii="Calibri" w:hAnsi="Calibri" w:cs="Calibri"/>
          <w:sz w:val="20"/>
        </w:rPr>
        <w:t xml:space="preserve"> hladině</w:t>
      </w:r>
      <w:r w:rsidR="0087441A" w:rsidRPr="00F37DC9">
        <w:rPr>
          <w:rFonts w:ascii="Calibri" w:hAnsi="Calibri" w:cs="Calibri"/>
          <w:sz w:val="20"/>
        </w:rPr>
        <w:t xml:space="preserve"> </w:t>
      </w:r>
      <w:r w:rsidR="00907818" w:rsidRPr="00F37DC9">
        <w:rPr>
          <w:rFonts w:ascii="Calibri" w:hAnsi="Calibri" w:cs="Calibri"/>
          <w:sz w:val="20"/>
        </w:rPr>
        <w:t>26 Kč</w:t>
      </w:r>
      <w:r w:rsidR="00191CB2">
        <w:rPr>
          <w:rFonts w:ascii="Calibri" w:hAnsi="Calibri" w:cs="Calibri"/>
          <w:sz w:val="20"/>
        </w:rPr>
        <w:t>/</w:t>
      </w:r>
      <w:r w:rsidR="00907818" w:rsidRPr="00F37DC9">
        <w:rPr>
          <w:rFonts w:ascii="Calibri" w:hAnsi="Calibri" w:cs="Calibri"/>
          <w:sz w:val="20"/>
        </w:rPr>
        <w:t>EUR</w:t>
      </w:r>
      <w:r w:rsidR="00F438E3">
        <w:rPr>
          <w:rFonts w:ascii="Calibri" w:hAnsi="Calibri" w:cs="Calibri"/>
          <w:sz w:val="20"/>
        </w:rPr>
        <w:t xml:space="preserve"> a </w:t>
      </w:r>
      <w:r w:rsidR="0087441A" w:rsidRPr="00F37DC9">
        <w:rPr>
          <w:rFonts w:ascii="Calibri" w:hAnsi="Calibri" w:cs="Calibri"/>
          <w:sz w:val="20"/>
        </w:rPr>
        <w:t xml:space="preserve">od </w:t>
      </w:r>
      <w:r w:rsidR="00191CB2">
        <w:rPr>
          <w:rFonts w:ascii="Calibri" w:hAnsi="Calibri" w:cs="Calibri"/>
          <w:sz w:val="20"/>
        </w:rPr>
        <w:t>začátku</w:t>
      </w:r>
      <w:r w:rsidR="00191CB2" w:rsidRPr="00F37DC9">
        <w:rPr>
          <w:rFonts w:ascii="Calibri" w:hAnsi="Calibri" w:cs="Calibri"/>
          <w:sz w:val="20"/>
        </w:rPr>
        <w:t xml:space="preserve"> </w:t>
      </w:r>
      <w:r w:rsidR="0087441A" w:rsidRPr="00F37DC9">
        <w:rPr>
          <w:rFonts w:ascii="Calibri" w:hAnsi="Calibri" w:cs="Calibri"/>
          <w:sz w:val="20"/>
        </w:rPr>
        <w:t>roku kolem této úrovně mírně osciloval</w:t>
      </w:r>
      <w:r w:rsidR="00907818" w:rsidRPr="00F37DC9">
        <w:rPr>
          <w:rFonts w:ascii="Calibri" w:hAnsi="Calibri" w:cs="Calibri"/>
          <w:sz w:val="20"/>
        </w:rPr>
        <w:t xml:space="preserve">. </w:t>
      </w:r>
      <w:r w:rsidR="00907818" w:rsidRPr="00284F6D">
        <w:rPr>
          <w:rFonts w:ascii="Calibri" w:hAnsi="Calibri" w:cs="Calibri"/>
          <w:b/>
          <w:bCs/>
          <w:sz w:val="20"/>
        </w:rPr>
        <w:t xml:space="preserve">Pro letošní a příští rok očekává prognóza ČBA jeho další </w:t>
      </w:r>
      <w:r w:rsidR="00EA5E6A" w:rsidRPr="00284F6D">
        <w:rPr>
          <w:rFonts w:ascii="Calibri" w:hAnsi="Calibri" w:cs="Calibri"/>
          <w:b/>
          <w:bCs/>
          <w:sz w:val="20"/>
        </w:rPr>
        <w:t xml:space="preserve">mírné </w:t>
      </w:r>
      <w:r w:rsidR="00907818" w:rsidRPr="00284F6D">
        <w:rPr>
          <w:rFonts w:ascii="Calibri" w:hAnsi="Calibri" w:cs="Calibri"/>
          <w:b/>
          <w:bCs/>
          <w:sz w:val="20"/>
        </w:rPr>
        <w:t xml:space="preserve">zpevňování </w:t>
      </w:r>
      <w:r w:rsidR="00A51840" w:rsidRPr="00284F6D">
        <w:rPr>
          <w:rFonts w:ascii="Calibri" w:hAnsi="Calibri" w:cs="Calibri"/>
          <w:b/>
          <w:bCs/>
          <w:sz w:val="20"/>
        </w:rPr>
        <w:t>v řádu několika desítek haléřů</w:t>
      </w:r>
      <w:r w:rsidR="00DC7164" w:rsidRPr="00284F6D">
        <w:rPr>
          <w:rFonts w:ascii="Calibri" w:hAnsi="Calibri" w:cs="Calibri"/>
          <w:b/>
          <w:bCs/>
          <w:sz w:val="20"/>
        </w:rPr>
        <w:t xml:space="preserve"> na průměru kolem 25,80 Kč/EUR letos a 25,20 Kč/EUR v příštím roce</w:t>
      </w:r>
      <w:r w:rsidR="00DC7164" w:rsidRPr="00F37DC9">
        <w:rPr>
          <w:rFonts w:ascii="Calibri" w:hAnsi="Calibri" w:cs="Calibri"/>
          <w:sz w:val="20"/>
        </w:rPr>
        <w:t xml:space="preserve">. </w:t>
      </w:r>
      <w:r w:rsidR="00663D34" w:rsidRPr="00F37DC9">
        <w:rPr>
          <w:rFonts w:ascii="Calibri" w:hAnsi="Calibri" w:cs="Calibri"/>
          <w:sz w:val="20"/>
        </w:rPr>
        <w:t>Míra nejistoty</w:t>
      </w:r>
      <w:r w:rsidR="00DC7164" w:rsidRPr="00F37DC9">
        <w:rPr>
          <w:rFonts w:ascii="Calibri" w:hAnsi="Calibri" w:cs="Calibri"/>
          <w:sz w:val="20"/>
        </w:rPr>
        <w:t xml:space="preserve"> totiž přes zlepšující se epidemiologickou situaci a zvyšující se proočkovanost populace zůstává i n</w:t>
      </w:r>
      <w:r w:rsidR="00663D34" w:rsidRPr="00F37DC9">
        <w:rPr>
          <w:rFonts w:ascii="Calibri" w:hAnsi="Calibri" w:cs="Calibri"/>
          <w:sz w:val="20"/>
        </w:rPr>
        <w:t>adále vysoká.</w:t>
      </w:r>
      <w:r w:rsidR="00261512" w:rsidRPr="00F37DC9">
        <w:rPr>
          <w:rFonts w:ascii="Calibri" w:hAnsi="Calibri" w:cs="Calibri"/>
          <w:sz w:val="20"/>
        </w:rPr>
        <w:t xml:space="preserve"> Případné i přechodn</w:t>
      </w:r>
      <w:r w:rsidR="009C4DDF">
        <w:rPr>
          <w:rFonts w:ascii="Calibri" w:hAnsi="Calibri" w:cs="Calibri"/>
          <w:sz w:val="20"/>
        </w:rPr>
        <w:t>é</w:t>
      </w:r>
      <w:r w:rsidR="00261512" w:rsidRPr="00F37DC9">
        <w:rPr>
          <w:rFonts w:ascii="Calibri" w:hAnsi="Calibri" w:cs="Calibri"/>
          <w:sz w:val="20"/>
        </w:rPr>
        <w:t xml:space="preserve"> zvýšení inflace ale může vyprovokovat trh ke zvýšení sázek na další růst sazeb a podpořit korunu v jejím pozvolném posilování vůči euru.</w:t>
      </w:r>
    </w:p>
    <w:p w14:paraId="265EB6EC" w14:textId="3D7EA848" w:rsidR="00EA5E6A" w:rsidRDefault="00EA5E6A" w:rsidP="00B4285D">
      <w:pPr>
        <w:rPr>
          <w:rFonts w:ascii="Calibri" w:hAnsi="Calibri" w:cs="Calibri"/>
          <w:b/>
          <w:color w:val="007E79"/>
          <w:sz w:val="20"/>
        </w:rPr>
      </w:pPr>
    </w:p>
    <w:p w14:paraId="3F0A9A9D" w14:textId="77777777" w:rsidR="00EB6C50" w:rsidRPr="00F37DC9" w:rsidRDefault="00EB6C50" w:rsidP="00B4285D">
      <w:pPr>
        <w:rPr>
          <w:rFonts w:ascii="Calibri" w:hAnsi="Calibri" w:cs="Calibri"/>
          <w:b/>
          <w:color w:val="007E79"/>
          <w:sz w:val="20"/>
        </w:rPr>
      </w:pPr>
    </w:p>
    <w:p w14:paraId="6A2F513C" w14:textId="77777777" w:rsidR="002D12BD" w:rsidRPr="00EB6C50" w:rsidRDefault="002D12BD" w:rsidP="00EB6C50">
      <w:pPr>
        <w:spacing w:after="120"/>
        <w:rPr>
          <w:rFonts w:ascii="Calibri" w:hAnsi="Calibri" w:cs="Calibri"/>
          <w:b/>
          <w:color w:val="13576B"/>
          <w:sz w:val="22"/>
          <w:szCs w:val="22"/>
        </w:rPr>
      </w:pPr>
      <w:r w:rsidRPr="00EB6C50">
        <w:rPr>
          <w:rFonts w:ascii="Calibri" w:hAnsi="Calibri" w:cs="Calibri"/>
          <w:b/>
          <w:color w:val="13576B"/>
          <w:sz w:val="22"/>
          <w:szCs w:val="22"/>
        </w:rPr>
        <w:t>Očekávaný vývoj vkladů a úvěrové emise</w:t>
      </w:r>
    </w:p>
    <w:p w14:paraId="17F5A624" w14:textId="7441792A" w:rsidR="00DC556E" w:rsidRPr="00F37DC9" w:rsidRDefault="00536B9B" w:rsidP="00B4285D">
      <w:pPr>
        <w:rPr>
          <w:rFonts w:ascii="Calibri" w:hAnsi="Calibri" w:cs="Calibri"/>
          <w:sz w:val="20"/>
        </w:rPr>
      </w:pPr>
      <w:r w:rsidRPr="009B4FEE">
        <w:rPr>
          <w:rFonts w:ascii="Calibri" w:hAnsi="Calibri" w:cs="Calibri"/>
          <w:sz w:val="20"/>
        </w:rPr>
        <w:t xml:space="preserve">Zásadní </w:t>
      </w:r>
      <w:r w:rsidR="009B4FEE" w:rsidRPr="009B4FEE">
        <w:rPr>
          <w:rFonts w:ascii="Calibri" w:hAnsi="Calibri" w:cs="Calibri"/>
          <w:sz w:val="20"/>
        </w:rPr>
        <w:t xml:space="preserve">budoucí </w:t>
      </w:r>
      <w:r w:rsidRPr="009B4FEE">
        <w:rPr>
          <w:rFonts w:ascii="Calibri" w:hAnsi="Calibri" w:cs="Calibri"/>
          <w:sz w:val="20"/>
        </w:rPr>
        <w:t>nejistota dramaticky</w:t>
      </w:r>
      <w:r w:rsidRPr="00F37DC9">
        <w:rPr>
          <w:rFonts w:ascii="Calibri" w:hAnsi="Calibri" w:cs="Calibri"/>
          <w:sz w:val="20"/>
        </w:rPr>
        <w:t xml:space="preserve"> ovlivnila vývojové trendy v oblasti vkladů a úvěrů českých firem. </w:t>
      </w:r>
      <w:r w:rsidR="00B32114" w:rsidRPr="00F37DC9">
        <w:rPr>
          <w:rFonts w:ascii="Calibri" w:hAnsi="Calibri" w:cs="Calibri"/>
          <w:sz w:val="20"/>
        </w:rPr>
        <w:t>V říjnu 2020</w:t>
      </w:r>
      <w:r w:rsidR="005A5299" w:rsidRPr="00F37DC9">
        <w:rPr>
          <w:rFonts w:ascii="Calibri" w:hAnsi="Calibri" w:cs="Calibri"/>
          <w:sz w:val="20"/>
        </w:rPr>
        <w:t xml:space="preserve"> byly</w:t>
      </w:r>
      <w:r w:rsidR="00B32114" w:rsidRPr="00F37DC9">
        <w:rPr>
          <w:rFonts w:ascii="Calibri" w:hAnsi="Calibri" w:cs="Calibri"/>
          <w:sz w:val="20"/>
        </w:rPr>
        <w:t xml:space="preserve"> poprvé za posledních 30 let firemní vklady na účtech</w:t>
      </w:r>
      <w:r w:rsidR="00B10C17" w:rsidRPr="00F37DC9">
        <w:rPr>
          <w:rFonts w:ascii="Calibri" w:hAnsi="Calibri" w:cs="Calibri"/>
          <w:sz w:val="20"/>
        </w:rPr>
        <w:t xml:space="preserve"> u bank vyšší než jejich úvěry</w:t>
      </w:r>
      <w:r w:rsidR="00725295" w:rsidRPr="00F37DC9">
        <w:rPr>
          <w:rFonts w:ascii="Calibri" w:hAnsi="Calibri" w:cs="Calibri"/>
          <w:sz w:val="20"/>
        </w:rPr>
        <w:t>.</w:t>
      </w:r>
      <w:r w:rsidR="00DC556E" w:rsidRPr="00F37DC9">
        <w:rPr>
          <w:rFonts w:ascii="Calibri" w:hAnsi="Calibri" w:cs="Calibri"/>
          <w:sz w:val="20"/>
        </w:rPr>
        <w:t xml:space="preserve"> Tento p</w:t>
      </w:r>
      <w:r w:rsidR="00B10C17" w:rsidRPr="00F37DC9">
        <w:rPr>
          <w:rFonts w:ascii="Calibri" w:hAnsi="Calibri" w:cs="Calibri"/>
          <w:sz w:val="20"/>
        </w:rPr>
        <w:t xml:space="preserve">řevis se </w:t>
      </w:r>
      <w:r w:rsidR="00DC556E" w:rsidRPr="00F37DC9">
        <w:rPr>
          <w:rFonts w:ascii="Calibri" w:hAnsi="Calibri" w:cs="Calibri"/>
          <w:sz w:val="20"/>
        </w:rPr>
        <w:t xml:space="preserve">od té doby </w:t>
      </w:r>
      <w:r w:rsidR="00B10C17" w:rsidRPr="00F37DC9">
        <w:rPr>
          <w:rFonts w:ascii="Calibri" w:hAnsi="Calibri" w:cs="Calibri"/>
          <w:sz w:val="20"/>
        </w:rPr>
        <w:t xml:space="preserve">zvětšoval a </w:t>
      </w:r>
      <w:r w:rsidR="00DC556E" w:rsidRPr="00F37DC9">
        <w:rPr>
          <w:rFonts w:ascii="Calibri" w:hAnsi="Calibri" w:cs="Calibri"/>
          <w:sz w:val="20"/>
        </w:rPr>
        <w:t xml:space="preserve">navzdory dílčí korekci na konci března 2021 činil téměř 100 mld. Kč, což svědčí o dosud vysoké míře nejistoty a nízké ochotě firemního sektoru investovat. </w:t>
      </w:r>
    </w:p>
    <w:p w14:paraId="1EF68A0A" w14:textId="77777777" w:rsidR="00DC556E" w:rsidRPr="00F37DC9" w:rsidRDefault="00DC556E" w:rsidP="00B4285D">
      <w:pPr>
        <w:rPr>
          <w:rFonts w:ascii="Calibri" w:hAnsi="Calibri" w:cs="Calibri"/>
          <w:sz w:val="20"/>
        </w:rPr>
      </w:pPr>
    </w:p>
    <w:p w14:paraId="408BF60B" w14:textId="7FBDDA27" w:rsidR="003123D0" w:rsidRPr="00F37DC9" w:rsidRDefault="00DC556E" w:rsidP="00B4285D">
      <w:pPr>
        <w:rPr>
          <w:rFonts w:ascii="Calibri" w:hAnsi="Calibri" w:cs="Calibri"/>
          <w:sz w:val="20"/>
        </w:rPr>
      </w:pPr>
      <w:r w:rsidRPr="00F37DC9">
        <w:rPr>
          <w:rFonts w:ascii="Calibri" w:hAnsi="Calibri" w:cs="Calibri"/>
          <w:sz w:val="20"/>
        </w:rPr>
        <w:t>V</w:t>
      </w:r>
      <w:r w:rsidR="00B10C17" w:rsidRPr="00F37DC9">
        <w:rPr>
          <w:rFonts w:ascii="Calibri" w:hAnsi="Calibri" w:cs="Calibri"/>
          <w:sz w:val="20"/>
        </w:rPr>
        <w:t xml:space="preserve">klady domácností </w:t>
      </w:r>
      <w:r w:rsidRPr="00F37DC9">
        <w:rPr>
          <w:rFonts w:ascii="Calibri" w:hAnsi="Calibri" w:cs="Calibri"/>
          <w:sz w:val="20"/>
        </w:rPr>
        <w:t xml:space="preserve">i nadále </w:t>
      </w:r>
      <w:r w:rsidR="00B10C17" w:rsidRPr="00F37DC9">
        <w:rPr>
          <w:rFonts w:ascii="Calibri" w:hAnsi="Calibri" w:cs="Calibri"/>
          <w:sz w:val="20"/>
        </w:rPr>
        <w:t>rostly</w:t>
      </w:r>
      <w:r w:rsidR="00A51840" w:rsidRPr="00F37DC9">
        <w:rPr>
          <w:rFonts w:ascii="Calibri" w:hAnsi="Calibri" w:cs="Calibri"/>
          <w:sz w:val="20"/>
        </w:rPr>
        <w:t xml:space="preserve">. </w:t>
      </w:r>
      <w:r w:rsidR="004E3A25" w:rsidRPr="00F37DC9">
        <w:rPr>
          <w:rFonts w:ascii="Calibri" w:hAnsi="Calibri" w:cs="Calibri"/>
          <w:sz w:val="20"/>
        </w:rPr>
        <w:t>D</w:t>
      </w:r>
      <w:r w:rsidR="00B10C17" w:rsidRPr="00F37DC9">
        <w:rPr>
          <w:rFonts w:ascii="Calibri" w:hAnsi="Calibri" w:cs="Calibri"/>
          <w:sz w:val="20"/>
        </w:rPr>
        <w:t xml:space="preserve">ynamika </w:t>
      </w:r>
      <w:r w:rsidRPr="00F37DC9">
        <w:rPr>
          <w:rFonts w:ascii="Calibri" w:hAnsi="Calibri" w:cs="Calibri"/>
          <w:sz w:val="20"/>
        </w:rPr>
        <w:t>jejich</w:t>
      </w:r>
      <w:r w:rsidR="00B10C17" w:rsidRPr="00F37DC9">
        <w:rPr>
          <w:rFonts w:ascii="Calibri" w:hAnsi="Calibri" w:cs="Calibri"/>
          <w:sz w:val="20"/>
        </w:rPr>
        <w:t xml:space="preserve"> růstu byla zhruba dvojnásobná než dynamika zadlužování</w:t>
      </w:r>
      <w:r w:rsidRPr="00F37DC9">
        <w:rPr>
          <w:rFonts w:ascii="Calibri" w:hAnsi="Calibri" w:cs="Calibri"/>
          <w:sz w:val="20"/>
        </w:rPr>
        <w:t xml:space="preserve"> s tím, že finanční mezera na konci března přesáhla 1 bil. Kč. </w:t>
      </w:r>
      <w:r w:rsidR="00A51840" w:rsidRPr="00F37DC9">
        <w:rPr>
          <w:rFonts w:ascii="Calibri" w:hAnsi="Calibri" w:cs="Calibri"/>
          <w:sz w:val="20"/>
        </w:rPr>
        <w:t>U domácností je rychlý růst vkladů pravděpodobně dán především tím, že v důsledku vládních omezení nebylo po dobu mnoha týdnů možno realizovat některé typy výdajů</w:t>
      </w:r>
      <w:r w:rsidR="007673D0" w:rsidRPr="00F37DC9">
        <w:rPr>
          <w:rFonts w:ascii="Calibri" w:hAnsi="Calibri" w:cs="Calibri"/>
          <w:sz w:val="20"/>
        </w:rPr>
        <w:t>.</w:t>
      </w:r>
      <w:r w:rsidR="0001513F" w:rsidRPr="00F37DC9">
        <w:rPr>
          <w:rFonts w:ascii="Calibri" w:hAnsi="Calibri" w:cs="Calibri"/>
          <w:sz w:val="20"/>
        </w:rPr>
        <w:t xml:space="preserve"> </w:t>
      </w:r>
      <w:r w:rsidR="004E3A25" w:rsidRPr="00F37DC9">
        <w:rPr>
          <w:rFonts w:ascii="Calibri" w:hAnsi="Calibri" w:cs="Calibri"/>
          <w:sz w:val="20"/>
        </w:rPr>
        <w:t>B</w:t>
      </w:r>
      <w:r w:rsidR="0001513F" w:rsidRPr="00F37DC9">
        <w:rPr>
          <w:rFonts w:ascii="Calibri" w:hAnsi="Calibri" w:cs="Calibri"/>
          <w:sz w:val="20"/>
        </w:rPr>
        <w:t>ohatší domácnosti i přes stále rostoucí ceny invest</w:t>
      </w:r>
      <w:r w:rsidRPr="00F37DC9">
        <w:rPr>
          <w:rFonts w:ascii="Calibri" w:hAnsi="Calibri" w:cs="Calibri"/>
          <w:sz w:val="20"/>
        </w:rPr>
        <w:t>ovaly</w:t>
      </w:r>
      <w:r w:rsidR="0001513F" w:rsidRPr="00F37DC9">
        <w:rPr>
          <w:rFonts w:ascii="Calibri" w:hAnsi="Calibri" w:cs="Calibri"/>
          <w:sz w:val="20"/>
        </w:rPr>
        <w:t xml:space="preserve"> na dluh do nemovitostí. </w:t>
      </w:r>
      <w:r w:rsidRPr="00F37DC9">
        <w:rPr>
          <w:rFonts w:ascii="Calibri" w:hAnsi="Calibri" w:cs="Calibri"/>
          <w:sz w:val="20"/>
        </w:rPr>
        <w:t xml:space="preserve">Je otázkou, nakolik se mimořádná akumulace odložených úspor po ukončení </w:t>
      </w:r>
      <w:r w:rsidR="005A5299" w:rsidRPr="00F37DC9">
        <w:rPr>
          <w:rFonts w:ascii="Calibri" w:hAnsi="Calibri" w:cs="Calibri"/>
          <w:sz w:val="20"/>
        </w:rPr>
        <w:t>restrikcí</w:t>
      </w:r>
      <w:r w:rsidRPr="00F37DC9">
        <w:rPr>
          <w:rFonts w:ascii="Calibri" w:hAnsi="Calibri" w:cs="Calibri"/>
          <w:sz w:val="20"/>
        </w:rPr>
        <w:t xml:space="preserve"> a návratu do (nového?) normálu</w:t>
      </w:r>
      <w:r w:rsidR="00A8617F" w:rsidRPr="00F37DC9">
        <w:rPr>
          <w:rFonts w:ascii="Calibri" w:hAnsi="Calibri" w:cs="Calibri"/>
          <w:sz w:val="20"/>
        </w:rPr>
        <w:t xml:space="preserve"> projeví v dynamice nárůstu spotřeby.</w:t>
      </w:r>
      <w:r w:rsidR="005A5299" w:rsidRPr="00F37DC9">
        <w:rPr>
          <w:rFonts w:ascii="Calibri" w:hAnsi="Calibri" w:cs="Calibri"/>
          <w:sz w:val="20"/>
        </w:rPr>
        <w:t xml:space="preserve"> Z</w:t>
      </w:r>
      <w:r w:rsidR="00A8617F" w:rsidRPr="00F37DC9">
        <w:rPr>
          <w:rFonts w:ascii="Calibri" w:hAnsi="Calibri" w:cs="Calibri"/>
          <w:sz w:val="20"/>
        </w:rPr>
        <w:t xml:space="preserve">cela jistě </w:t>
      </w:r>
      <w:r w:rsidR="005A5299" w:rsidRPr="00F37DC9">
        <w:rPr>
          <w:rFonts w:ascii="Calibri" w:hAnsi="Calibri" w:cs="Calibri"/>
          <w:sz w:val="20"/>
        </w:rPr>
        <w:t xml:space="preserve">to však </w:t>
      </w:r>
      <w:r w:rsidR="00A8617F" w:rsidRPr="00F37DC9">
        <w:rPr>
          <w:rFonts w:ascii="Calibri" w:hAnsi="Calibri" w:cs="Calibri"/>
          <w:sz w:val="20"/>
        </w:rPr>
        <w:t>nebude v rozsahu mimořádné akumulace, který lze řádově odhadnout na cca čtvrt bilionu korun, a to vzhledem k nerovnoměrné distribuci úspor mezi jednotlivými příjmovými skupinami</w:t>
      </w:r>
      <w:r w:rsidR="009C4DDF">
        <w:rPr>
          <w:rFonts w:ascii="Calibri" w:hAnsi="Calibri" w:cs="Calibri"/>
          <w:sz w:val="20"/>
        </w:rPr>
        <w:t>,</w:t>
      </w:r>
      <w:r w:rsidR="005A5299" w:rsidRPr="00F37DC9">
        <w:rPr>
          <w:rFonts w:ascii="Calibri" w:hAnsi="Calibri" w:cs="Calibri"/>
          <w:sz w:val="20"/>
        </w:rPr>
        <w:t xml:space="preserve"> </w:t>
      </w:r>
      <w:r w:rsidR="00261512" w:rsidRPr="00F37DC9">
        <w:rPr>
          <w:rFonts w:ascii="Calibri" w:hAnsi="Calibri" w:cs="Calibri"/>
          <w:sz w:val="20"/>
        </w:rPr>
        <w:t xml:space="preserve">jejich různému sklonu ke spotřebě a podobně nerovnoměrného dopadu zrušení superhrubé mzdy a snížení sazby DPFO na čisté příjmy domácností. </w:t>
      </w:r>
    </w:p>
    <w:p w14:paraId="10A23954" w14:textId="77777777" w:rsidR="00B3228D" w:rsidRPr="00F37DC9" w:rsidRDefault="00B3228D" w:rsidP="00B4285D">
      <w:pPr>
        <w:rPr>
          <w:rFonts w:ascii="Calibri" w:hAnsi="Calibri" w:cs="Calibri"/>
          <w:sz w:val="20"/>
        </w:rPr>
      </w:pPr>
    </w:p>
    <w:p w14:paraId="4F4E4950" w14:textId="10249F7A" w:rsidR="00E732C9" w:rsidRDefault="00E732C9" w:rsidP="00B4285D">
      <w:pPr>
        <w:rPr>
          <w:rFonts w:ascii="Calibri" w:hAnsi="Calibri" w:cs="Calibri"/>
          <w:szCs w:val="18"/>
        </w:rPr>
      </w:pPr>
      <w:r w:rsidRPr="00F37DC9">
        <w:rPr>
          <w:rFonts w:ascii="Calibri" w:hAnsi="Calibri" w:cs="Calibri"/>
          <w:sz w:val="20"/>
        </w:rPr>
        <w:t>V loňském roce zaznamenaly klientské úvěry solidní 4,9% růst</w:t>
      </w:r>
      <w:r w:rsidR="004E3A25" w:rsidRPr="00F37DC9">
        <w:rPr>
          <w:rFonts w:ascii="Calibri" w:hAnsi="Calibri" w:cs="Calibri"/>
          <w:sz w:val="20"/>
        </w:rPr>
        <w:t>. Ten byl tvořen</w:t>
      </w:r>
      <w:r w:rsidR="007673D0" w:rsidRPr="00F37DC9">
        <w:rPr>
          <w:rFonts w:ascii="Calibri" w:hAnsi="Calibri" w:cs="Calibri"/>
          <w:sz w:val="20"/>
        </w:rPr>
        <w:t xml:space="preserve"> </w:t>
      </w:r>
      <w:r w:rsidRPr="00F37DC9">
        <w:rPr>
          <w:rFonts w:ascii="Calibri" w:hAnsi="Calibri" w:cs="Calibri"/>
          <w:sz w:val="20"/>
        </w:rPr>
        <w:t>6,5% nárůst</w:t>
      </w:r>
      <w:r w:rsidR="004E3A25" w:rsidRPr="00F37DC9">
        <w:rPr>
          <w:rFonts w:ascii="Calibri" w:hAnsi="Calibri" w:cs="Calibri"/>
          <w:sz w:val="20"/>
        </w:rPr>
        <w:t>em</w:t>
      </w:r>
      <w:r w:rsidR="007673D0" w:rsidRPr="00F37DC9">
        <w:rPr>
          <w:rFonts w:ascii="Calibri" w:hAnsi="Calibri" w:cs="Calibri"/>
          <w:sz w:val="20"/>
        </w:rPr>
        <w:t xml:space="preserve"> </w:t>
      </w:r>
      <w:r w:rsidRPr="00F37DC9">
        <w:rPr>
          <w:rFonts w:ascii="Calibri" w:hAnsi="Calibri" w:cs="Calibri"/>
          <w:sz w:val="20"/>
        </w:rPr>
        <w:t>(především hypotečních) úvěrů domácnostem a 3,2% růst</w:t>
      </w:r>
      <w:r w:rsidR="004E3A25" w:rsidRPr="00F37DC9">
        <w:rPr>
          <w:rFonts w:ascii="Calibri" w:hAnsi="Calibri" w:cs="Calibri"/>
          <w:sz w:val="20"/>
        </w:rPr>
        <w:t>em</w:t>
      </w:r>
      <w:r w:rsidRPr="00F37DC9">
        <w:rPr>
          <w:rFonts w:ascii="Calibri" w:hAnsi="Calibri" w:cs="Calibri"/>
          <w:sz w:val="20"/>
        </w:rPr>
        <w:t xml:space="preserve"> úvěrů firemní klientele</w:t>
      </w:r>
      <w:r w:rsidR="007673D0" w:rsidRPr="00F37DC9">
        <w:rPr>
          <w:rFonts w:ascii="Calibri" w:hAnsi="Calibri" w:cs="Calibri"/>
          <w:sz w:val="20"/>
        </w:rPr>
        <w:t>, který</w:t>
      </w:r>
      <w:r w:rsidR="004E3A25" w:rsidRPr="00F37DC9">
        <w:rPr>
          <w:rFonts w:ascii="Calibri" w:hAnsi="Calibri" w:cs="Calibri"/>
          <w:sz w:val="20"/>
        </w:rPr>
        <w:t xml:space="preserve"> podpořily </w:t>
      </w:r>
      <w:r w:rsidR="00A51840" w:rsidRPr="00F37DC9">
        <w:rPr>
          <w:rFonts w:ascii="Calibri" w:hAnsi="Calibri" w:cs="Calibri"/>
          <w:sz w:val="20"/>
        </w:rPr>
        <w:t>v malé míře</w:t>
      </w:r>
      <w:r w:rsidRPr="00F37DC9">
        <w:rPr>
          <w:rFonts w:ascii="Calibri" w:hAnsi="Calibri" w:cs="Calibri"/>
          <w:sz w:val="20"/>
        </w:rPr>
        <w:t xml:space="preserve"> vládní záruční programy </w:t>
      </w:r>
      <w:r w:rsidR="004E3A25" w:rsidRPr="00F37DC9">
        <w:rPr>
          <w:rFonts w:ascii="Calibri" w:hAnsi="Calibri" w:cs="Calibri"/>
          <w:sz w:val="20"/>
        </w:rPr>
        <w:t xml:space="preserve">zaměřené </w:t>
      </w:r>
      <w:r w:rsidRPr="00F37DC9">
        <w:rPr>
          <w:rFonts w:ascii="Calibri" w:hAnsi="Calibri" w:cs="Calibri"/>
          <w:sz w:val="20"/>
        </w:rPr>
        <w:t xml:space="preserve">především na provozní financování. </w:t>
      </w:r>
      <w:r w:rsidR="003A1647" w:rsidRPr="00F37DC9">
        <w:rPr>
          <w:rFonts w:ascii="Calibri" w:hAnsi="Calibri" w:cs="Calibri"/>
          <w:sz w:val="20"/>
        </w:rPr>
        <w:t>Očekávání prognostického panelu ČBA se</w:t>
      </w:r>
      <w:r w:rsidR="005A5299" w:rsidRPr="00F37DC9">
        <w:rPr>
          <w:rFonts w:ascii="Calibri" w:hAnsi="Calibri" w:cs="Calibri"/>
          <w:sz w:val="20"/>
        </w:rPr>
        <w:t xml:space="preserve"> v této oblasti</w:t>
      </w:r>
      <w:r w:rsidR="003A1647" w:rsidRPr="00F37DC9">
        <w:rPr>
          <w:rFonts w:ascii="Calibri" w:hAnsi="Calibri" w:cs="Calibri"/>
          <w:sz w:val="20"/>
        </w:rPr>
        <w:t xml:space="preserve"> oproti únoru příliš nezměnila. </w:t>
      </w:r>
      <w:r w:rsidRPr="00F37DC9">
        <w:rPr>
          <w:rFonts w:ascii="Calibri" w:hAnsi="Calibri" w:cs="Calibri"/>
          <w:sz w:val="20"/>
        </w:rPr>
        <w:t>Ú</w:t>
      </w:r>
      <w:r w:rsidR="00EB36AD" w:rsidRPr="00F37DC9">
        <w:rPr>
          <w:rFonts w:ascii="Calibri" w:hAnsi="Calibri" w:cs="Calibri"/>
          <w:sz w:val="20"/>
        </w:rPr>
        <w:t xml:space="preserve">věrová emise </w:t>
      </w:r>
      <w:r w:rsidR="00367D3B" w:rsidRPr="00F37DC9">
        <w:rPr>
          <w:rFonts w:ascii="Calibri" w:hAnsi="Calibri" w:cs="Calibri"/>
          <w:sz w:val="20"/>
        </w:rPr>
        <w:t>bude</w:t>
      </w:r>
      <w:r w:rsidR="004E3A25" w:rsidRPr="00F37DC9">
        <w:rPr>
          <w:rFonts w:ascii="Calibri" w:hAnsi="Calibri" w:cs="Calibri"/>
          <w:sz w:val="20"/>
        </w:rPr>
        <w:t xml:space="preserve"> letos </w:t>
      </w:r>
      <w:r w:rsidR="00EB36AD" w:rsidRPr="00F37DC9">
        <w:rPr>
          <w:rFonts w:ascii="Calibri" w:hAnsi="Calibri" w:cs="Calibri"/>
          <w:sz w:val="20"/>
        </w:rPr>
        <w:t xml:space="preserve">pokračovat </w:t>
      </w:r>
      <w:r w:rsidRPr="00F37DC9">
        <w:rPr>
          <w:rFonts w:ascii="Calibri" w:hAnsi="Calibri" w:cs="Calibri"/>
          <w:sz w:val="20"/>
        </w:rPr>
        <w:t>pouze zvolna</w:t>
      </w:r>
      <w:r w:rsidR="00367D3B" w:rsidRPr="00F37DC9">
        <w:rPr>
          <w:rFonts w:ascii="Calibri" w:hAnsi="Calibri" w:cs="Calibri"/>
          <w:sz w:val="20"/>
        </w:rPr>
        <w:t>. O</w:t>
      </w:r>
      <w:r w:rsidR="00EB36AD" w:rsidRPr="00F37DC9">
        <w:rPr>
          <w:rFonts w:ascii="Calibri" w:hAnsi="Calibri" w:cs="Calibri"/>
          <w:sz w:val="20"/>
        </w:rPr>
        <w:t>čekávan</w:t>
      </w:r>
      <w:r w:rsidR="00367D3B" w:rsidRPr="00F37DC9">
        <w:rPr>
          <w:rFonts w:ascii="Calibri" w:hAnsi="Calibri" w:cs="Calibri"/>
          <w:sz w:val="20"/>
        </w:rPr>
        <w:t>é</w:t>
      </w:r>
      <w:r w:rsidR="00EB36AD" w:rsidRPr="00F37DC9">
        <w:rPr>
          <w:rFonts w:ascii="Calibri" w:hAnsi="Calibri" w:cs="Calibri"/>
          <w:sz w:val="20"/>
        </w:rPr>
        <w:t xml:space="preserve"> meziroční temp</w:t>
      </w:r>
      <w:r w:rsidR="00367D3B" w:rsidRPr="00F37DC9">
        <w:rPr>
          <w:rFonts w:ascii="Calibri" w:hAnsi="Calibri" w:cs="Calibri"/>
          <w:sz w:val="20"/>
        </w:rPr>
        <w:t>o</w:t>
      </w:r>
      <w:r w:rsidR="00EB36AD" w:rsidRPr="00F37DC9">
        <w:rPr>
          <w:rFonts w:ascii="Calibri" w:hAnsi="Calibri" w:cs="Calibri"/>
          <w:sz w:val="20"/>
        </w:rPr>
        <w:t xml:space="preserve"> růstu </w:t>
      </w:r>
      <w:r w:rsidR="00367D3B" w:rsidRPr="00F37DC9">
        <w:rPr>
          <w:rFonts w:ascii="Calibri" w:hAnsi="Calibri" w:cs="Calibri"/>
          <w:sz w:val="20"/>
        </w:rPr>
        <w:t xml:space="preserve">je </w:t>
      </w:r>
      <w:r w:rsidR="00DC7164" w:rsidRPr="00F37DC9">
        <w:rPr>
          <w:rFonts w:ascii="Calibri" w:hAnsi="Calibri" w:cs="Calibri"/>
          <w:sz w:val="20"/>
        </w:rPr>
        <w:t xml:space="preserve">5 </w:t>
      </w:r>
      <w:r w:rsidR="00EB36AD" w:rsidRPr="00F37DC9">
        <w:rPr>
          <w:rFonts w:ascii="Calibri" w:hAnsi="Calibri" w:cs="Calibri"/>
          <w:sz w:val="20"/>
        </w:rPr>
        <w:t>% u klientských úvěrů celkem</w:t>
      </w:r>
      <w:r w:rsidR="00367D3B" w:rsidRPr="00F37DC9">
        <w:rPr>
          <w:rFonts w:ascii="Calibri" w:hAnsi="Calibri" w:cs="Calibri"/>
          <w:sz w:val="20"/>
        </w:rPr>
        <w:t xml:space="preserve">. To bude taženo především </w:t>
      </w:r>
      <w:r w:rsidRPr="00F37DC9">
        <w:rPr>
          <w:rFonts w:ascii="Calibri" w:hAnsi="Calibri" w:cs="Calibri"/>
          <w:sz w:val="20"/>
        </w:rPr>
        <w:t>6,</w:t>
      </w:r>
      <w:r w:rsidR="00DC7164" w:rsidRPr="00F37DC9">
        <w:rPr>
          <w:rFonts w:ascii="Calibri" w:hAnsi="Calibri" w:cs="Calibri"/>
          <w:sz w:val="20"/>
        </w:rPr>
        <w:t>5</w:t>
      </w:r>
      <w:r w:rsidRPr="00F37DC9">
        <w:rPr>
          <w:rFonts w:ascii="Calibri" w:hAnsi="Calibri" w:cs="Calibri"/>
          <w:sz w:val="20"/>
        </w:rPr>
        <w:t>% růstem úvěrů domácnostem</w:t>
      </w:r>
      <w:r w:rsidR="00A51840" w:rsidRPr="00F37DC9">
        <w:rPr>
          <w:rFonts w:ascii="Calibri" w:hAnsi="Calibri" w:cs="Calibri"/>
          <w:sz w:val="20"/>
        </w:rPr>
        <w:t>. B</w:t>
      </w:r>
      <w:r w:rsidRPr="00F37DC9">
        <w:rPr>
          <w:rFonts w:ascii="Calibri" w:hAnsi="Calibri" w:cs="Calibri"/>
          <w:sz w:val="20"/>
        </w:rPr>
        <w:t xml:space="preserve">ankovní úvěry firemní klientele </w:t>
      </w:r>
      <w:r w:rsidR="00156EF2" w:rsidRPr="00F37DC9">
        <w:rPr>
          <w:rFonts w:ascii="Calibri" w:hAnsi="Calibri" w:cs="Calibri"/>
          <w:sz w:val="20"/>
        </w:rPr>
        <w:t xml:space="preserve">porostou o </w:t>
      </w:r>
      <w:r w:rsidRPr="00F37DC9">
        <w:rPr>
          <w:rFonts w:ascii="Calibri" w:hAnsi="Calibri" w:cs="Calibri"/>
          <w:sz w:val="20"/>
        </w:rPr>
        <w:t>pouhých 1,</w:t>
      </w:r>
      <w:r w:rsidR="00DC7164" w:rsidRPr="00F37DC9">
        <w:rPr>
          <w:rFonts w:ascii="Calibri" w:hAnsi="Calibri" w:cs="Calibri"/>
          <w:sz w:val="20"/>
        </w:rPr>
        <w:t>2</w:t>
      </w:r>
      <w:r w:rsidRPr="00F37DC9">
        <w:rPr>
          <w:rFonts w:ascii="Calibri" w:hAnsi="Calibri" w:cs="Calibri"/>
          <w:sz w:val="20"/>
        </w:rPr>
        <w:t xml:space="preserve"> %</w:t>
      </w:r>
      <w:r w:rsidR="00A51840" w:rsidRPr="00F37DC9">
        <w:rPr>
          <w:rFonts w:ascii="Calibri" w:hAnsi="Calibri" w:cs="Calibri"/>
          <w:sz w:val="20"/>
        </w:rPr>
        <w:t>, přičemž toto nízké tempo růstu bude částečně dáno posilováním kurzu koruny, které samo o sobě povede ke snižování v korunách vykazovaného objemu cizoměnových úvěrů.</w:t>
      </w:r>
      <w:r w:rsidRPr="00F37DC9">
        <w:rPr>
          <w:rFonts w:ascii="Calibri" w:hAnsi="Calibri" w:cs="Calibri"/>
          <w:sz w:val="20"/>
        </w:rPr>
        <w:t xml:space="preserve"> Citelnější oživení úvěrové emise hlavní ekonomové bank očekávají teprve napřesrok</w:t>
      </w:r>
      <w:r w:rsidR="00367D3B" w:rsidRPr="00F37DC9">
        <w:rPr>
          <w:rFonts w:ascii="Calibri" w:hAnsi="Calibri" w:cs="Calibri"/>
          <w:sz w:val="20"/>
        </w:rPr>
        <w:t>. V roce 2022 by měl</w:t>
      </w:r>
      <w:r w:rsidR="000B1B0C" w:rsidRPr="00F37DC9">
        <w:rPr>
          <w:rFonts w:ascii="Calibri" w:hAnsi="Calibri" w:cs="Calibri"/>
          <w:sz w:val="20"/>
        </w:rPr>
        <w:t xml:space="preserve"> </w:t>
      </w:r>
      <w:r w:rsidR="00650A73" w:rsidRPr="00F37DC9">
        <w:rPr>
          <w:rFonts w:ascii="Calibri" w:hAnsi="Calibri" w:cs="Calibri"/>
          <w:sz w:val="20"/>
        </w:rPr>
        <w:t xml:space="preserve">být </w:t>
      </w:r>
      <w:r w:rsidRPr="00F37DC9">
        <w:rPr>
          <w:rFonts w:ascii="Calibri" w:hAnsi="Calibri" w:cs="Calibri"/>
          <w:sz w:val="20"/>
        </w:rPr>
        <w:t>zhruba 5,</w:t>
      </w:r>
      <w:r w:rsidR="00DC7164" w:rsidRPr="00F37DC9">
        <w:rPr>
          <w:rFonts w:ascii="Calibri" w:hAnsi="Calibri" w:cs="Calibri"/>
          <w:sz w:val="20"/>
        </w:rPr>
        <w:t>2</w:t>
      </w:r>
      <w:r w:rsidRPr="00F37DC9">
        <w:rPr>
          <w:rFonts w:ascii="Calibri" w:hAnsi="Calibri" w:cs="Calibri"/>
          <w:sz w:val="20"/>
        </w:rPr>
        <w:t>%</w:t>
      </w:r>
      <w:r w:rsidR="000B1B0C" w:rsidRPr="00F37DC9">
        <w:rPr>
          <w:rFonts w:ascii="Calibri" w:hAnsi="Calibri" w:cs="Calibri"/>
          <w:sz w:val="20"/>
        </w:rPr>
        <w:t xml:space="preserve"> růst klientských úvěrů rozdělen rovnoměrněji </w:t>
      </w:r>
      <w:r w:rsidR="00525617">
        <w:rPr>
          <w:rFonts w:ascii="Calibri" w:hAnsi="Calibri" w:cs="Calibri"/>
          <w:sz w:val="20"/>
        </w:rPr>
        <w:t xml:space="preserve">– </w:t>
      </w:r>
      <w:r w:rsidR="000B1B0C" w:rsidRPr="00F37DC9">
        <w:rPr>
          <w:rFonts w:ascii="Calibri" w:hAnsi="Calibri" w:cs="Calibri"/>
          <w:sz w:val="20"/>
        </w:rPr>
        <w:t>6% růst úvěrů domácnostem a 5</w:t>
      </w:r>
      <w:r w:rsidR="00DC7164" w:rsidRPr="00F37DC9">
        <w:rPr>
          <w:rFonts w:ascii="Calibri" w:hAnsi="Calibri" w:cs="Calibri"/>
          <w:sz w:val="20"/>
        </w:rPr>
        <w:t>,1</w:t>
      </w:r>
      <w:r w:rsidR="000B1B0C" w:rsidRPr="00F37DC9">
        <w:rPr>
          <w:rFonts w:ascii="Calibri" w:hAnsi="Calibri" w:cs="Calibri"/>
          <w:sz w:val="20"/>
        </w:rPr>
        <w:t xml:space="preserve">% růst úvěrů firmám. Stále vysoká míra nejistoty se odráží </w:t>
      </w:r>
      <w:r w:rsidR="00367D3B" w:rsidRPr="00F37DC9">
        <w:rPr>
          <w:rFonts w:ascii="Calibri" w:hAnsi="Calibri" w:cs="Calibri"/>
          <w:sz w:val="20"/>
        </w:rPr>
        <w:t xml:space="preserve">i </w:t>
      </w:r>
      <w:r w:rsidR="000B1B0C" w:rsidRPr="00F37DC9">
        <w:rPr>
          <w:rFonts w:ascii="Calibri" w:hAnsi="Calibri" w:cs="Calibri"/>
          <w:sz w:val="20"/>
        </w:rPr>
        <w:t>ve vývoji klientských vkladů v bankách</w:t>
      </w:r>
      <w:r w:rsidR="00367D3B" w:rsidRPr="00F37DC9">
        <w:rPr>
          <w:rFonts w:ascii="Calibri" w:hAnsi="Calibri" w:cs="Calibri"/>
          <w:sz w:val="20"/>
        </w:rPr>
        <w:t>. P</w:t>
      </w:r>
      <w:r w:rsidR="000B1B0C" w:rsidRPr="00F37DC9">
        <w:rPr>
          <w:rFonts w:ascii="Calibri" w:hAnsi="Calibri" w:cs="Calibri"/>
          <w:sz w:val="20"/>
        </w:rPr>
        <w:t xml:space="preserve">o loňském nárůstu o 10,8 % (!) lze letos očekávat stále nadprůměrné </w:t>
      </w:r>
      <w:r w:rsidR="00DC7164" w:rsidRPr="00F37DC9">
        <w:rPr>
          <w:rFonts w:ascii="Calibri" w:hAnsi="Calibri" w:cs="Calibri"/>
          <w:sz w:val="20"/>
        </w:rPr>
        <w:t>8,1</w:t>
      </w:r>
      <w:r w:rsidR="000B1B0C" w:rsidRPr="00F37DC9">
        <w:rPr>
          <w:rFonts w:ascii="Calibri" w:hAnsi="Calibri" w:cs="Calibri"/>
          <w:sz w:val="20"/>
        </w:rPr>
        <w:t>% tempo, které zvolní na 6 % teprve v roce 2022.</w:t>
      </w:r>
      <w:r w:rsidR="000B1B0C" w:rsidRPr="00F37DC9">
        <w:rPr>
          <w:rFonts w:ascii="Calibri" w:hAnsi="Calibri" w:cs="Calibri"/>
          <w:szCs w:val="18"/>
        </w:rPr>
        <w:t xml:space="preserve"> </w:t>
      </w:r>
    </w:p>
    <w:p w14:paraId="2C938065" w14:textId="31B16AB3" w:rsidR="00F37DC9" w:rsidRDefault="00F37DC9" w:rsidP="00B4285D">
      <w:pPr>
        <w:rPr>
          <w:rFonts w:ascii="Calibri" w:hAnsi="Calibri" w:cs="Calibri"/>
          <w:szCs w:val="18"/>
        </w:rPr>
      </w:pPr>
    </w:p>
    <w:p w14:paraId="7E571DDB" w14:textId="77777777" w:rsidR="00F37DC9" w:rsidRPr="00F37DC9" w:rsidRDefault="00F37DC9" w:rsidP="00B4285D">
      <w:pPr>
        <w:rPr>
          <w:rFonts w:ascii="Calibri" w:hAnsi="Calibri" w:cs="Calibri"/>
          <w:szCs w:val="18"/>
        </w:rPr>
      </w:pPr>
    </w:p>
    <w:p w14:paraId="5B66FEF5" w14:textId="29AED60F" w:rsidR="00C93158" w:rsidRPr="00F37DC9" w:rsidRDefault="00C93158" w:rsidP="00B4285D">
      <w:pPr>
        <w:rPr>
          <w:rFonts w:ascii="Calibri" w:hAnsi="Calibri" w:cs="Calibri"/>
          <w:b/>
          <w:color w:val="13576B"/>
          <w:sz w:val="20"/>
        </w:rPr>
      </w:pPr>
      <w:r w:rsidRPr="00F37DC9">
        <w:rPr>
          <w:rFonts w:ascii="Calibri" w:hAnsi="Calibri" w:cs="Calibri"/>
          <w:b/>
          <w:color w:val="13576B"/>
          <w:sz w:val="20"/>
        </w:rPr>
        <w:t>Prognózy růstu reálného HDP:</w:t>
      </w:r>
    </w:p>
    <w:p w14:paraId="1BAB9007" w14:textId="77777777" w:rsidR="00B83E9D" w:rsidRPr="00F37DC9" w:rsidRDefault="00B83E9D" w:rsidP="00B4285D">
      <w:pPr>
        <w:rPr>
          <w:rFonts w:ascii="Calibri" w:hAnsi="Calibri" w:cs="Calibri"/>
          <w:b/>
          <w:color w:val="007E79"/>
          <w:sz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126"/>
        <w:gridCol w:w="1417"/>
      </w:tblGrid>
      <w:tr w:rsidR="005C41EF" w:rsidRPr="00F37DC9" w14:paraId="3241496F" w14:textId="75A6D5A4" w:rsidTr="00F37DC9">
        <w:trPr>
          <w:trHeight w:val="257"/>
        </w:trPr>
        <w:tc>
          <w:tcPr>
            <w:tcW w:w="6663" w:type="dxa"/>
            <w:shd w:val="clear" w:color="auto" w:fill="13576B"/>
            <w:vAlign w:val="center"/>
          </w:tcPr>
          <w:p w14:paraId="194FECE0" w14:textId="77777777" w:rsidR="005C41EF" w:rsidRPr="00F37DC9" w:rsidRDefault="005C41EF" w:rsidP="00B4285D">
            <w:pPr>
              <w:autoSpaceDE/>
              <w:autoSpaceDN/>
              <w:adjustRightInd/>
              <w:jc w:val="left"/>
              <w:textAlignment w:val="auto"/>
              <w:rPr>
                <w:rFonts w:ascii="Calibri" w:hAnsi="Calibri" w:cs="Calibri"/>
                <w:b/>
                <w:color w:val="FFFFFF"/>
                <w:sz w:val="20"/>
                <w:szCs w:val="18"/>
              </w:rPr>
            </w:pPr>
            <w:r w:rsidRPr="00F37DC9">
              <w:rPr>
                <w:rFonts w:ascii="Calibri" w:hAnsi="Calibri" w:cs="Calibri"/>
                <w:b/>
                <w:bCs/>
                <w:color w:val="FFFFFF" w:themeColor="light1"/>
                <w:kern w:val="24"/>
                <w:sz w:val="20"/>
              </w:rPr>
              <w:t>Instituce (+ nejaktuálnější prognóza)</w:t>
            </w:r>
          </w:p>
        </w:tc>
        <w:tc>
          <w:tcPr>
            <w:tcW w:w="2126" w:type="dxa"/>
            <w:shd w:val="clear" w:color="auto" w:fill="13576B"/>
            <w:vAlign w:val="center"/>
          </w:tcPr>
          <w:p w14:paraId="17EF59AC" w14:textId="4A3801D8" w:rsidR="005C41EF" w:rsidRPr="00F37DC9" w:rsidRDefault="005C41EF" w:rsidP="00725295">
            <w:pPr>
              <w:jc w:val="center"/>
              <w:rPr>
                <w:rFonts w:ascii="Calibri" w:hAnsi="Calibri" w:cs="Calibri"/>
                <w:b/>
                <w:color w:val="FFFFFF"/>
                <w:sz w:val="20"/>
                <w:szCs w:val="18"/>
              </w:rPr>
            </w:pPr>
            <w:r w:rsidRPr="00F37DC9">
              <w:rPr>
                <w:rFonts w:ascii="Calibri" w:hAnsi="Calibri" w:cs="Calibri"/>
                <w:b/>
                <w:color w:val="FFFFFF"/>
                <w:sz w:val="20"/>
                <w:szCs w:val="18"/>
              </w:rPr>
              <w:t>2021</w:t>
            </w:r>
          </w:p>
        </w:tc>
        <w:tc>
          <w:tcPr>
            <w:tcW w:w="1417" w:type="dxa"/>
            <w:shd w:val="clear" w:color="auto" w:fill="13576B"/>
          </w:tcPr>
          <w:p w14:paraId="1C5EF096" w14:textId="602898D7" w:rsidR="005C41EF" w:rsidRPr="00F37DC9" w:rsidRDefault="005C41EF" w:rsidP="00B4285D">
            <w:pPr>
              <w:jc w:val="center"/>
              <w:rPr>
                <w:rFonts w:ascii="Calibri" w:hAnsi="Calibri" w:cs="Calibri"/>
                <w:b/>
                <w:color w:val="FFFFFF"/>
                <w:sz w:val="20"/>
                <w:szCs w:val="18"/>
              </w:rPr>
            </w:pPr>
            <w:r w:rsidRPr="00F37DC9">
              <w:rPr>
                <w:rFonts w:ascii="Calibri" w:hAnsi="Calibri" w:cs="Calibri"/>
                <w:b/>
                <w:color w:val="FFFFFF"/>
                <w:sz w:val="20"/>
                <w:szCs w:val="18"/>
              </w:rPr>
              <w:t>2022</w:t>
            </w:r>
          </w:p>
        </w:tc>
      </w:tr>
      <w:tr w:rsidR="005C41EF" w:rsidRPr="00F37DC9" w14:paraId="48CA0C97" w14:textId="014075A6" w:rsidTr="00A60208">
        <w:trPr>
          <w:trHeight w:val="257"/>
        </w:trPr>
        <w:tc>
          <w:tcPr>
            <w:tcW w:w="6663" w:type="dxa"/>
            <w:shd w:val="clear" w:color="auto" w:fill="auto"/>
            <w:vAlign w:val="center"/>
          </w:tcPr>
          <w:p w14:paraId="0DAAF388" w14:textId="25EAD2DA" w:rsidR="005C41EF" w:rsidRPr="00F37DC9" w:rsidRDefault="005C41EF" w:rsidP="00635F63">
            <w:pPr>
              <w:jc w:val="left"/>
              <w:rPr>
                <w:rFonts w:ascii="Calibri" w:hAnsi="Calibri" w:cs="Calibri"/>
                <w:sz w:val="20"/>
                <w:szCs w:val="18"/>
              </w:rPr>
            </w:pPr>
            <w:r w:rsidRPr="00F37DC9">
              <w:rPr>
                <w:rFonts w:ascii="Calibri" w:hAnsi="Calibri" w:cs="Calibri"/>
                <w:sz w:val="20"/>
                <w:szCs w:val="18"/>
              </w:rPr>
              <w:t xml:space="preserve">ČNB (prognóza květen 2021)           </w:t>
            </w:r>
          </w:p>
        </w:tc>
        <w:tc>
          <w:tcPr>
            <w:tcW w:w="2126" w:type="dxa"/>
            <w:vAlign w:val="center"/>
          </w:tcPr>
          <w:p w14:paraId="175007AF" w14:textId="32AFA1DD" w:rsidR="005C41EF" w:rsidRPr="00F37DC9" w:rsidRDefault="002050D0" w:rsidP="00B4285D">
            <w:pPr>
              <w:jc w:val="center"/>
              <w:rPr>
                <w:rFonts w:ascii="Calibri" w:hAnsi="Calibri" w:cs="Calibri"/>
                <w:sz w:val="20"/>
                <w:szCs w:val="18"/>
              </w:rPr>
            </w:pPr>
            <w:r w:rsidRPr="00F37DC9">
              <w:rPr>
                <w:rFonts w:ascii="Calibri" w:hAnsi="Calibri" w:cs="Calibri"/>
                <w:sz w:val="20"/>
                <w:szCs w:val="18"/>
              </w:rPr>
              <w:t>1</w:t>
            </w:r>
            <w:r w:rsidR="005C41EF" w:rsidRPr="00F37DC9">
              <w:rPr>
                <w:rFonts w:ascii="Calibri" w:hAnsi="Calibri" w:cs="Calibri"/>
                <w:sz w:val="20"/>
                <w:szCs w:val="18"/>
              </w:rPr>
              <w:t>,2 %</w:t>
            </w:r>
          </w:p>
        </w:tc>
        <w:tc>
          <w:tcPr>
            <w:tcW w:w="1417" w:type="dxa"/>
          </w:tcPr>
          <w:p w14:paraId="20EE1BE7" w14:textId="0B3AD02A" w:rsidR="005C41EF" w:rsidRPr="00F37DC9" w:rsidRDefault="002050D0" w:rsidP="00B4285D">
            <w:pPr>
              <w:jc w:val="center"/>
              <w:rPr>
                <w:rFonts w:ascii="Calibri" w:hAnsi="Calibri" w:cs="Calibri"/>
                <w:sz w:val="20"/>
                <w:szCs w:val="18"/>
              </w:rPr>
            </w:pPr>
            <w:r w:rsidRPr="00F37DC9">
              <w:rPr>
                <w:rFonts w:ascii="Calibri" w:hAnsi="Calibri" w:cs="Calibri"/>
                <w:sz w:val="20"/>
                <w:szCs w:val="18"/>
              </w:rPr>
              <w:t>4,3</w:t>
            </w:r>
            <w:r w:rsidR="005C41EF" w:rsidRPr="00F37DC9">
              <w:rPr>
                <w:rFonts w:ascii="Calibri" w:hAnsi="Calibri" w:cs="Calibri"/>
                <w:sz w:val="20"/>
                <w:szCs w:val="18"/>
              </w:rPr>
              <w:t xml:space="preserve"> %</w:t>
            </w:r>
          </w:p>
        </w:tc>
      </w:tr>
      <w:tr w:rsidR="005C41EF" w:rsidRPr="00F37DC9" w14:paraId="36CF2337" w14:textId="69B1220B" w:rsidTr="00A60208">
        <w:trPr>
          <w:trHeight w:val="257"/>
        </w:trPr>
        <w:tc>
          <w:tcPr>
            <w:tcW w:w="6663" w:type="dxa"/>
            <w:shd w:val="clear" w:color="auto" w:fill="auto"/>
            <w:vAlign w:val="center"/>
          </w:tcPr>
          <w:p w14:paraId="0A51EAB4" w14:textId="5EFA0801" w:rsidR="005C41EF" w:rsidRPr="00F37DC9" w:rsidRDefault="005C41EF" w:rsidP="00A60208">
            <w:pPr>
              <w:jc w:val="left"/>
              <w:rPr>
                <w:rFonts w:ascii="Calibri" w:hAnsi="Calibri" w:cs="Calibri"/>
                <w:sz w:val="20"/>
                <w:szCs w:val="18"/>
              </w:rPr>
            </w:pPr>
            <w:r w:rsidRPr="00F37DC9">
              <w:rPr>
                <w:rFonts w:ascii="Calibri" w:hAnsi="Calibri" w:cs="Calibri"/>
                <w:sz w:val="20"/>
                <w:szCs w:val="18"/>
              </w:rPr>
              <w:t xml:space="preserve">Ministerstvo financí ČR (makroekonomická predikce duben 2021)             </w:t>
            </w:r>
          </w:p>
        </w:tc>
        <w:tc>
          <w:tcPr>
            <w:tcW w:w="2126" w:type="dxa"/>
            <w:vAlign w:val="center"/>
          </w:tcPr>
          <w:p w14:paraId="5ED9946E" w14:textId="7A262992" w:rsidR="005C41EF" w:rsidRPr="00F37DC9" w:rsidRDefault="005C41EF" w:rsidP="00B4285D">
            <w:pPr>
              <w:jc w:val="center"/>
              <w:rPr>
                <w:rFonts w:ascii="Calibri" w:hAnsi="Calibri" w:cs="Calibri"/>
                <w:sz w:val="20"/>
                <w:szCs w:val="18"/>
              </w:rPr>
            </w:pPr>
            <w:r w:rsidRPr="00F37DC9">
              <w:rPr>
                <w:rFonts w:ascii="Calibri" w:hAnsi="Calibri" w:cs="Calibri"/>
                <w:sz w:val="20"/>
                <w:szCs w:val="18"/>
              </w:rPr>
              <w:t>3,1 %</w:t>
            </w:r>
          </w:p>
        </w:tc>
        <w:tc>
          <w:tcPr>
            <w:tcW w:w="1417" w:type="dxa"/>
          </w:tcPr>
          <w:p w14:paraId="4B73DD05" w14:textId="0A9D77B4" w:rsidR="005C41EF" w:rsidRPr="00F37DC9" w:rsidRDefault="005C41EF" w:rsidP="00B4285D">
            <w:pPr>
              <w:jc w:val="center"/>
              <w:rPr>
                <w:rFonts w:ascii="Calibri" w:hAnsi="Calibri" w:cs="Calibri"/>
                <w:sz w:val="20"/>
                <w:szCs w:val="18"/>
              </w:rPr>
            </w:pPr>
            <w:r w:rsidRPr="00F37DC9">
              <w:rPr>
                <w:rFonts w:ascii="Calibri" w:hAnsi="Calibri" w:cs="Calibri"/>
                <w:sz w:val="20"/>
                <w:szCs w:val="18"/>
              </w:rPr>
              <w:t>3,</w:t>
            </w:r>
            <w:r w:rsidR="00A60208" w:rsidRPr="00F37DC9">
              <w:rPr>
                <w:rFonts w:ascii="Calibri" w:hAnsi="Calibri" w:cs="Calibri"/>
                <w:sz w:val="20"/>
                <w:szCs w:val="18"/>
              </w:rPr>
              <w:t>7</w:t>
            </w:r>
            <w:r w:rsidRPr="00F37DC9">
              <w:rPr>
                <w:rFonts w:ascii="Calibri" w:hAnsi="Calibri" w:cs="Calibri"/>
                <w:sz w:val="20"/>
                <w:szCs w:val="18"/>
              </w:rPr>
              <w:t xml:space="preserve"> %</w:t>
            </w:r>
          </w:p>
        </w:tc>
      </w:tr>
      <w:tr w:rsidR="005C41EF" w:rsidRPr="00F37DC9" w14:paraId="33F36580" w14:textId="36F2E2E2" w:rsidTr="00A60208">
        <w:trPr>
          <w:trHeight w:val="257"/>
        </w:trPr>
        <w:tc>
          <w:tcPr>
            <w:tcW w:w="6663" w:type="dxa"/>
            <w:shd w:val="clear" w:color="auto" w:fill="auto"/>
            <w:vAlign w:val="center"/>
          </w:tcPr>
          <w:p w14:paraId="0622E4DC" w14:textId="37202E24" w:rsidR="005C41EF" w:rsidRPr="00F37DC9" w:rsidRDefault="005C41EF" w:rsidP="00635F63">
            <w:pPr>
              <w:jc w:val="left"/>
              <w:rPr>
                <w:rFonts w:ascii="Calibri" w:hAnsi="Calibri" w:cs="Calibri"/>
                <w:sz w:val="20"/>
                <w:szCs w:val="18"/>
              </w:rPr>
            </w:pPr>
            <w:r w:rsidRPr="00F37DC9">
              <w:rPr>
                <w:rFonts w:ascii="Calibri" w:hAnsi="Calibri" w:cs="Calibri"/>
                <w:sz w:val="20"/>
                <w:szCs w:val="18"/>
              </w:rPr>
              <w:t>Evropská komise (</w:t>
            </w:r>
            <w:r w:rsidR="008E1BD7">
              <w:rPr>
                <w:rFonts w:ascii="Calibri" w:hAnsi="Calibri" w:cs="Calibri"/>
                <w:sz w:val="20"/>
                <w:szCs w:val="18"/>
              </w:rPr>
              <w:t>Spring</w:t>
            </w:r>
            <w:r w:rsidRPr="00F37DC9">
              <w:rPr>
                <w:rFonts w:ascii="Calibri" w:hAnsi="Calibri" w:cs="Calibri"/>
                <w:sz w:val="20"/>
                <w:szCs w:val="18"/>
              </w:rPr>
              <w:t xml:space="preserve"> Economic Forecast, </w:t>
            </w:r>
            <w:r w:rsidR="008E1BD7">
              <w:rPr>
                <w:rFonts w:ascii="Calibri" w:hAnsi="Calibri" w:cs="Calibri"/>
                <w:sz w:val="20"/>
                <w:szCs w:val="18"/>
              </w:rPr>
              <w:t>květen</w:t>
            </w:r>
            <w:r w:rsidRPr="00F37DC9">
              <w:rPr>
                <w:rFonts w:ascii="Calibri" w:hAnsi="Calibri" w:cs="Calibri"/>
                <w:sz w:val="20"/>
                <w:szCs w:val="18"/>
              </w:rPr>
              <w:t xml:space="preserve"> 202</w:t>
            </w:r>
            <w:r w:rsidR="00A60208" w:rsidRPr="00F37DC9">
              <w:rPr>
                <w:rFonts w:ascii="Calibri" w:hAnsi="Calibri" w:cs="Calibri"/>
                <w:sz w:val="20"/>
                <w:szCs w:val="18"/>
              </w:rPr>
              <w:t>1</w:t>
            </w:r>
            <w:r w:rsidRPr="00F37DC9">
              <w:rPr>
                <w:rFonts w:ascii="Calibri" w:hAnsi="Calibri" w:cs="Calibri"/>
                <w:sz w:val="20"/>
                <w:szCs w:val="18"/>
              </w:rPr>
              <w:t>)</w:t>
            </w:r>
          </w:p>
        </w:tc>
        <w:tc>
          <w:tcPr>
            <w:tcW w:w="2126" w:type="dxa"/>
            <w:vAlign w:val="center"/>
          </w:tcPr>
          <w:p w14:paraId="6F97F733" w14:textId="35A573BD" w:rsidR="005C41EF" w:rsidRPr="00F37DC9" w:rsidRDefault="005C41EF" w:rsidP="00B4285D">
            <w:pPr>
              <w:jc w:val="center"/>
              <w:rPr>
                <w:rFonts w:ascii="Calibri" w:hAnsi="Calibri" w:cs="Calibri"/>
                <w:sz w:val="20"/>
                <w:szCs w:val="18"/>
              </w:rPr>
            </w:pPr>
            <w:r w:rsidRPr="00F37DC9">
              <w:rPr>
                <w:rFonts w:ascii="Calibri" w:hAnsi="Calibri" w:cs="Calibri"/>
                <w:sz w:val="20"/>
                <w:szCs w:val="18"/>
              </w:rPr>
              <w:t>3,</w:t>
            </w:r>
            <w:r w:rsidR="008E1BD7">
              <w:rPr>
                <w:rFonts w:ascii="Calibri" w:hAnsi="Calibri" w:cs="Calibri"/>
                <w:sz w:val="20"/>
                <w:szCs w:val="18"/>
              </w:rPr>
              <w:t>4</w:t>
            </w:r>
            <w:r w:rsidRPr="00F37DC9">
              <w:rPr>
                <w:rFonts w:ascii="Calibri" w:hAnsi="Calibri" w:cs="Calibri"/>
                <w:sz w:val="20"/>
                <w:szCs w:val="18"/>
              </w:rPr>
              <w:t xml:space="preserve"> %</w:t>
            </w:r>
          </w:p>
        </w:tc>
        <w:tc>
          <w:tcPr>
            <w:tcW w:w="1417" w:type="dxa"/>
            <w:vAlign w:val="center"/>
          </w:tcPr>
          <w:p w14:paraId="1EF6B851" w14:textId="03CCFCE6" w:rsidR="005C41EF" w:rsidRPr="00F37DC9" w:rsidRDefault="008E1BD7" w:rsidP="005E5B52">
            <w:pPr>
              <w:jc w:val="center"/>
              <w:rPr>
                <w:rFonts w:ascii="Calibri" w:hAnsi="Calibri" w:cs="Calibri"/>
                <w:sz w:val="20"/>
                <w:szCs w:val="18"/>
              </w:rPr>
            </w:pPr>
            <w:r>
              <w:rPr>
                <w:rFonts w:ascii="Calibri" w:hAnsi="Calibri" w:cs="Calibri"/>
                <w:sz w:val="20"/>
                <w:szCs w:val="18"/>
              </w:rPr>
              <w:t>4</w:t>
            </w:r>
            <w:r w:rsidR="00A60208" w:rsidRPr="00F37DC9">
              <w:rPr>
                <w:rFonts w:ascii="Calibri" w:hAnsi="Calibri" w:cs="Calibri"/>
                <w:sz w:val="20"/>
                <w:szCs w:val="18"/>
              </w:rPr>
              <w:t>,</w:t>
            </w:r>
            <w:r>
              <w:rPr>
                <w:rFonts w:ascii="Calibri" w:hAnsi="Calibri" w:cs="Calibri"/>
                <w:sz w:val="20"/>
                <w:szCs w:val="18"/>
              </w:rPr>
              <w:t>4</w:t>
            </w:r>
            <w:r w:rsidR="005C41EF" w:rsidRPr="00F37DC9">
              <w:rPr>
                <w:rFonts w:ascii="Calibri" w:hAnsi="Calibri" w:cs="Calibri"/>
                <w:sz w:val="20"/>
                <w:szCs w:val="18"/>
              </w:rPr>
              <w:t xml:space="preserve"> %</w:t>
            </w:r>
          </w:p>
        </w:tc>
      </w:tr>
      <w:tr w:rsidR="005C41EF" w:rsidRPr="00F37DC9" w14:paraId="1841127B" w14:textId="7A09C873" w:rsidTr="00A60208">
        <w:trPr>
          <w:trHeight w:val="257"/>
        </w:trPr>
        <w:tc>
          <w:tcPr>
            <w:tcW w:w="6663" w:type="dxa"/>
            <w:shd w:val="clear" w:color="auto" w:fill="auto"/>
            <w:vAlign w:val="center"/>
          </w:tcPr>
          <w:p w14:paraId="4386D38A" w14:textId="03925140" w:rsidR="005C41EF" w:rsidRPr="00F37DC9" w:rsidRDefault="005C41EF" w:rsidP="00635F63">
            <w:pPr>
              <w:jc w:val="left"/>
              <w:rPr>
                <w:rFonts w:ascii="Calibri" w:hAnsi="Calibri" w:cs="Calibri"/>
                <w:sz w:val="20"/>
                <w:szCs w:val="18"/>
              </w:rPr>
            </w:pPr>
            <w:r w:rsidRPr="00F37DC9">
              <w:rPr>
                <w:rFonts w:ascii="Calibri" w:hAnsi="Calibri" w:cs="Calibri"/>
                <w:sz w:val="20"/>
                <w:szCs w:val="18"/>
              </w:rPr>
              <w:t xml:space="preserve">MMF (World Economic Outlook, </w:t>
            </w:r>
            <w:r w:rsidR="00A60208" w:rsidRPr="00F37DC9">
              <w:rPr>
                <w:rFonts w:ascii="Calibri" w:hAnsi="Calibri" w:cs="Calibri"/>
                <w:sz w:val="20"/>
                <w:szCs w:val="18"/>
              </w:rPr>
              <w:t>duben</w:t>
            </w:r>
            <w:r w:rsidRPr="00F37DC9">
              <w:rPr>
                <w:rFonts w:ascii="Calibri" w:hAnsi="Calibri" w:cs="Calibri"/>
                <w:sz w:val="20"/>
                <w:szCs w:val="18"/>
              </w:rPr>
              <w:t xml:space="preserve"> 2021)    </w:t>
            </w:r>
          </w:p>
        </w:tc>
        <w:tc>
          <w:tcPr>
            <w:tcW w:w="2126" w:type="dxa"/>
            <w:vAlign w:val="center"/>
          </w:tcPr>
          <w:p w14:paraId="5B1F6A61" w14:textId="1357A362" w:rsidR="005C41EF" w:rsidRPr="00F37DC9" w:rsidRDefault="00224038" w:rsidP="00B4285D">
            <w:pPr>
              <w:jc w:val="center"/>
              <w:rPr>
                <w:rFonts w:ascii="Calibri" w:hAnsi="Calibri" w:cs="Calibri"/>
                <w:sz w:val="20"/>
                <w:szCs w:val="18"/>
              </w:rPr>
            </w:pPr>
            <w:r w:rsidRPr="00F37DC9">
              <w:rPr>
                <w:rFonts w:ascii="Calibri" w:hAnsi="Calibri" w:cs="Calibri"/>
                <w:sz w:val="20"/>
                <w:szCs w:val="18"/>
              </w:rPr>
              <w:t>4,2</w:t>
            </w:r>
            <w:r w:rsidR="005C41EF" w:rsidRPr="00F37DC9">
              <w:rPr>
                <w:rFonts w:ascii="Calibri" w:hAnsi="Calibri" w:cs="Calibri"/>
                <w:sz w:val="20"/>
                <w:szCs w:val="18"/>
              </w:rPr>
              <w:t xml:space="preserve"> %</w:t>
            </w:r>
          </w:p>
        </w:tc>
        <w:tc>
          <w:tcPr>
            <w:tcW w:w="1417" w:type="dxa"/>
          </w:tcPr>
          <w:p w14:paraId="645BD97D" w14:textId="72BD9259" w:rsidR="005C41EF" w:rsidRPr="00F37DC9" w:rsidRDefault="005C41EF" w:rsidP="00B4285D">
            <w:pPr>
              <w:jc w:val="center"/>
              <w:rPr>
                <w:rFonts w:ascii="Calibri" w:hAnsi="Calibri" w:cs="Calibri"/>
                <w:sz w:val="20"/>
                <w:szCs w:val="18"/>
              </w:rPr>
            </w:pPr>
            <w:r w:rsidRPr="00F37DC9">
              <w:rPr>
                <w:rFonts w:ascii="Calibri" w:hAnsi="Calibri" w:cs="Calibri"/>
                <w:sz w:val="20"/>
                <w:szCs w:val="18"/>
              </w:rPr>
              <w:t>4,3 %</w:t>
            </w:r>
          </w:p>
        </w:tc>
      </w:tr>
      <w:tr w:rsidR="005C41EF" w:rsidRPr="00F37DC9" w14:paraId="136774CF" w14:textId="32B3780A" w:rsidTr="00A60208">
        <w:trPr>
          <w:trHeight w:val="257"/>
        </w:trPr>
        <w:tc>
          <w:tcPr>
            <w:tcW w:w="6663" w:type="dxa"/>
            <w:shd w:val="clear" w:color="auto" w:fill="auto"/>
            <w:vAlign w:val="center"/>
          </w:tcPr>
          <w:p w14:paraId="65AA4375" w14:textId="3A744177" w:rsidR="005C41EF" w:rsidRPr="00F37DC9" w:rsidRDefault="005C41EF" w:rsidP="00635F63">
            <w:pPr>
              <w:jc w:val="left"/>
              <w:rPr>
                <w:rFonts w:ascii="Calibri" w:hAnsi="Calibri" w:cs="Calibri"/>
                <w:sz w:val="20"/>
                <w:szCs w:val="18"/>
              </w:rPr>
            </w:pPr>
            <w:r w:rsidRPr="00F37DC9">
              <w:rPr>
                <w:rFonts w:ascii="Calibri" w:hAnsi="Calibri" w:cs="Calibri"/>
                <w:sz w:val="20"/>
                <w:szCs w:val="18"/>
              </w:rPr>
              <w:t>OECD (Economic Outlook, prosinec 2020)</w:t>
            </w:r>
          </w:p>
        </w:tc>
        <w:tc>
          <w:tcPr>
            <w:tcW w:w="2126" w:type="dxa"/>
            <w:vAlign w:val="center"/>
          </w:tcPr>
          <w:p w14:paraId="7D507A0E" w14:textId="0C46696B" w:rsidR="005C41EF" w:rsidRPr="00F37DC9" w:rsidRDefault="005C41EF" w:rsidP="00B4285D">
            <w:pPr>
              <w:jc w:val="center"/>
              <w:rPr>
                <w:rFonts w:ascii="Calibri" w:hAnsi="Calibri" w:cs="Calibri"/>
                <w:sz w:val="20"/>
                <w:szCs w:val="18"/>
              </w:rPr>
            </w:pPr>
            <w:r w:rsidRPr="00F37DC9">
              <w:rPr>
                <w:rFonts w:ascii="Calibri" w:hAnsi="Calibri" w:cs="Calibri"/>
                <w:sz w:val="20"/>
                <w:szCs w:val="18"/>
              </w:rPr>
              <w:t>1,5 %</w:t>
            </w:r>
          </w:p>
        </w:tc>
        <w:tc>
          <w:tcPr>
            <w:tcW w:w="1417" w:type="dxa"/>
          </w:tcPr>
          <w:p w14:paraId="2A10D321" w14:textId="699E0EA3" w:rsidR="005C41EF" w:rsidRPr="00F37DC9" w:rsidRDefault="005C41EF" w:rsidP="00B4285D">
            <w:pPr>
              <w:jc w:val="center"/>
              <w:rPr>
                <w:rFonts w:ascii="Calibri" w:hAnsi="Calibri" w:cs="Calibri"/>
                <w:sz w:val="20"/>
                <w:szCs w:val="18"/>
              </w:rPr>
            </w:pPr>
            <w:r w:rsidRPr="00F37DC9">
              <w:rPr>
                <w:rFonts w:ascii="Calibri" w:hAnsi="Calibri" w:cs="Calibri"/>
                <w:sz w:val="20"/>
                <w:szCs w:val="18"/>
              </w:rPr>
              <w:t>3,3 %</w:t>
            </w:r>
          </w:p>
        </w:tc>
      </w:tr>
      <w:tr w:rsidR="005C41EF" w:rsidRPr="00F37DC9" w14:paraId="04F9D0FF" w14:textId="62805501" w:rsidTr="00A60208">
        <w:trPr>
          <w:trHeight w:val="242"/>
        </w:trPr>
        <w:tc>
          <w:tcPr>
            <w:tcW w:w="6663" w:type="dxa"/>
            <w:shd w:val="clear" w:color="auto" w:fill="auto"/>
            <w:vAlign w:val="center"/>
          </w:tcPr>
          <w:p w14:paraId="136EA678" w14:textId="7EA57B3B" w:rsidR="005C41EF" w:rsidRPr="00F37DC9" w:rsidRDefault="005C41EF" w:rsidP="00635F63">
            <w:pPr>
              <w:jc w:val="left"/>
              <w:rPr>
                <w:rFonts w:ascii="Calibri" w:hAnsi="Calibri" w:cs="Calibri"/>
                <w:b/>
                <w:bCs/>
                <w:sz w:val="20"/>
                <w:szCs w:val="18"/>
              </w:rPr>
            </w:pPr>
            <w:r w:rsidRPr="00F37DC9">
              <w:rPr>
                <w:rFonts w:ascii="Calibri" w:hAnsi="Calibri" w:cs="Calibri"/>
                <w:b/>
                <w:bCs/>
                <w:color w:val="FF0000"/>
                <w:sz w:val="20"/>
                <w:szCs w:val="18"/>
              </w:rPr>
              <w:t xml:space="preserve">ČBA (prognóza </w:t>
            </w:r>
            <w:r w:rsidR="00224038" w:rsidRPr="00F37DC9">
              <w:rPr>
                <w:rFonts w:ascii="Calibri" w:hAnsi="Calibri" w:cs="Calibri"/>
                <w:b/>
                <w:bCs/>
                <w:color w:val="FF0000"/>
                <w:sz w:val="20"/>
                <w:szCs w:val="18"/>
              </w:rPr>
              <w:t>květen</w:t>
            </w:r>
            <w:r w:rsidRPr="00F37DC9">
              <w:rPr>
                <w:rFonts w:ascii="Calibri" w:hAnsi="Calibri" w:cs="Calibri"/>
                <w:b/>
                <w:bCs/>
                <w:color w:val="FF0000"/>
                <w:sz w:val="20"/>
                <w:szCs w:val="18"/>
              </w:rPr>
              <w:t xml:space="preserve"> 2021)       </w:t>
            </w:r>
          </w:p>
        </w:tc>
        <w:tc>
          <w:tcPr>
            <w:tcW w:w="2126" w:type="dxa"/>
            <w:shd w:val="clear" w:color="auto" w:fill="auto"/>
            <w:vAlign w:val="center"/>
          </w:tcPr>
          <w:p w14:paraId="588CB755" w14:textId="535BF8F5" w:rsidR="005C41EF" w:rsidRPr="00F37DC9" w:rsidRDefault="003A1647" w:rsidP="00B4285D">
            <w:pPr>
              <w:pStyle w:val="Normlnweb"/>
              <w:spacing w:before="0" w:beforeAutospacing="0" w:after="0" w:afterAutospacing="0"/>
              <w:jc w:val="center"/>
              <w:textAlignment w:val="bottom"/>
              <w:rPr>
                <w:rFonts w:ascii="Calibri" w:hAnsi="Calibri" w:cs="Calibri"/>
                <w:b/>
                <w:bCs/>
                <w:color w:val="FF0000"/>
                <w:sz w:val="20"/>
                <w:szCs w:val="20"/>
              </w:rPr>
            </w:pPr>
            <w:r w:rsidRPr="00F37DC9">
              <w:rPr>
                <w:rFonts w:ascii="Calibri" w:hAnsi="Calibri" w:cs="Calibri"/>
                <w:b/>
                <w:bCs/>
                <w:color w:val="FF0000"/>
                <w:sz w:val="20"/>
                <w:szCs w:val="20"/>
              </w:rPr>
              <w:t xml:space="preserve">3,3 </w:t>
            </w:r>
            <w:r w:rsidR="005C41EF" w:rsidRPr="00F37DC9">
              <w:rPr>
                <w:rFonts w:ascii="Calibri" w:hAnsi="Calibri" w:cs="Calibri"/>
                <w:b/>
                <w:bCs/>
                <w:color w:val="FF0000"/>
                <w:sz w:val="20"/>
                <w:szCs w:val="20"/>
              </w:rPr>
              <w:t>%</w:t>
            </w:r>
          </w:p>
        </w:tc>
        <w:tc>
          <w:tcPr>
            <w:tcW w:w="1417" w:type="dxa"/>
            <w:shd w:val="clear" w:color="auto" w:fill="auto"/>
          </w:tcPr>
          <w:p w14:paraId="7049F428" w14:textId="39E78C1D" w:rsidR="005C41EF" w:rsidRPr="00F37DC9" w:rsidRDefault="005C41EF" w:rsidP="00B4285D">
            <w:pPr>
              <w:pStyle w:val="Normlnweb"/>
              <w:spacing w:before="0" w:beforeAutospacing="0" w:after="0" w:afterAutospacing="0"/>
              <w:jc w:val="center"/>
              <w:textAlignment w:val="bottom"/>
              <w:rPr>
                <w:rFonts w:ascii="Calibri" w:hAnsi="Calibri" w:cs="Calibri"/>
                <w:b/>
                <w:bCs/>
                <w:color w:val="FF0000"/>
                <w:sz w:val="20"/>
                <w:szCs w:val="20"/>
              </w:rPr>
            </w:pPr>
            <w:r w:rsidRPr="00F37DC9">
              <w:rPr>
                <w:rFonts w:ascii="Calibri" w:hAnsi="Calibri" w:cs="Calibri"/>
                <w:b/>
                <w:bCs/>
                <w:color w:val="FF0000"/>
                <w:sz w:val="20"/>
                <w:szCs w:val="20"/>
              </w:rPr>
              <w:t>4,</w:t>
            </w:r>
            <w:r w:rsidR="003A1647" w:rsidRPr="00F37DC9">
              <w:rPr>
                <w:rFonts w:ascii="Calibri" w:hAnsi="Calibri" w:cs="Calibri"/>
                <w:b/>
                <w:bCs/>
                <w:color w:val="FF0000"/>
                <w:sz w:val="20"/>
                <w:szCs w:val="20"/>
              </w:rPr>
              <w:t>3</w:t>
            </w:r>
            <w:r w:rsidRPr="00F37DC9">
              <w:rPr>
                <w:rFonts w:ascii="Calibri" w:hAnsi="Calibri" w:cs="Calibri"/>
                <w:b/>
                <w:bCs/>
                <w:color w:val="FF0000"/>
                <w:sz w:val="20"/>
                <w:szCs w:val="20"/>
              </w:rPr>
              <w:t xml:space="preserve"> %</w:t>
            </w:r>
          </w:p>
        </w:tc>
      </w:tr>
    </w:tbl>
    <w:p w14:paraId="76A4FED4" w14:textId="734CDE40" w:rsidR="007D666C" w:rsidRPr="00F37DC9" w:rsidRDefault="007D666C" w:rsidP="00635F63">
      <w:pPr>
        <w:rPr>
          <w:rFonts w:ascii="Calibri" w:hAnsi="Calibri" w:cs="Calibri"/>
          <w:b/>
          <w:color w:val="007E79"/>
          <w:sz w:val="20"/>
        </w:rPr>
      </w:pPr>
    </w:p>
    <w:p w14:paraId="0FC19613" w14:textId="25828413" w:rsidR="00C93158" w:rsidRPr="00F37DC9" w:rsidRDefault="00C93158" w:rsidP="00B4285D">
      <w:pPr>
        <w:rPr>
          <w:rFonts w:ascii="Calibri" w:hAnsi="Calibri" w:cs="Calibri"/>
          <w:b/>
          <w:color w:val="007E79"/>
          <w:sz w:val="20"/>
        </w:rPr>
      </w:pPr>
      <w:r w:rsidRPr="00F37DC9">
        <w:rPr>
          <w:rFonts w:ascii="Calibri" w:hAnsi="Calibri" w:cs="Calibri"/>
          <w:b/>
          <w:color w:val="13576B"/>
          <w:sz w:val="20"/>
        </w:rPr>
        <w:t>Makroekonomická prognóza ČBA v číslech:</w:t>
      </w:r>
    </w:p>
    <w:p w14:paraId="10A71CAA" w14:textId="5C88FB90" w:rsidR="00C93158" w:rsidRPr="00F37DC9" w:rsidRDefault="00C93158" w:rsidP="00B4285D">
      <w:pPr>
        <w:rPr>
          <w:rFonts w:ascii="Calibri" w:hAnsi="Calibri" w:cs="Calibri"/>
          <w:sz w:val="20"/>
          <w:szCs w:val="18"/>
        </w:rPr>
      </w:pPr>
    </w:p>
    <w:tbl>
      <w:tblPr>
        <w:tblW w:w="10244" w:type="dxa"/>
        <w:jc w:val="center"/>
        <w:tblCellMar>
          <w:left w:w="0" w:type="dxa"/>
          <w:right w:w="0" w:type="dxa"/>
        </w:tblCellMar>
        <w:tblLook w:val="04A0" w:firstRow="1" w:lastRow="0" w:firstColumn="1" w:lastColumn="0" w:noHBand="0" w:noVBand="1"/>
      </w:tblPr>
      <w:tblGrid>
        <w:gridCol w:w="5100"/>
        <w:gridCol w:w="1694"/>
        <w:gridCol w:w="1843"/>
        <w:gridCol w:w="1607"/>
      </w:tblGrid>
      <w:tr w:rsidR="00156EF2" w:rsidRPr="00F37DC9" w14:paraId="4B1594D4" w14:textId="5AF73129" w:rsidTr="00F37DC9">
        <w:trPr>
          <w:trHeight w:val="90"/>
          <w:jc w:val="center"/>
        </w:trPr>
        <w:tc>
          <w:tcPr>
            <w:tcW w:w="5100" w:type="dxa"/>
            <w:tcBorders>
              <w:top w:val="single" w:sz="8" w:space="0" w:color="FFFFFF"/>
              <w:left w:val="single" w:sz="8" w:space="0" w:color="FFFFFF"/>
              <w:bottom w:val="single" w:sz="24" w:space="0" w:color="FFFFFF"/>
              <w:right w:val="single" w:sz="8" w:space="0" w:color="FFFFFF"/>
            </w:tcBorders>
            <w:shd w:val="clear" w:color="auto" w:fill="13576B"/>
            <w:tcMar>
              <w:top w:w="15" w:type="dxa"/>
              <w:left w:w="108" w:type="dxa"/>
              <w:bottom w:w="0" w:type="dxa"/>
              <w:right w:w="108" w:type="dxa"/>
            </w:tcMar>
            <w:vAlign w:val="center"/>
            <w:hideMark/>
          </w:tcPr>
          <w:p w14:paraId="411568ED" w14:textId="77777777" w:rsidR="00156EF2" w:rsidRPr="00F37DC9" w:rsidRDefault="00156EF2" w:rsidP="00B4285D">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Ukazatel</w:t>
            </w:r>
          </w:p>
        </w:tc>
        <w:tc>
          <w:tcPr>
            <w:tcW w:w="1694" w:type="dxa"/>
            <w:tcBorders>
              <w:top w:val="single" w:sz="8" w:space="0" w:color="FFFFFF"/>
              <w:left w:val="single" w:sz="8" w:space="0" w:color="FFFFFF"/>
              <w:bottom w:val="single" w:sz="24" w:space="0" w:color="FFFFFF"/>
              <w:right w:val="single" w:sz="8" w:space="0" w:color="FFFFFF"/>
            </w:tcBorders>
            <w:shd w:val="clear" w:color="auto" w:fill="13576B"/>
            <w:tcMar>
              <w:top w:w="15" w:type="dxa"/>
              <w:left w:w="108" w:type="dxa"/>
              <w:bottom w:w="0" w:type="dxa"/>
              <w:right w:w="108" w:type="dxa"/>
            </w:tcMar>
            <w:vAlign w:val="center"/>
            <w:hideMark/>
          </w:tcPr>
          <w:p w14:paraId="3602BA5F" w14:textId="77777777" w:rsidR="00F37DC9" w:rsidRDefault="00156EF2" w:rsidP="00B4285D">
            <w:pPr>
              <w:autoSpaceDE/>
              <w:autoSpaceDN/>
              <w:adjustRightInd/>
              <w:jc w:val="center"/>
              <w:textAlignment w:val="auto"/>
              <w:rPr>
                <w:rFonts w:ascii="Calibri" w:hAnsi="Calibri" w:cs="Calibri"/>
                <w:b/>
                <w:bCs/>
                <w:color w:val="FFFFFF" w:themeColor="light1"/>
                <w:kern w:val="24"/>
                <w:szCs w:val="18"/>
              </w:rPr>
            </w:pPr>
            <w:r w:rsidRPr="00F37DC9">
              <w:rPr>
                <w:rFonts w:ascii="Calibri" w:hAnsi="Calibri" w:cs="Calibri"/>
                <w:b/>
                <w:bCs/>
                <w:color w:val="FFFFFF" w:themeColor="light1"/>
                <w:kern w:val="24"/>
                <w:szCs w:val="18"/>
              </w:rPr>
              <w:t>20</w:t>
            </w:r>
            <w:r w:rsidR="007204F9" w:rsidRPr="00F37DC9">
              <w:rPr>
                <w:rFonts w:ascii="Calibri" w:hAnsi="Calibri" w:cs="Calibri"/>
                <w:b/>
                <w:bCs/>
                <w:color w:val="FFFFFF" w:themeColor="light1"/>
                <w:kern w:val="24"/>
                <w:szCs w:val="18"/>
              </w:rPr>
              <w:t>20</w:t>
            </w:r>
            <w:r w:rsidRPr="00F37DC9">
              <w:rPr>
                <w:rFonts w:ascii="Calibri" w:hAnsi="Calibri" w:cs="Calibri"/>
                <w:b/>
                <w:bCs/>
                <w:color w:val="FFFFFF" w:themeColor="light1"/>
                <w:kern w:val="24"/>
                <w:szCs w:val="18"/>
              </w:rPr>
              <w:t xml:space="preserve"> </w:t>
            </w:r>
          </w:p>
          <w:p w14:paraId="28E7FCB5" w14:textId="7D0EA5FC" w:rsidR="00156EF2" w:rsidRPr="00F37DC9" w:rsidRDefault="00156EF2" w:rsidP="00B4285D">
            <w:pPr>
              <w:autoSpaceDE/>
              <w:autoSpaceDN/>
              <w:adjustRightInd/>
              <w:jc w:val="center"/>
              <w:textAlignment w:val="auto"/>
              <w:rPr>
                <w:rFonts w:ascii="Calibri" w:hAnsi="Calibri" w:cs="Calibri"/>
                <w:szCs w:val="18"/>
              </w:rPr>
            </w:pPr>
            <w:r w:rsidRPr="00F37DC9">
              <w:rPr>
                <w:rFonts w:ascii="Calibri" w:hAnsi="Calibri" w:cs="Calibri"/>
                <w:b/>
                <w:bCs/>
                <w:color w:val="FFFFFF" w:themeColor="light1"/>
                <w:kern w:val="24"/>
                <w:szCs w:val="18"/>
              </w:rPr>
              <w:t>(</w:t>
            </w:r>
            <w:r w:rsidRPr="00F37DC9">
              <w:rPr>
                <w:rFonts w:ascii="Calibri" w:hAnsi="Calibri" w:cs="Calibri"/>
                <w:b/>
                <w:bCs/>
                <w:color w:val="FF0000"/>
                <w:kern w:val="24"/>
                <w:szCs w:val="18"/>
              </w:rPr>
              <w:t>skutečnost</w:t>
            </w:r>
            <w:r w:rsidRPr="00F37DC9">
              <w:rPr>
                <w:rFonts w:ascii="Calibri" w:hAnsi="Calibri" w:cs="Calibri"/>
                <w:b/>
                <w:bCs/>
                <w:color w:val="FFFFFF" w:themeColor="light1"/>
                <w:kern w:val="24"/>
                <w:szCs w:val="18"/>
              </w:rPr>
              <w:t>)</w:t>
            </w:r>
          </w:p>
        </w:tc>
        <w:tc>
          <w:tcPr>
            <w:tcW w:w="1843" w:type="dxa"/>
            <w:tcBorders>
              <w:top w:val="single" w:sz="8" w:space="0" w:color="FFFFFF"/>
              <w:left w:val="single" w:sz="8" w:space="0" w:color="FFFFFF"/>
              <w:bottom w:val="single" w:sz="24" w:space="0" w:color="FFFFFF"/>
              <w:right w:val="single" w:sz="8" w:space="0" w:color="FFFFFF"/>
            </w:tcBorders>
            <w:shd w:val="clear" w:color="auto" w:fill="13576B"/>
            <w:tcMar>
              <w:top w:w="15" w:type="dxa"/>
              <w:left w:w="108" w:type="dxa"/>
              <w:bottom w:w="0" w:type="dxa"/>
              <w:right w:w="108" w:type="dxa"/>
            </w:tcMar>
            <w:vAlign w:val="center"/>
            <w:hideMark/>
          </w:tcPr>
          <w:p w14:paraId="0ED9A869" w14:textId="4593D707" w:rsidR="00B83E9D" w:rsidRPr="00F37DC9" w:rsidRDefault="00156EF2" w:rsidP="00B4285D">
            <w:pPr>
              <w:autoSpaceDE/>
              <w:autoSpaceDN/>
              <w:adjustRightInd/>
              <w:jc w:val="center"/>
              <w:textAlignment w:val="auto"/>
              <w:rPr>
                <w:rFonts w:ascii="Calibri" w:hAnsi="Calibri" w:cs="Calibri"/>
                <w:b/>
                <w:bCs/>
                <w:color w:val="FFFFFF" w:themeColor="light1"/>
                <w:kern w:val="24"/>
                <w:szCs w:val="18"/>
              </w:rPr>
            </w:pPr>
            <w:r w:rsidRPr="00F37DC9">
              <w:rPr>
                <w:rFonts w:ascii="Calibri" w:hAnsi="Calibri" w:cs="Calibri"/>
                <w:b/>
                <w:bCs/>
                <w:color w:val="FFFFFF" w:themeColor="light1"/>
                <w:kern w:val="24"/>
                <w:szCs w:val="18"/>
              </w:rPr>
              <w:t>202</w:t>
            </w:r>
            <w:r w:rsidR="007204F9" w:rsidRPr="00F37DC9">
              <w:rPr>
                <w:rFonts w:ascii="Calibri" w:hAnsi="Calibri" w:cs="Calibri"/>
                <w:b/>
                <w:bCs/>
                <w:color w:val="FFFFFF" w:themeColor="light1"/>
                <w:kern w:val="24"/>
                <w:szCs w:val="18"/>
              </w:rPr>
              <w:t>1</w:t>
            </w:r>
            <w:r w:rsidRPr="00F37DC9">
              <w:rPr>
                <w:rFonts w:ascii="Calibri" w:hAnsi="Calibri" w:cs="Calibri"/>
                <w:b/>
                <w:bCs/>
                <w:color w:val="FFFFFF" w:themeColor="light1"/>
                <w:kern w:val="24"/>
                <w:szCs w:val="18"/>
              </w:rPr>
              <w:t xml:space="preserve"> </w:t>
            </w:r>
          </w:p>
          <w:p w14:paraId="66D66CB7" w14:textId="2D8628D8" w:rsidR="00156EF2" w:rsidRPr="00F37DC9" w:rsidRDefault="00156EF2" w:rsidP="00B4285D">
            <w:pPr>
              <w:autoSpaceDE/>
              <w:autoSpaceDN/>
              <w:adjustRightInd/>
              <w:jc w:val="center"/>
              <w:textAlignment w:val="auto"/>
              <w:rPr>
                <w:rFonts w:ascii="Calibri" w:hAnsi="Calibri" w:cs="Calibri"/>
                <w:szCs w:val="18"/>
              </w:rPr>
            </w:pPr>
            <w:r w:rsidRPr="00F37DC9">
              <w:rPr>
                <w:rFonts w:ascii="Calibri" w:hAnsi="Calibri" w:cs="Calibri"/>
                <w:b/>
                <w:bCs/>
                <w:color w:val="FFFFFF" w:themeColor="light1"/>
                <w:kern w:val="24"/>
                <w:szCs w:val="18"/>
              </w:rPr>
              <w:t>(prognóza)</w:t>
            </w:r>
          </w:p>
        </w:tc>
        <w:tc>
          <w:tcPr>
            <w:tcW w:w="1607" w:type="dxa"/>
            <w:tcBorders>
              <w:top w:val="single" w:sz="8" w:space="0" w:color="FFFFFF"/>
              <w:left w:val="single" w:sz="8" w:space="0" w:color="FFFFFF"/>
              <w:bottom w:val="single" w:sz="24" w:space="0" w:color="FFFFFF"/>
              <w:right w:val="single" w:sz="8" w:space="0" w:color="FFFFFF"/>
            </w:tcBorders>
            <w:shd w:val="clear" w:color="auto" w:fill="13576B"/>
            <w:vAlign w:val="center"/>
          </w:tcPr>
          <w:p w14:paraId="38B58E05" w14:textId="674BBD8B" w:rsidR="00B83E9D" w:rsidRPr="00F37DC9" w:rsidRDefault="007204F9" w:rsidP="00B4285D">
            <w:pPr>
              <w:autoSpaceDE/>
              <w:autoSpaceDN/>
              <w:adjustRightInd/>
              <w:jc w:val="center"/>
              <w:textAlignment w:val="auto"/>
              <w:rPr>
                <w:rFonts w:ascii="Calibri" w:hAnsi="Calibri" w:cs="Calibri"/>
                <w:b/>
                <w:bCs/>
                <w:color w:val="FFFFFF" w:themeColor="light1"/>
                <w:kern w:val="24"/>
                <w:szCs w:val="18"/>
              </w:rPr>
            </w:pPr>
            <w:r w:rsidRPr="00F37DC9">
              <w:rPr>
                <w:rFonts w:ascii="Calibri" w:hAnsi="Calibri" w:cs="Calibri"/>
                <w:b/>
                <w:bCs/>
                <w:color w:val="FFFFFF" w:themeColor="light1"/>
                <w:kern w:val="24"/>
                <w:szCs w:val="18"/>
              </w:rPr>
              <w:t>2022</w:t>
            </w:r>
            <w:r w:rsidR="00156EF2" w:rsidRPr="00F37DC9">
              <w:rPr>
                <w:rFonts w:ascii="Calibri" w:hAnsi="Calibri" w:cs="Calibri"/>
                <w:b/>
                <w:bCs/>
                <w:color w:val="FFFFFF" w:themeColor="light1"/>
                <w:kern w:val="24"/>
                <w:szCs w:val="18"/>
              </w:rPr>
              <w:t xml:space="preserve"> </w:t>
            </w:r>
          </w:p>
          <w:p w14:paraId="5825E283" w14:textId="20C4CB3C" w:rsidR="00156EF2" w:rsidRPr="00F37DC9" w:rsidRDefault="00156EF2" w:rsidP="00B4285D">
            <w:pPr>
              <w:autoSpaceDE/>
              <w:autoSpaceDN/>
              <w:adjustRightInd/>
              <w:jc w:val="center"/>
              <w:textAlignment w:val="auto"/>
              <w:rPr>
                <w:rFonts w:ascii="Calibri" w:hAnsi="Calibri" w:cs="Calibri"/>
                <w:b/>
                <w:bCs/>
                <w:color w:val="FFFFFF" w:themeColor="light1"/>
                <w:kern w:val="24"/>
                <w:szCs w:val="18"/>
              </w:rPr>
            </w:pPr>
            <w:r w:rsidRPr="00F37DC9">
              <w:rPr>
                <w:rFonts w:ascii="Calibri" w:hAnsi="Calibri" w:cs="Calibri"/>
                <w:b/>
                <w:bCs/>
                <w:color w:val="FFFFFF" w:themeColor="light1"/>
                <w:kern w:val="24"/>
                <w:szCs w:val="18"/>
              </w:rPr>
              <w:t>(prognóza)</w:t>
            </w:r>
          </w:p>
        </w:tc>
      </w:tr>
      <w:tr w:rsidR="006733E8" w:rsidRPr="00F37DC9" w14:paraId="6C6060CF" w14:textId="406F95A7" w:rsidTr="00F37DC9">
        <w:trPr>
          <w:trHeight w:val="89"/>
          <w:jc w:val="center"/>
        </w:trPr>
        <w:tc>
          <w:tcPr>
            <w:tcW w:w="5100" w:type="dxa"/>
            <w:tcBorders>
              <w:top w:val="single" w:sz="24"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5FB5585"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reálného HDP (%)</w:t>
            </w:r>
          </w:p>
        </w:tc>
        <w:tc>
          <w:tcPr>
            <w:tcW w:w="1694"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BA0394A" w14:textId="4ABA6BD5"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-5,6</w:t>
            </w:r>
          </w:p>
        </w:tc>
        <w:tc>
          <w:tcPr>
            <w:tcW w:w="1843"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CC27DCA" w14:textId="1BF06FFE"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3,3</w:t>
            </w:r>
          </w:p>
        </w:tc>
        <w:tc>
          <w:tcPr>
            <w:tcW w:w="1607" w:type="dxa"/>
            <w:tcBorders>
              <w:top w:val="single" w:sz="24" w:space="0" w:color="FFFFFF"/>
              <w:left w:val="single" w:sz="8" w:space="0" w:color="FFFFFF"/>
              <w:bottom w:val="single" w:sz="8" w:space="0" w:color="FFFFFF"/>
              <w:right w:val="single" w:sz="8" w:space="0" w:color="FFFFFF"/>
            </w:tcBorders>
            <w:shd w:val="clear" w:color="auto" w:fill="BFBFBF"/>
            <w:vAlign w:val="center"/>
          </w:tcPr>
          <w:p w14:paraId="13CD0E3F" w14:textId="1C176592"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4,3</w:t>
            </w:r>
          </w:p>
        </w:tc>
      </w:tr>
      <w:tr w:rsidR="006733E8" w:rsidRPr="00F37DC9" w14:paraId="646474FC" w14:textId="3CA853EA" w:rsidTr="00F37DC9">
        <w:trPr>
          <w:trHeight w:val="93"/>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486EC867"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Podíl nezaměstnaných osob (MPSV): průměr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AAAA210" w14:textId="4518A5CE"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3,6</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F17F024" w14:textId="2A11FA39"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4,3</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0A8075C" w14:textId="4845C4A1"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4,1</w:t>
            </w:r>
          </w:p>
        </w:tc>
      </w:tr>
      <w:tr w:rsidR="006733E8" w:rsidRPr="00F37DC9" w14:paraId="636D37C4" w14:textId="692F159B"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7CE8D490"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Průměrná nominální mzda (růst v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DA15EC4" w14:textId="0404A937"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3,2</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2BD4E2E" w14:textId="23EA937C"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3,3</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E5CDC8F" w14:textId="2F382CF1"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4,2</w:t>
            </w:r>
          </w:p>
        </w:tc>
      </w:tr>
      <w:tr w:rsidR="006733E8" w:rsidRPr="00F37DC9" w14:paraId="3BA814CF" w14:textId="5B864073"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70013A2F"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Míra inflace: CPI (%) průměr</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7F5738C" w14:textId="3B49EB0F" w:rsidR="006733E8" w:rsidRPr="00F37DC9" w:rsidRDefault="006733E8" w:rsidP="006733E8">
            <w:pPr>
              <w:overflowPunct/>
              <w:autoSpaceDE/>
              <w:autoSpaceDN/>
              <w:adjustRightInd/>
              <w:jc w:val="center"/>
              <w:textAlignment w:val="bottom"/>
              <w:rPr>
                <w:rFonts w:ascii="Calibri" w:eastAsia="PMingLiU" w:hAnsi="Calibri" w:cs="Calibri"/>
                <w:b/>
                <w:bCs/>
                <w:color w:val="44546A" w:themeColor="text2"/>
                <w:kern w:val="24"/>
                <w:szCs w:val="18"/>
              </w:rPr>
            </w:pPr>
            <w:r w:rsidRPr="00F37DC9">
              <w:rPr>
                <w:rFonts w:ascii="Calibri" w:eastAsia="PMingLiU" w:hAnsi="Calibri" w:cs="Calibri"/>
                <w:b/>
                <w:bCs/>
                <w:color w:val="FF0000"/>
                <w:kern w:val="24"/>
                <w:szCs w:val="18"/>
              </w:rPr>
              <w:t>3,2</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E5E8884" w14:textId="6C0105D7"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2,5</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8636833" w14:textId="622DA30E"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2,2</w:t>
            </w:r>
          </w:p>
        </w:tc>
      </w:tr>
      <w:tr w:rsidR="006733E8" w:rsidRPr="00F37DC9" w14:paraId="521233EC" w14:textId="28A14000"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3A330F8F"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Vládní deficit/přebytek (% HDP)</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FCBE628" w14:textId="637512B5" w:rsidR="006733E8" w:rsidRPr="00F37DC9" w:rsidRDefault="006733E8" w:rsidP="006733E8">
            <w:pPr>
              <w:jc w:val="center"/>
              <w:rPr>
                <w:rFonts w:ascii="Calibri" w:hAnsi="Calibri" w:cs="Calibri"/>
                <w:b/>
                <w:bCs/>
                <w:sz w:val="22"/>
                <w:szCs w:val="22"/>
              </w:rPr>
            </w:pPr>
            <w:r w:rsidRPr="00F37DC9">
              <w:rPr>
                <w:rFonts w:ascii="Calibri" w:hAnsi="Calibri" w:cs="Calibri"/>
                <w:b/>
                <w:bCs/>
                <w:color w:val="FF0000"/>
                <w:sz w:val="22"/>
                <w:szCs w:val="22"/>
              </w:rPr>
              <w:t>-</w:t>
            </w:r>
            <w:r w:rsidR="005B12FA" w:rsidRPr="00F37DC9">
              <w:rPr>
                <w:rFonts w:ascii="Calibri" w:hAnsi="Calibri" w:cs="Calibri"/>
                <w:b/>
                <w:bCs/>
                <w:color w:val="FF0000"/>
                <w:sz w:val="22"/>
                <w:szCs w:val="22"/>
              </w:rPr>
              <w:t>6,2</w:t>
            </w:r>
            <w:r w:rsidRPr="00F37DC9">
              <w:rPr>
                <w:rFonts w:ascii="Calibri" w:hAnsi="Calibri" w:cs="Calibri"/>
                <w:b/>
                <w:bCs/>
                <w:color w:val="FF0000"/>
                <w:sz w:val="22"/>
                <w:szCs w:val="22"/>
              </w:rPr>
              <w:t xml:space="preserve"> </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C494613" w14:textId="7E7F77FC"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-7,4</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D2100D0" w14:textId="30E05B7A"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-4,5</w:t>
            </w:r>
          </w:p>
        </w:tc>
      </w:tr>
      <w:tr w:rsidR="006733E8" w:rsidRPr="00F37DC9" w14:paraId="14378C53" w14:textId="062909FA"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F5EC9AA"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 xml:space="preserve">Vládní dluh (% HDP)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94CED1C" w14:textId="5409C2FB" w:rsidR="006733E8" w:rsidRPr="00F37DC9" w:rsidRDefault="006733E8" w:rsidP="006733E8">
            <w:pPr>
              <w:jc w:val="center"/>
              <w:rPr>
                <w:rFonts w:ascii="Calibri" w:hAnsi="Calibri" w:cs="Calibri"/>
                <w:b/>
                <w:bCs/>
                <w:sz w:val="22"/>
                <w:szCs w:val="22"/>
              </w:rPr>
            </w:pPr>
            <w:r w:rsidRPr="00F37DC9">
              <w:rPr>
                <w:rFonts w:ascii="Calibri" w:hAnsi="Calibri" w:cs="Calibri"/>
                <w:b/>
                <w:bCs/>
                <w:color w:val="FF0000"/>
                <w:sz w:val="22"/>
                <w:szCs w:val="22"/>
              </w:rPr>
              <w:t>38,1</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7312A7B" w14:textId="072A3CF4"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44,1</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6F706A33" w14:textId="65ED9DE0"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45,7</w:t>
            </w:r>
          </w:p>
        </w:tc>
      </w:tr>
      <w:tr w:rsidR="006733E8" w:rsidRPr="00F37DC9" w14:paraId="552BE0D0" w14:textId="46A71113"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320F0540"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spotřeby domácností (%) reálně</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3152515" w14:textId="6840C13A" w:rsidR="006733E8" w:rsidRPr="00F37DC9" w:rsidRDefault="006733E8" w:rsidP="006733E8">
            <w:pPr>
              <w:jc w:val="center"/>
              <w:rPr>
                <w:rFonts w:ascii="Calibri" w:hAnsi="Calibri" w:cs="Calibri"/>
                <w:b/>
                <w:bCs/>
                <w:sz w:val="22"/>
                <w:szCs w:val="22"/>
              </w:rPr>
            </w:pPr>
            <w:r w:rsidRPr="00F37DC9">
              <w:rPr>
                <w:rFonts w:ascii="Calibri" w:hAnsi="Calibri" w:cs="Calibri"/>
                <w:b/>
                <w:bCs/>
                <w:color w:val="FF0000"/>
                <w:sz w:val="22"/>
                <w:szCs w:val="22"/>
              </w:rPr>
              <w:t>-5,2</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D3C80F4" w14:textId="0695E892"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2,2</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246EB22" w14:textId="63A43649"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3,5</w:t>
            </w:r>
          </w:p>
        </w:tc>
      </w:tr>
      <w:tr w:rsidR="006733E8" w:rsidRPr="00F37DC9" w14:paraId="1648A5F3" w14:textId="45B73A0A"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0F5C730B"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vládní spotřeby (%) reálně</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D257DD9" w14:textId="52766665" w:rsidR="006733E8" w:rsidRPr="00F37DC9" w:rsidRDefault="006733E8" w:rsidP="006733E8">
            <w:pPr>
              <w:jc w:val="center"/>
              <w:rPr>
                <w:rFonts w:ascii="Calibri" w:hAnsi="Calibri" w:cs="Calibri"/>
                <w:b/>
                <w:bCs/>
                <w:sz w:val="22"/>
                <w:szCs w:val="22"/>
              </w:rPr>
            </w:pPr>
            <w:r w:rsidRPr="00F37DC9">
              <w:rPr>
                <w:rFonts w:ascii="Calibri" w:hAnsi="Calibri" w:cs="Calibri"/>
                <w:b/>
                <w:bCs/>
                <w:color w:val="FF0000"/>
                <w:sz w:val="22"/>
                <w:szCs w:val="22"/>
              </w:rPr>
              <w:t>2,9</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259B385" w14:textId="07CB70D9"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2,6</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13A5E70" w14:textId="1216157A"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1,0</w:t>
            </w:r>
          </w:p>
        </w:tc>
      </w:tr>
      <w:tr w:rsidR="006733E8" w:rsidRPr="00F37DC9" w14:paraId="4EA7D3E3" w14:textId="5745A921"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7C130A54"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investic (%) reálně</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F7437F0" w14:textId="5E53D0F0" w:rsidR="006733E8" w:rsidRPr="00F37DC9" w:rsidRDefault="006733E8" w:rsidP="006733E8">
            <w:pPr>
              <w:jc w:val="center"/>
              <w:rPr>
                <w:rFonts w:ascii="Calibri" w:hAnsi="Calibri" w:cs="Calibri"/>
                <w:b/>
                <w:bCs/>
                <w:sz w:val="22"/>
                <w:szCs w:val="22"/>
              </w:rPr>
            </w:pPr>
            <w:r w:rsidRPr="00F37DC9">
              <w:rPr>
                <w:rFonts w:ascii="Calibri" w:hAnsi="Calibri" w:cs="Calibri"/>
                <w:b/>
                <w:bCs/>
                <w:color w:val="FF0000"/>
                <w:sz w:val="22"/>
                <w:szCs w:val="22"/>
              </w:rPr>
              <w:t>-8,5</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892B148" w14:textId="04566B67"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2,0</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6764AE7" w14:textId="3BF00EA8"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7,0</w:t>
            </w:r>
          </w:p>
        </w:tc>
      </w:tr>
      <w:tr w:rsidR="006733E8" w:rsidRPr="00F37DC9" w14:paraId="10E01B12" w14:textId="77777777"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tcPr>
          <w:p w14:paraId="5926DDE6" w14:textId="5B6E0CA7" w:rsidR="006733E8" w:rsidRPr="00F37DC9" w:rsidRDefault="006733E8" w:rsidP="006733E8">
            <w:pPr>
              <w:autoSpaceDE/>
              <w:autoSpaceDN/>
              <w:adjustRightInd/>
              <w:jc w:val="left"/>
              <w:textAlignment w:val="auto"/>
              <w:rPr>
                <w:rFonts w:ascii="Calibri" w:hAnsi="Calibri" w:cs="Calibri"/>
                <w:b/>
                <w:bCs/>
                <w:color w:val="FFFFFF" w:themeColor="light1"/>
                <w:kern w:val="24"/>
                <w:szCs w:val="18"/>
              </w:rPr>
            </w:pPr>
            <w:r w:rsidRPr="00F37DC9">
              <w:rPr>
                <w:rFonts w:ascii="Calibri" w:hAnsi="Calibri" w:cs="Calibri"/>
                <w:b/>
                <w:bCs/>
                <w:color w:val="FFFFFF" w:themeColor="light1"/>
                <w:kern w:val="24"/>
                <w:szCs w:val="18"/>
              </w:rPr>
              <w:t>Růst vývozů (%) reálně</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654F6FA" w14:textId="5E58B6BE" w:rsidR="006733E8" w:rsidRPr="00F37DC9" w:rsidRDefault="006733E8" w:rsidP="006733E8">
            <w:pPr>
              <w:jc w:val="center"/>
              <w:rPr>
                <w:rFonts w:ascii="Calibri" w:hAnsi="Calibri" w:cs="Calibri"/>
                <w:b/>
                <w:bCs/>
                <w:sz w:val="22"/>
                <w:szCs w:val="22"/>
              </w:rPr>
            </w:pPr>
            <w:r w:rsidRPr="00F37DC9">
              <w:rPr>
                <w:rFonts w:ascii="Calibri" w:hAnsi="Calibri" w:cs="Calibri"/>
                <w:b/>
                <w:bCs/>
                <w:color w:val="FF0000"/>
                <w:sz w:val="22"/>
                <w:szCs w:val="22"/>
              </w:rPr>
              <w:t>-6,0</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493902A" w14:textId="3EE32053"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8,0</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C0E6FB4" w14:textId="75329101"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6,3</w:t>
            </w:r>
          </w:p>
        </w:tc>
      </w:tr>
      <w:tr w:rsidR="006733E8" w:rsidRPr="00F37DC9" w14:paraId="630C8A48" w14:textId="77777777"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tcPr>
          <w:p w14:paraId="4D925B36" w14:textId="5F366F9C" w:rsidR="006733E8" w:rsidRPr="00F37DC9" w:rsidRDefault="006733E8" w:rsidP="006733E8">
            <w:pPr>
              <w:autoSpaceDE/>
              <w:autoSpaceDN/>
              <w:adjustRightInd/>
              <w:jc w:val="left"/>
              <w:textAlignment w:val="auto"/>
              <w:rPr>
                <w:rFonts w:ascii="Calibri" w:hAnsi="Calibri" w:cs="Calibri"/>
                <w:b/>
                <w:bCs/>
                <w:color w:val="FFFFFF" w:themeColor="light1"/>
                <w:kern w:val="24"/>
                <w:szCs w:val="18"/>
              </w:rPr>
            </w:pPr>
            <w:r w:rsidRPr="00F37DC9">
              <w:rPr>
                <w:rFonts w:ascii="Calibri" w:hAnsi="Calibri" w:cs="Calibri"/>
                <w:b/>
                <w:bCs/>
                <w:color w:val="FFFFFF" w:themeColor="light1"/>
                <w:kern w:val="24"/>
                <w:szCs w:val="18"/>
              </w:rPr>
              <w:t>Růst dovozů (%) reálně</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6286ABA" w14:textId="7B60F1EA" w:rsidR="006733E8" w:rsidRPr="00F37DC9" w:rsidRDefault="006733E8" w:rsidP="006733E8">
            <w:pPr>
              <w:jc w:val="center"/>
              <w:rPr>
                <w:rFonts w:ascii="Calibri" w:hAnsi="Calibri" w:cs="Calibri"/>
                <w:b/>
                <w:bCs/>
                <w:sz w:val="22"/>
                <w:szCs w:val="22"/>
              </w:rPr>
            </w:pPr>
            <w:r w:rsidRPr="00F37DC9">
              <w:rPr>
                <w:rFonts w:ascii="Calibri" w:hAnsi="Calibri" w:cs="Calibri"/>
                <w:b/>
                <w:bCs/>
                <w:color w:val="FF0000"/>
                <w:sz w:val="22"/>
                <w:szCs w:val="22"/>
              </w:rPr>
              <w:t>-6,1</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79357BC" w14:textId="59BA3D15"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6,6</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A99A2F0" w14:textId="5115F431"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6,0</w:t>
            </w:r>
          </w:p>
        </w:tc>
      </w:tr>
      <w:tr w:rsidR="006733E8" w:rsidRPr="00F37DC9" w14:paraId="6F4CA3D3" w14:textId="232459AF"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7787A8E"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reálného HDP v eurozóně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689801DE" w14:textId="5CA5A02D"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-6,9</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A8C9C15" w14:textId="407AE6A5"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4,0</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4915947" w14:textId="77BD5918" w:rsidR="006733E8" w:rsidRPr="00F37DC9" w:rsidRDefault="004D1CED"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3,9</w:t>
            </w:r>
          </w:p>
        </w:tc>
      </w:tr>
      <w:tr w:rsidR="006733E8" w:rsidRPr="00F37DC9" w14:paraId="60142AA4" w14:textId="171AD64E"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6A35B974"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Směnný kurz CZK/EUR: průměr</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C226044" w14:textId="3FB33230"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26,46</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DD3C408" w14:textId="3B1437D5" w:rsidR="006733E8" w:rsidRPr="00F37DC9" w:rsidRDefault="006733E8"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25,79</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B9C3C2F" w14:textId="7147339E" w:rsidR="006733E8" w:rsidRPr="00F37DC9" w:rsidRDefault="006733E8"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25,20</w:t>
            </w:r>
          </w:p>
        </w:tc>
      </w:tr>
      <w:tr w:rsidR="006733E8" w:rsidRPr="00F37DC9" w14:paraId="445C4C94" w14:textId="33BDCCB6"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00B4B737"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Ceny ropy (USD za barel): brent průměr</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0DA44B85" w14:textId="062DF288"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43,00</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2F1E147" w14:textId="7C2C8101"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65,00</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36342DA" w14:textId="124BB6BA"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65,00</w:t>
            </w:r>
          </w:p>
        </w:tc>
      </w:tr>
      <w:tr w:rsidR="006733E8" w:rsidRPr="00F37DC9" w14:paraId="23861021" w14:textId="62086BC7"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23F29BAA"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Základní sazba ČNB 2T REPO (%): konec období</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09D982A" w14:textId="349FC1FD"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0,25</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8E35022" w14:textId="00B36D2E"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0,75</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81B8F2D" w14:textId="71073135"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1,25</w:t>
            </w:r>
          </w:p>
        </w:tc>
      </w:tr>
      <w:tr w:rsidR="006733E8" w:rsidRPr="00F37DC9" w14:paraId="32A294F8" w14:textId="5450A20A"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69258B6A"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Základní sazba ECB (%): konec období</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956D446" w14:textId="44E5B50A" w:rsidR="006733E8" w:rsidRPr="00F37DC9" w:rsidRDefault="006733E8" w:rsidP="006733E8">
            <w:pPr>
              <w:overflowPunct/>
              <w:autoSpaceDE/>
              <w:autoSpaceDN/>
              <w:adjustRightInd/>
              <w:jc w:val="center"/>
              <w:textAlignment w:val="bottom"/>
              <w:rPr>
                <w:rFonts w:ascii="Calibri" w:eastAsia="PMingLiU" w:hAnsi="Calibri" w:cs="Calibri"/>
                <w:b/>
                <w:bCs/>
                <w:color w:val="44546A" w:themeColor="text2"/>
                <w:kern w:val="24"/>
                <w:szCs w:val="18"/>
              </w:rPr>
            </w:pPr>
            <w:r w:rsidRPr="00F37DC9">
              <w:rPr>
                <w:rFonts w:ascii="Calibri" w:eastAsia="PMingLiU" w:hAnsi="Calibri" w:cs="Calibri"/>
                <w:b/>
                <w:bCs/>
                <w:color w:val="FF0000"/>
                <w:kern w:val="24"/>
                <w:szCs w:val="18"/>
              </w:rPr>
              <w:t>0,0</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531A4A56" w14:textId="4400CDB6" w:rsidR="006733E8" w:rsidRPr="00F37DC9" w:rsidRDefault="006733E8"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0,0</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34653AAA" w14:textId="5B4A0745" w:rsidR="006733E8" w:rsidRPr="00F37DC9" w:rsidRDefault="006733E8"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0,0</w:t>
            </w:r>
          </w:p>
        </w:tc>
      </w:tr>
      <w:tr w:rsidR="006733E8" w:rsidRPr="00F37DC9" w14:paraId="72155F13" w14:textId="2A886E37"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2239ABC3"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3M-PRIBOR (%): průměr</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CB373A3" w14:textId="482BC0CA"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0,86</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B680F07" w14:textId="172E47DA"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0,50</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4EF90161" w14:textId="699D474E"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1,20</w:t>
            </w:r>
          </w:p>
        </w:tc>
      </w:tr>
      <w:tr w:rsidR="006733E8" w:rsidRPr="00F37DC9" w14:paraId="50544107" w14:textId="41B6D86E"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38ED4C72"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bankovních úvěrů klientských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CE019AA" w14:textId="14D87D63"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4,9</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3C457989" w14:textId="1A2C174A"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5,0</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1E99C6E9" w14:textId="7A32ED1B"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5,2</w:t>
            </w:r>
          </w:p>
        </w:tc>
      </w:tr>
      <w:tr w:rsidR="006733E8" w:rsidRPr="00F37DC9" w14:paraId="32076E5F" w14:textId="0C708F0C" w:rsidTr="00F37DC9">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4B4F9597"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bankovních úvěrů domácnostem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8369240" w14:textId="7F3370AB"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6,5</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70957DC9" w14:textId="419AB33B"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6,5</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552C6DE4" w14:textId="2B4AA17D"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6,0</w:t>
            </w:r>
          </w:p>
        </w:tc>
      </w:tr>
      <w:tr w:rsidR="006733E8" w:rsidRPr="00F37DC9" w14:paraId="418E71CA" w14:textId="248095F4" w:rsidTr="00F37DC9">
        <w:trPr>
          <w:trHeight w:val="86"/>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62221125"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bankovních úvěrů (nefinančním) podnikům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06F2A8B" w14:textId="1C8CD68F"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3,2</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13BFD657" w14:textId="11BCC833"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1,2</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7405681C" w14:textId="4371B36B"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5,1</w:t>
            </w:r>
          </w:p>
        </w:tc>
      </w:tr>
      <w:tr w:rsidR="006733E8" w:rsidRPr="00F37DC9" w14:paraId="1C64EB0D" w14:textId="0E77FC67" w:rsidTr="00F37DC9">
        <w:trPr>
          <w:trHeight w:val="86"/>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0B03657" w14:textId="77777777" w:rsidR="006733E8" w:rsidRPr="00F37DC9" w:rsidRDefault="006733E8" w:rsidP="006733E8">
            <w:pPr>
              <w:autoSpaceDE/>
              <w:autoSpaceDN/>
              <w:adjustRightInd/>
              <w:jc w:val="left"/>
              <w:textAlignment w:val="auto"/>
              <w:rPr>
                <w:rFonts w:ascii="Calibri" w:hAnsi="Calibri" w:cs="Calibri"/>
                <w:szCs w:val="18"/>
              </w:rPr>
            </w:pPr>
            <w:r w:rsidRPr="00F37DC9">
              <w:rPr>
                <w:rFonts w:ascii="Calibri" w:hAnsi="Calibri" w:cs="Calibri"/>
                <w:b/>
                <w:bCs/>
                <w:color w:val="FFFFFF" w:themeColor="light1"/>
                <w:kern w:val="24"/>
                <w:szCs w:val="18"/>
              </w:rPr>
              <w:t>Růst bankovních vkladů klientských celkem (%)</w:t>
            </w:r>
          </w:p>
        </w:tc>
        <w:tc>
          <w:tcPr>
            <w:tcW w:w="169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437631DE" w14:textId="1634A7B0" w:rsidR="006733E8" w:rsidRPr="00F37DC9" w:rsidRDefault="006733E8" w:rsidP="006733E8">
            <w:pPr>
              <w:jc w:val="center"/>
              <w:rPr>
                <w:rFonts w:ascii="Calibri" w:hAnsi="Calibri" w:cs="Calibri"/>
                <w:b/>
                <w:bCs/>
                <w:color w:val="FF0000"/>
                <w:sz w:val="22"/>
                <w:szCs w:val="22"/>
              </w:rPr>
            </w:pPr>
            <w:r w:rsidRPr="00F37DC9">
              <w:rPr>
                <w:rFonts w:ascii="Calibri" w:hAnsi="Calibri" w:cs="Calibri"/>
                <w:b/>
                <w:bCs/>
                <w:color w:val="FF0000"/>
                <w:sz w:val="22"/>
                <w:szCs w:val="22"/>
              </w:rPr>
              <w:t>10,8</w:t>
            </w:r>
          </w:p>
        </w:tc>
        <w:tc>
          <w:tcPr>
            <w:tcW w:w="184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14:paraId="2863EC17" w14:textId="05472126"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8,1</w:t>
            </w:r>
          </w:p>
        </w:tc>
        <w:tc>
          <w:tcPr>
            <w:tcW w:w="1607" w:type="dxa"/>
            <w:tcBorders>
              <w:top w:val="single" w:sz="8" w:space="0" w:color="FFFFFF"/>
              <w:left w:val="single" w:sz="8" w:space="0" w:color="FFFFFF"/>
              <w:bottom w:val="single" w:sz="8" w:space="0" w:color="FFFFFF"/>
              <w:right w:val="single" w:sz="8" w:space="0" w:color="FFFFFF"/>
            </w:tcBorders>
            <w:shd w:val="clear" w:color="auto" w:fill="BFBFBF"/>
            <w:vAlign w:val="center"/>
          </w:tcPr>
          <w:p w14:paraId="2C1AA335" w14:textId="277B7E8C" w:rsidR="006733E8" w:rsidRPr="00F37DC9" w:rsidRDefault="00165D62" w:rsidP="006733E8">
            <w:pPr>
              <w:overflowPunct/>
              <w:autoSpaceDE/>
              <w:autoSpaceDN/>
              <w:adjustRightInd/>
              <w:jc w:val="center"/>
              <w:textAlignment w:val="bottom"/>
              <w:rPr>
                <w:rFonts w:ascii="Calibri" w:eastAsia="PMingLiU" w:hAnsi="Calibri" w:cs="Calibri"/>
                <w:b/>
                <w:bCs/>
                <w:color w:val="000000"/>
                <w:kern w:val="24"/>
                <w:szCs w:val="18"/>
              </w:rPr>
            </w:pPr>
            <w:r w:rsidRPr="00F37DC9">
              <w:rPr>
                <w:rFonts w:ascii="Calibri" w:eastAsia="PMingLiU" w:hAnsi="Calibri" w:cs="Calibri"/>
                <w:b/>
                <w:bCs/>
                <w:color w:val="000000"/>
                <w:kern w:val="24"/>
                <w:szCs w:val="18"/>
              </w:rPr>
              <w:t>6,0</w:t>
            </w:r>
          </w:p>
        </w:tc>
      </w:tr>
    </w:tbl>
    <w:p w14:paraId="7561C03E" w14:textId="3145CFF3" w:rsidR="00F37DC9" w:rsidRDefault="00165D62" w:rsidP="00B4285D">
      <w:pPr>
        <w:rPr>
          <w:rFonts w:ascii="Calibri" w:eastAsiaTheme="minorEastAsia" w:hAnsi="Calibri" w:cs="Calibri"/>
        </w:rPr>
      </w:pPr>
      <w:r w:rsidRPr="00F37DC9">
        <w:rPr>
          <w:rFonts w:ascii="Calibri" w:eastAsiaTheme="minorEastAsia" w:hAnsi="Calibri" w:cs="Calibri"/>
        </w:rPr>
        <w:tab/>
      </w:r>
    </w:p>
    <w:p w14:paraId="52E6141C" w14:textId="6800D584" w:rsidR="00F37DC9" w:rsidRDefault="00F37DC9" w:rsidP="00B4285D">
      <w:pPr>
        <w:rPr>
          <w:rFonts w:ascii="Calibri" w:eastAsiaTheme="minorEastAsia" w:hAnsi="Calibri" w:cs="Calibri"/>
        </w:rPr>
      </w:pPr>
      <w:r w:rsidRPr="00C9674F">
        <w:rPr>
          <w:noProof/>
          <w:sz w:val="16"/>
          <w:szCs w:val="16"/>
        </w:rPr>
        <mc:AlternateContent>
          <mc:Choice Requires="wps">
            <w:drawing>
              <wp:anchor distT="0" distB="0" distL="114300" distR="114300" simplePos="0" relativeHeight="251662336" behindDoc="1" locked="0" layoutInCell="1" hidden="0" allowOverlap="1" wp14:anchorId="3801A402" wp14:editId="381A9FD1">
                <wp:simplePos x="0" y="0"/>
                <wp:positionH relativeFrom="column">
                  <wp:posOffset>635</wp:posOffset>
                </wp:positionH>
                <wp:positionV relativeFrom="paragraph">
                  <wp:posOffset>59690</wp:posOffset>
                </wp:positionV>
                <wp:extent cx="6476365" cy="1089660"/>
                <wp:effectExtent l="0" t="0" r="635" b="0"/>
                <wp:wrapNone/>
                <wp:docPr id="4" name="Obdélník 4"/>
                <wp:cNvGraphicFramePr/>
                <a:graphic xmlns:a="http://schemas.openxmlformats.org/drawingml/2006/main">
                  <a:graphicData uri="http://schemas.microsoft.com/office/word/2010/wordprocessingShape">
                    <wps:wsp>
                      <wps:cNvSpPr/>
                      <wps:spPr>
                        <a:xfrm>
                          <a:off x="0" y="0"/>
                          <a:ext cx="6476365" cy="10896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313D1E" w14:textId="77777777" w:rsidR="00F37DC9" w:rsidRPr="00F37DC9" w:rsidRDefault="00F37DC9" w:rsidP="00F37DC9">
                            <w:pPr>
                              <w:spacing w:line="276" w:lineRule="auto"/>
                              <w:rPr>
                                <w:rFonts w:ascii="Calibri" w:hAnsi="Calibri" w:cs="Calibri"/>
                                <w:b/>
                                <w:color w:val="FFFFFF" w:themeColor="background1"/>
                                <w:szCs w:val="18"/>
                              </w:rPr>
                            </w:pPr>
                            <w:r w:rsidRPr="00F37DC9">
                              <w:rPr>
                                <w:rFonts w:ascii="Calibri" w:hAnsi="Calibri" w:cs="Calibri"/>
                                <w:b/>
                                <w:color w:val="FFFFFF" w:themeColor="background1"/>
                                <w:szCs w:val="18"/>
                              </w:rPr>
                              <w:t xml:space="preserve">O prognóze ČBA </w:t>
                            </w:r>
                          </w:p>
                          <w:p w14:paraId="420292AC" w14:textId="77777777" w:rsidR="00F37DC9" w:rsidRPr="00F37DC9" w:rsidRDefault="00F37DC9" w:rsidP="00F37DC9">
                            <w:pPr>
                              <w:spacing w:line="276" w:lineRule="auto"/>
                              <w:ind w:left="28" w:hanging="28"/>
                              <w:rPr>
                                <w:rFonts w:ascii="Calibri" w:hAnsi="Calibri" w:cs="Calibri"/>
                                <w:szCs w:val="18"/>
                              </w:rPr>
                            </w:pPr>
                            <w:r w:rsidRPr="00F37DC9">
                              <w:rPr>
                                <w:rFonts w:ascii="Calibri" w:hAnsi="Calibri" w:cs="Calibri"/>
                                <w:szCs w:val="18"/>
                              </w:rPr>
                              <w:t>Tato prognóza vznikla na základě příspěvků analytiků 8 členských bank ČBA: Jan Vejmělek (hlavní ekonom KB), Jaromír Šindel (hlavní ekonom Citi Bank CZ), Jakub Seidler (hlavní ekonom ING CZ), Helena Horská (hlavní ekonomka RB CZ), Michal Skořepa (ekonom ČS), Petr Dufek (hlavní ekonom ČSOB), Petr Gapko (hlavní ekonom MMB) a Petr Sklenář (hlavní ekonom J&amp;T Bank). Za ČBA se na tvorbě prognózy podílí Miroslav Zámečník.</w:t>
                            </w:r>
                          </w:p>
                          <w:p w14:paraId="77C1A42D" w14:textId="77777777" w:rsidR="00F37DC9" w:rsidRPr="00A55BDD" w:rsidRDefault="00F37DC9" w:rsidP="00F37DC9">
                            <w:pPr>
                              <w:spacing w:line="276" w:lineRule="auto"/>
                              <w:ind w:left="28" w:hanging="28"/>
                              <w:jc w:val="left"/>
                              <w:rPr>
                                <w:sz w:val="16"/>
                                <w:szCs w:val="16"/>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1A402" id="Obdélník 4" o:spid="_x0000_s1032" style="position:absolute;left:0;text-align:left;margin-left:.05pt;margin-top:4.7pt;width:509.95pt;height:8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" fillcolor="#bfbfbf [2412]" stroked="f" strokeweight="1pt">
                <v:textbox inset="3mm,3mm,3mm,3mm">
                  <w:txbxContent>
                    <w:p w14:paraId="7E313D1E" w14:textId="77777777" w:rsidR="00F37DC9" w:rsidRPr="00F37DC9" w:rsidRDefault="00F37DC9" w:rsidP="00F37DC9">
                      <w:pPr>
                        <w:spacing w:line="276" w:lineRule="auto"/>
                        <w:rPr>
                          <w:rFonts w:ascii="Calibri" w:hAnsi="Calibri" w:cs="Calibri"/>
                          <w:b/>
                          <w:color w:val="FFFFFF" w:themeColor="background1"/>
                          <w:szCs w:val="18"/>
                        </w:rPr>
                      </w:pPr>
                      <w:r w:rsidRPr="00F37DC9">
                        <w:rPr>
                          <w:rFonts w:ascii="Calibri" w:hAnsi="Calibri" w:cs="Calibri"/>
                          <w:b/>
                          <w:color w:val="FFFFFF" w:themeColor="background1"/>
                          <w:szCs w:val="18"/>
                        </w:rPr>
                        <w:t xml:space="preserve">O prognóze ČBA </w:t>
                      </w:r>
                    </w:p>
                    <w:p w14:paraId="420292AC" w14:textId="77777777" w:rsidR="00F37DC9" w:rsidRPr="00F37DC9" w:rsidRDefault="00F37DC9" w:rsidP="00F37DC9">
                      <w:pPr>
                        <w:spacing w:line="276" w:lineRule="auto"/>
                        <w:ind w:left="28" w:hanging="28"/>
                        <w:rPr>
                          <w:rFonts w:ascii="Calibri" w:hAnsi="Calibri" w:cs="Calibri"/>
                          <w:szCs w:val="18"/>
                        </w:rPr>
                      </w:pPr>
                      <w:r w:rsidRPr="00F37DC9">
                        <w:rPr>
                          <w:rFonts w:ascii="Calibri" w:hAnsi="Calibri" w:cs="Calibri"/>
                          <w:szCs w:val="18"/>
                        </w:rPr>
                        <w:t xml:space="preserve">Tato prognóza vznikla na základě příspěvků analytiků 8 členských bank ČBA: Jan </w:t>
                      </w:r>
                      <w:proofErr w:type="spellStart"/>
                      <w:r w:rsidRPr="00F37DC9">
                        <w:rPr>
                          <w:rFonts w:ascii="Calibri" w:hAnsi="Calibri" w:cs="Calibri"/>
                          <w:szCs w:val="18"/>
                        </w:rPr>
                        <w:t>Vejmělek</w:t>
                      </w:r>
                      <w:proofErr w:type="spellEnd"/>
                      <w:r w:rsidRPr="00F37DC9">
                        <w:rPr>
                          <w:rFonts w:ascii="Calibri" w:hAnsi="Calibri" w:cs="Calibri"/>
                          <w:szCs w:val="18"/>
                        </w:rPr>
                        <w:t xml:space="preserve"> (hlavní ekonom KB), Jaromír Šindel (hlavní ekonom </w:t>
                      </w:r>
                      <w:proofErr w:type="spellStart"/>
                      <w:r w:rsidRPr="00F37DC9">
                        <w:rPr>
                          <w:rFonts w:ascii="Calibri" w:hAnsi="Calibri" w:cs="Calibri"/>
                          <w:szCs w:val="18"/>
                        </w:rPr>
                        <w:t>Citi</w:t>
                      </w:r>
                      <w:proofErr w:type="spellEnd"/>
                      <w:r w:rsidRPr="00F37DC9">
                        <w:rPr>
                          <w:rFonts w:ascii="Calibri" w:hAnsi="Calibri" w:cs="Calibri"/>
                          <w:szCs w:val="18"/>
                        </w:rPr>
                        <w:t xml:space="preserve"> Bank CZ), Jakub Seidler (hlavní ekonom ING CZ), Helena Horská (hlavní ekonomka RB CZ), Michal Skořepa (ekonom ČS), Petr Dufek (hlavní ekonom ČSOB), Petr </w:t>
                      </w:r>
                      <w:proofErr w:type="spellStart"/>
                      <w:r w:rsidRPr="00F37DC9">
                        <w:rPr>
                          <w:rFonts w:ascii="Calibri" w:hAnsi="Calibri" w:cs="Calibri"/>
                          <w:szCs w:val="18"/>
                        </w:rPr>
                        <w:t>Gapko</w:t>
                      </w:r>
                      <w:proofErr w:type="spellEnd"/>
                      <w:r w:rsidRPr="00F37DC9">
                        <w:rPr>
                          <w:rFonts w:ascii="Calibri" w:hAnsi="Calibri" w:cs="Calibri"/>
                          <w:szCs w:val="18"/>
                        </w:rPr>
                        <w:t xml:space="preserve"> (hlavní ekonom MMB) a Petr Sklenář (hlavní ekonom J&amp;T Bank). Za ČBA se na tvorbě prognózy podílí Miroslav Zámečník.</w:t>
                      </w:r>
                    </w:p>
                    <w:p w14:paraId="77C1A42D" w14:textId="77777777" w:rsidR="00F37DC9" w:rsidRPr="00A55BDD" w:rsidRDefault="00F37DC9" w:rsidP="00F37DC9">
                      <w:pPr>
                        <w:spacing w:line="276" w:lineRule="auto"/>
                        <w:ind w:left="28" w:hanging="28"/>
                        <w:jc w:val="left"/>
                        <w:rPr>
                          <w:sz w:val="16"/>
                          <w:szCs w:val="16"/>
                        </w:rPr>
                      </w:pPr>
                    </w:p>
                  </w:txbxContent>
                </v:textbox>
              </v:rect>
            </w:pict>
          </mc:Fallback>
        </mc:AlternateContent>
      </w:r>
    </w:p>
    <w:p w14:paraId="59DD5F85" w14:textId="503894DC" w:rsidR="00F37DC9" w:rsidRDefault="00F37DC9" w:rsidP="00B4285D">
      <w:pPr>
        <w:rPr>
          <w:rFonts w:ascii="Calibri" w:eastAsiaTheme="minorEastAsia" w:hAnsi="Calibri" w:cs="Calibri"/>
        </w:rPr>
      </w:pPr>
    </w:p>
    <w:p w14:paraId="333F07F6" w14:textId="217C26C9" w:rsidR="00F37DC9" w:rsidRDefault="00F37DC9" w:rsidP="00B4285D">
      <w:pPr>
        <w:rPr>
          <w:rFonts w:ascii="Calibri" w:eastAsiaTheme="minorEastAsia" w:hAnsi="Calibri" w:cs="Calibri"/>
        </w:rPr>
      </w:pPr>
    </w:p>
    <w:p w14:paraId="5ACD7EBC" w14:textId="45F52334" w:rsidR="00F37DC9" w:rsidRDefault="00F37DC9" w:rsidP="00B4285D">
      <w:pPr>
        <w:rPr>
          <w:rFonts w:ascii="Calibri" w:eastAsiaTheme="minorEastAsia" w:hAnsi="Calibri" w:cs="Calibri"/>
        </w:rPr>
      </w:pPr>
    </w:p>
    <w:p w14:paraId="5A7B51B7" w14:textId="5EE8DE77" w:rsidR="00F37DC9" w:rsidRDefault="00F37DC9" w:rsidP="00B4285D">
      <w:pPr>
        <w:rPr>
          <w:rFonts w:ascii="Calibri" w:eastAsiaTheme="minorEastAsia" w:hAnsi="Calibri" w:cs="Calibri"/>
        </w:rPr>
      </w:pPr>
    </w:p>
    <w:p w14:paraId="77090A9B" w14:textId="77777777" w:rsidR="00F37DC9" w:rsidRDefault="00F37DC9" w:rsidP="00B4285D">
      <w:pPr>
        <w:rPr>
          <w:rFonts w:ascii="Calibri" w:eastAsiaTheme="minorEastAsia" w:hAnsi="Calibri" w:cs="Calibri"/>
        </w:rPr>
      </w:pPr>
    </w:p>
    <w:p w14:paraId="1AE6FC8E" w14:textId="73FD6684" w:rsidR="005C1943" w:rsidRPr="00F37DC9" w:rsidRDefault="00F37DC9" w:rsidP="00B4285D">
      <w:pPr>
        <w:rPr>
          <w:rFonts w:ascii="Calibri" w:eastAsiaTheme="minorEastAsia" w:hAnsi="Calibri" w:cs="Calibri"/>
        </w:rPr>
      </w:pPr>
      <w:r w:rsidRPr="00F37DC9">
        <w:rPr>
          <w:rFonts w:ascii="Calibri" w:eastAsiaTheme="minorEastAsia" w:hAnsi="Calibri" w:cs="Calibri"/>
          <w:noProof/>
          <w:lang w:val="en-GB" w:eastAsia="en-GB"/>
        </w:rPr>
        <mc:AlternateContent>
          <mc:Choice Requires="wps">
            <w:drawing>
              <wp:anchor distT="0" distB="0" distL="114300" distR="114300" simplePos="0" relativeHeight="251660288" behindDoc="0" locked="0" layoutInCell="1" allowOverlap="1" wp14:anchorId="351A5361" wp14:editId="5BD7F50B">
                <wp:simplePos x="0" y="0"/>
                <wp:positionH relativeFrom="margin">
                  <wp:posOffset>4288790</wp:posOffset>
                </wp:positionH>
                <wp:positionV relativeFrom="paragraph">
                  <wp:posOffset>364490</wp:posOffset>
                </wp:positionV>
                <wp:extent cx="2181225" cy="1637665"/>
                <wp:effectExtent l="0" t="0" r="9525" b="635"/>
                <wp:wrapSquare wrapText="bothSides"/>
                <wp:docPr id="200" name="Obdélník 200"/>
                <wp:cNvGraphicFramePr/>
                <a:graphic xmlns:a="http://schemas.openxmlformats.org/drawingml/2006/main">
                  <a:graphicData uri="http://schemas.microsoft.com/office/word/2010/wordprocessingShape">
                    <wps:wsp>
                      <wps:cNvSpPr/>
                      <wps:spPr>
                        <a:xfrm>
                          <a:off x="0" y="0"/>
                          <a:ext cx="2181225" cy="1637665"/>
                        </a:xfrm>
                        <a:prstGeom prst="rect">
                          <a:avLst/>
                        </a:prstGeom>
                        <a:solidFill>
                          <a:srgbClr val="1357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95292" w14:textId="77777777" w:rsidR="00536B9B" w:rsidRPr="00F37DC9" w:rsidRDefault="00536B9B" w:rsidP="00044002">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 xml:space="preserve">Další informace </w:t>
                            </w:r>
                          </w:p>
                          <w:p w14:paraId="187194D7" w14:textId="77777777" w:rsidR="00536B9B" w:rsidRPr="00F37DC9" w:rsidRDefault="00536B9B" w:rsidP="00044002">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obdržíte na adrese:</w:t>
                            </w:r>
                          </w:p>
                          <w:p w14:paraId="5867C1DD" w14:textId="77777777" w:rsidR="00536B9B" w:rsidRPr="00F37DC9" w:rsidRDefault="00536B9B" w:rsidP="00044002">
                            <w:pPr>
                              <w:spacing w:line="276" w:lineRule="auto"/>
                              <w:jc w:val="left"/>
                              <w:rPr>
                                <w:rFonts w:ascii="Calibri" w:hAnsi="Calibri" w:cs="Calibri"/>
                                <w:b/>
                                <w:szCs w:val="18"/>
                              </w:rPr>
                            </w:pPr>
                          </w:p>
                          <w:p w14:paraId="1F85193F" w14:textId="77777777" w:rsidR="00536B9B" w:rsidRPr="00F37DC9" w:rsidRDefault="00536B9B" w:rsidP="00044002">
                            <w:pPr>
                              <w:spacing w:line="276" w:lineRule="auto"/>
                              <w:jc w:val="left"/>
                              <w:rPr>
                                <w:rFonts w:ascii="Calibri" w:hAnsi="Calibri" w:cs="Calibri"/>
                                <w:noProof/>
                                <w:szCs w:val="18"/>
                              </w:rPr>
                            </w:pPr>
                            <w:r w:rsidRPr="00F37DC9">
                              <w:rPr>
                                <w:rFonts w:ascii="Calibri" w:hAnsi="Calibri" w:cs="Calibri"/>
                                <w:noProof/>
                                <w:szCs w:val="18"/>
                              </w:rPr>
                              <w:t xml:space="preserve">Monika Petrásková, </w:t>
                            </w:r>
                          </w:p>
                          <w:p w14:paraId="5026572F" w14:textId="77777777" w:rsidR="00536B9B" w:rsidRPr="00F37DC9" w:rsidRDefault="00536B9B" w:rsidP="00044002">
                            <w:pPr>
                              <w:spacing w:line="276" w:lineRule="auto"/>
                              <w:jc w:val="left"/>
                              <w:rPr>
                                <w:rFonts w:ascii="Calibri" w:hAnsi="Calibri" w:cs="Calibri"/>
                                <w:szCs w:val="18"/>
                              </w:rPr>
                            </w:pPr>
                            <w:r w:rsidRPr="00F37DC9">
                              <w:rPr>
                                <w:rFonts w:ascii="Calibri" w:hAnsi="Calibri" w:cs="Calibri"/>
                                <w:noProof/>
                                <w:szCs w:val="18"/>
                              </w:rPr>
                              <w:t>m</w:t>
                            </w:r>
                            <w:r w:rsidRPr="00F37DC9">
                              <w:rPr>
                                <w:rFonts w:ascii="Calibri" w:hAnsi="Calibri" w:cs="Calibri"/>
                                <w:szCs w:val="18"/>
                              </w:rPr>
                              <w:t>anažerka PR a komunikace ČBA</w:t>
                            </w:r>
                          </w:p>
                          <w:p w14:paraId="69EB82FC" w14:textId="3559271E" w:rsidR="00536B9B" w:rsidRPr="00F37DC9" w:rsidRDefault="00536B9B" w:rsidP="00044002">
                            <w:pPr>
                              <w:spacing w:line="276" w:lineRule="auto"/>
                              <w:jc w:val="left"/>
                              <w:rPr>
                                <w:rFonts w:ascii="Calibri" w:hAnsi="Calibri" w:cs="Calibri"/>
                                <w:szCs w:val="18"/>
                              </w:rPr>
                            </w:pPr>
                            <w:r w:rsidRPr="00F37DC9">
                              <w:rPr>
                                <w:rFonts w:ascii="Calibri" w:hAnsi="Calibri" w:cs="Calibri"/>
                                <w:szCs w:val="18"/>
                              </w:rPr>
                              <w:t>monika.petraskova@cbaonline.cz</w:t>
                            </w:r>
                          </w:p>
                          <w:p w14:paraId="0B0CE061" w14:textId="77777777" w:rsidR="00536B9B" w:rsidRPr="00F37DC9" w:rsidRDefault="00536B9B" w:rsidP="00044002">
                            <w:pPr>
                              <w:spacing w:line="276" w:lineRule="auto"/>
                              <w:jc w:val="left"/>
                              <w:rPr>
                                <w:rFonts w:ascii="Calibri" w:hAnsi="Calibri" w:cs="Calibri"/>
                                <w:szCs w:val="18"/>
                              </w:rPr>
                            </w:pPr>
                            <w:r w:rsidRPr="00F37DC9">
                              <w:rPr>
                                <w:rFonts w:ascii="Calibri" w:hAnsi="Calibri" w:cs="Calibri"/>
                                <w:szCs w:val="18"/>
                              </w:rPr>
                              <w:t>tel: + 420 733 130 282</w:t>
                            </w:r>
                          </w:p>
                          <w:p w14:paraId="0808B31F" w14:textId="77777777" w:rsidR="00536B9B" w:rsidRDefault="00536B9B"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3" style="position:absolute;left:0;text-align:left;margin-left:337.7pt;margin-top:28.7pt;width:171.75pt;height:12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" fillcolor="#13576b" stroked="f" strokeweight="1pt">
                <v:textbox inset="3mm,3mm,3mm,3mm">
                  <w:txbxContent>
                    <w:p w14:paraId="7AC95292" w14:textId="77777777" w:rsidR="00536B9B" w:rsidRPr="00F37DC9" w:rsidRDefault="00536B9B" w:rsidP="00044002">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 xml:space="preserve">Další informace </w:t>
                      </w:r>
                    </w:p>
                    <w:p w14:paraId="187194D7" w14:textId="77777777" w:rsidR="00536B9B" w:rsidRPr="00F37DC9" w:rsidRDefault="00536B9B" w:rsidP="00044002">
                      <w:pPr>
                        <w:spacing w:line="276" w:lineRule="auto"/>
                        <w:ind w:left="28" w:hanging="28"/>
                        <w:jc w:val="left"/>
                        <w:outlineLvl w:val="0"/>
                        <w:rPr>
                          <w:rFonts w:ascii="Calibri" w:hAnsi="Calibri" w:cs="Calibri"/>
                          <w:b/>
                          <w:sz w:val="20"/>
                          <w:szCs w:val="18"/>
                        </w:rPr>
                      </w:pPr>
                      <w:r w:rsidRPr="00F37DC9">
                        <w:rPr>
                          <w:rFonts w:ascii="Calibri" w:hAnsi="Calibri" w:cs="Calibri"/>
                          <w:b/>
                          <w:sz w:val="20"/>
                          <w:szCs w:val="18"/>
                        </w:rPr>
                        <w:t>obdržíte na adrese:</w:t>
                      </w:r>
                    </w:p>
                    <w:p w14:paraId="5867C1DD" w14:textId="77777777" w:rsidR="00536B9B" w:rsidRPr="00F37DC9" w:rsidRDefault="00536B9B" w:rsidP="00044002">
                      <w:pPr>
                        <w:spacing w:line="276" w:lineRule="auto"/>
                        <w:jc w:val="left"/>
                        <w:rPr>
                          <w:rFonts w:ascii="Calibri" w:hAnsi="Calibri" w:cs="Calibri"/>
                          <w:b/>
                          <w:szCs w:val="18"/>
                        </w:rPr>
                      </w:pPr>
                    </w:p>
                    <w:p w14:paraId="1F85193F" w14:textId="77777777" w:rsidR="00536B9B" w:rsidRPr="00F37DC9" w:rsidRDefault="00536B9B" w:rsidP="00044002">
                      <w:pPr>
                        <w:spacing w:line="276" w:lineRule="auto"/>
                        <w:jc w:val="left"/>
                        <w:rPr>
                          <w:rFonts w:ascii="Calibri" w:hAnsi="Calibri" w:cs="Calibri"/>
                          <w:noProof/>
                          <w:szCs w:val="18"/>
                        </w:rPr>
                      </w:pPr>
                      <w:r w:rsidRPr="00F37DC9">
                        <w:rPr>
                          <w:rFonts w:ascii="Calibri" w:hAnsi="Calibri" w:cs="Calibri"/>
                          <w:noProof/>
                          <w:szCs w:val="18"/>
                        </w:rPr>
                        <w:t xml:space="preserve">Monika Petrásková, </w:t>
                      </w:r>
                    </w:p>
                    <w:p w14:paraId="5026572F" w14:textId="77777777" w:rsidR="00536B9B" w:rsidRPr="00F37DC9" w:rsidRDefault="00536B9B" w:rsidP="00044002">
                      <w:pPr>
                        <w:spacing w:line="276" w:lineRule="auto"/>
                        <w:jc w:val="left"/>
                        <w:rPr>
                          <w:rFonts w:ascii="Calibri" w:hAnsi="Calibri" w:cs="Calibri"/>
                          <w:szCs w:val="18"/>
                        </w:rPr>
                      </w:pPr>
                      <w:r w:rsidRPr="00F37DC9">
                        <w:rPr>
                          <w:rFonts w:ascii="Calibri" w:hAnsi="Calibri" w:cs="Calibri"/>
                          <w:noProof/>
                          <w:szCs w:val="18"/>
                        </w:rPr>
                        <w:t>m</w:t>
                      </w:r>
                      <w:proofErr w:type="spellStart"/>
                      <w:r w:rsidRPr="00F37DC9">
                        <w:rPr>
                          <w:rFonts w:ascii="Calibri" w:hAnsi="Calibri" w:cs="Calibri"/>
                          <w:szCs w:val="18"/>
                        </w:rPr>
                        <w:t>anažerka</w:t>
                      </w:r>
                      <w:proofErr w:type="spellEnd"/>
                      <w:r w:rsidRPr="00F37DC9">
                        <w:rPr>
                          <w:rFonts w:ascii="Calibri" w:hAnsi="Calibri" w:cs="Calibri"/>
                          <w:szCs w:val="18"/>
                        </w:rPr>
                        <w:t xml:space="preserve"> PR a komunikace ČBA</w:t>
                      </w:r>
                    </w:p>
                    <w:p w14:paraId="69EB82FC" w14:textId="3559271E" w:rsidR="00536B9B" w:rsidRPr="00F37DC9" w:rsidRDefault="00536B9B" w:rsidP="00044002">
                      <w:pPr>
                        <w:spacing w:line="276" w:lineRule="auto"/>
                        <w:jc w:val="left"/>
                        <w:rPr>
                          <w:rFonts w:ascii="Calibri" w:hAnsi="Calibri" w:cs="Calibri"/>
                          <w:szCs w:val="18"/>
                        </w:rPr>
                      </w:pPr>
                      <w:r w:rsidRPr="00F37DC9">
                        <w:rPr>
                          <w:rFonts w:ascii="Calibri" w:hAnsi="Calibri" w:cs="Calibri"/>
                          <w:szCs w:val="18"/>
                        </w:rPr>
                        <w:t>monika.petraskova@cbaonline.cz</w:t>
                      </w:r>
                    </w:p>
                    <w:p w14:paraId="0B0CE061" w14:textId="77777777" w:rsidR="00536B9B" w:rsidRPr="00F37DC9" w:rsidRDefault="00536B9B" w:rsidP="00044002">
                      <w:pPr>
                        <w:spacing w:line="276" w:lineRule="auto"/>
                        <w:jc w:val="left"/>
                        <w:rPr>
                          <w:rFonts w:ascii="Calibri" w:hAnsi="Calibri" w:cs="Calibri"/>
                          <w:szCs w:val="18"/>
                        </w:rPr>
                      </w:pPr>
                      <w:r w:rsidRPr="00F37DC9">
                        <w:rPr>
                          <w:rFonts w:ascii="Calibri" w:hAnsi="Calibri" w:cs="Calibri"/>
                          <w:szCs w:val="18"/>
                        </w:rPr>
                        <w:t>tel: + 420 733 130 282</w:t>
                      </w:r>
                    </w:p>
                    <w:p w14:paraId="0808B31F" w14:textId="77777777" w:rsidR="00536B9B" w:rsidRDefault="00536B9B" w:rsidP="00044002">
                      <w:pPr>
                        <w:jc w:val="left"/>
                      </w:pPr>
                    </w:p>
                  </w:txbxContent>
                </v:textbox>
                <w10:wrap type="square" anchorx="margin"/>
              </v:rect>
            </w:pict>
          </mc:Fallback>
        </mc:AlternateContent>
      </w:r>
      <w:r w:rsidRPr="00F37DC9">
        <w:rPr>
          <w:rFonts w:ascii="Calibri" w:eastAsiaTheme="minorEastAsia" w:hAnsi="Calibri" w:cs="Calibri"/>
          <w:noProof/>
          <w:lang w:val="en-GB" w:eastAsia="en-GB"/>
        </w:rPr>
        <mc:AlternateContent>
          <mc:Choice Requires="wps">
            <w:drawing>
              <wp:anchor distT="0" distB="0" distL="114300" distR="114300" simplePos="0" relativeHeight="251659264" behindDoc="0" locked="0" layoutInCell="1" allowOverlap="1" wp14:anchorId="12989396" wp14:editId="036F4AF4">
                <wp:simplePos x="0" y="0"/>
                <wp:positionH relativeFrom="margin">
                  <wp:posOffset>0</wp:posOffset>
                </wp:positionH>
                <wp:positionV relativeFrom="paragraph">
                  <wp:posOffset>364490</wp:posOffset>
                </wp:positionV>
                <wp:extent cx="4229100" cy="1637665"/>
                <wp:effectExtent l="0" t="0" r="0" b="635"/>
                <wp:wrapSquare wrapText="bothSides"/>
                <wp:docPr id="199" name="Obdélník 199"/>
                <wp:cNvGraphicFramePr/>
                <a:graphic xmlns:a="http://schemas.openxmlformats.org/drawingml/2006/main">
                  <a:graphicData uri="http://schemas.microsoft.com/office/word/2010/wordprocessingShape">
                    <wps:wsp>
                      <wps:cNvSpPr/>
                      <wps:spPr>
                        <a:xfrm>
                          <a:off x="0" y="0"/>
                          <a:ext cx="4229100" cy="16376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60DE" w14:textId="77777777" w:rsidR="00536B9B" w:rsidRPr="00F37DC9" w:rsidRDefault="00536B9B" w:rsidP="00044002">
                            <w:pPr>
                              <w:pStyle w:val="Standard"/>
                              <w:spacing w:line="276" w:lineRule="auto"/>
                              <w:jc w:val="left"/>
                              <w:rPr>
                                <w:rFonts w:ascii="Calibri" w:hAnsi="Calibri" w:cs="Calibri"/>
                                <w:b/>
                                <w:sz w:val="20"/>
                                <w:szCs w:val="18"/>
                              </w:rPr>
                            </w:pPr>
                            <w:r w:rsidRPr="00F37DC9">
                              <w:rPr>
                                <w:rFonts w:ascii="Calibri" w:hAnsi="Calibri" w:cs="Calibri"/>
                                <w:b/>
                                <w:sz w:val="20"/>
                                <w:szCs w:val="18"/>
                              </w:rPr>
                              <w:t>O České bankovní asociaci</w:t>
                            </w:r>
                          </w:p>
                          <w:p w14:paraId="51BDEFCD" w14:textId="1B0A1AB6" w:rsidR="00536B9B" w:rsidRPr="00F37DC9" w:rsidRDefault="00536B9B" w:rsidP="00044002">
                            <w:pPr>
                              <w:pStyle w:val="Standard"/>
                              <w:spacing w:line="276" w:lineRule="auto"/>
                              <w:ind w:left="28" w:hanging="28"/>
                              <w:jc w:val="left"/>
                              <w:rPr>
                                <w:rFonts w:ascii="Calibri" w:hAnsi="Calibri" w:cs="Calibri"/>
                                <w:szCs w:val="18"/>
                              </w:rPr>
                            </w:pPr>
                            <w:r w:rsidRPr="00F37DC9">
                              <w:rPr>
                                <w:rFonts w:ascii="Calibri" w:hAnsi="Calibri" w:cs="Calibri"/>
                                <w:szCs w:val="18"/>
                              </w:rPr>
                              <w:t xml:space="preserve">Česká bankovní asociace vznikla v roce 1990 a je dobrovolným sdružením právnických osob podnikajících v oblasti peněžnictví. V současné době sdružuje </w:t>
                            </w:r>
                            <w:r w:rsidR="005E5B52" w:rsidRPr="00F37DC9">
                              <w:rPr>
                                <w:rFonts w:ascii="Calibri" w:hAnsi="Calibri" w:cs="Calibri"/>
                                <w:szCs w:val="18"/>
                              </w:rPr>
                              <w:t>37</w:t>
                            </w:r>
                            <w:r w:rsidRPr="00F37DC9">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F37DC9">
                              <w:rPr>
                                <w:rFonts w:ascii="Calibri" w:hAnsi="Calibri" w:cs="Calibri"/>
                                <w:i/>
                                <w:sz w:val="20"/>
                              </w:rPr>
                              <w:t> </w:t>
                            </w:r>
                            <w:r w:rsidRPr="00F37DC9">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F37DC9">
                              <w:rPr>
                                <w:rFonts w:ascii="Calibri" w:hAnsi="Calibri" w:cs="Calibri"/>
                                <w:i/>
                                <w:sz w:val="20"/>
                              </w:rPr>
                              <w:t> </w:t>
                            </w:r>
                            <w:r w:rsidRPr="00F37DC9">
                              <w:rPr>
                                <w:rFonts w:ascii="Calibri" w:hAnsi="Calibri" w:cs="Calibri"/>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4" style="position:absolute;left:0;text-align:left;margin-left:0;margin-top:28.7pt;width:333pt;height:12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" fillcolor="#bfbfbf [2412]" stroked="f" strokeweight="1pt">
                <v:textbox inset="3mm,3mm,3mm,3mm">
                  <w:txbxContent>
                    <w:p w14:paraId="4C1160DE" w14:textId="77777777" w:rsidR="00536B9B" w:rsidRPr="00F37DC9" w:rsidRDefault="00536B9B" w:rsidP="00044002">
                      <w:pPr>
                        <w:pStyle w:val="Standard"/>
                        <w:spacing w:line="276" w:lineRule="auto"/>
                        <w:jc w:val="left"/>
                        <w:rPr>
                          <w:rFonts w:ascii="Calibri" w:hAnsi="Calibri" w:cs="Calibri"/>
                          <w:b/>
                          <w:sz w:val="20"/>
                          <w:szCs w:val="18"/>
                        </w:rPr>
                      </w:pPr>
                      <w:r w:rsidRPr="00F37DC9">
                        <w:rPr>
                          <w:rFonts w:ascii="Calibri" w:hAnsi="Calibri" w:cs="Calibri"/>
                          <w:b/>
                          <w:sz w:val="20"/>
                          <w:szCs w:val="18"/>
                        </w:rPr>
                        <w:t>O České bankovní asociaci</w:t>
                      </w:r>
                    </w:p>
                    <w:p w14:paraId="51BDEFCD" w14:textId="1B0A1AB6" w:rsidR="00536B9B" w:rsidRPr="00F37DC9" w:rsidRDefault="00536B9B" w:rsidP="00044002">
                      <w:pPr>
                        <w:pStyle w:val="Standard"/>
                        <w:spacing w:line="276" w:lineRule="auto"/>
                        <w:ind w:left="28" w:hanging="28"/>
                        <w:jc w:val="left"/>
                        <w:rPr>
                          <w:rFonts w:ascii="Calibri" w:hAnsi="Calibri" w:cs="Calibri"/>
                          <w:szCs w:val="18"/>
                        </w:rPr>
                      </w:pPr>
                      <w:r w:rsidRPr="00F37DC9">
                        <w:rPr>
                          <w:rFonts w:ascii="Calibri" w:hAnsi="Calibri" w:cs="Calibri"/>
                          <w:szCs w:val="18"/>
                        </w:rPr>
                        <w:t xml:space="preserve">Česká bankovní asociace vznikla v roce 1990 a je dobrovolným sdružením právnických osob podnikajících v oblasti peněžnictví. V současné době sdružuje </w:t>
                      </w:r>
                      <w:r w:rsidR="005E5B52" w:rsidRPr="00F37DC9">
                        <w:rPr>
                          <w:rFonts w:ascii="Calibri" w:hAnsi="Calibri" w:cs="Calibri"/>
                          <w:szCs w:val="18"/>
                        </w:rPr>
                        <w:t>37</w:t>
                      </w:r>
                      <w:r w:rsidRPr="00F37DC9">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F37DC9">
                        <w:rPr>
                          <w:rFonts w:ascii="Calibri" w:hAnsi="Calibri" w:cs="Calibri"/>
                          <w:i/>
                          <w:sz w:val="20"/>
                        </w:rPr>
                        <w:t> </w:t>
                      </w:r>
                      <w:r w:rsidRPr="00F37DC9">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F37DC9">
                        <w:rPr>
                          <w:rFonts w:ascii="Calibri" w:hAnsi="Calibri" w:cs="Calibri"/>
                          <w:i/>
                          <w:sz w:val="20"/>
                        </w:rPr>
                        <w:t> </w:t>
                      </w:r>
                      <w:r w:rsidRPr="00F37DC9">
                        <w:rPr>
                          <w:rFonts w:ascii="Calibri" w:hAnsi="Calibri" w:cs="Calibri"/>
                          <w:szCs w:val="18"/>
                        </w:rPr>
                        <w:t>EMMI.</w:t>
                      </w:r>
                    </w:p>
                  </w:txbxContent>
                </v:textbox>
                <w10:wrap type="square" anchorx="margin"/>
              </v:rect>
            </w:pict>
          </mc:Fallback>
        </mc:AlternateContent>
      </w:r>
    </w:p>
    <w:sectPr w:rsidR="005C1943" w:rsidRPr="00F37DC9" w:rsidSect="00EB6C50">
      <w:headerReference w:type="default" r:id="rId8"/>
      <w:footerReference w:type="default" r:id="rId9"/>
      <w:pgSz w:w="11906" w:h="16838"/>
      <w:pgMar w:top="2552" w:right="851" w:bottom="1418" w:left="85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F28F" w14:textId="77777777" w:rsidR="002E7CA6" w:rsidRDefault="002E7CA6" w:rsidP="00F573F1">
      <w:r>
        <w:separator/>
      </w:r>
    </w:p>
  </w:endnote>
  <w:endnote w:type="continuationSeparator" w:id="0">
    <w:p w14:paraId="24589D89" w14:textId="77777777" w:rsidR="002E7CA6" w:rsidRDefault="002E7CA6" w:rsidP="00F573F1">
      <w:r>
        <w:continuationSeparator/>
      </w:r>
    </w:p>
  </w:endnote>
  <w:endnote w:type="continuationNotice" w:id="1">
    <w:p w14:paraId="7E444C99" w14:textId="77777777" w:rsidR="002E7CA6" w:rsidRDefault="002E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Cs w:val="18"/>
      </w:rPr>
      <w:id w:val="1149944182"/>
      <w:docPartObj>
        <w:docPartGallery w:val="Page Numbers (Bottom of Page)"/>
        <w:docPartUnique/>
      </w:docPartObj>
    </w:sdtPr>
    <w:sdtEndPr/>
    <w:sdtContent>
      <w:sdt>
        <w:sdtPr>
          <w:rPr>
            <w:rFonts w:ascii="Calibri" w:hAnsi="Calibri" w:cs="Calibri"/>
            <w:szCs w:val="18"/>
          </w:rPr>
          <w:id w:val="-1769616900"/>
          <w:docPartObj>
            <w:docPartGallery w:val="Page Numbers (Top of Page)"/>
            <w:docPartUnique/>
          </w:docPartObj>
        </w:sdtPr>
        <w:sdtEndPr/>
        <w:sdtContent>
          <w:p w14:paraId="7854F1F5" w14:textId="19327CD8" w:rsidR="00F37DC9" w:rsidRPr="00F37DC9" w:rsidRDefault="00F37DC9">
            <w:pPr>
              <w:pStyle w:val="Zpat"/>
              <w:jc w:val="right"/>
              <w:rPr>
                <w:rFonts w:ascii="Calibri" w:hAnsi="Calibri" w:cs="Calibri"/>
                <w:szCs w:val="18"/>
              </w:rPr>
            </w:pPr>
            <w:r w:rsidRPr="001E31AB">
              <w:rPr>
                <w:rFonts w:ascii="Calibri" w:hAnsi="Calibri"/>
                <w:noProof/>
                <w:szCs w:val="18"/>
              </w:rPr>
              <w:drawing>
                <wp:anchor distT="0" distB="0" distL="114300" distR="114300" simplePos="0" relativeHeight="251665408" behindDoc="0" locked="0" layoutInCell="1" allowOverlap="1" wp14:anchorId="40EC3339" wp14:editId="625B1AC4">
                  <wp:simplePos x="0" y="0"/>
                  <wp:positionH relativeFrom="column">
                    <wp:posOffset>-541020</wp:posOffset>
                  </wp:positionH>
                  <wp:positionV relativeFrom="paragraph">
                    <wp:posOffset>-137160</wp:posOffset>
                  </wp:positionV>
                  <wp:extent cx="3042285" cy="701040"/>
                  <wp:effectExtent l="0" t="0" r="571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7DC9">
              <w:rPr>
                <w:rFonts w:ascii="Calibri" w:hAnsi="Calibri" w:cs="Calibri"/>
                <w:szCs w:val="18"/>
              </w:rPr>
              <w:t xml:space="preserve">Stránka </w:t>
            </w:r>
            <w:r w:rsidRPr="00F37DC9">
              <w:rPr>
                <w:rFonts w:ascii="Calibri" w:hAnsi="Calibri" w:cs="Calibri"/>
                <w:b/>
                <w:bCs/>
                <w:szCs w:val="18"/>
              </w:rPr>
              <w:fldChar w:fldCharType="begin"/>
            </w:r>
            <w:r w:rsidRPr="00F37DC9">
              <w:rPr>
                <w:rFonts w:ascii="Calibri" w:hAnsi="Calibri" w:cs="Calibri"/>
                <w:b/>
                <w:bCs/>
                <w:szCs w:val="18"/>
              </w:rPr>
              <w:instrText>PAGE</w:instrText>
            </w:r>
            <w:r w:rsidRPr="00F37DC9">
              <w:rPr>
                <w:rFonts w:ascii="Calibri" w:hAnsi="Calibri" w:cs="Calibri"/>
                <w:b/>
                <w:bCs/>
                <w:szCs w:val="18"/>
              </w:rPr>
              <w:fldChar w:fldCharType="separate"/>
            </w:r>
            <w:r w:rsidRPr="00F37DC9">
              <w:rPr>
                <w:rFonts w:ascii="Calibri" w:hAnsi="Calibri" w:cs="Calibri"/>
                <w:b/>
                <w:bCs/>
                <w:szCs w:val="18"/>
              </w:rPr>
              <w:t>2</w:t>
            </w:r>
            <w:r w:rsidRPr="00F37DC9">
              <w:rPr>
                <w:rFonts w:ascii="Calibri" w:hAnsi="Calibri" w:cs="Calibri"/>
                <w:b/>
                <w:bCs/>
                <w:szCs w:val="18"/>
              </w:rPr>
              <w:fldChar w:fldCharType="end"/>
            </w:r>
            <w:r w:rsidRPr="00F37DC9">
              <w:rPr>
                <w:rFonts w:ascii="Calibri" w:hAnsi="Calibri" w:cs="Calibri"/>
                <w:szCs w:val="18"/>
              </w:rPr>
              <w:t xml:space="preserve"> z </w:t>
            </w:r>
            <w:r w:rsidRPr="00F37DC9">
              <w:rPr>
                <w:rFonts w:ascii="Calibri" w:hAnsi="Calibri" w:cs="Calibri"/>
                <w:b/>
                <w:bCs/>
                <w:szCs w:val="18"/>
              </w:rPr>
              <w:fldChar w:fldCharType="begin"/>
            </w:r>
            <w:r w:rsidRPr="00F37DC9">
              <w:rPr>
                <w:rFonts w:ascii="Calibri" w:hAnsi="Calibri" w:cs="Calibri"/>
                <w:b/>
                <w:bCs/>
                <w:szCs w:val="18"/>
              </w:rPr>
              <w:instrText>NUMPAGES</w:instrText>
            </w:r>
            <w:r w:rsidRPr="00F37DC9">
              <w:rPr>
                <w:rFonts w:ascii="Calibri" w:hAnsi="Calibri" w:cs="Calibri"/>
                <w:b/>
                <w:bCs/>
                <w:szCs w:val="18"/>
              </w:rPr>
              <w:fldChar w:fldCharType="separate"/>
            </w:r>
            <w:r w:rsidRPr="00F37DC9">
              <w:rPr>
                <w:rFonts w:ascii="Calibri" w:hAnsi="Calibri" w:cs="Calibri"/>
                <w:b/>
                <w:bCs/>
                <w:szCs w:val="18"/>
              </w:rPr>
              <w:t>2</w:t>
            </w:r>
            <w:r w:rsidRPr="00F37DC9">
              <w:rPr>
                <w:rFonts w:ascii="Calibri" w:hAnsi="Calibri" w:cs="Calibri"/>
                <w:b/>
                <w:bCs/>
                <w:szCs w:val="18"/>
              </w:rPr>
              <w:fldChar w:fldCharType="end"/>
            </w:r>
          </w:p>
        </w:sdtContent>
      </w:sdt>
    </w:sdtContent>
  </w:sdt>
  <w:p w14:paraId="6B2FBE8E" w14:textId="77777777" w:rsidR="00536B9B" w:rsidRPr="00FB4A1C" w:rsidRDefault="00536B9B"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676F" w14:textId="77777777" w:rsidR="002E7CA6" w:rsidRDefault="002E7CA6" w:rsidP="00F573F1">
      <w:r>
        <w:separator/>
      </w:r>
    </w:p>
  </w:footnote>
  <w:footnote w:type="continuationSeparator" w:id="0">
    <w:p w14:paraId="7DF5F445" w14:textId="77777777" w:rsidR="002E7CA6" w:rsidRDefault="002E7CA6" w:rsidP="00F573F1">
      <w:r>
        <w:continuationSeparator/>
      </w:r>
    </w:p>
  </w:footnote>
  <w:footnote w:type="continuationNotice" w:id="1">
    <w:p w14:paraId="6EC82E50" w14:textId="77777777" w:rsidR="002E7CA6" w:rsidRDefault="002E7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6A72" w14:textId="612DBF70" w:rsidR="00F37DC9" w:rsidRDefault="00F37DC9" w:rsidP="00F37DC9">
    <w:pPr>
      <w:pStyle w:val="Zhlav"/>
    </w:pPr>
    <w:r>
      <w:rPr>
        <w:noProof/>
      </w:rPr>
      <w:drawing>
        <wp:anchor distT="0" distB="0" distL="114300" distR="114300" simplePos="0" relativeHeight="251661312" behindDoc="0" locked="0" layoutInCell="1" allowOverlap="1" wp14:anchorId="12F98975" wp14:editId="0A1B12AB">
          <wp:simplePos x="0" y="0"/>
          <wp:positionH relativeFrom="column">
            <wp:posOffset>-52705</wp:posOffset>
          </wp:positionH>
          <wp:positionV relativeFrom="paragraph">
            <wp:posOffset>29845</wp:posOffset>
          </wp:positionV>
          <wp:extent cx="2209800" cy="778510"/>
          <wp:effectExtent l="0" t="0" r="0"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4BA7D056" wp14:editId="7FF03F24">
          <wp:simplePos x="0" y="0"/>
          <wp:positionH relativeFrom="column">
            <wp:posOffset>3985895</wp:posOffset>
          </wp:positionH>
          <wp:positionV relativeFrom="paragraph">
            <wp:posOffset>-8255</wp:posOffset>
          </wp:positionV>
          <wp:extent cx="2943225" cy="243840"/>
          <wp:effectExtent l="0" t="0" r="9525" b="381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7EE12" w14:textId="63210BB6" w:rsidR="00F37DC9" w:rsidRDefault="00F37DC9">
    <w:pPr>
      <w:pStyle w:val="Zhlav"/>
    </w:pPr>
    <w:r w:rsidRPr="00F615BD">
      <w:rPr>
        <w:noProof/>
        <w:lang w:val="en-GB" w:eastAsia="en-GB"/>
      </w:rPr>
      <mc:AlternateContent>
        <mc:Choice Requires="wps">
          <w:drawing>
            <wp:anchor distT="45720" distB="45720" distL="114300" distR="114300" simplePos="0" relativeHeight="251659264" behindDoc="0" locked="0" layoutInCell="1" allowOverlap="1" wp14:anchorId="05CB3763" wp14:editId="0D54C2D8">
              <wp:simplePos x="0" y="0"/>
              <wp:positionH relativeFrom="margin">
                <wp:posOffset>5289974</wp:posOffset>
              </wp:positionH>
              <wp:positionV relativeFrom="paragraph">
                <wp:posOffset>6985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49CD1CFE" w14:textId="77777777"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b/>
                              <w:color w:val="13576B"/>
                              <w:sz w:val="22"/>
                              <w:szCs w:val="24"/>
                            </w:rPr>
                            <w:t xml:space="preserve">TISKOVÁ ZPRÁVA </w:t>
                          </w:r>
                        </w:p>
                        <w:p w14:paraId="5CDE064D" w14:textId="77777777"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color w:val="13576B"/>
                              <w:sz w:val="22"/>
                              <w:szCs w:val="24"/>
                            </w:rPr>
                            <w:t>13. 5. 2021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B3763" id="_x0000_t202" coordsize="21600,21600" o:spt="202" path="m,l,21600r21600,l21600,xe">
              <v:stroke joinstyle="miter"/>
              <v:path gradientshapeok="t" o:connecttype="rect"/>
            </v:shapetype>
            <v:shape id="_x0000_s1035" type="#_x0000_t202" style="position:absolute;left:0;text-align:left;margin-left:416.55pt;margin-top:.55pt;width:97.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" filled="f" stroked="f">
              <v:textbox style="mso-fit-shape-to-text:t">
                <w:txbxContent>
                  <w:p w14:paraId="49CD1CFE" w14:textId="77777777"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b/>
                        <w:color w:val="13576B"/>
                        <w:sz w:val="22"/>
                        <w:szCs w:val="24"/>
                      </w:rPr>
                      <w:t xml:space="preserve">TISKOVÁ ZPRÁVA </w:t>
                    </w:r>
                  </w:p>
                  <w:p w14:paraId="5CDE064D" w14:textId="77777777" w:rsidR="00F37DC9" w:rsidRPr="00F37DC9" w:rsidRDefault="00F37DC9" w:rsidP="00F37DC9">
                    <w:pPr>
                      <w:spacing w:line="276" w:lineRule="auto"/>
                      <w:jc w:val="right"/>
                      <w:rPr>
                        <w:rFonts w:ascii="Calibri" w:hAnsi="Calibri" w:cs="Calibri"/>
                        <w:b/>
                        <w:color w:val="13576B"/>
                        <w:sz w:val="22"/>
                        <w:szCs w:val="24"/>
                      </w:rPr>
                    </w:pPr>
                    <w:r w:rsidRPr="00F37DC9">
                      <w:rPr>
                        <w:rFonts w:ascii="Calibri" w:hAnsi="Calibri" w:cs="Calibri"/>
                        <w:color w:val="13576B"/>
                        <w:sz w:val="22"/>
                        <w:szCs w:val="24"/>
                      </w:rPr>
                      <w:t>13. 5. 2021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8A7"/>
    <w:multiLevelType w:val="hybridMultilevel"/>
    <w:tmpl w:val="ADD42E08"/>
    <w:lvl w:ilvl="0" w:tplc="9B0CBF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15A72"/>
    <w:multiLevelType w:val="hybridMultilevel"/>
    <w:tmpl w:val="4222A8D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786F60"/>
    <w:multiLevelType w:val="hybridMultilevel"/>
    <w:tmpl w:val="3232EEBE"/>
    <w:lvl w:ilvl="0" w:tplc="491E84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8B2CEC"/>
    <w:multiLevelType w:val="hybridMultilevel"/>
    <w:tmpl w:val="FDB00238"/>
    <w:lvl w:ilvl="0" w:tplc="BD9EF866">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C57BCF"/>
    <w:multiLevelType w:val="hybridMultilevel"/>
    <w:tmpl w:val="3554269C"/>
    <w:lvl w:ilvl="0" w:tplc="F52C1D16">
      <w:numFmt w:val="bullet"/>
      <w:lvlText w:val="-"/>
      <w:lvlJc w:val="left"/>
      <w:pPr>
        <w:ind w:left="720" w:hanging="360"/>
      </w:pPr>
      <w:rPr>
        <w:rFonts w:ascii="Calibri" w:eastAsia="PMingLiU"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F3628E"/>
    <w:multiLevelType w:val="hybridMultilevel"/>
    <w:tmpl w:val="771602E6"/>
    <w:lvl w:ilvl="0" w:tplc="30548F9A">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9763A7"/>
    <w:multiLevelType w:val="hybridMultilevel"/>
    <w:tmpl w:val="F904BEEC"/>
    <w:lvl w:ilvl="0" w:tplc="E0A2536E">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FA73130"/>
    <w:multiLevelType w:val="hybridMultilevel"/>
    <w:tmpl w:val="65281904"/>
    <w:lvl w:ilvl="0" w:tplc="DF56ABD4">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26451B"/>
    <w:multiLevelType w:val="hybridMultilevel"/>
    <w:tmpl w:val="C1DEF65C"/>
    <w:lvl w:ilvl="0" w:tplc="0E7285A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3"/>
  </w:num>
  <w:num w:numId="6">
    <w:abstractNumId w:val="4"/>
  </w:num>
  <w:num w:numId="7">
    <w:abstractNumId w:val="6"/>
  </w:num>
  <w:num w:numId="8">
    <w:abstractNumId w:val="12"/>
  </w:num>
  <w:num w:numId="9">
    <w:abstractNumId w:val="0"/>
  </w:num>
  <w:num w:numId="10">
    <w:abstractNumId w:val="9"/>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0169"/>
    <w:rsid w:val="00001E30"/>
    <w:rsid w:val="00004B58"/>
    <w:rsid w:val="00006087"/>
    <w:rsid w:val="00014977"/>
    <w:rsid w:val="0001513F"/>
    <w:rsid w:val="000162B2"/>
    <w:rsid w:val="00017461"/>
    <w:rsid w:val="00023000"/>
    <w:rsid w:val="00026596"/>
    <w:rsid w:val="000349D8"/>
    <w:rsid w:val="00036DD3"/>
    <w:rsid w:val="000419CA"/>
    <w:rsid w:val="00044002"/>
    <w:rsid w:val="00055376"/>
    <w:rsid w:val="00062A8A"/>
    <w:rsid w:val="00066333"/>
    <w:rsid w:val="0007096D"/>
    <w:rsid w:val="00071B9F"/>
    <w:rsid w:val="000766D5"/>
    <w:rsid w:val="0008238B"/>
    <w:rsid w:val="00082E1D"/>
    <w:rsid w:val="00087849"/>
    <w:rsid w:val="00087A3D"/>
    <w:rsid w:val="00092ACE"/>
    <w:rsid w:val="00097B97"/>
    <w:rsid w:val="000A086B"/>
    <w:rsid w:val="000A1E1A"/>
    <w:rsid w:val="000A1EA1"/>
    <w:rsid w:val="000A337A"/>
    <w:rsid w:val="000A6730"/>
    <w:rsid w:val="000B1B0C"/>
    <w:rsid w:val="000B4814"/>
    <w:rsid w:val="000B6BEC"/>
    <w:rsid w:val="000C1155"/>
    <w:rsid w:val="000C552C"/>
    <w:rsid w:val="000D1977"/>
    <w:rsid w:val="000D2B81"/>
    <w:rsid w:val="000D5D2B"/>
    <w:rsid w:val="000D7C38"/>
    <w:rsid w:val="000E1DF8"/>
    <w:rsid w:val="000E3A69"/>
    <w:rsid w:val="000E5E2A"/>
    <w:rsid w:val="000F34A7"/>
    <w:rsid w:val="000F790F"/>
    <w:rsid w:val="00100B73"/>
    <w:rsid w:val="00105C84"/>
    <w:rsid w:val="0011443F"/>
    <w:rsid w:val="00115379"/>
    <w:rsid w:val="00115462"/>
    <w:rsid w:val="00125474"/>
    <w:rsid w:val="001262D3"/>
    <w:rsid w:val="00142834"/>
    <w:rsid w:val="00142FD3"/>
    <w:rsid w:val="00147E43"/>
    <w:rsid w:val="00153D1F"/>
    <w:rsid w:val="00154824"/>
    <w:rsid w:val="00156EF2"/>
    <w:rsid w:val="00164D55"/>
    <w:rsid w:val="00165D62"/>
    <w:rsid w:val="00166404"/>
    <w:rsid w:val="00186E9F"/>
    <w:rsid w:val="00190861"/>
    <w:rsid w:val="001914C2"/>
    <w:rsid w:val="00191CB2"/>
    <w:rsid w:val="00195C6D"/>
    <w:rsid w:val="001960B2"/>
    <w:rsid w:val="0019764B"/>
    <w:rsid w:val="001A7E43"/>
    <w:rsid w:val="001B44EF"/>
    <w:rsid w:val="001B4FA1"/>
    <w:rsid w:val="001B5FE5"/>
    <w:rsid w:val="001B69C3"/>
    <w:rsid w:val="001C0DF4"/>
    <w:rsid w:val="001C297A"/>
    <w:rsid w:val="001C576C"/>
    <w:rsid w:val="001C7F27"/>
    <w:rsid w:val="001D5BB9"/>
    <w:rsid w:val="001E4A94"/>
    <w:rsid w:val="001E4E51"/>
    <w:rsid w:val="001E6405"/>
    <w:rsid w:val="002050D0"/>
    <w:rsid w:val="002207A6"/>
    <w:rsid w:val="00221E42"/>
    <w:rsid w:val="00224038"/>
    <w:rsid w:val="00224284"/>
    <w:rsid w:val="00224F0E"/>
    <w:rsid w:val="002401B0"/>
    <w:rsid w:val="00242192"/>
    <w:rsid w:val="00244B0F"/>
    <w:rsid w:val="00245099"/>
    <w:rsid w:val="0024553D"/>
    <w:rsid w:val="00247943"/>
    <w:rsid w:val="002511A0"/>
    <w:rsid w:val="00251963"/>
    <w:rsid w:val="00261512"/>
    <w:rsid w:val="002624E9"/>
    <w:rsid w:val="00263F96"/>
    <w:rsid w:val="00267813"/>
    <w:rsid w:val="00267ACA"/>
    <w:rsid w:val="0027402B"/>
    <w:rsid w:val="00284F6D"/>
    <w:rsid w:val="002878FD"/>
    <w:rsid w:val="002A7837"/>
    <w:rsid w:val="002B273C"/>
    <w:rsid w:val="002B3725"/>
    <w:rsid w:val="002C4547"/>
    <w:rsid w:val="002C4F14"/>
    <w:rsid w:val="002D12BD"/>
    <w:rsid w:val="002D1376"/>
    <w:rsid w:val="002D6B03"/>
    <w:rsid w:val="002E1078"/>
    <w:rsid w:val="002E18D7"/>
    <w:rsid w:val="002E39FF"/>
    <w:rsid w:val="002E3DF7"/>
    <w:rsid w:val="002E5008"/>
    <w:rsid w:val="002E732D"/>
    <w:rsid w:val="002E7CA6"/>
    <w:rsid w:val="002F3D6C"/>
    <w:rsid w:val="002F477C"/>
    <w:rsid w:val="002F6016"/>
    <w:rsid w:val="00302451"/>
    <w:rsid w:val="00302716"/>
    <w:rsid w:val="00303D8D"/>
    <w:rsid w:val="00304E17"/>
    <w:rsid w:val="00310D0B"/>
    <w:rsid w:val="003123D0"/>
    <w:rsid w:val="00315BAC"/>
    <w:rsid w:val="00316A23"/>
    <w:rsid w:val="00320075"/>
    <w:rsid w:val="00320A31"/>
    <w:rsid w:val="003215CA"/>
    <w:rsid w:val="00327407"/>
    <w:rsid w:val="00327E59"/>
    <w:rsid w:val="003305B2"/>
    <w:rsid w:val="003366D7"/>
    <w:rsid w:val="00337931"/>
    <w:rsid w:val="003401BC"/>
    <w:rsid w:val="00343CB8"/>
    <w:rsid w:val="00346FF6"/>
    <w:rsid w:val="00355435"/>
    <w:rsid w:val="0035571B"/>
    <w:rsid w:val="00356262"/>
    <w:rsid w:val="00360F61"/>
    <w:rsid w:val="0036442C"/>
    <w:rsid w:val="003654CD"/>
    <w:rsid w:val="00365B2D"/>
    <w:rsid w:val="003668D4"/>
    <w:rsid w:val="00367D3B"/>
    <w:rsid w:val="00367F9E"/>
    <w:rsid w:val="0037051A"/>
    <w:rsid w:val="00370F35"/>
    <w:rsid w:val="003713E7"/>
    <w:rsid w:val="003727EB"/>
    <w:rsid w:val="00373D9D"/>
    <w:rsid w:val="00380C99"/>
    <w:rsid w:val="00383E25"/>
    <w:rsid w:val="00391FA6"/>
    <w:rsid w:val="003947A8"/>
    <w:rsid w:val="003952ED"/>
    <w:rsid w:val="003A1647"/>
    <w:rsid w:val="003A30BE"/>
    <w:rsid w:val="003A5DED"/>
    <w:rsid w:val="003B61CD"/>
    <w:rsid w:val="003C3D7F"/>
    <w:rsid w:val="003C7394"/>
    <w:rsid w:val="003D104A"/>
    <w:rsid w:val="003D14D7"/>
    <w:rsid w:val="003D5446"/>
    <w:rsid w:val="003E0E58"/>
    <w:rsid w:val="003E31EA"/>
    <w:rsid w:val="003E3DCB"/>
    <w:rsid w:val="003F1CB9"/>
    <w:rsid w:val="003F2B91"/>
    <w:rsid w:val="003F7F31"/>
    <w:rsid w:val="0040072F"/>
    <w:rsid w:val="00401262"/>
    <w:rsid w:val="00401322"/>
    <w:rsid w:val="00402738"/>
    <w:rsid w:val="00405C26"/>
    <w:rsid w:val="00416028"/>
    <w:rsid w:val="00416A62"/>
    <w:rsid w:val="00420888"/>
    <w:rsid w:val="00421049"/>
    <w:rsid w:val="0042113A"/>
    <w:rsid w:val="00422611"/>
    <w:rsid w:val="00435C21"/>
    <w:rsid w:val="00437589"/>
    <w:rsid w:val="004475DD"/>
    <w:rsid w:val="00453E1C"/>
    <w:rsid w:val="004551CA"/>
    <w:rsid w:val="0045664E"/>
    <w:rsid w:val="00463781"/>
    <w:rsid w:val="00471FFB"/>
    <w:rsid w:val="00474A86"/>
    <w:rsid w:val="00476BD0"/>
    <w:rsid w:val="0049113D"/>
    <w:rsid w:val="0049132F"/>
    <w:rsid w:val="0049605B"/>
    <w:rsid w:val="004A1724"/>
    <w:rsid w:val="004A2FAE"/>
    <w:rsid w:val="004A7ABD"/>
    <w:rsid w:val="004A7D28"/>
    <w:rsid w:val="004B4E22"/>
    <w:rsid w:val="004C1B31"/>
    <w:rsid w:val="004C389E"/>
    <w:rsid w:val="004D1CED"/>
    <w:rsid w:val="004D5EDF"/>
    <w:rsid w:val="004D63E3"/>
    <w:rsid w:val="004D7651"/>
    <w:rsid w:val="004E1AC6"/>
    <w:rsid w:val="004E3A25"/>
    <w:rsid w:val="004E6615"/>
    <w:rsid w:val="004F1275"/>
    <w:rsid w:val="004F4A74"/>
    <w:rsid w:val="00503095"/>
    <w:rsid w:val="005044E1"/>
    <w:rsid w:val="00505850"/>
    <w:rsid w:val="00505C9C"/>
    <w:rsid w:val="00506DF1"/>
    <w:rsid w:val="00517111"/>
    <w:rsid w:val="00520AEA"/>
    <w:rsid w:val="00520C82"/>
    <w:rsid w:val="00521B07"/>
    <w:rsid w:val="00525617"/>
    <w:rsid w:val="00527304"/>
    <w:rsid w:val="00527C61"/>
    <w:rsid w:val="005354AE"/>
    <w:rsid w:val="00536B9B"/>
    <w:rsid w:val="00537515"/>
    <w:rsid w:val="00537656"/>
    <w:rsid w:val="00545533"/>
    <w:rsid w:val="00550C81"/>
    <w:rsid w:val="005531EC"/>
    <w:rsid w:val="00553FBC"/>
    <w:rsid w:val="00555B91"/>
    <w:rsid w:val="00562D02"/>
    <w:rsid w:val="0056315C"/>
    <w:rsid w:val="005642DD"/>
    <w:rsid w:val="00571647"/>
    <w:rsid w:val="00576028"/>
    <w:rsid w:val="00577677"/>
    <w:rsid w:val="005864AD"/>
    <w:rsid w:val="00587F82"/>
    <w:rsid w:val="00593090"/>
    <w:rsid w:val="005954B4"/>
    <w:rsid w:val="00595CAD"/>
    <w:rsid w:val="00596CED"/>
    <w:rsid w:val="005A2501"/>
    <w:rsid w:val="005A2AF1"/>
    <w:rsid w:val="005A44FF"/>
    <w:rsid w:val="005A5299"/>
    <w:rsid w:val="005A7A4D"/>
    <w:rsid w:val="005B12FA"/>
    <w:rsid w:val="005C1943"/>
    <w:rsid w:val="005C3C3C"/>
    <w:rsid w:val="005C41EF"/>
    <w:rsid w:val="005C60BB"/>
    <w:rsid w:val="005C6A0D"/>
    <w:rsid w:val="005C6D52"/>
    <w:rsid w:val="005C6DB6"/>
    <w:rsid w:val="005C7415"/>
    <w:rsid w:val="005D053D"/>
    <w:rsid w:val="005D0910"/>
    <w:rsid w:val="005D42A6"/>
    <w:rsid w:val="005E58E1"/>
    <w:rsid w:val="005E5B24"/>
    <w:rsid w:val="005E5B52"/>
    <w:rsid w:val="005F0A8A"/>
    <w:rsid w:val="005F3FF0"/>
    <w:rsid w:val="005F4524"/>
    <w:rsid w:val="005F772B"/>
    <w:rsid w:val="00603141"/>
    <w:rsid w:val="00604274"/>
    <w:rsid w:val="0060552B"/>
    <w:rsid w:val="00611C5C"/>
    <w:rsid w:val="00612725"/>
    <w:rsid w:val="006146A8"/>
    <w:rsid w:val="00614E76"/>
    <w:rsid w:val="006155CF"/>
    <w:rsid w:val="00626065"/>
    <w:rsid w:val="00626382"/>
    <w:rsid w:val="00634862"/>
    <w:rsid w:val="00635F63"/>
    <w:rsid w:val="00640878"/>
    <w:rsid w:val="0064499D"/>
    <w:rsid w:val="006454CC"/>
    <w:rsid w:val="0064668C"/>
    <w:rsid w:val="006478ED"/>
    <w:rsid w:val="00650A73"/>
    <w:rsid w:val="00653FBB"/>
    <w:rsid w:val="0065675B"/>
    <w:rsid w:val="00660A8C"/>
    <w:rsid w:val="00663D34"/>
    <w:rsid w:val="006642E5"/>
    <w:rsid w:val="0066436B"/>
    <w:rsid w:val="00664659"/>
    <w:rsid w:val="006648C4"/>
    <w:rsid w:val="006669D1"/>
    <w:rsid w:val="00667BA1"/>
    <w:rsid w:val="0067027E"/>
    <w:rsid w:val="00670BEE"/>
    <w:rsid w:val="0067201E"/>
    <w:rsid w:val="006733E8"/>
    <w:rsid w:val="006756FC"/>
    <w:rsid w:val="00675D0C"/>
    <w:rsid w:val="00680B54"/>
    <w:rsid w:val="0068337D"/>
    <w:rsid w:val="00683E88"/>
    <w:rsid w:val="006952F0"/>
    <w:rsid w:val="006963D2"/>
    <w:rsid w:val="006A54C3"/>
    <w:rsid w:val="006A5DB5"/>
    <w:rsid w:val="006B03F0"/>
    <w:rsid w:val="006B19D1"/>
    <w:rsid w:val="006B2ADD"/>
    <w:rsid w:val="006B2F86"/>
    <w:rsid w:val="006B60A6"/>
    <w:rsid w:val="006B7DE5"/>
    <w:rsid w:val="006C035F"/>
    <w:rsid w:val="006C3AF8"/>
    <w:rsid w:val="006C4385"/>
    <w:rsid w:val="006C6CFF"/>
    <w:rsid w:val="006C6D8D"/>
    <w:rsid w:val="006C6DCB"/>
    <w:rsid w:val="006D23EF"/>
    <w:rsid w:val="006D3D9F"/>
    <w:rsid w:val="006D7467"/>
    <w:rsid w:val="006D74B0"/>
    <w:rsid w:val="006E0634"/>
    <w:rsid w:val="006E0DB3"/>
    <w:rsid w:val="006E18EC"/>
    <w:rsid w:val="006E1DBB"/>
    <w:rsid w:val="006E335A"/>
    <w:rsid w:val="006F0636"/>
    <w:rsid w:val="007000AB"/>
    <w:rsid w:val="00700BFA"/>
    <w:rsid w:val="007075B3"/>
    <w:rsid w:val="00710350"/>
    <w:rsid w:val="007204F9"/>
    <w:rsid w:val="00725295"/>
    <w:rsid w:val="00730B38"/>
    <w:rsid w:val="00734471"/>
    <w:rsid w:val="00742303"/>
    <w:rsid w:val="00742971"/>
    <w:rsid w:val="00744504"/>
    <w:rsid w:val="00746582"/>
    <w:rsid w:val="00747C2E"/>
    <w:rsid w:val="00754744"/>
    <w:rsid w:val="00755B46"/>
    <w:rsid w:val="00757E86"/>
    <w:rsid w:val="00761A85"/>
    <w:rsid w:val="00761C3F"/>
    <w:rsid w:val="0076384E"/>
    <w:rsid w:val="007642B3"/>
    <w:rsid w:val="007673D0"/>
    <w:rsid w:val="007725F7"/>
    <w:rsid w:val="00772E8C"/>
    <w:rsid w:val="007836B5"/>
    <w:rsid w:val="007948B6"/>
    <w:rsid w:val="007A7909"/>
    <w:rsid w:val="007A7D73"/>
    <w:rsid w:val="007B02A8"/>
    <w:rsid w:val="007C1FCA"/>
    <w:rsid w:val="007C2872"/>
    <w:rsid w:val="007C2F0D"/>
    <w:rsid w:val="007C4C83"/>
    <w:rsid w:val="007C5704"/>
    <w:rsid w:val="007C64E9"/>
    <w:rsid w:val="007D02A1"/>
    <w:rsid w:val="007D4025"/>
    <w:rsid w:val="007D52B7"/>
    <w:rsid w:val="007D666C"/>
    <w:rsid w:val="007D6C66"/>
    <w:rsid w:val="007E0BF1"/>
    <w:rsid w:val="007E33A6"/>
    <w:rsid w:val="007E4E82"/>
    <w:rsid w:val="007F16CA"/>
    <w:rsid w:val="007F1F07"/>
    <w:rsid w:val="007F40D6"/>
    <w:rsid w:val="007F61C7"/>
    <w:rsid w:val="007F6300"/>
    <w:rsid w:val="00801132"/>
    <w:rsid w:val="008030F5"/>
    <w:rsid w:val="00803E55"/>
    <w:rsid w:val="0080505A"/>
    <w:rsid w:val="00806F9C"/>
    <w:rsid w:val="00807F85"/>
    <w:rsid w:val="00811FE2"/>
    <w:rsid w:val="008168A6"/>
    <w:rsid w:val="008270D7"/>
    <w:rsid w:val="008315F2"/>
    <w:rsid w:val="00833844"/>
    <w:rsid w:val="00835E99"/>
    <w:rsid w:val="008404DA"/>
    <w:rsid w:val="00847E22"/>
    <w:rsid w:val="00854190"/>
    <w:rsid w:val="00856019"/>
    <w:rsid w:val="00864495"/>
    <w:rsid w:val="00864AC0"/>
    <w:rsid w:val="008667B0"/>
    <w:rsid w:val="00870102"/>
    <w:rsid w:val="00870D1C"/>
    <w:rsid w:val="008722D9"/>
    <w:rsid w:val="00872847"/>
    <w:rsid w:val="0087441A"/>
    <w:rsid w:val="00882583"/>
    <w:rsid w:val="008825F4"/>
    <w:rsid w:val="0088279B"/>
    <w:rsid w:val="008857AA"/>
    <w:rsid w:val="00890D45"/>
    <w:rsid w:val="008910AF"/>
    <w:rsid w:val="00893FAA"/>
    <w:rsid w:val="00895EF3"/>
    <w:rsid w:val="00897332"/>
    <w:rsid w:val="008B1328"/>
    <w:rsid w:val="008B3232"/>
    <w:rsid w:val="008B6D55"/>
    <w:rsid w:val="008C3B72"/>
    <w:rsid w:val="008C3E6D"/>
    <w:rsid w:val="008C5FB5"/>
    <w:rsid w:val="008C7E08"/>
    <w:rsid w:val="008D0F71"/>
    <w:rsid w:val="008D1230"/>
    <w:rsid w:val="008D5313"/>
    <w:rsid w:val="008D576F"/>
    <w:rsid w:val="008E1BD7"/>
    <w:rsid w:val="008E265E"/>
    <w:rsid w:val="008F06AA"/>
    <w:rsid w:val="008F11D5"/>
    <w:rsid w:val="009047C8"/>
    <w:rsid w:val="009065D8"/>
    <w:rsid w:val="00907818"/>
    <w:rsid w:val="00910CBA"/>
    <w:rsid w:val="00912FEF"/>
    <w:rsid w:val="009139AF"/>
    <w:rsid w:val="00915CEC"/>
    <w:rsid w:val="0091603D"/>
    <w:rsid w:val="009224FC"/>
    <w:rsid w:val="009263C2"/>
    <w:rsid w:val="00934899"/>
    <w:rsid w:val="009430BD"/>
    <w:rsid w:val="00943C78"/>
    <w:rsid w:val="00944D10"/>
    <w:rsid w:val="00947AC8"/>
    <w:rsid w:val="00950AD8"/>
    <w:rsid w:val="0095568B"/>
    <w:rsid w:val="00957974"/>
    <w:rsid w:val="009638B3"/>
    <w:rsid w:val="00977317"/>
    <w:rsid w:val="0098288C"/>
    <w:rsid w:val="00983579"/>
    <w:rsid w:val="0098366D"/>
    <w:rsid w:val="009A1DCA"/>
    <w:rsid w:val="009A4D08"/>
    <w:rsid w:val="009A5048"/>
    <w:rsid w:val="009A6092"/>
    <w:rsid w:val="009B4FEE"/>
    <w:rsid w:val="009B7D7F"/>
    <w:rsid w:val="009C181E"/>
    <w:rsid w:val="009C4DDF"/>
    <w:rsid w:val="009C63C2"/>
    <w:rsid w:val="009D150F"/>
    <w:rsid w:val="009D5E6C"/>
    <w:rsid w:val="009D73C5"/>
    <w:rsid w:val="009F1744"/>
    <w:rsid w:val="009F569C"/>
    <w:rsid w:val="009F5C2E"/>
    <w:rsid w:val="00A00BF5"/>
    <w:rsid w:val="00A01EB4"/>
    <w:rsid w:val="00A020B8"/>
    <w:rsid w:val="00A02527"/>
    <w:rsid w:val="00A07E80"/>
    <w:rsid w:val="00A10A9C"/>
    <w:rsid w:val="00A144A3"/>
    <w:rsid w:val="00A2430B"/>
    <w:rsid w:val="00A257D9"/>
    <w:rsid w:val="00A2750F"/>
    <w:rsid w:val="00A41BA7"/>
    <w:rsid w:val="00A42EAA"/>
    <w:rsid w:val="00A43387"/>
    <w:rsid w:val="00A4779D"/>
    <w:rsid w:val="00A51840"/>
    <w:rsid w:val="00A60208"/>
    <w:rsid w:val="00A6286E"/>
    <w:rsid w:val="00A64535"/>
    <w:rsid w:val="00A7019E"/>
    <w:rsid w:val="00A7149F"/>
    <w:rsid w:val="00A71A8B"/>
    <w:rsid w:val="00A71F9A"/>
    <w:rsid w:val="00A73218"/>
    <w:rsid w:val="00A732A1"/>
    <w:rsid w:val="00A84275"/>
    <w:rsid w:val="00A8617F"/>
    <w:rsid w:val="00A8750A"/>
    <w:rsid w:val="00A90878"/>
    <w:rsid w:val="00AA1435"/>
    <w:rsid w:val="00AA24D9"/>
    <w:rsid w:val="00AA2604"/>
    <w:rsid w:val="00AA2D4E"/>
    <w:rsid w:val="00AA6453"/>
    <w:rsid w:val="00AA66C1"/>
    <w:rsid w:val="00AB12AC"/>
    <w:rsid w:val="00AB24BA"/>
    <w:rsid w:val="00AB4419"/>
    <w:rsid w:val="00AC08E3"/>
    <w:rsid w:val="00AC1037"/>
    <w:rsid w:val="00AC57E5"/>
    <w:rsid w:val="00AC75B5"/>
    <w:rsid w:val="00AE125F"/>
    <w:rsid w:val="00AE3164"/>
    <w:rsid w:val="00AE69C7"/>
    <w:rsid w:val="00AF11ED"/>
    <w:rsid w:val="00AF218D"/>
    <w:rsid w:val="00AF4DF3"/>
    <w:rsid w:val="00B03E8F"/>
    <w:rsid w:val="00B04775"/>
    <w:rsid w:val="00B067AB"/>
    <w:rsid w:val="00B06E15"/>
    <w:rsid w:val="00B10C17"/>
    <w:rsid w:val="00B16F18"/>
    <w:rsid w:val="00B25E96"/>
    <w:rsid w:val="00B2720B"/>
    <w:rsid w:val="00B27646"/>
    <w:rsid w:val="00B3003D"/>
    <w:rsid w:val="00B32114"/>
    <w:rsid w:val="00B3228D"/>
    <w:rsid w:val="00B36071"/>
    <w:rsid w:val="00B403E8"/>
    <w:rsid w:val="00B42598"/>
    <w:rsid w:val="00B4285D"/>
    <w:rsid w:val="00B445A6"/>
    <w:rsid w:val="00B447B3"/>
    <w:rsid w:val="00B4671E"/>
    <w:rsid w:val="00B4716E"/>
    <w:rsid w:val="00B506AC"/>
    <w:rsid w:val="00B52170"/>
    <w:rsid w:val="00B57E29"/>
    <w:rsid w:val="00B639BE"/>
    <w:rsid w:val="00B64423"/>
    <w:rsid w:val="00B64486"/>
    <w:rsid w:val="00B76371"/>
    <w:rsid w:val="00B82C4A"/>
    <w:rsid w:val="00B83E9D"/>
    <w:rsid w:val="00B85767"/>
    <w:rsid w:val="00B87B58"/>
    <w:rsid w:val="00B95673"/>
    <w:rsid w:val="00B97579"/>
    <w:rsid w:val="00B97D6A"/>
    <w:rsid w:val="00BC0374"/>
    <w:rsid w:val="00BC15D2"/>
    <w:rsid w:val="00BC61FC"/>
    <w:rsid w:val="00BD51B7"/>
    <w:rsid w:val="00BD64FB"/>
    <w:rsid w:val="00BD7B5A"/>
    <w:rsid w:val="00BF0D5A"/>
    <w:rsid w:val="00BF1E98"/>
    <w:rsid w:val="00BF48A4"/>
    <w:rsid w:val="00BF58BD"/>
    <w:rsid w:val="00BF73F4"/>
    <w:rsid w:val="00C019C0"/>
    <w:rsid w:val="00C01CB1"/>
    <w:rsid w:val="00C0609E"/>
    <w:rsid w:val="00C10771"/>
    <w:rsid w:val="00C1402D"/>
    <w:rsid w:val="00C15C17"/>
    <w:rsid w:val="00C17244"/>
    <w:rsid w:val="00C23A88"/>
    <w:rsid w:val="00C253FE"/>
    <w:rsid w:val="00C25EA6"/>
    <w:rsid w:val="00C31BC2"/>
    <w:rsid w:val="00C31CD3"/>
    <w:rsid w:val="00C33B31"/>
    <w:rsid w:val="00C50104"/>
    <w:rsid w:val="00C552C2"/>
    <w:rsid w:val="00C617BE"/>
    <w:rsid w:val="00C62B5E"/>
    <w:rsid w:val="00C66678"/>
    <w:rsid w:val="00C66EF2"/>
    <w:rsid w:val="00C7383D"/>
    <w:rsid w:val="00C74048"/>
    <w:rsid w:val="00C83793"/>
    <w:rsid w:val="00C84C93"/>
    <w:rsid w:val="00C93158"/>
    <w:rsid w:val="00C94C33"/>
    <w:rsid w:val="00C94DCE"/>
    <w:rsid w:val="00C94E04"/>
    <w:rsid w:val="00C975C9"/>
    <w:rsid w:val="00C97815"/>
    <w:rsid w:val="00CA0CF8"/>
    <w:rsid w:val="00CA6B72"/>
    <w:rsid w:val="00CA7866"/>
    <w:rsid w:val="00CB2CC6"/>
    <w:rsid w:val="00CB3A76"/>
    <w:rsid w:val="00CB5392"/>
    <w:rsid w:val="00CB6D21"/>
    <w:rsid w:val="00CB6EC2"/>
    <w:rsid w:val="00CB79A1"/>
    <w:rsid w:val="00CC7510"/>
    <w:rsid w:val="00CD149B"/>
    <w:rsid w:val="00CD214E"/>
    <w:rsid w:val="00CD5288"/>
    <w:rsid w:val="00CD7450"/>
    <w:rsid w:val="00CE0212"/>
    <w:rsid w:val="00CE1014"/>
    <w:rsid w:val="00CE5DCA"/>
    <w:rsid w:val="00CE6DF9"/>
    <w:rsid w:val="00CF04CA"/>
    <w:rsid w:val="00CF6D15"/>
    <w:rsid w:val="00D03EA1"/>
    <w:rsid w:val="00D04098"/>
    <w:rsid w:val="00D04BC7"/>
    <w:rsid w:val="00D10717"/>
    <w:rsid w:val="00D13645"/>
    <w:rsid w:val="00D15085"/>
    <w:rsid w:val="00D157A4"/>
    <w:rsid w:val="00D17D09"/>
    <w:rsid w:val="00D20916"/>
    <w:rsid w:val="00D2261D"/>
    <w:rsid w:val="00D236FC"/>
    <w:rsid w:val="00D242FD"/>
    <w:rsid w:val="00D347D2"/>
    <w:rsid w:val="00D36FE1"/>
    <w:rsid w:val="00D45BA3"/>
    <w:rsid w:val="00D47140"/>
    <w:rsid w:val="00D520B2"/>
    <w:rsid w:val="00D57204"/>
    <w:rsid w:val="00D61603"/>
    <w:rsid w:val="00D7105D"/>
    <w:rsid w:val="00D73A84"/>
    <w:rsid w:val="00D73B30"/>
    <w:rsid w:val="00D7566D"/>
    <w:rsid w:val="00D7765B"/>
    <w:rsid w:val="00D77C73"/>
    <w:rsid w:val="00D87B97"/>
    <w:rsid w:val="00D91982"/>
    <w:rsid w:val="00D92196"/>
    <w:rsid w:val="00D9338E"/>
    <w:rsid w:val="00D97A26"/>
    <w:rsid w:val="00D97E49"/>
    <w:rsid w:val="00DA4328"/>
    <w:rsid w:val="00DB4EAB"/>
    <w:rsid w:val="00DB5DA9"/>
    <w:rsid w:val="00DC328A"/>
    <w:rsid w:val="00DC4924"/>
    <w:rsid w:val="00DC556E"/>
    <w:rsid w:val="00DC7164"/>
    <w:rsid w:val="00DD5178"/>
    <w:rsid w:val="00DE3055"/>
    <w:rsid w:val="00DE3268"/>
    <w:rsid w:val="00DE70AE"/>
    <w:rsid w:val="00DF0C5E"/>
    <w:rsid w:val="00DF7A07"/>
    <w:rsid w:val="00E00755"/>
    <w:rsid w:val="00E00EC4"/>
    <w:rsid w:val="00E03E1A"/>
    <w:rsid w:val="00E0427D"/>
    <w:rsid w:val="00E04FC0"/>
    <w:rsid w:val="00E07861"/>
    <w:rsid w:val="00E10053"/>
    <w:rsid w:val="00E10472"/>
    <w:rsid w:val="00E11110"/>
    <w:rsid w:val="00E22F3F"/>
    <w:rsid w:val="00E23E0B"/>
    <w:rsid w:val="00E23F00"/>
    <w:rsid w:val="00E3317B"/>
    <w:rsid w:val="00E3386F"/>
    <w:rsid w:val="00E3424D"/>
    <w:rsid w:val="00E52EE1"/>
    <w:rsid w:val="00E732C9"/>
    <w:rsid w:val="00E74C2F"/>
    <w:rsid w:val="00E76C3A"/>
    <w:rsid w:val="00E77101"/>
    <w:rsid w:val="00E77EE7"/>
    <w:rsid w:val="00E82C0C"/>
    <w:rsid w:val="00E858A7"/>
    <w:rsid w:val="00E8716B"/>
    <w:rsid w:val="00E8787F"/>
    <w:rsid w:val="00E92D8C"/>
    <w:rsid w:val="00E966FD"/>
    <w:rsid w:val="00EA05BA"/>
    <w:rsid w:val="00EA2DCF"/>
    <w:rsid w:val="00EA3EEC"/>
    <w:rsid w:val="00EA5E6A"/>
    <w:rsid w:val="00EA6FE9"/>
    <w:rsid w:val="00EB2C64"/>
    <w:rsid w:val="00EB2F2C"/>
    <w:rsid w:val="00EB36AD"/>
    <w:rsid w:val="00EB3C69"/>
    <w:rsid w:val="00EB62D7"/>
    <w:rsid w:val="00EB6C50"/>
    <w:rsid w:val="00EC126D"/>
    <w:rsid w:val="00EC720E"/>
    <w:rsid w:val="00ED1237"/>
    <w:rsid w:val="00ED2F8C"/>
    <w:rsid w:val="00ED452D"/>
    <w:rsid w:val="00ED4B86"/>
    <w:rsid w:val="00EE7D8D"/>
    <w:rsid w:val="00EF0D43"/>
    <w:rsid w:val="00EF1FB7"/>
    <w:rsid w:val="00F01005"/>
    <w:rsid w:val="00F0109D"/>
    <w:rsid w:val="00F14133"/>
    <w:rsid w:val="00F20F0C"/>
    <w:rsid w:val="00F32F3A"/>
    <w:rsid w:val="00F35ABF"/>
    <w:rsid w:val="00F37DC9"/>
    <w:rsid w:val="00F40053"/>
    <w:rsid w:val="00F438E3"/>
    <w:rsid w:val="00F43D1E"/>
    <w:rsid w:val="00F464BF"/>
    <w:rsid w:val="00F46BA9"/>
    <w:rsid w:val="00F52243"/>
    <w:rsid w:val="00F52FD1"/>
    <w:rsid w:val="00F54329"/>
    <w:rsid w:val="00F545AC"/>
    <w:rsid w:val="00F55301"/>
    <w:rsid w:val="00F56999"/>
    <w:rsid w:val="00F573F1"/>
    <w:rsid w:val="00F60644"/>
    <w:rsid w:val="00F61423"/>
    <w:rsid w:val="00F615BD"/>
    <w:rsid w:val="00F6767A"/>
    <w:rsid w:val="00F67E6A"/>
    <w:rsid w:val="00F854D8"/>
    <w:rsid w:val="00F860E1"/>
    <w:rsid w:val="00F860F7"/>
    <w:rsid w:val="00F93181"/>
    <w:rsid w:val="00F97C75"/>
    <w:rsid w:val="00FA2D2A"/>
    <w:rsid w:val="00FA3413"/>
    <w:rsid w:val="00FA7186"/>
    <w:rsid w:val="00FB115F"/>
    <w:rsid w:val="00FB4A1C"/>
    <w:rsid w:val="00FB504D"/>
    <w:rsid w:val="00FB51DC"/>
    <w:rsid w:val="00FB5CD9"/>
    <w:rsid w:val="00FB6924"/>
    <w:rsid w:val="00FC7377"/>
    <w:rsid w:val="00FD12DB"/>
    <w:rsid w:val="00FD3C84"/>
    <w:rsid w:val="00FD57E2"/>
    <w:rsid w:val="00FE03F5"/>
    <w:rsid w:val="00FE493E"/>
    <w:rsid w:val="00FE5DF6"/>
    <w:rsid w:val="00FF69E1"/>
    <w:rsid w:val="00FF6B3D"/>
    <w:rsid w:val="00FF7A8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3594D"/>
  <w15:docId w15:val="{AE278A13-9C2A-4D53-8A14-E27E9B8F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744504"/>
    <w:rPr>
      <w:sz w:val="16"/>
      <w:szCs w:val="16"/>
    </w:rPr>
  </w:style>
  <w:style w:type="paragraph" w:styleId="Textkomente">
    <w:name w:val="annotation text"/>
    <w:basedOn w:val="Normln"/>
    <w:link w:val="TextkomenteChar"/>
    <w:uiPriority w:val="99"/>
    <w:unhideWhenUsed/>
    <w:rsid w:val="00744504"/>
    <w:rPr>
      <w:sz w:val="20"/>
    </w:rPr>
  </w:style>
  <w:style w:type="character" w:customStyle="1" w:styleId="TextkomenteChar">
    <w:name w:val="Text komentáře Char"/>
    <w:basedOn w:val="Standardnpsmoodstavce"/>
    <w:link w:val="Textkomente"/>
    <w:uiPriority w:val="99"/>
    <w:rsid w:val="007445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44504"/>
    <w:rPr>
      <w:b/>
      <w:bCs/>
    </w:rPr>
  </w:style>
  <w:style w:type="character" w:customStyle="1" w:styleId="PedmtkomenteChar">
    <w:name w:val="Předmět komentáře Char"/>
    <w:basedOn w:val="TextkomenteChar"/>
    <w:link w:val="Pedmtkomente"/>
    <w:uiPriority w:val="99"/>
    <w:semiHidden/>
    <w:rsid w:val="00744504"/>
    <w:rPr>
      <w:rFonts w:ascii="Arial" w:eastAsia="Times New Roman" w:hAnsi="Arial" w:cs="Times New Roman"/>
      <w:b/>
      <w:bCs/>
      <w:sz w:val="20"/>
      <w:szCs w:val="20"/>
      <w:lang w:eastAsia="cs-CZ"/>
    </w:rPr>
  </w:style>
  <w:style w:type="paragraph" w:customStyle="1" w:styleId="Default">
    <w:name w:val="Default"/>
    <w:rsid w:val="006E1DBB"/>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747C2E"/>
    <w:pPr>
      <w:spacing w:after="0" w:line="240" w:lineRule="auto"/>
    </w:pPr>
    <w:rPr>
      <w:rFonts w:ascii="Arial" w:eastAsia="Times New Roman" w:hAnsi="Arial" w:cs="Times New Roman"/>
      <w:sz w:val="18"/>
      <w:szCs w:val="20"/>
      <w:lang w:eastAsia="cs-CZ"/>
    </w:rPr>
  </w:style>
  <w:style w:type="paragraph" w:styleId="Textpoznpodarou">
    <w:name w:val="footnote text"/>
    <w:basedOn w:val="Normln"/>
    <w:link w:val="TextpoznpodarouChar"/>
    <w:uiPriority w:val="99"/>
    <w:semiHidden/>
    <w:unhideWhenUsed/>
    <w:rsid w:val="00AA6453"/>
    <w:rPr>
      <w:sz w:val="20"/>
    </w:rPr>
  </w:style>
  <w:style w:type="character" w:customStyle="1" w:styleId="TextpoznpodarouChar">
    <w:name w:val="Text pozn. pod čarou Char"/>
    <w:basedOn w:val="Standardnpsmoodstavce"/>
    <w:link w:val="Textpoznpodarou"/>
    <w:uiPriority w:val="99"/>
    <w:semiHidden/>
    <w:rsid w:val="00AA645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AA6453"/>
    <w:rPr>
      <w:vertAlign w:val="superscript"/>
    </w:rPr>
  </w:style>
  <w:style w:type="character" w:customStyle="1" w:styleId="cf01">
    <w:name w:val="cf01"/>
    <w:basedOn w:val="Standardnpsmoodstavce"/>
    <w:rsid w:val="009835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939">
      <w:bodyDiv w:val="1"/>
      <w:marLeft w:val="0"/>
      <w:marRight w:val="0"/>
      <w:marTop w:val="0"/>
      <w:marBottom w:val="0"/>
      <w:divBdr>
        <w:top w:val="none" w:sz="0" w:space="0" w:color="auto"/>
        <w:left w:val="none" w:sz="0" w:space="0" w:color="auto"/>
        <w:bottom w:val="none" w:sz="0" w:space="0" w:color="auto"/>
        <w:right w:val="none" w:sz="0" w:space="0" w:color="auto"/>
      </w:divBdr>
    </w:div>
    <w:div w:id="125004222">
      <w:bodyDiv w:val="1"/>
      <w:marLeft w:val="0"/>
      <w:marRight w:val="0"/>
      <w:marTop w:val="0"/>
      <w:marBottom w:val="0"/>
      <w:divBdr>
        <w:top w:val="none" w:sz="0" w:space="0" w:color="auto"/>
        <w:left w:val="none" w:sz="0" w:space="0" w:color="auto"/>
        <w:bottom w:val="none" w:sz="0" w:space="0" w:color="auto"/>
        <w:right w:val="none" w:sz="0" w:space="0" w:color="auto"/>
      </w:divBdr>
    </w:div>
    <w:div w:id="171840413">
      <w:bodyDiv w:val="1"/>
      <w:marLeft w:val="0"/>
      <w:marRight w:val="0"/>
      <w:marTop w:val="0"/>
      <w:marBottom w:val="0"/>
      <w:divBdr>
        <w:top w:val="none" w:sz="0" w:space="0" w:color="auto"/>
        <w:left w:val="none" w:sz="0" w:space="0" w:color="auto"/>
        <w:bottom w:val="none" w:sz="0" w:space="0" w:color="auto"/>
        <w:right w:val="none" w:sz="0" w:space="0" w:color="auto"/>
      </w:divBdr>
    </w:div>
    <w:div w:id="175772208">
      <w:bodyDiv w:val="1"/>
      <w:marLeft w:val="0"/>
      <w:marRight w:val="0"/>
      <w:marTop w:val="0"/>
      <w:marBottom w:val="0"/>
      <w:divBdr>
        <w:top w:val="none" w:sz="0" w:space="0" w:color="auto"/>
        <w:left w:val="none" w:sz="0" w:space="0" w:color="auto"/>
        <w:bottom w:val="none" w:sz="0" w:space="0" w:color="auto"/>
        <w:right w:val="none" w:sz="0" w:space="0" w:color="auto"/>
      </w:divBdr>
    </w:div>
    <w:div w:id="213080258">
      <w:bodyDiv w:val="1"/>
      <w:marLeft w:val="0"/>
      <w:marRight w:val="0"/>
      <w:marTop w:val="0"/>
      <w:marBottom w:val="0"/>
      <w:divBdr>
        <w:top w:val="none" w:sz="0" w:space="0" w:color="auto"/>
        <w:left w:val="none" w:sz="0" w:space="0" w:color="auto"/>
        <w:bottom w:val="none" w:sz="0" w:space="0" w:color="auto"/>
        <w:right w:val="none" w:sz="0" w:space="0" w:color="auto"/>
      </w:divBdr>
    </w:div>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20087060">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389623159">
      <w:bodyDiv w:val="1"/>
      <w:marLeft w:val="0"/>
      <w:marRight w:val="0"/>
      <w:marTop w:val="0"/>
      <w:marBottom w:val="0"/>
      <w:divBdr>
        <w:top w:val="none" w:sz="0" w:space="0" w:color="auto"/>
        <w:left w:val="none" w:sz="0" w:space="0" w:color="auto"/>
        <w:bottom w:val="none" w:sz="0" w:space="0" w:color="auto"/>
        <w:right w:val="none" w:sz="0" w:space="0" w:color="auto"/>
      </w:divBdr>
    </w:div>
    <w:div w:id="433131831">
      <w:bodyDiv w:val="1"/>
      <w:marLeft w:val="0"/>
      <w:marRight w:val="0"/>
      <w:marTop w:val="0"/>
      <w:marBottom w:val="0"/>
      <w:divBdr>
        <w:top w:val="none" w:sz="0" w:space="0" w:color="auto"/>
        <w:left w:val="none" w:sz="0" w:space="0" w:color="auto"/>
        <w:bottom w:val="none" w:sz="0" w:space="0" w:color="auto"/>
        <w:right w:val="none" w:sz="0" w:space="0" w:color="auto"/>
      </w:divBdr>
    </w:div>
    <w:div w:id="434447739">
      <w:bodyDiv w:val="1"/>
      <w:marLeft w:val="0"/>
      <w:marRight w:val="0"/>
      <w:marTop w:val="0"/>
      <w:marBottom w:val="0"/>
      <w:divBdr>
        <w:top w:val="none" w:sz="0" w:space="0" w:color="auto"/>
        <w:left w:val="none" w:sz="0" w:space="0" w:color="auto"/>
        <w:bottom w:val="none" w:sz="0" w:space="0" w:color="auto"/>
        <w:right w:val="none" w:sz="0" w:space="0" w:color="auto"/>
      </w:divBdr>
    </w:div>
    <w:div w:id="622227915">
      <w:bodyDiv w:val="1"/>
      <w:marLeft w:val="0"/>
      <w:marRight w:val="0"/>
      <w:marTop w:val="0"/>
      <w:marBottom w:val="0"/>
      <w:divBdr>
        <w:top w:val="none" w:sz="0" w:space="0" w:color="auto"/>
        <w:left w:val="none" w:sz="0" w:space="0" w:color="auto"/>
        <w:bottom w:val="none" w:sz="0" w:space="0" w:color="auto"/>
        <w:right w:val="none" w:sz="0" w:space="0" w:color="auto"/>
      </w:divBdr>
    </w:div>
    <w:div w:id="740103959">
      <w:bodyDiv w:val="1"/>
      <w:marLeft w:val="0"/>
      <w:marRight w:val="0"/>
      <w:marTop w:val="0"/>
      <w:marBottom w:val="0"/>
      <w:divBdr>
        <w:top w:val="none" w:sz="0" w:space="0" w:color="auto"/>
        <w:left w:val="none" w:sz="0" w:space="0" w:color="auto"/>
        <w:bottom w:val="none" w:sz="0" w:space="0" w:color="auto"/>
        <w:right w:val="none" w:sz="0" w:space="0" w:color="auto"/>
      </w:divBdr>
    </w:div>
    <w:div w:id="744883708">
      <w:bodyDiv w:val="1"/>
      <w:marLeft w:val="0"/>
      <w:marRight w:val="0"/>
      <w:marTop w:val="0"/>
      <w:marBottom w:val="0"/>
      <w:divBdr>
        <w:top w:val="none" w:sz="0" w:space="0" w:color="auto"/>
        <w:left w:val="none" w:sz="0" w:space="0" w:color="auto"/>
        <w:bottom w:val="none" w:sz="0" w:space="0" w:color="auto"/>
        <w:right w:val="none" w:sz="0" w:space="0" w:color="auto"/>
      </w:divBdr>
    </w:div>
    <w:div w:id="775829942">
      <w:bodyDiv w:val="1"/>
      <w:marLeft w:val="0"/>
      <w:marRight w:val="0"/>
      <w:marTop w:val="0"/>
      <w:marBottom w:val="0"/>
      <w:divBdr>
        <w:top w:val="none" w:sz="0" w:space="0" w:color="auto"/>
        <w:left w:val="none" w:sz="0" w:space="0" w:color="auto"/>
        <w:bottom w:val="none" w:sz="0" w:space="0" w:color="auto"/>
        <w:right w:val="none" w:sz="0" w:space="0" w:color="auto"/>
      </w:divBdr>
    </w:div>
    <w:div w:id="794324714">
      <w:bodyDiv w:val="1"/>
      <w:marLeft w:val="0"/>
      <w:marRight w:val="0"/>
      <w:marTop w:val="0"/>
      <w:marBottom w:val="0"/>
      <w:divBdr>
        <w:top w:val="none" w:sz="0" w:space="0" w:color="auto"/>
        <w:left w:val="none" w:sz="0" w:space="0" w:color="auto"/>
        <w:bottom w:val="none" w:sz="0" w:space="0" w:color="auto"/>
        <w:right w:val="none" w:sz="0" w:space="0" w:color="auto"/>
      </w:divBdr>
    </w:div>
    <w:div w:id="844367420">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74662016">
      <w:bodyDiv w:val="1"/>
      <w:marLeft w:val="0"/>
      <w:marRight w:val="0"/>
      <w:marTop w:val="0"/>
      <w:marBottom w:val="0"/>
      <w:divBdr>
        <w:top w:val="none" w:sz="0" w:space="0" w:color="auto"/>
        <w:left w:val="none" w:sz="0" w:space="0" w:color="auto"/>
        <w:bottom w:val="none" w:sz="0" w:space="0" w:color="auto"/>
        <w:right w:val="none" w:sz="0" w:space="0" w:color="auto"/>
      </w:divBdr>
    </w:div>
    <w:div w:id="881596654">
      <w:bodyDiv w:val="1"/>
      <w:marLeft w:val="0"/>
      <w:marRight w:val="0"/>
      <w:marTop w:val="0"/>
      <w:marBottom w:val="0"/>
      <w:divBdr>
        <w:top w:val="none" w:sz="0" w:space="0" w:color="auto"/>
        <w:left w:val="none" w:sz="0" w:space="0" w:color="auto"/>
        <w:bottom w:val="none" w:sz="0" w:space="0" w:color="auto"/>
        <w:right w:val="none" w:sz="0" w:space="0" w:color="auto"/>
      </w:divBdr>
    </w:div>
    <w:div w:id="972368172">
      <w:bodyDiv w:val="1"/>
      <w:marLeft w:val="0"/>
      <w:marRight w:val="0"/>
      <w:marTop w:val="0"/>
      <w:marBottom w:val="0"/>
      <w:divBdr>
        <w:top w:val="none" w:sz="0" w:space="0" w:color="auto"/>
        <w:left w:val="none" w:sz="0" w:space="0" w:color="auto"/>
        <w:bottom w:val="none" w:sz="0" w:space="0" w:color="auto"/>
        <w:right w:val="none" w:sz="0" w:space="0" w:color="auto"/>
      </w:divBdr>
    </w:div>
    <w:div w:id="974721017">
      <w:bodyDiv w:val="1"/>
      <w:marLeft w:val="0"/>
      <w:marRight w:val="0"/>
      <w:marTop w:val="0"/>
      <w:marBottom w:val="0"/>
      <w:divBdr>
        <w:top w:val="none" w:sz="0" w:space="0" w:color="auto"/>
        <w:left w:val="none" w:sz="0" w:space="0" w:color="auto"/>
        <w:bottom w:val="none" w:sz="0" w:space="0" w:color="auto"/>
        <w:right w:val="none" w:sz="0" w:space="0" w:color="auto"/>
      </w:divBdr>
    </w:div>
    <w:div w:id="1031538979">
      <w:bodyDiv w:val="1"/>
      <w:marLeft w:val="0"/>
      <w:marRight w:val="0"/>
      <w:marTop w:val="0"/>
      <w:marBottom w:val="0"/>
      <w:divBdr>
        <w:top w:val="none" w:sz="0" w:space="0" w:color="auto"/>
        <w:left w:val="none" w:sz="0" w:space="0" w:color="auto"/>
        <w:bottom w:val="none" w:sz="0" w:space="0" w:color="auto"/>
        <w:right w:val="none" w:sz="0" w:space="0" w:color="auto"/>
      </w:divBdr>
    </w:div>
    <w:div w:id="1053165063">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247962172">
      <w:bodyDiv w:val="1"/>
      <w:marLeft w:val="0"/>
      <w:marRight w:val="0"/>
      <w:marTop w:val="0"/>
      <w:marBottom w:val="0"/>
      <w:divBdr>
        <w:top w:val="none" w:sz="0" w:space="0" w:color="auto"/>
        <w:left w:val="none" w:sz="0" w:space="0" w:color="auto"/>
        <w:bottom w:val="none" w:sz="0" w:space="0" w:color="auto"/>
        <w:right w:val="none" w:sz="0" w:space="0" w:color="auto"/>
      </w:divBdr>
    </w:div>
    <w:div w:id="1285036963">
      <w:bodyDiv w:val="1"/>
      <w:marLeft w:val="0"/>
      <w:marRight w:val="0"/>
      <w:marTop w:val="0"/>
      <w:marBottom w:val="0"/>
      <w:divBdr>
        <w:top w:val="none" w:sz="0" w:space="0" w:color="auto"/>
        <w:left w:val="none" w:sz="0" w:space="0" w:color="auto"/>
        <w:bottom w:val="none" w:sz="0" w:space="0" w:color="auto"/>
        <w:right w:val="none" w:sz="0" w:space="0" w:color="auto"/>
      </w:divBdr>
    </w:div>
    <w:div w:id="1303655994">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509517607">
      <w:bodyDiv w:val="1"/>
      <w:marLeft w:val="0"/>
      <w:marRight w:val="0"/>
      <w:marTop w:val="0"/>
      <w:marBottom w:val="0"/>
      <w:divBdr>
        <w:top w:val="none" w:sz="0" w:space="0" w:color="auto"/>
        <w:left w:val="none" w:sz="0" w:space="0" w:color="auto"/>
        <w:bottom w:val="none" w:sz="0" w:space="0" w:color="auto"/>
        <w:right w:val="none" w:sz="0" w:space="0" w:color="auto"/>
      </w:divBdr>
    </w:div>
    <w:div w:id="1553422533">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727532493">
      <w:bodyDiv w:val="1"/>
      <w:marLeft w:val="0"/>
      <w:marRight w:val="0"/>
      <w:marTop w:val="0"/>
      <w:marBottom w:val="0"/>
      <w:divBdr>
        <w:top w:val="none" w:sz="0" w:space="0" w:color="auto"/>
        <w:left w:val="none" w:sz="0" w:space="0" w:color="auto"/>
        <w:bottom w:val="none" w:sz="0" w:space="0" w:color="auto"/>
        <w:right w:val="none" w:sz="0" w:space="0" w:color="auto"/>
      </w:divBdr>
    </w:div>
    <w:div w:id="1757242897">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777214021">
      <w:bodyDiv w:val="1"/>
      <w:marLeft w:val="0"/>
      <w:marRight w:val="0"/>
      <w:marTop w:val="0"/>
      <w:marBottom w:val="0"/>
      <w:divBdr>
        <w:top w:val="none" w:sz="0" w:space="0" w:color="auto"/>
        <w:left w:val="none" w:sz="0" w:space="0" w:color="auto"/>
        <w:bottom w:val="none" w:sz="0" w:space="0" w:color="auto"/>
        <w:right w:val="none" w:sz="0" w:space="0" w:color="auto"/>
      </w:divBdr>
    </w:div>
    <w:div w:id="1824738871">
      <w:bodyDiv w:val="1"/>
      <w:marLeft w:val="0"/>
      <w:marRight w:val="0"/>
      <w:marTop w:val="0"/>
      <w:marBottom w:val="0"/>
      <w:divBdr>
        <w:top w:val="none" w:sz="0" w:space="0" w:color="auto"/>
        <w:left w:val="none" w:sz="0" w:space="0" w:color="auto"/>
        <w:bottom w:val="none" w:sz="0" w:space="0" w:color="auto"/>
        <w:right w:val="none" w:sz="0" w:space="0" w:color="auto"/>
      </w:divBdr>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 w:id="2033920408">
      <w:bodyDiv w:val="1"/>
      <w:marLeft w:val="0"/>
      <w:marRight w:val="0"/>
      <w:marTop w:val="0"/>
      <w:marBottom w:val="0"/>
      <w:divBdr>
        <w:top w:val="none" w:sz="0" w:space="0" w:color="auto"/>
        <w:left w:val="none" w:sz="0" w:space="0" w:color="auto"/>
        <w:bottom w:val="none" w:sz="0" w:space="0" w:color="auto"/>
        <w:right w:val="none" w:sz="0" w:space="0" w:color="auto"/>
      </w:divBdr>
    </w:div>
    <w:div w:id="2048217982">
      <w:bodyDiv w:val="1"/>
      <w:marLeft w:val="0"/>
      <w:marRight w:val="0"/>
      <w:marTop w:val="0"/>
      <w:marBottom w:val="0"/>
      <w:divBdr>
        <w:top w:val="none" w:sz="0" w:space="0" w:color="auto"/>
        <w:left w:val="none" w:sz="0" w:space="0" w:color="auto"/>
        <w:bottom w:val="none" w:sz="0" w:space="0" w:color="auto"/>
        <w:right w:val="none" w:sz="0" w:space="0" w:color="auto"/>
      </w:divBdr>
    </w:div>
    <w:div w:id="2071535983">
      <w:bodyDiv w:val="1"/>
      <w:marLeft w:val="0"/>
      <w:marRight w:val="0"/>
      <w:marTop w:val="0"/>
      <w:marBottom w:val="0"/>
      <w:divBdr>
        <w:top w:val="none" w:sz="0" w:space="0" w:color="auto"/>
        <w:left w:val="none" w:sz="0" w:space="0" w:color="auto"/>
        <w:bottom w:val="none" w:sz="0" w:space="0" w:color="auto"/>
        <w:right w:val="none" w:sz="0" w:space="0" w:color="auto"/>
      </w:divBdr>
    </w:div>
    <w:div w:id="2121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8650-8B43-417C-931A-06049C16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2122</Words>
  <Characters>12521</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UGIS</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vlachova</dc:creator>
  <cp:lastModifiedBy>Andrea Trudičová</cp:lastModifiedBy>
  <cp:revision>6</cp:revision>
  <cp:lastPrinted>2021-02-09T12:15:00Z</cp:lastPrinted>
  <dcterms:created xsi:type="dcterms:W3CDTF">2021-05-12T14:15:00Z</dcterms:created>
  <dcterms:modified xsi:type="dcterms:W3CDTF">2021-05-13T04:17:00Z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Pavel.Sobisek@unicreditgroup.cz</vt:lpwstr>
  </property>
  <property fmtid="{D5CDD505-2E9C-101B-9397-08002B2CF9AE}" pid="5" name="MSIP_Label_390254f4-34d0-49c5-b888-af4abf762ef7_SetDate">
    <vt:lpwstr>2020-01-15T16:11:29.8787231Z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43f3763f-d3c6-435c-ae50-a4a40081b5fb</vt:lpwstr>
  </property>
  <property fmtid="{D5CDD505-2E9C-101B-9397-08002B2CF9AE}" pid="9" name="MSIP_Label_390254f4-34d0-49c5-b888-af4abf762ef7_Extended_MSFT_Method">
    <vt:lpwstr>Automatic</vt:lpwstr>
  </property>
  <property fmtid="{D5CDD505-2E9C-101B-9397-08002B2CF9AE}" pid="10" name="MSIP_Label_faa92781-1fcb-4da3-a1a2-e534c28a25f3_Enabled">
    <vt:lpwstr>True</vt:lpwstr>
  </property>
  <property fmtid="{D5CDD505-2E9C-101B-9397-08002B2CF9AE}" pid="11" name="MSIP_Label_faa92781-1fcb-4da3-a1a2-e534c28a25f3_SiteId">
    <vt:lpwstr>2cc49ce9-66a1-41ac-a96b-bdc54247696a</vt:lpwstr>
  </property>
  <property fmtid="{D5CDD505-2E9C-101B-9397-08002B2CF9AE}" pid="12" name="MSIP_Label_faa92781-1fcb-4da3-a1a2-e534c28a25f3_Owner">
    <vt:lpwstr>Pavel.Sobisek@unicreditgroup.cz</vt:lpwstr>
  </property>
  <property fmtid="{D5CDD505-2E9C-101B-9397-08002B2CF9AE}" pid="13" name="MSIP_Label_faa92781-1fcb-4da3-a1a2-e534c28a25f3_SetDate">
    <vt:lpwstr>2020-01-15T16:11:29.8787231Z</vt:lpwstr>
  </property>
  <property fmtid="{D5CDD505-2E9C-101B-9397-08002B2CF9AE}" pid="14" name="MSIP_Label_faa92781-1fcb-4da3-a1a2-e534c28a25f3_Name">
    <vt:lpwstr>in UniCredit Group - no visual markings</vt:lpwstr>
  </property>
  <property fmtid="{D5CDD505-2E9C-101B-9397-08002B2CF9AE}" pid="15" name="MSIP_Label_faa92781-1fcb-4da3-a1a2-e534c28a25f3_Application">
    <vt:lpwstr>Microsoft Azure Information Protection</vt:lpwstr>
  </property>
  <property fmtid="{D5CDD505-2E9C-101B-9397-08002B2CF9AE}" pid="16" name="MSIP_Label_faa92781-1fcb-4da3-a1a2-e534c28a25f3_ActionId">
    <vt:lpwstr>43f3763f-d3c6-435c-ae50-a4a40081b5fb</vt:lpwstr>
  </property>
  <property fmtid="{D5CDD505-2E9C-101B-9397-08002B2CF9AE}" pid="17" name="MSIP_Label_faa92781-1fcb-4da3-a1a2-e534c28a25f3_Parent">
    <vt:lpwstr>390254f4-34d0-49c5-b888-af4abf762ef7</vt:lpwstr>
  </property>
  <property fmtid="{D5CDD505-2E9C-101B-9397-08002B2CF9AE}" pid="18" name="MSIP_Label_faa92781-1fcb-4da3-a1a2-e534c28a25f3_Extended_MSFT_Method">
    <vt:lpwstr>Automatic</vt:lpwstr>
  </property>
  <property fmtid="{D5CDD505-2E9C-101B-9397-08002B2CF9AE}" pid="19" name="Sensitivity">
    <vt:lpwstr>Internal Use Only in UniCredit Group - no visual markings</vt:lpwstr>
  </property>
  <property fmtid="{D5CDD505-2E9C-101B-9397-08002B2CF9AE}" pid="20" name="MSIP_Label_2b3a104e-2916-42dc-a2f6-6210338509ed_Enabled">
    <vt:lpwstr>True</vt:lpwstr>
  </property>
  <property fmtid="{D5CDD505-2E9C-101B-9397-08002B2CF9AE}" pid="21" name="MSIP_Label_2b3a104e-2916-42dc-a2f6-6210338509ed_SiteId">
    <vt:lpwstr>e70aafb3-2e89-46a5-ba50-66803e8a4411</vt:lpwstr>
  </property>
  <property fmtid="{D5CDD505-2E9C-101B-9397-08002B2CF9AE}" pid="22" name="MSIP_Label_2b3a104e-2916-42dc-a2f6-6210338509ed_Owner">
    <vt:lpwstr>cen87316@csin.cz</vt:lpwstr>
  </property>
  <property fmtid="{D5CDD505-2E9C-101B-9397-08002B2CF9AE}" pid="23" name="MSIP_Label_2b3a104e-2916-42dc-a2f6-6210338509ed_SetDate">
    <vt:lpwstr>2020-01-17T08:10:02.3455520Z</vt:lpwstr>
  </property>
  <property fmtid="{D5CDD505-2E9C-101B-9397-08002B2CF9AE}" pid="24" name="MSIP_Label_2b3a104e-2916-42dc-a2f6-6210338509ed_Name">
    <vt:lpwstr>CS Internal</vt:lpwstr>
  </property>
  <property fmtid="{D5CDD505-2E9C-101B-9397-08002B2CF9AE}" pid="25" name="MSIP_Label_2b3a104e-2916-42dc-a2f6-6210338509ed_Application">
    <vt:lpwstr>Microsoft Azure Information Protection</vt:lpwstr>
  </property>
  <property fmtid="{D5CDD505-2E9C-101B-9397-08002B2CF9AE}" pid="26" name="MSIP_Label_2b3a104e-2916-42dc-a2f6-6210338509ed_ActionId">
    <vt:lpwstr>60b9ebe4-46ae-459c-bf59-6a05f328379e</vt:lpwstr>
  </property>
  <property fmtid="{D5CDD505-2E9C-101B-9397-08002B2CF9AE}" pid="27" name="MSIP_Label_2b3a104e-2916-42dc-a2f6-6210338509ed_Extended_MSFT_Method">
    <vt:lpwstr>Automatic</vt:lpwstr>
  </property>
  <property fmtid="{D5CDD505-2E9C-101B-9397-08002B2CF9AE}" pid="28" name="MSIP_Label_076d9757-80ae-4c87-b4d7-9ffa7a0710d0_Enabled">
    <vt:lpwstr>true</vt:lpwstr>
  </property>
  <property fmtid="{D5CDD505-2E9C-101B-9397-08002B2CF9AE}" pid="29" name="MSIP_Label_076d9757-80ae-4c87-b4d7-9ffa7a0710d0_SetDate">
    <vt:lpwstr>2021-05-09T16:09:36Z</vt:lpwstr>
  </property>
  <property fmtid="{D5CDD505-2E9C-101B-9397-08002B2CF9AE}" pid="30" name="MSIP_Label_076d9757-80ae-4c87-b4d7-9ffa7a0710d0_Method">
    <vt:lpwstr>Standard</vt:lpwstr>
  </property>
  <property fmtid="{D5CDD505-2E9C-101B-9397-08002B2CF9AE}" pid="31" name="MSIP_Label_076d9757-80ae-4c87-b4d7-9ffa7a0710d0_Name">
    <vt:lpwstr>C1 - Internal</vt:lpwstr>
  </property>
  <property fmtid="{D5CDD505-2E9C-101B-9397-08002B2CF9AE}" pid="32" name="MSIP_Label_076d9757-80ae-4c87-b4d7-9ffa7a0710d0_SiteId">
    <vt:lpwstr>c79e7c80-cff5-4503-b468-3702cea89272</vt:lpwstr>
  </property>
  <property fmtid="{D5CDD505-2E9C-101B-9397-08002B2CF9AE}" pid="33" name="MSIP_Label_076d9757-80ae-4c87-b4d7-9ffa7a0710d0_ActionId">
    <vt:lpwstr>e6da5af1-39f2-4f2b-b59b-984e27099740</vt:lpwstr>
  </property>
  <property fmtid="{D5CDD505-2E9C-101B-9397-08002B2CF9AE}" pid="34" name="MSIP_Label_076d9757-80ae-4c87-b4d7-9ffa7a0710d0_ContentBits">
    <vt:lpwstr>0</vt:lpwstr>
  </property>
  <property fmtid="{D5CDD505-2E9C-101B-9397-08002B2CF9AE}" pid="35" name="Kod_Duvernosti">
    <vt:lpwstr>KB_C1_INTERNAL_992521</vt:lpwstr>
  </property>
  <property fmtid="{D5CDD505-2E9C-101B-9397-08002B2CF9AE}" pid="36" name="MSIP_Label_2a6524ed-fb1a-49fd-bafe-15c5e5ffd047_Enabled">
    <vt:lpwstr>true</vt:lpwstr>
  </property>
  <property fmtid="{D5CDD505-2E9C-101B-9397-08002B2CF9AE}" pid="37" name="MSIP_Label_2a6524ed-fb1a-49fd-bafe-15c5e5ffd047_SetDate">
    <vt:lpwstr>2021-05-10T05:54:55Z</vt:lpwstr>
  </property>
  <property fmtid="{D5CDD505-2E9C-101B-9397-08002B2CF9AE}" pid="38" name="MSIP_Label_2a6524ed-fb1a-49fd-bafe-15c5e5ffd047_Method">
    <vt:lpwstr>Standard</vt:lpwstr>
  </property>
  <property fmtid="{D5CDD505-2E9C-101B-9397-08002B2CF9AE}" pid="39" name="MSIP_Label_2a6524ed-fb1a-49fd-bafe-15c5e5ffd047_Name">
    <vt:lpwstr>Internal</vt:lpwstr>
  </property>
  <property fmtid="{D5CDD505-2E9C-101B-9397-08002B2CF9AE}" pid="40" name="MSIP_Label_2a6524ed-fb1a-49fd-bafe-15c5e5ffd047_SiteId">
    <vt:lpwstr>9b511fda-f0b1-43a5-b06e-1e720f64520a</vt:lpwstr>
  </property>
  <property fmtid="{D5CDD505-2E9C-101B-9397-08002B2CF9AE}" pid="41" name="MSIP_Label_2a6524ed-fb1a-49fd-bafe-15c5e5ffd047_ActionId">
    <vt:lpwstr>6e16e441-bca8-45fa-8e42-4b14b422a2ce</vt:lpwstr>
  </property>
  <property fmtid="{D5CDD505-2E9C-101B-9397-08002B2CF9AE}" pid="42" name="MSIP_Label_2a6524ed-fb1a-49fd-bafe-15c5e5ffd047_ContentBits">
    <vt:lpwstr>0</vt:lpwstr>
  </property>
</Properties>
</file>